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2022年地方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债务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2021年底政府债务余额465017万元，其中：一般债务余额289640万元、专项债务余额175377万元。严格控制在省政府核定的债务限额510247万元内。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根据我县项目规划和债券申请、偿还以及省厅提前下达限额等情况，我县本年度拟发行一般债券44618万元（其中再融资债券35820万元）、专项债券68215万元（其中再融资金额4765万元），年底拟减少一般债券33610万元、专项债券2115万元，预计年底债务余额542125万元，其中：一般债券余额300648万元、专项债券约241477万元。年初省厅提前下达我县2022年新增地方政府债务限额78408万元，其中：一般债券新增限额10708万元、专项债券新增限额67700万元，2022年底地方政府债券限额预计588655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目前已到位专项债券4.08亿元，分别是：剑阁县宝龙山职教园区及配套基础设施建设项目3.08亿元、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剑门工业园区基础建设项目0.5亿元、剑阁县杨家河供水工程（水厂）0.5亿元。待有其他情况发生我们将及时向县人大常委会报告预算调整方案，并在债券项目安排方案确定后报县人大常委会备案。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YzUzMWJmZWYwNTA5YzYwMGNiYzIyNGEyYzc3YTYifQ=="/>
  </w:docVars>
  <w:rsids>
    <w:rsidRoot w:val="21F93DFB"/>
    <w:rsid w:val="21F93DFB"/>
    <w:rsid w:val="4D547E49"/>
    <w:rsid w:val="50152E4C"/>
    <w:rsid w:val="5F6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496</Characters>
  <Lines>0</Lines>
  <Paragraphs>0</Paragraphs>
  <TotalTime>19</TotalTime>
  <ScaleCrop>false</ScaleCrop>
  <LinksUpToDate>false</LinksUpToDate>
  <CharactersWithSpaces>496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2022-08-16T02:16:00Z</dcterms:created>
  <dc:creator>预算股</dc:creator>
  <cp:lastModifiedBy>李国安</cp:lastModifiedBy>
  <dcterms:modified xsi:type="dcterms:W3CDTF">2022-08-16T10:40:49Z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63F6A85C3C044411B5382C88FC980292</vt:lpwstr>
  </property>
</Properties>
</file>