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193"/>
      <w:bookmarkStart w:id="4" w:name="_Toc15378441"/>
      <w:bookmarkStart w:id="5" w:name="_Toc15377425"/>
      <w:bookmarkStart w:id="6" w:name="_Toc24928"/>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2766"/>
      <w:bookmarkStart w:id="8" w:name="_Toc15396476"/>
      <w:bookmarkStart w:id="9" w:name="_Toc15377426"/>
      <w:bookmarkStart w:id="10" w:name="_Toc15378442"/>
      <w:bookmarkStart w:id="11" w:name="_Toc15377194"/>
      <w:bookmarkStart w:id="12" w:name="_Toc15396598"/>
      <w:r>
        <w:rPr>
          <w:rFonts w:hint="eastAsia" w:ascii="方正小标宋简体" w:hAnsi="方正小标宋简体" w:eastAsia="方正小标宋简体" w:cs="方正小标宋简体"/>
          <w:sz w:val="72"/>
          <w:szCs w:val="72"/>
        </w:rPr>
        <w:t>剑阁县</w:t>
      </w:r>
      <w:bookmarkEnd w:id="0"/>
      <w:bookmarkStart w:id="13" w:name="_Toc15306268"/>
      <w:r>
        <w:rPr>
          <w:rFonts w:hint="eastAsia" w:ascii="方正小标宋简体" w:hAnsi="方正小标宋简体" w:eastAsia="方正小标宋简体" w:cs="方正小标宋简体"/>
          <w:sz w:val="72"/>
          <w:szCs w:val="72"/>
          <w:lang w:eastAsia="zh-CN"/>
        </w:rPr>
        <w:t>人民医院</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5"/>
        <w:rPr>
          <w:rFonts w:hint="eastAsia"/>
        </w:rPr>
      </w:pPr>
      <w:r>
        <w:rPr>
          <w:rFonts w:hint="eastAsia"/>
        </w:rPr>
        <w:t>公开时间：2023年</w:t>
      </w:r>
      <w:r>
        <w:rPr>
          <w:rFonts w:hint="eastAsia"/>
          <w:lang w:val="en-US" w:eastAsia="zh-CN"/>
        </w:rPr>
        <w:t>10</w:t>
      </w:r>
      <w:r>
        <w:rPr>
          <w:rFonts w:hint="eastAsia"/>
        </w:rPr>
        <w:t>月</w:t>
      </w:r>
      <w:r>
        <w:rPr>
          <w:rFonts w:hint="eastAsia"/>
          <w:lang w:val="en-US" w:eastAsia="zh-CN"/>
        </w:rPr>
        <w:t>11</w:t>
      </w:r>
      <w:r>
        <w:rPr>
          <w:rFonts w:hint="eastAsia"/>
        </w:rPr>
        <w:t>日</w:t>
      </w:r>
    </w:p>
    <w:p>
      <w:pPr>
        <w:pStyle w:val="15"/>
        <w:tabs>
          <w:tab w:val="right" w:leader="dot" w:pos="8306"/>
          <w:tab w:val="clear" w:pos="8296"/>
        </w:tabs>
      </w:pPr>
      <w:r>
        <w:fldChar w:fldCharType="begin"/>
      </w:r>
      <w:r>
        <w:instrText xml:space="preserve">TOC \o "1-3" \h \u </w:instrText>
      </w:r>
      <w:r>
        <w:fldChar w:fldCharType="separate"/>
      </w:r>
      <w:r>
        <w:fldChar w:fldCharType="begin"/>
      </w:r>
      <w:r>
        <w:instrText xml:space="preserve"> HYPERLINK \l _Toc3267 </w:instrText>
      </w:r>
      <w: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_Toc3267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_Toc19101 </w:instrText>
      </w:r>
      <w:r>
        <w:fldChar w:fldCharType="separate"/>
      </w:r>
      <w:r>
        <w:rPr>
          <w:rFonts w:hint="eastAsia" w:ascii="黑体" w:hAnsi="黑体" w:eastAsia="黑体"/>
          <w:bCs w:val="0"/>
        </w:rPr>
        <w:t>一、 主要职责</w:t>
      </w:r>
      <w:r>
        <w:rPr>
          <w:rFonts w:hint="eastAsia" w:ascii="黑体" w:hAnsi="黑体" w:eastAsia="黑体"/>
          <w:bCs w:val="0"/>
          <w:lang w:eastAsia="zh-CN"/>
        </w:rPr>
        <w:t>及重点工作</w:t>
      </w:r>
      <w:r>
        <w:tab/>
      </w:r>
      <w:r>
        <w:fldChar w:fldCharType="begin"/>
      </w:r>
      <w:r>
        <w:instrText xml:space="preserve"> PAGEREF _Toc19101 \h </w:instrText>
      </w:r>
      <w:r>
        <w:fldChar w:fldCharType="separate"/>
      </w:r>
      <w:r>
        <w:t>1</w:t>
      </w:r>
      <w:r>
        <w:fldChar w:fldCharType="end"/>
      </w:r>
      <w:r>
        <w:fldChar w:fldCharType="end"/>
      </w:r>
    </w:p>
    <w:p>
      <w:pPr>
        <w:pStyle w:val="10"/>
        <w:tabs>
          <w:tab w:val="right" w:leader="dot" w:pos="8306"/>
          <w:tab w:val="clear" w:pos="8296"/>
        </w:tabs>
      </w:pPr>
      <w:r>
        <w:fldChar w:fldCharType="begin"/>
      </w:r>
      <w:r>
        <w:instrText xml:space="preserve"> HYPERLINK \l _Toc19089 </w:instrText>
      </w:r>
      <w:r>
        <w:fldChar w:fldCharType="separate"/>
      </w:r>
      <w:r>
        <w:rPr>
          <w:rFonts w:hint="eastAsia" w:ascii="仿宋" w:hAnsi="仿宋" w:eastAsia="仿宋"/>
          <w:szCs w:val="32"/>
          <w:lang w:eastAsia="zh-CN"/>
        </w:rPr>
        <w:t>（一） 单位职责</w:t>
      </w:r>
      <w:r>
        <w:tab/>
      </w:r>
      <w:r>
        <w:fldChar w:fldCharType="begin"/>
      </w:r>
      <w:r>
        <w:instrText xml:space="preserve"> PAGEREF _Toc19089 \h </w:instrText>
      </w:r>
      <w:r>
        <w:fldChar w:fldCharType="separate"/>
      </w:r>
      <w:r>
        <w:t>1</w:t>
      </w:r>
      <w:r>
        <w:fldChar w:fldCharType="end"/>
      </w:r>
      <w:r>
        <w:fldChar w:fldCharType="end"/>
      </w:r>
    </w:p>
    <w:p>
      <w:pPr>
        <w:pStyle w:val="10"/>
        <w:tabs>
          <w:tab w:val="right" w:leader="dot" w:pos="8306"/>
          <w:tab w:val="clear" w:pos="8296"/>
        </w:tabs>
      </w:pPr>
      <w:r>
        <w:fldChar w:fldCharType="begin"/>
      </w:r>
      <w:r>
        <w:instrText xml:space="preserve"> HYPERLINK \l _Toc20507 </w:instrText>
      </w:r>
      <w:r>
        <w:fldChar w:fldCharType="separate"/>
      </w:r>
      <w:r>
        <w:rPr>
          <w:rFonts w:hint="eastAsia" w:ascii="仿宋" w:hAnsi="仿宋" w:eastAsia="仿宋"/>
          <w:szCs w:val="32"/>
          <w:lang w:eastAsia="zh-CN"/>
        </w:rPr>
        <w:t xml:space="preserve">（二） </w:t>
      </w:r>
      <w:r>
        <w:rPr>
          <w:rFonts w:hint="eastAsia" w:ascii="仿宋" w:hAnsi="仿宋" w:eastAsia="仿宋"/>
          <w:szCs w:val="32"/>
          <w:lang w:val="en-US" w:eastAsia="zh-CN"/>
        </w:rPr>
        <w:t>2022年重点工作完成情况</w:t>
      </w:r>
      <w:r>
        <w:tab/>
      </w:r>
      <w:r>
        <w:fldChar w:fldCharType="begin"/>
      </w:r>
      <w:r>
        <w:instrText xml:space="preserve"> PAGEREF _Toc20507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_Toc16906 </w:instrText>
      </w:r>
      <w:r>
        <w:fldChar w:fldCharType="separate"/>
      </w:r>
      <w:r>
        <w:rPr>
          <w:rFonts w:hint="eastAsia" w:ascii="黑体" w:hAnsi="黑体" w:eastAsia="黑体"/>
        </w:rPr>
        <w:t>二、 机构设置</w:t>
      </w:r>
      <w:r>
        <w:tab/>
      </w:r>
      <w:r>
        <w:fldChar w:fldCharType="begin"/>
      </w:r>
      <w:r>
        <w:instrText xml:space="preserve"> PAGEREF _Toc16906 \h </w:instrText>
      </w:r>
      <w:r>
        <w:fldChar w:fldCharType="separate"/>
      </w:r>
      <w:r>
        <w:t>3</w:t>
      </w:r>
      <w:r>
        <w:fldChar w:fldCharType="end"/>
      </w:r>
      <w:r>
        <w:fldChar w:fldCharType="end"/>
      </w:r>
    </w:p>
    <w:p>
      <w:pPr>
        <w:pStyle w:val="15"/>
        <w:tabs>
          <w:tab w:val="right" w:leader="dot" w:pos="8306"/>
          <w:tab w:val="clear" w:pos="8296"/>
        </w:tabs>
      </w:pPr>
      <w:r>
        <w:fldChar w:fldCharType="begin"/>
      </w:r>
      <w:r>
        <w:instrText xml:space="preserve"> HYPERLINK \l _Toc8082 </w:instrText>
      </w:r>
      <w:r>
        <w:fldChar w:fldCharType="separate"/>
      </w:r>
      <w:r>
        <w:rPr>
          <w:rFonts w:hint="eastAsia" w:ascii="黑体" w:hAnsi="黑体" w:eastAsia="黑体"/>
        </w:rPr>
        <w:t>第二部分 2022年度</w:t>
      </w:r>
      <w:r>
        <w:rPr>
          <w:rFonts w:hint="eastAsia" w:ascii="黑体" w:hAnsi="黑体" w:eastAsia="黑体"/>
          <w:lang w:val="en-US" w:eastAsia="zh-CN"/>
        </w:rPr>
        <w:t xml:space="preserve"> </w:t>
      </w:r>
      <w:r>
        <w:rPr>
          <w:rFonts w:hint="eastAsia" w:ascii="黑体" w:hAnsi="黑体" w:eastAsia="黑体"/>
        </w:rPr>
        <w:t>单位决算情况说明</w:t>
      </w:r>
      <w:r>
        <w:tab/>
      </w:r>
      <w:r>
        <w:fldChar w:fldCharType="begin"/>
      </w:r>
      <w:r>
        <w:instrText xml:space="preserve"> PAGEREF _Toc8082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_Toc9489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_Toc9489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_Toc3388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_Toc3388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_Toc5782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_Toc5782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_Toc1698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_Toc1698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_Toc23865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_Toc23865 \h </w:instrText>
      </w:r>
      <w:r>
        <w:fldChar w:fldCharType="separate"/>
      </w:r>
      <w:r>
        <w:t>5</w:t>
      </w:r>
      <w:r>
        <w:fldChar w:fldCharType="end"/>
      </w:r>
      <w:r>
        <w:fldChar w:fldCharType="end"/>
      </w:r>
    </w:p>
    <w:p>
      <w:pPr>
        <w:pStyle w:val="10"/>
        <w:tabs>
          <w:tab w:val="right" w:leader="dot" w:pos="8306"/>
          <w:tab w:val="clear" w:pos="8296"/>
        </w:tabs>
      </w:pPr>
      <w:r>
        <w:fldChar w:fldCharType="begin"/>
      </w:r>
      <w:r>
        <w:instrText xml:space="preserve"> HYPERLINK \l _Toc16541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_Toc16541 \h </w:instrText>
      </w:r>
      <w:r>
        <w:fldChar w:fldCharType="separate"/>
      </w:r>
      <w:r>
        <w:t>5</w:t>
      </w:r>
      <w:r>
        <w:fldChar w:fldCharType="end"/>
      </w:r>
      <w:r>
        <w:fldChar w:fldCharType="end"/>
      </w:r>
    </w:p>
    <w:p>
      <w:pPr>
        <w:pStyle w:val="10"/>
        <w:tabs>
          <w:tab w:val="right" w:leader="dot" w:pos="8306"/>
          <w:tab w:val="clear" w:pos="8296"/>
        </w:tabs>
      </w:pPr>
      <w:r>
        <w:fldChar w:fldCharType="begin"/>
      </w:r>
      <w:r>
        <w:instrText xml:space="preserve"> HYPERLINK \l _Toc6308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_Toc6308 \h </w:instrText>
      </w:r>
      <w:r>
        <w:fldChar w:fldCharType="separate"/>
      </w:r>
      <w:r>
        <w:t>5</w:t>
      </w:r>
      <w:r>
        <w:fldChar w:fldCharType="end"/>
      </w:r>
      <w:r>
        <w:fldChar w:fldCharType="end"/>
      </w:r>
    </w:p>
    <w:p>
      <w:pPr>
        <w:pStyle w:val="10"/>
        <w:tabs>
          <w:tab w:val="right" w:leader="dot" w:pos="8306"/>
          <w:tab w:val="clear" w:pos="8296"/>
        </w:tabs>
      </w:pPr>
      <w:r>
        <w:fldChar w:fldCharType="begin"/>
      </w:r>
      <w:r>
        <w:instrText xml:space="preserve"> HYPERLINK \l _Toc8939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_Toc8939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_Toc2673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_Toc2673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_Toc24098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_Toc24098 \h </w:instrText>
      </w:r>
      <w:r>
        <w:fldChar w:fldCharType="separate"/>
      </w:r>
      <w:r>
        <w:t>6</w:t>
      </w:r>
      <w:r>
        <w:fldChar w:fldCharType="end"/>
      </w:r>
      <w:r>
        <w:fldChar w:fldCharType="end"/>
      </w:r>
    </w:p>
    <w:p>
      <w:pPr>
        <w:pStyle w:val="10"/>
        <w:tabs>
          <w:tab w:val="right" w:leader="dot" w:pos="8306"/>
          <w:tab w:val="clear" w:pos="8296"/>
        </w:tabs>
      </w:pPr>
      <w:r>
        <w:fldChar w:fldCharType="begin"/>
      </w:r>
      <w:r>
        <w:instrText xml:space="preserve"> HYPERLINK \l _Toc16838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_Toc16838 \h </w:instrText>
      </w:r>
      <w:r>
        <w:fldChar w:fldCharType="separate"/>
      </w:r>
      <w:r>
        <w:t>6</w:t>
      </w:r>
      <w:r>
        <w:fldChar w:fldCharType="end"/>
      </w:r>
      <w:r>
        <w:fldChar w:fldCharType="end"/>
      </w:r>
    </w:p>
    <w:p>
      <w:pPr>
        <w:pStyle w:val="10"/>
        <w:tabs>
          <w:tab w:val="right" w:leader="dot" w:pos="8306"/>
          <w:tab w:val="clear" w:pos="8296"/>
        </w:tabs>
      </w:pPr>
      <w:r>
        <w:fldChar w:fldCharType="begin"/>
      </w:r>
      <w:r>
        <w:instrText xml:space="preserve"> HYPERLINK \l _Toc3810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_Toc3810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_Toc17121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_Toc17121 \h </w:instrText>
      </w:r>
      <w:r>
        <w:fldChar w:fldCharType="separate"/>
      </w:r>
      <w:r>
        <w:t>8</w:t>
      </w:r>
      <w:r>
        <w:fldChar w:fldCharType="end"/>
      </w:r>
      <w:r>
        <w:fldChar w:fldCharType="end"/>
      </w:r>
    </w:p>
    <w:p>
      <w:pPr>
        <w:pStyle w:val="16"/>
        <w:tabs>
          <w:tab w:val="right" w:leader="dot" w:pos="8306"/>
          <w:tab w:val="clear" w:pos="8296"/>
        </w:tabs>
      </w:pPr>
      <w:r>
        <w:fldChar w:fldCharType="begin"/>
      </w:r>
      <w:r>
        <w:instrText xml:space="preserve"> HYPERLINK \l _Toc2718 </w:instrText>
      </w:r>
      <w:r>
        <w:fldChar w:fldCharType="separate"/>
      </w:r>
      <w:r>
        <w:rPr>
          <w:rFonts w:hint="eastAsia" w:ascii="黑体" w:hAnsi="黑体" w:eastAsia="黑体"/>
        </w:rPr>
        <w:t>九、 国有资本经营预算支出决算情况说明</w:t>
      </w:r>
      <w:r>
        <w:tab/>
      </w:r>
      <w:r>
        <w:fldChar w:fldCharType="begin"/>
      </w:r>
      <w:r>
        <w:instrText xml:space="preserve"> PAGEREF _Toc2718 \h </w:instrText>
      </w:r>
      <w:r>
        <w:fldChar w:fldCharType="separate"/>
      </w:r>
      <w:r>
        <w:t>8</w:t>
      </w:r>
      <w:r>
        <w:fldChar w:fldCharType="end"/>
      </w:r>
      <w:r>
        <w:fldChar w:fldCharType="end"/>
      </w:r>
    </w:p>
    <w:p>
      <w:pPr>
        <w:pStyle w:val="16"/>
        <w:tabs>
          <w:tab w:val="right" w:leader="dot" w:pos="8306"/>
          <w:tab w:val="clear" w:pos="8296"/>
        </w:tabs>
      </w:pPr>
      <w:r>
        <w:fldChar w:fldCharType="begin"/>
      </w:r>
      <w:r>
        <w:instrText xml:space="preserve"> HYPERLINK \l _Toc10022 </w:instrText>
      </w:r>
      <w:r>
        <w:fldChar w:fldCharType="separate"/>
      </w:r>
      <w:r>
        <w:rPr>
          <w:rFonts w:hint="eastAsia" w:ascii="黑体" w:hAnsi="黑体" w:eastAsia="黑体"/>
        </w:rPr>
        <w:t>十、 其他重要事项的情况说明</w:t>
      </w:r>
      <w:r>
        <w:tab/>
      </w:r>
      <w:r>
        <w:fldChar w:fldCharType="begin"/>
      </w:r>
      <w:r>
        <w:instrText xml:space="preserve"> PAGEREF _Toc10022 \h </w:instrText>
      </w:r>
      <w:r>
        <w:fldChar w:fldCharType="separate"/>
      </w:r>
      <w:r>
        <w:t>8</w:t>
      </w:r>
      <w:r>
        <w:fldChar w:fldCharType="end"/>
      </w:r>
      <w:r>
        <w:fldChar w:fldCharType="end"/>
      </w:r>
    </w:p>
    <w:p>
      <w:pPr>
        <w:pStyle w:val="10"/>
        <w:tabs>
          <w:tab w:val="right" w:leader="dot" w:pos="8306"/>
          <w:tab w:val="clear" w:pos="8296"/>
        </w:tabs>
      </w:pPr>
      <w:r>
        <w:fldChar w:fldCharType="begin"/>
      </w:r>
      <w:r>
        <w:instrText xml:space="preserve"> HYPERLINK \l _Toc22913 </w:instrText>
      </w:r>
      <w:r>
        <w:fldChar w:fldCharType="separate"/>
      </w:r>
      <w:r>
        <w:rPr>
          <w:rFonts w:hint="eastAsia" w:ascii="仿宋" w:hAnsi="仿宋" w:eastAsia="仿宋"/>
          <w:szCs w:val="32"/>
        </w:rPr>
        <w:t>（一）机关运行经费支出情况</w:t>
      </w:r>
      <w:r>
        <w:tab/>
      </w:r>
      <w:r>
        <w:fldChar w:fldCharType="begin"/>
      </w:r>
      <w:r>
        <w:instrText xml:space="preserve"> PAGEREF _Toc22913 \h </w:instrText>
      </w:r>
      <w:r>
        <w:fldChar w:fldCharType="separate"/>
      </w:r>
      <w:r>
        <w:t>8</w:t>
      </w:r>
      <w:r>
        <w:fldChar w:fldCharType="end"/>
      </w:r>
      <w:r>
        <w:fldChar w:fldCharType="end"/>
      </w:r>
    </w:p>
    <w:p>
      <w:pPr>
        <w:pStyle w:val="10"/>
        <w:tabs>
          <w:tab w:val="right" w:leader="dot" w:pos="8306"/>
          <w:tab w:val="clear" w:pos="8296"/>
        </w:tabs>
      </w:pPr>
      <w:r>
        <w:fldChar w:fldCharType="begin"/>
      </w:r>
      <w:r>
        <w:instrText xml:space="preserve"> HYPERLINK \l _Toc2904 </w:instrText>
      </w:r>
      <w:r>
        <w:fldChar w:fldCharType="separate"/>
      </w:r>
      <w:r>
        <w:rPr>
          <w:rFonts w:hint="eastAsia" w:ascii="仿宋" w:hAnsi="仿宋" w:eastAsia="仿宋"/>
          <w:szCs w:val="32"/>
        </w:rPr>
        <w:t>（二）政府采购支出情况</w:t>
      </w:r>
      <w:r>
        <w:tab/>
      </w:r>
      <w:r>
        <w:fldChar w:fldCharType="begin"/>
      </w:r>
      <w:r>
        <w:instrText xml:space="preserve"> PAGEREF _Toc2904 \h </w:instrText>
      </w:r>
      <w:r>
        <w:fldChar w:fldCharType="separate"/>
      </w:r>
      <w:r>
        <w:t>8</w:t>
      </w:r>
      <w:r>
        <w:fldChar w:fldCharType="end"/>
      </w:r>
      <w:r>
        <w:fldChar w:fldCharType="end"/>
      </w:r>
    </w:p>
    <w:p>
      <w:pPr>
        <w:pStyle w:val="10"/>
        <w:tabs>
          <w:tab w:val="right" w:leader="dot" w:pos="8306"/>
          <w:tab w:val="clear" w:pos="8296"/>
        </w:tabs>
      </w:pPr>
      <w:r>
        <w:fldChar w:fldCharType="begin"/>
      </w:r>
      <w:r>
        <w:instrText xml:space="preserve"> HYPERLINK \l _Toc29601 </w:instrText>
      </w:r>
      <w:r>
        <w:fldChar w:fldCharType="separate"/>
      </w:r>
      <w:r>
        <w:rPr>
          <w:rFonts w:hint="eastAsia" w:ascii="仿宋" w:hAnsi="仿宋" w:eastAsia="仿宋"/>
          <w:szCs w:val="32"/>
        </w:rPr>
        <w:t>（三）国有资产占有使用情况</w:t>
      </w:r>
      <w:r>
        <w:tab/>
      </w:r>
      <w:r>
        <w:fldChar w:fldCharType="begin"/>
      </w:r>
      <w:r>
        <w:instrText xml:space="preserve"> PAGEREF _Toc29601 \h </w:instrText>
      </w:r>
      <w:r>
        <w:fldChar w:fldCharType="separate"/>
      </w:r>
      <w:r>
        <w:t>8</w:t>
      </w:r>
      <w:r>
        <w:fldChar w:fldCharType="end"/>
      </w:r>
      <w:r>
        <w:fldChar w:fldCharType="end"/>
      </w:r>
    </w:p>
    <w:p>
      <w:pPr>
        <w:pStyle w:val="10"/>
        <w:tabs>
          <w:tab w:val="right" w:leader="dot" w:pos="8306"/>
          <w:tab w:val="clear" w:pos="8296"/>
        </w:tabs>
      </w:pPr>
      <w:r>
        <w:fldChar w:fldCharType="begin"/>
      </w:r>
      <w:r>
        <w:instrText xml:space="preserve"> HYPERLINK \l _Toc18268 </w:instrText>
      </w:r>
      <w:r>
        <w:fldChar w:fldCharType="separate"/>
      </w:r>
      <w:r>
        <w:rPr>
          <w:rFonts w:hint="eastAsia" w:ascii="仿宋" w:hAnsi="仿宋" w:eastAsia="仿宋"/>
          <w:szCs w:val="32"/>
        </w:rPr>
        <w:t>（四）预算绩效管理情况</w:t>
      </w:r>
      <w:r>
        <w:tab/>
      </w:r>
      <w:r>
        <w:fldChar w:fldCharType="begin"/>
      </w:r>
      <w:r>
        <w:instrText xml:space="preserve"> PAGEREF _Toc18268 \h </w:instrText>
      </w:r>
      <w:r>
        <w:fldChar w:fldCharType="separate"/>
      </w:r>
      <w:r>
        <w:t>9</w:t>
      </w:r>
      <w:r>
        <w:fldChar w:fldCharType="end"/>
      </w:r>
      <w:r>
        <w:fldChar w:fldCharType="end"/>
      </w:r>
    </w:p>
    <w:p>
      <w:pPr>
        <w:pStyle w:val="15"/>
        <w:tabs>
          <w:tab w:val="right" w:leader="dot" w:pos="8306"/>
          <w:tab w:val="clear" w:pos="8296"/>
        </w:tabs>
      </w:pPr>
      <w:r>
        <w:fldChar w:fldCharType="begin"/>
      </w:r>
      <w:r>
        <w:instrText xml:space="preserve"> HYPERLINK \l _Toc16341 </w:instrText>
      </w:r>
      <w:r>
        <w:fldChar w:fldCharType="separate"/>
      </w:r>
      <w:r>
        <w:rPr>
          <w:rFonts w:hint="eastAsia" w:ascii="黑体" w:hAnsi="黑体" w:eastAsia="黑体"/>
          <w:szCs w:val="44"/>
          <w:lang w:val="en-US" w:eastAsia="zh-CN"/>
        </w:rPr>
        <w:t>第三部分</w:t>
      </w:r>
      <w:r>
        <w:rPr>
          <w:rFonts w:hint="eastAsia" w:ascii="黑体" w:hAnsi="黑体" w:eastAsia="黑体" w:cs="黑体"/>
          <w:kern w:val="2"/>
          <w:szCs w:val="44"/>
          <w:lang w:val="en-US" w:eastAsia="zh-CN" w:bidi="ar-SA"/>
        </w:rPr>
        <w:t xml:space="preserve">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_Toc16341 \h </w:instrText>
      </w:r>
      <w:r>
        <w:fldChar w:fldCharType="separate"/>
      </w:r>
      <w:r>
        <w:t>10</w:t>
      </w:r>
      <w:r>
        <w:fldChar w:fldCharType="end"/>
      </w:r>
      <w:r>
        <w:fldChar w:fldCharType="end"/>
      </w:r>
    </w:p>
    <w:p>
      <w:pPr>
        <w:pStyle w:val="15"/>
        <w:tabs>
          <w:tab w:val="right" w:leader="dot" w:pos="8306"/>
          <w:tab w:val="clear" w:pos="8296"/>
        </w:tabs>
      </w:pPr>
      <w:r>
        <w:fldChar w:fldCharType="begin"/>
      </w:r>
      <w:r>
        <w:instrText xml:space="preserve"> HYPERLINK \l _Toc28446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_Toc28446 \h </w:instrText>
      </w:r>
      <w:r>
        <w:fldChar w:fldCharType="separate"/>
      </w:r>
      <w:r>
        <w:t>11</w:t>
      </w:r>
      <w:r>
        <w:fldChar w:fldCharType="end"/>
      </w:r>
      <w:r>
        <w:fldChar w:fldCharType="end"/>
      </w:r>
    </w:p>
    <w:p>
      <w:pPr>
        <w:pStyle w:val="15"/>
        <w:tabs>
          <w:tab w:val="right" w:leader="dot" w:pos="8306"/>
          <w:tab w:val="clear" w:pos="8296"/>
        </w:tabs>
      </w:pPr>
      <w:r>
        <w:fldChar w:fldCharType="begin"/>
      </w:r>
      <w:r>
        <w:instrText xml:space="preserve"> HYPERLINK \l _Toc31766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_Toc31766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_Toc5605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_Toc5605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_Toc4801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_Toc4801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_Toc22535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_Toc22535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_Toc17555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_Toc17555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_Toc14852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_Toc14852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_Toc6115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_Toc6115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_Toc13668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_Toc13668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_Toc8822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_Toc8822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_Toc2479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_Toc2479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_Toc2859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_Toc2859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_Toc23028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_Toc23028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_Toc18898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_Toc18898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_Toc9147 </w:instrText>
      </w:r>
      <w:r>
        <w:fldChar w:fldCharType="separate"/>
      </w:r>
      <w:r>
        <w:rPr>
          <w:rFonts w:hint="eastAsia" w:ascii="仿宋" w:hAnsi="仿宋" w:eastAsia="仿宋"/>
          <w:bCs w:val="0"/>
        </w:rPr>
        <w:t>十三、财政拨款“三公”经费支出决算表</w:t>
      </w:r>
      <w:r>
        <w:tab/>
      </w:r>
      <w:r>
        <w:fldChar w:fldCharType="begin"/>
      </w:r>
      <w:r>
        <w:instrText xml:space="preserve"> PAGEREF _Toc9147 \h </w:instrText>
      </w:r>
      <w:r>
        <w:fldChar w:fldCharType="separate"/>
      </w:r>
      <w:r>
        <w:t>18</w:t>
      </w:r>
      <w:r>
        <w:fldChar w:fldCharType="end"/>
      </w:r>
      <w:r>
        <w:fldChar w:fldCharType="end"/>
      </w:r>
    </w:p>
    <w:p>
      <w:pPr>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fldChar w:fldCharType="end"/>
      </w:r>
      <w:bookmarkStart w:id="14" w:name="_Toc15396599"/>
      <w:bookmarkStart w:id="15" w:name="_Toc15377196"/>
    </w:p>
    <w:p>
      <w:pPr>
        <w:pStyle w:val="3"/>
        <w:spacing w:after="0" w:afterAutospacing="0"/>
        <w:jc w:val="center"/>
        <w:outlineLvl w:val="0"/>
        <w:rPr>
          <w:rFonts w:ascii="黑体" w:eastAsia="黑体"/>
          <w:sz w:val="32"/>
          <w:szCs w:val="32"/>
        </w:rPr>
      </w:pPr>
      <w:bookmarkStart w:id="16" w:name="_Toc3267"/>
      <w:r>
        <w:rPr>
          <w:rFonts w:hint="eastAsia" w:ascii="黑体" w:hAnsi="黑体" w:eastAsia="黑体"/>
          <w:b w:val="0"/>
        </w:rPr>
        <w:t>第一部分 单位</w:t>
      </w:r>
      <w:r>
        <w:rPr>
          <w:rStyle w:val="33"/>
          <w:rFonts w:hint="eastAsia" w:ascii="黑体" w:hAnsi="黑体" w:eastAsia="黑体"/>
          <w:b w:val="0"/>
          <w:bCs w:val="0"/>
        </w:rPr>
        <w:t>概况</w:t>
      </w:r>
      <w:bookmarkEnd w:id="14"/>
      <w:bookmarkEnd w:id="15"/>
      <w:bookmarkEnd w:id="16"/>
    </w:p>
    <w:p>
      <w:pPr>
        <w:pStyle w:val="4"/>
        <w:numPr>
          <w:ilvl w:val="0"/>
          <w:numId w:val="1"/>
        </w:numPr>
        <w:spacing w:before="0" w:beforeAutospacing="0" w:after="0" w:afterAutospacing="0"/>
        <w:ind w:left="0" w:leftChars="0" w:firstLine="0" w:firstLineChars="0"/>
        <w:outlineLvl w:val="1"/>
        <w:rPr>
          <w:rStyle w:val="34"/>
          <w:rFonts w:ascii="黑体" w:hAnsi="黑体" w:eastAsia="黑体"/>
          <w:b w:val="0"/>
          <w:bCs w:val="0"/>
        </w:rPr>
      </w:pPr>
      <w:bookmarkStart w:id="17" w:name="_Toc19101"/>
      <w:bookmarkStart w:id="18" w:name="_Toc15396600"/>
      <w:bookmarkStart w:id="19" w:name="_Toc15377197"/>
      <w:r>
        <w:rPr>
          <w:rStyle w:val="34"/>
          <w:rFonts w:hint="eastAsia" w:ascii="黑体" w:hAnsi="黑体" w:eastAsia="黑体"/>
          <w:b w:val="0"/>
          <w:bCs w:val="0"/>
        </w:rPr>
        <w:t>主要职责</w:t>
      </w:r>
      <w:r>
        <w:rPr>
          <w:rStyle w:val="34"/>
          <w:rFonts w:hint="eastAsia" w:ascii="黑体" w:hAnsi="黑体" w:eastAsia="黑体"/>
          <w:b w:val="0"/>
          <w:bCs w:val="0"/>
          <w:lang w:eastAsia="zh-CN"/>
        </w:rPr>
        <w:t>及重点工作</w:t>
      </w:r>
      <w:bookmarkEnd w:id="17"/>
    </w:p>
    <w:p>
      <w:pPr>
        <w:pStyle w:val="17"/>
        <w:widowControl/>
        <w:numPr>
          <w:ilvl w:val="0"/>
          <w:numId w:val="2"/>
        </w:numPr>
        <w:shd w:val="clear" w:color="auto" w:fill="FFFFFF"/>
        <w:spacing w:before="0" w:beforeAutospacing="0" w:after="0" w:afterAutospacing="0" w:line="585" w:lineRule="atLeast"/>
        <w:ind w:left="0" w:leftChars="0" w:firstLine="0" w:firstLineChars="0"/>
        <w:outlineLvl w:val="2"/>
        <w:rPr>
          <w:rFonts w:hint="eastAsia" w:ascii="仿宋" w:hAnsi="仿宋" w:eastAsia="仿宋"/>
          <w:b/>
          <w:sz w:val="32"/>
          <w:szCs w:val="32"/>
          <w:lang w:eastAsia="zh-CN"/>
        </w:rPr>
      </w:pPr>
      <w:bookmarkStart w:id="20" w:name="_Toc19089"/>
      <w:r>
        <w:rPr>
          <w:rFonts w:hint="eastAsia" w:ascii="仿宋" w:hAnsi="仿宋" w:eastAsia="仿宋"/>
          <w:b/>
          <w:sz w:val="32"/>
          <w:szCs w:val="32"/>
          <w:lang w:eastAsia="zh-CN"/>
        </w:rPr>
        <w:t>单位职责</w:t>
      </w:r>
      <w:bookmarkEnd w:id="20"/>
    </w:p>
    <w:p>
      <w:pPr>
        <w:pStyle w:val="17"/>
        <w:widowControl/>
        <w:numPr>
          <w:ilvl w:val="0"/>
          <w:numId w:val="0"/>
        </w:numPr>
        <w:shd w:val="clear" w:color="auto" w:fill="FFFFFF"/>
        <w:spacing w:before="0" w:beforeAutospacing="0" w:after="0" w:afterAutospacing="0" w:line="585" w:lineRule="atLeast"/>
        <w:ind w:right="0" w:righ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剑阁县人民医院创建于1950年，是目前全县唯一集医疗、急救、教学、科研、预防为一体的国家三级乙等综合医院。</w:t>
      </w:r>
    </w:p>
    <w:p>
      <w:pPr>
        <w:pStyle w:val="17"/>
        <w:widowControl/>
        <w:shd w:val="clear" w:color="auto" w:fill="FFFFFF"/>
        <w:spacing w:before="0" w:beforeAutospacing="0" w:after="0" w:afterAutospacing="0" w:line="585" w:lineRule="atLeast"/>
        <w:ind w:firstLine="645"/>
        <w:rPr>
          <w:rFonts w:hint="eastAsia" w:ascii="仿宋" w:hAnsi="仿宋" w:eastAsia="仿宋"/>
          <w:b/>
          <w:sz w:val="32"/>
          <w:szCs w:val="32"/>
          <w:lang w:eastAsia="zh-CN"/>
        </w:rPr>
      </w:pPr>
      <w:r>
        <w:rPr>
          <w:rFonts w:hint="eastAsia" w:ascii="仿宋_GB2312" w:hAnsi="仿宋_GB2312" w:eastAsia="仿宋_GB2312" w:cs="仿宋_GB2312"/>
          <w:b w:val="0"/>
          <w:bCs/>
          <w:kern w:val="2"/>
          <w:sz w:val="32"/>
          <w:szCs w:val="32"/>
          <w:lang w:val="en-US" w:eastAsia="zh-CN" w:bidi="ar-SA"/>
        </w:rPr>
        <w:t>我院主要承担本区域及周边地区群众的医疗诊治任务，担负医疗业务人员的教育培训工作，承担组织申报医学科研课题，为区域内人群进行健康教育宣传，并强化区域内医疗救治体系，有效应对各种突发性公共卫生事件。</w:t>
      </w:r>
    </w:p>
    <w:p>
      <w:pPr>
        <w:pStyle w:val="17"/>
        <w:widowControl/>
        <w:numPr>
          <w:ilvl w:val="0"/>
          <w:numId w:val="2"/>
        </w:numPr>
        <w:shd w:val="clear" w:color="auto" w:fill="FFFFFF"/>
        <w:spacing w:before="0" w:beforeAutospacing="0" w:after="0" w:afterAutospacing="0" w:line="585" w:lineRule="atLeast"/>
        <w:ind w:left="0" w:leftChars="0" w:firstLine="0" w:firstLineChars="0"/>
        <w:outlineLvl w:val="2"/>
        <w:rPr>
          <w:rFonts w:hint="eastAsia" w:ascii="仿宋" w:hAnsi="仿宋" w:eastAsia="仿宋"/>
          <w:b/>
          <w:sz w:val="32"/>
          <w:szCs w:val="32"/>
          <w:lang w:eastAsia="zh-CN"/>
        </w:rPr>
      </w:pPr>
      <w:bookmarkStart w:id="21" w:name="_Toc20507"/>
      <w:r>
        <w:rPr>
          <w:rFonts w:hint="eastAsia" w:ascii="仿宋" w:hAnsi="仿宋" w:eastAsia="仿宋"/>
          <w:b/>
          <w:sz w:val="32"/>
          <w:szCs w:val="32"/>
          <w:lang w:val="en-US" w:eastAsia="zh-CN"/>
        </w:rPr>
        <w:t>2022年重点工作完成情况</w:t>
      </w:r>
      <w:bookmarkEnd w:id="21"/>
    </w:p>
    <w:p>
      <w:pPr>
        <w:pStyle w:val="17"/>
        <w:widowControl/>
        <w:shd w:val="clear" w:color="auto" w:fill="FFFFFF"/>
        <w:spacing w:before="0" w:beforeAutospacing="0" w:after="0" w:afterAutospacing="0" w:line="585" w:lineRule="atLeast"/>
        <w:ind w:firstLine="645"/>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2022年，是医院完成规模扩张后走上内涵提升道路的重要一年，党的二十大也将在 2022年下半年召开。为确保医院在新形势下明确路线图、打赢主动仗、展现新气象、实现新跨越，为党的二十大召开献礼，着重于以下工作：</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22" w:name="_Toc14301"/>
      <w:bookmarkStart w:id="23" w:name="_Toc10767"/>
      <w:bookmarkStart w:id="24" w:name="_Toc22911"/>
      <w:r>
        <w:rPr>
          <w:rFonts w:hint="eastAsia"/>
          <w:lang w:val="en-US" w:eastAsia="zh-CN"/>
        </w:rPr>
        <w:t>持续做好疫情防控不放松</w:t>
      </w:r>
      <w:bookmarkEnd w:id="22"/>
      <w:bookmarkEnd w:id="23"/>
      <w:bookmarkEnd w:id="24"/>
    </w:p>
    <w:p>
      <w:pPr>
        <w:pStyle w:val="19"/>
        <w:keepNext w:val="0"/>
        <w:keepLines w:val="0"/>
        <w:pageBreakBefore w:val="0"/>
        <w:widowControl w:val="0"/>
        <w:kinsoku/>
        <w:wordWrap/>
        <w:overflowPunct/>
        <w:topLinePunct w:val="0"/>
        <w:autoSpaceDE/>
        <w:autoSpaceDN/>
        <w:bidi w:val="0"/>
        <w:adjustRightInd/>
        <w:snapToGrid/>
        <w:spacing w:beforeAutospacing="0" w:afterLines="0" w:afterAutospacing="0"/>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一是严格通道管理，严格落实亮码、测温等防控要求；二是强化门诊管控，严格落实预检分诊制度和“一米线”制度，切实强化首诊负责制；三是加强病区封闭式管理；四是发热门诊规范设置，加强发热患者的闭环管理；五是强化院感底线思维，把院感防控作为重中之重；六是做好核酸检测工作；七是加强医疗力量和物资设备保障；八是做好新冠疫苗接种事宜。 </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25" w:name="_Toc17609"/>
      <w:bookmarkStart w:id="26" w:name="_Toc3087"/>
      <w:bookmarkStart w:id="27" w:name="_Toc12479"/>
      <w:r>
        <w:rPr>
          <w:rFonts w:hint="eastAsia"/>
          <w:lang w:val="en-US" w:eastAsia="zh-CN"/>
        </w:rPr>
        <w:t>进一步加强医院党的建设</w:t>
      </w:r>
      <w:bookmarkEnd w:id="25"/>
      <w:bookmarkEnd w:id="26"/>
      <w:bookmarkEnd w:id="27"/>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落实公立医院党的领导，持续推动党建工作同业务工作有机结合，打造医院特色党建品牌，把党建工作聚焦到群众关心的热点上，体现到业务工作的落实上，拓展到作风建设的改进上，全力推进公立医院党的建设各项工作。</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28" w:name="_Toc30257"/>
      <w:bookmarkStart w:id="29" w:name="_Toc19565"/>
      <w:bookmarkStart w:id="30" w:name="_Toc22756"/>
      <w:r>
        <w:rPr>
          <w:rFonts w:hint="eastAsia"/>
          <w:lang w:val="en-US" w:eastAsia="zh-CN"/>
        </w:rPr>
        <w:t>进一步深化学科专科建设</w:t>
      </w:r>
      <w:bookmarkEnd w:id="28"/>
      <w:bookmarkEnd w:id="29"/>
      <w:bookmarkEnd w:id="30"/>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医院的工作重点仍是学科建设，根据大专科、小综合规划，将大力推动在联盟框架内的密切活动。一是医院将大力推进MTD（多学科综合治疗）诊疗模式。二是稳步推进五大中心建设。三是力争建设检验、放射、心电三大共享中心。四是继续探索建立县级慢病防治中心。五是充分利用“对口支援”平台，强化东西部协作。</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31" w:name="_Toc25095"/>
      <w:bookmarkStart w:id="32" w:name="_Toc4377"/>
      <w:bookmarkStart w:id="33" w:name="_Toc6435"/>
      <w:r>
        <w:rPr>
          <w:rFonts w:hint="eastAsia"/>
          <w:lang w:val="en-US" w:eastAsia="zh-CN"/>
        </w:rPr>
        <w:t>继续做好医疗质量和安全管理</w:t>
      </w:r>
      <w:bookmarkEnd w:id="31"/>
      <w:bookmarkEnd w:id="32"/>
      <w:bookmarkEnd w:id="33"/>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2022年我们要持续加强对医疗质量和安全管理。在全院掀起一场“强化质量、提升服务”为主题的活动热潮，确保为患者提供优质服务。</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34" w:name="_Toc16505"/>
      <w:bookmarkStart w:id="35" w:name="_Toc3003"/>
      <w:bookmarkStart w:id="36" w:name="_Toc26319"/>
      <w:r>
        <w:rPr>
          <w:rFonts w:hint="eastAsia"/>
          <w:lang w:val="en-US" w:eastAsia="zh-CN"/>
        </w:rPr>
        <w:t>推进服务型医院建设</w:t>
      </w:r>
      <w:bookmarkEnd w:id="34"/>
      <w:bookmarkEnd w:id="35"/>
      <w:bookmarkEnd w:id="36"/>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加大力度开展就医流程再造，畅通24小时投诉渠道。用舒适的环境、规范的着装、语言、行动为患者提供温馨服务，构建医患健康共同体，建设群众满意医院。厚植优秀特色文化，搭建职工成长平台，关心激励职工成长，建立职业荣誉制度，增强职工凝聚力，建设职工满意医院。</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37" w:name="_Toc7008"/>
      <w:bookmarkStart w:id="38" w:name="_Toc31693"/>
      <w:bookmarkStart w:id="39" w:name="_Toc24284"/>
      <w:r>
        <w:rPr>
          <w:rFonts w:hint="eastAsia"/>
          <w:lang w:val="en-US" w:eastAsia="zh-CN"/>
        </w:rPr>
        <w:t>加快智慧医院建设</w:t>
      </w:r>
      <w:bookmarkEnd w:id="37"/>
      <w:bookmarkEnd w:id="38"/>
      <w:bookmarkEnd w:id="39"/>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电子病历、大数据中心建设为抓手，加快建设智慧医疗、智慧服务、智慧管理“三位一体”的智慧医院信息系统，不断推动云计算、大数据、物联网、移动互联网和人工智能等新一代信息技术在医院的融合发展，构建就医诊疗与健康管理新模式。</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40" w:name="_Toc26760"/>
      <w:bookmarkStart w:id="41" w:name="_Toc27955"/>
      <w:bookmarkStart w:id="42" w:name="_Toc2693"/>
      <w:r>
        <w:rPr>
          <w:rFonts w:hint="eastAsia"/>
          <w:lang w:val="en-US" w:eastAsia="zh-CN"/>
        </w:rPr>
        <w:t>项目建设工作</w:t>
      </w:r>
      <w:bookmarkEnd w:id="40"/>
      <w:bookmarkEnd w:id="41"/>
      <w:bookmarkEnd w:id="42"/>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是2022年初确保住院综合楼各楼层科室能顺利搬迁并启用。二是力争完成普安院区门诊楼的升级改造项目。三是2022年底下寺院区公共卫生救治能力提升项目将顺利完工并争取投入使用。四是加快下寺院区门诊住院综合楼建设项目的推进力度。</w:t>
      </w:r>
    </w:p>
    <w:p>
      <w:pPr>
        <w:pStyle w:val="5"/>
        <w:numPr>
          <w:ilvl w:val="0"/>
          <w:numId w:val="3"/>
        </w:numPr>
        <w:bidi w:val="0"/>
        <w:spacing w:before="0" w:beforeAutospacing="0" w:after="0" w:afterAutospacing="0"/>
        <w:ind w:left="0" w:leftChars="0" w:firstLine="626" w:firstLineChars="0"/>
        <w:rPr>
          <w:rFonts w:hint="eastAsia"/>
          <w:lang w:val="en-US" w:eastAsia="zh-CN"/>
        </w:rPr>
      </w:pPr>
      <w:bookmarkStart w:id="43" w:name="_Toc20911"/>
      <w:bookmarkStart w:id="44" w:name="_Toc19646"/>
      <w:bookmarkStart w:id="45" w:name="_Toc7718"/>
      <w:r>
        <w:rPr>
          <w:rFonts w:hint="eastAsia"/>
          <w:lang w:val="en-US" w:eastAsia="zh-CN"/>
        </w:rPr>
        <w:t>公益性工作</w:t>
      </w:r>
      <w:bookmarkEnd w:id="43"/>
      <w:bookmarkEnd w:id="44"/>
      <w:bookmarkEnd w:id="45"/>
    </w:p>
    <w:p>
      <w:pPr>
        <w:pStyle w:val="17"/>
        <w:widowControl/>
        <w:shd w:val="clear" w:color="auto" w:fill="FFFFFF"/>
        <w:spacing w:before="0" w:beforeAutospacing="0" w:after="0" w:afterAutospacing="0" w:line="585" w:lineRule="atLeas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一是要加强急诊急救体系建设。二是开展好乡村振兴和对口 帮扶工作。</w:t>
      </w:r>
    </w:p>
    <w:p>
      <w:pPr>
        <w:pStyle w:val="17"/>
        <w:widowControl/>
        <w:shd w:val="clear" w:color="auto" w:fill="FFFFFF"/>
        <w:spacing w:before="0" w:beforeAutospacing="0" w:after="0" w:afterAutospacing="0" w:line="585" w:lineRule="atLeast"/>
        <w:ind w:firstLine="645"/>
      </w:pPr>
    </w:p>
    <w:p>
      <w:pPr>
        <w:pStyle w:val="4"/>
        <w:numPr>
          <w:ilvl w:val="0"/>
          <w:numId w:val="1"/>
        </w:numPr>
        <w:spacing w:before="0" w:beforeAutospacing="0" w:after="0" w:afterAutospacing="0"/>
        <w:ind w:left="0" w:leftChars="0" w:firstLine="0" w:firstLineChars="0"/>
        <w:outlineLvl w:val="1"/>
        <w:rPr>
          <w:rFonts w:hint="eastAsia" w:ascii="黑体" w:hAnsi="黑体" w:eastAsia="黑体"/>
          <w:b w:val="0"/>
        </w:rPr>
      </w:pPr>
      <w:bookmarkStart w:id="46" w:name="_Toc16906"/>
      <w:r>
        <w:rPr>
          <w:rFonts w:hint="eastAsia" w:ascii="黑体" w:hAnsi="黑体" w:eastAsia="黑体"/>
          <w:b w:val="0"/>
        </w:rPr>
        <w:t>机构设置</w:t>
      </w:r>
      <w:bookmarkEnd w:id="46"/>
    </w:p>
    <w:p>
      <w:pPr>
        <w:pStyle w:val="17"/>
        <w:widowControl/>
        <w:shd w:val="clear" w:color="auto" w:fill="FFFFFF"/>
        <w:spacing w:before="0" w:beforeAutospacing="0" w:after="0" w:afterAutospacing="0" w:line="585" w:lineRule="atLeast"/>
        <w:ind w:firstLine="640" w:firstLineChars="200"/>
      </w:pPr>
      <w:r>
        <w:rPr>
          <w:rFonts w:hint="eastAsia" w:ascii="仿宋_GB2312" w:hAnsi="仿宋_GB2312" w:eastAsia="仿宋_GB2312" w:cs="仿宋_GB2312"/>
          <w:b w:val="0"/>
          <w:bCs/>
          <w:kern w:val="2"/>
          <w:sz w:val="32"/>
          <w:szCs w:val="32"/>
          <w:lang w:val="en-US" w:eastAsia="zh-CN" w:bidi="ar-SA"/>
        </w:rPr>
        <w:t>剑阁县人民医院无下属二级单位，无纳入2022年度部门决算编制范围的二级单位。</w:t>
      </w:r>
    </w:p>
    <w:bookmarkEnd w:id="18"/>
    <w:bookmarkEnd w:id="19"/>
    <w:p>
      <w:pPr>
        <w:pStyle w:val="3"/>
        <w:spacing w:after="0" w:afterAutospacing="0"/>
        <w:jc w:val="center"/>
        <w:outlineLvl w:val="0"/>
      </w:pPr>
      <w:bookmarkStart w:id="47" w:name="_Toc8082"/>
      <w:bookmarkStart w:id="48" w:name="_Toc15377204"/>
      <w:bookmarkStart w:id="49" w:name="_Toc15396602"/>
      <w:r>
        <w:rPr>
          <w:rFonts w:hint="eastAsia" w:ascii="黑体" w:hAnsi="黑体" w:eastAsia="黑体"/>
          <w:b w:val="0"/>
        </w:rPr>
        <w:t>第二部分 2022年度单位决算情况说明</w:t>
      </w:r>
      <w:bookmarkEnd w:id="47"/>
      <w:bookmarkEnd w:id="48"/>
      <w:bookmarkEnd w:id="49"/>
    </w:p>
    <w:p>
      <w:pPr>
        <w:pStyle w:val="32"/>
        <w:numPr>
          <w:ilvl w:val="0"/>
          <w:numId w:val="4"/>
        </w:numPr>
        <w:spacing w:beforeAutospacing="0" w:line="600" w:lineRule="exact"/>
        <w:ind w:left="720" w:leftChars="0" w:hanging="720" w:firstLineChars="0"/>
        <w:outlineLvl w:val="1"/>
        <w:rPr>
          <w:rStyle w:val="34"/>
          <w:rFonts w:ascii="黑体" w:hAnsi="黑体" w:eastAsia="黑体"/>
          <w:b w:val="0"/>
        </w:rPr>
      </w:pPr>
      <w:bookmarkStart w:id="50" w:name="_Toc9489"/>
      <w:bookmarkStart w:id="51" w:name="_Toc15396603"/>
      <w:bookmarkStart w:id="52" w:name="_Toc15377205"/>
      <w:r>
        <w:rPr>
          <w:rFonts w:hint="eastAsia" w:ascii="黑体" w:hAnsi="黑体" w:eastAsia="黑体"/>
          <w:sz w:val="32"/>
          <w:szCs w:val="32"/>
        </w:rPr>
        <w:t>收</w:t>
      </w:r>
      <w:r>
        <w:rPr>
          <w:rStyle w:val="34"/>
          <w:rFonts w:hint="eastAsia" w:ascii="黑体" w:hAnsi="黑体" w:eastAsia="黑体"/>
          <w:b w:val="0"/>
        </w:rPr>
        <w:t>入支出决算总体情况说明</w:t>
      </w:r>
      <w:bookmarkEnd w:id="50"/>
      <w:bookmarkEnd w:id="51"/>
      <w:bookmarkEnd w:id="52"/>
    </w:p>
    <w:p>
      <w:pPr>
        <w:spacing w:line="600" w:lineRule="exact"/>
        <w:ind w:firstLine="640" w:firstLineChars="200"/>
        <w:rPr>
          <w:rFonts w:ascii="仿宋_GB2312" w:eastAsia="仿宋_GB2312"/>
          <w:sz w:val="32"/>
          <w:szCs w:val="32"/>
        </w:rPr>
      </w:pPr>
      <w:r>
        <w:rPr>
          <w:rFonts w:hint="eastAsia" w:ascii="仿宋" w:hAnsi="仿宋" w:eastAsia="仿宋"/>
          <w:sz w:val="32"/>
          <w:szCs w:val="32"/>
        </w:rPr>
        <w:t>2022年度收</w:t>
      </w:r>
      <w:r>
        <w:rPr>
          <w:rFonts w:hint="eastAsia" w:ascii="仿宋" w:hAnsi="仿宋" w:eastAsia="仿宋"/>
          <w:sz w:val="32"/>
          <w:szCs w:val="32"/>
          <w:lang w:eastAsia="zh-CN"/>
        </w:rPr>
        <w:t>入总计</w:t>
      </w:r>
      <w:r>
        <w:rPr>
          <w:rFonts w:hint="eastAsia" w:ascii="仿宋" w:hAnsi="仿宋" w:eastAsia="仿宋"/>
          <w:sz w:val="32"/>
          <w:szCs w:val="32"/>
          <w:lang w:val="en-US" w:eastAsia="zh-CN"/>
        </w:rPr>
        <w:t>25545.77万元</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val="en-US" w:eastAsia="zh-CN"/>
        </w:rPr>
        <w:t>25537.32</w:t>
      </w:r>
      <w:r>
        <w:rPr>
          <w:rFonts w:hint="eastAsia" w:ascii="仿宋" w:hAnsi="仿宋" w:eastAsia="仿宋"/>
          <w:sz w:val="32"/>
          <w:szCs w:val="32"/>
        </w:rPr>
        <w:t>万元。</w:t>
      </w:r>
      <w:r>
        <w:rPr>
          <w:rFonts w:hint="eastAsia" w:ascii="仿宋" w:hAnsi="仿宋" w:eastAsia="仿宋"/>
          <w:sz w:val="32"/>
          <w:szCs w:val="32"/>
          <w:lang w:val="en-US" w:eastAsia="zh-CN"/>
        </w:rPr>
        <w:t>2021年本单位未单独填报决算，由系统统一填报部门决算，故无法对比。</w:t>
      </w:r>
    </w:p>
    <w:p>
      <w:pPr>
        <w:pStyle w:val="32"/>
        <w:numPr>
          <w:ilvl w:val="0"/>
          <w:numId w:val="4"/>
        </w:numPr>
        <w:spacing w:line="600" w:lineRule="exact"/>
        <w:ind w:left="720" w:leftChars="0" w:hanging="720" w:firstLineChars="0"/>
        <w:outlineLvl w:val="1"/>
        <w:rPr>
          <w:rStyle w:val="34"/>
          <w:rFonts w:ascii="黑体" w:hAnsi="黑体" w:eastAsia="黑体"/>
          <w:b w:val="0"/>
        </w:rPr>
      </w:pPr>
      <w:bookmarkStart w:id="53" w:name="_Toc15377206"/>
      <w:bookmarkStart w:id="54" w:name="_Toc3388"/>
      <w:bookmarkStart w:id="55" w:name="_Toc15396604"/>
      <w:r>
        <w:rPr>
          <w:rFonts w:hint="eastAsia" w:ascii="黑体" w:hAnsi="黑体" w:eastAsia="黑体"/>
          <w:sz w:val="32"/>
          <w:szCs w:val="32"/>
        </w:rPr>
        <w:t>收</w:t>
      </w:r>
      <w:r>
        <w:rPr>
          <w:rStyle w:val="34"/>
          <w:rFonts w:hint="eastAsia" w:ascii="黑体" w:hAnsi="黑体" w:eastAsia="黑体"/>
          <w:b w:val="0"/>
        </w:rPr>
        <w:t>入决算情况说明</w:t>
      </w:r>
      <w:bookmarkEnd w:id="53"/>
      <w:bookmarkEnd w:id="54"/>
      <w:bookmarkEnd w:id="55"/>
    </w:p>
    <w:p>
      <w:pPr>
        <w:spacing w:line="600" w:lineRule="exact"/>
        <w:ind w:firstLine="640" w:firstLineChars="200"/>
        <w:outlineLvl w:val="1"/>
        <w:rPr>
          <w:rFonts w:hint="eastAsia" w:ascii="仿宋" w:hAnsi="仿宋" w:eastAsia="仿宋"/>
          <w:sz w:val="32"/>
          <w:szCs w:val="32"/>
          <w:lang w:eastAsia="zh-CN"/>
        </w:rPr>
      </w:pPr>
      <w:bookmarkStart w:id="56" w:name="_Toc12787"/>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25545.77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433.97</w:t>
      </w:r>
      <w:r>
        <w:rPr>
          <w:rFonts w:hint="eastAsia" w:ascii="仿宋" w:hAnsi="仿宋" w:eastAsia="仿宋"/>
          <w:sz w:val="32"/>
          <w:szCs w:val="32"/>
        </w:rPr>
        <w:t>万元，占</w:t>
      </w:r>
      <w:r>
        <w:rPr>
          <w:rFonts w:hint="eastAsia" w:ascii="仿宋" w:hAnsi="仿宋" w:eastAsia="仿宋"/>
          <w:sz w:val="32"/>
          <w:szCs w:val="32"/>
          <w:lang w:val="en-US" w:eastAsia="zh-CN"/>
        </w:rPr>
        <w:t>1.7</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3000</w:t>
      </w:r>
      <w:r>
        <w:rPr>
          <w:rFonts w:hint="eastAsia" w:ascii="仿宋" w:hAnsi="仿宋" w:eastAsia="仿宋"/>
          <w:sz w:val="32"/>
          <w:szCs w:val="32"/>
        </w:rPr>
        <w:t>万元，占</w:t>
      </w:r>
      <w:r>
        <w:rPr>
          <w:rFonts w:hint="eastAsia" w:ascii="仿宋" w:hAnsi="仿宋" w:eastAsia="仿宋"/>
          <w:sz w:val="32"/>
          <w:szCs w:val="32"/>
          <w:lang w:val="en-US" w:eastAsia="zh-CN"/>
        </w:rPr>
        <w:t>11.74</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21882.65</w:t>
      </w:r>
      <w:r>
        <w:rPr>
          <w:rFonts w:hint="eastAsia" w:ascii="仿宋" w:hAnsi="仿宋" w:eastAsia="仿宋"/>
          <w:sz w:val="32"/>
          <w:szCs w:val="32"/>
        </w:rPr>
        <w:t>万元，占</w:t>
      </w:r>
      <w:r>
        <w:rPr>
          <w:rFonts w:hint="eastAsia" w:ascii="仿宋" w:hAnsi="仿宋" w:eastAsia="仿宋"/>
          <w:sz w:val="32"/>
          <w:szCs w:val="32"/>
          <w:lang w:val="en-US" w:eastAsia="zh-CN"/>
        </w:rPr>
        <w:t>85.66</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229.15</w:t>
      </w:r>
      <w:r>
        <w:rPr>
          <w:rFonts w:hint="eastAsia" w:ascii="仿宋" w:hAnsi="仿宋" w:eastAsia="仿宋"/>
          <w:sz w:val="32"/>
          <w:szCs w:val="32"/>
        </w:rPr>
        <w:t>万元，占</w:t>
      </w:r>
      <w:r>
        <w:rPr>
          <w:rFonts w:hint="eastAsia" w:ascii="仿宋" w:hAnsi="仿宋" w:eastAsia="仿宋"/>
          <w:sz w:val="32"/>
          <w:szCs w:val="32"/>
          <w:lang w:val="en-US" w:eastAsia="zh-CN"/>
        </w:rPr>
        <w:t>0.90</w:t>
      </w:r>
      <w:r>
        <w:rPr>
          <w:rFonts w:ascii="仿宋" w:hAnsi="仿宋" w:eastAsia="仿宋"/>
          <w:sz w:val="32"/>
          <w:szCs w:val="32"/>
        </w:rPr>
        <w:t>%</w:t>
      </w:r>
      <w:r>
        <w:rPr>
          <w:rFonts w:hint="eastAsia" w:ascii="仿宋" w:hAnsi="仿宋" w:eastAsia="仿宋"/>
          <w:sz w:val="32"/>
          <w:szCs w:val="32"/>
          <w:lang w:eastAsia="zh-CN"/>
        </w:rPr>
        <w:t>。</w:t>
      </w:r>
      <w:bookmarkEnd w:id="56"/>
    </w:p>
    <w:p>
      <w:pPr>
        <w:pStyle w:val="19"/>
        <w:rPr>
          <w:rFonts w:hint="eastAsia" w:ascii="仿宋" w:hAnsi="仿宋" w:eastAsia="仿宋"/>
          <w:sz w:val="32"/>
          <w:szCs w:val="32"/>
          <w:lang w:eastAsia="zh-CN"/>
        </w:rPr>
      </w:pPr>
    </w:p>
    <w:p>
      <w:pPr>
        <w:pStyle w:val="18"/>
        <w:spacing w:beforeLines="0"/>
        <w:ind w:right="1155" w:rightChars="550" w:firstLine="0" w:firstLineChars="0"/>
      </w:pPr>
      <w:r>
        <w:drawing>
          <wp:inline distT="0" distB="0" distL="114300" distR="114300">
            <wp:extent cx="4572000" cy="2962275"/>
            <wp:effectExtent l="4445" t="4445" r="14605" b="508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32"/>
        <w:numPr>
          <w:ilvl w:val="0"/>
          <w:numId w:val="4"/>
        </w:numPr>
        <w:spacing w:line="600" w:lineRule="exact"/>
        <w:ind w:left="720" w:leftChars="0" w:hanging="720" w:firstLineChars="0"/>
        <w:outlineLvl w:val="1"/>
        <w:rPr>
          <w:rStyle w:val="34"/>
          <w:rFonts w:ascii="黑体" w:hAnsi="黑体" w:eastAsia="黑体"/>
          <w:b w:val="0"/>
        </w:rPr>
      </w:pPr>
      <w:bookmarkStart w:id="57" w:name="_Toc5782"/>
      <w:bookmarkStart w:id="58" w:name="_Toc15377207"/>
      <w:bookmarkStart w:id="59" w:name="_Toc15396605"/>
      <w:r>
        <w:rPr>
          <w:rFonts w:hint="eastAsia" w:ascii="黑体" w:hAnsi="黑体" w:eastAsia="黑体"/>
          <w:sz w:val="32"/>
          <w:szCs w:val="32"/>
        </w:rPr>
        <w:t>支</w:t>
      </w:r>
      <w:r>
        <w:rPr>
          <w:rStyle w:val="34"/>
          <w:rFonts w:hint="eastAsia" w:ascii="黑体" w:hAnsi="黑体" w:eastAsia="黑体"/>
          <w:b w:val="0"/>
        </w:rPr>
        <w:t>出决算情况说明</w:t>
      </w:r>
      <w:bookmarkEnd w:id="57"/>
      <w:bookmarkEnd w:id="58"/>
      <w:bookmarkEnd w:id="59"/>
    </w:p>
    <w:p>
      <w:pPr>
        <w:spacing w:afterAutospacing="0" w:line="600" w:lineRule="exact"/>
        <w:ind w:firstLine="640" w:firstLineChars="200"/>
        <w:outlineLvl w:val="1"/>
        <w:rPr>
          <w:rFonts w:hint="eastAsia" w:ascii="仿宋" w:hAnsi="仿宋" w:eastAsia="仿宋"/>
          <w:sz w:val="32"/>
          <w:szCs w:val="32"/>
          <w:lang w:eastAsia="zh-CN"/>
        </w:rPr>
      </w:pPr>
      <w:bookmarkStart w:id="60" w:name="_Toc28934"/>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25537.32</w:t>
      </w:r>
      <w:r>
        <w:rPr>
          <w:rFonts w:hint="eastAsia" w:ascii="仿宋" w:hAnsi="仿宋" w:eastAsia="仿宋"/>
          <w:sz w:val="32"/>
          <w:szCs w:val="32"/>
        </w:rPr>
        <w:t>万元，其中：基本支出</w:t>
      </w:r>
      <w:r>
        <w:rPr>
          <w:rFonts w:hint="eastAsia" w:ascii="仿宋" w:hAnsi="仿宋" w:eastAsia="仿宋"/>
          <w:sz w:val="32"/>
          <w:szCs w:val="32"/>
          <w:lang w:val="en-US" w:eastAsia="zh-CN"/>
        </w:rPr>
        <w:t>21389.78</w:t>
      </w:r>
      <w:r>
        <w:rPr>
          <w:rFonts w:hint="eastAsia" w:ascii="仿宋" w:hAnsi="仿宋" w:eastAsia="仿宋"/>
          <w:sz w:val="32"/>
          <w:szCs w:val="32"/>
        </w:rPr>
        <w:t>万元，占</w:t>
      </w:r>
      <w:r>
        <w:rPr>
          <w:rFonts w:hint="eastAsia" w:ascii="仿宋" w:hAnsi="仿宋" w:eastAsia="仿宋"/>
          <w:sz w:val="32"/>
          <w:szCs w:val="32"/>
          <w:lang w:val="en-US" w:eastAsia="zh-CN"/>
        </w:rPr>
        <w:t>83.76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4147.54</w:t>
      </w:r>
      <w:r>
        <w:rPr>
          <w:rFonts w:hint="eastAsia" w:ascii="仿宋" w:hAnsi="仿宋" w:eastAsia="仿宋"/>
          <w:sz w:val="32"/>
          <w:szCs w:val="32"/>
        </w:rPr>
        <w:t>万元，占</w:t>
      </w:r>
      <w:r>
        <w:rPr>
          <w:rFonts w:hint="eastAsia" w:ascii="仿宋" w:hAnsi="仿宋" w:eastAsia="仿宋"/>
          <w:sz w:val="32"/>
          <w:szCs w:val="32"/>
          <w:lang w:val="en-US" w:eastAsia="zh-CN"/>
        </w:rPr>
        <w:t>16.24</w:t>
      </w:r>
      <w:r>
        <w:rPr>
          <w:rFonts w:ascii="仿宋" w:hAnsi="仿宋" w:eastAsia="仿宋"/>
          <w:sz w:val="32"/>
          <w:szCs w:val="32"/>
        </w:rPr>
        <w:t>%</w:t>
      </w:r>
      <w:r>
        <w:rPr>
          <w:rFonts w:hint="eastAsia" w:ascii="仿宋" w:hAnsi="仿宋" w:eastAsia="仿宋"/>
          <w:sz w:val="32"/>
          <w:szCs w:val="32"/>
          <w:lang w:eastAsia="zh-CN"/>
        </w:rPr>
        <w:t>。</w:t>
      </w:r>
      <w:bookmarkEnd w:id="60"/>
    </w:p>
    <w:p>
      <w:pPr>
        <w:pStyle w:val="18"/>
        <w:spacing w:beforeLines="0" w:beforeAutospacing="0"/>
        <w:ind w:left="0" w:leftChars="0" w:firstLine="0" w:firstLineChars="0"/>
        <w:rPr>
          <w:rFonts w:hint="eastAsia"/>
          <w:lang w:eastAsia="zh-CN"/>
        </w:rPr>
      </w:pPr>
    </w:p>
    <w:p>
      <w:pPr>
        <w:pStyle w:val="19"/>
        <w:spacing w:afterLines="0" w:afterAutospacing="0"/>
        <w:ind w:left="210" w:leftChars="100" w:right="945" w:rightChars="450" w:firstLine="0" w:firstLineChars="0"/>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8"/>
        <w:spacing w:beforeLines="0" w:beforeAutospacing="0"/>
      </w:pPr>
    </w:p>
    <w:p>
      <w:pPr>
        <w:spacing w:line="600" w:lineRule="exact"/>
        <w:ind w:left="0" w:leftChars="0" w:firstLine="0" w:firstLineChars="0"/>
        <w:outlineLvl w:val="1"/>
        <w:rPr>
          <w:rStyle w:val="34"/>
          <w:rFonts w:ascii="黑体" w:hAnsi="黑体" w:eastAsia="黑体"/>
          <w:b w:val="0"/>
        </w:rPr>
      </w:pPr>
      <w:bookmarkStart w:id="61" w:name="_Toc15377208"/>
      <w:bookmarkStart w:id="62" w:name="_Toc1698"/>
      <w:bookmarkStart w:id="63" w:name="_Toc15396606"/>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61"/>
      <w:bookmarkEnd w:id="62"/>
      <w:bookmarkEnd w:id="6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w:t>
      </w:r>
      <w:r>
        <w:rPr>
          <w:rFonts w:hint="eastAsia" w:ascii="仿宋" w:hAnsi="仿宋" w:eastAsia="仿宋"/>
          <w:sz w:val="32"/>
          <w:szCs w:val="32"/>
          <w:lang w:eastAsia="zh-CN"/>
        </w:rPr>
        <w:t>入总计</w:t>
      </w:r>
      <w:r>
        <w:rPr>
          <w:rFonts w:hint="eastAsia" w:ascii="仿宋" w:hAnsi="仿宋" w:eastAsia="仿宋"/>
          <w:sz w:val="32"/>
          <w:szCs w:val="32"/>
          <w:lang w:val="en-US" w:eastAsia="zh-CN"/>
        </w:rPr>
        <w:t>3433.97万元</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val="en-US" w:eastAsia="zh-CN"/>
        </w:rPr>
        <w:t>3433.97</w:t>
      </w:r>
      <w:r>
        <w:rPr>
          <w:rFonts w:hint="eastAsia" w:ascii="仿宋" w:hAnsi="仿宋" w:eastAsia="仿宋"/>
          <w:sz w:val="32"/>
          <w:szCs w:val="32"/>
        </w:rPr>
        <w:t>万元。</w:t>
      </w:r>
      <w:r>
        <w:rPr>
          <w:rFonts w:hint="eastAsia" w:ascii="仿宋" w:hAnsi="仿宋" w:eastAsia="仿宋"/>
          <w:sz w:val="32"/>
          <w:szCs w:val="32"/>
          <w:lang w:val="en-US" w:eastAsia="zh-CN"/>
        </w:rPr>
        <w:t>2021年本单位未单独填报决算，由系统统一填报部门决算，故无法对比。</w:t>
      </w:r>
      <w:r>
        <w:rPr>
          <w:rFonts w:hint="eastAsia"/>
          <w:lang w:val="en-US" w:eastAsia="zh-CN"/>
        </w:rPr>
        <w:t xml:space="preserve">      </w:t>
      </w:r>
    </w:p>
    <w:p>
      <w:pPr>
        <w:spacing w:line="600" w:lineRule="exact"/>
        <w:ind w:left="0" w:leftChars="0" w:firstLine="0" w:firstLineChars="0"/>
        <w:outlineLvl w:val="1"/>
        <w:rPr>
          <w:rStyle w:val="34"/>
          <w:rFonts w:ascii="黑体" w:hAnsi="黑体" w:eastAsia="黑体"/>
          <w:b w:val="0"/>
        </w:rPr>
      </w:pPr>
      <w:bookmarkStart w:id="64" w:name="_Toc23865"/>
      <w:bookmarkStart w:id="65" w:name="_Toc15396607"/>
      <w:bookmarkStart w:id="66" w:name="_Toc15377209"/>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64"/>
      <w:bookmarkEnd w:id="65"/>
      <w:bookmarkEnd w:id="66"/>
    </w:p>
    <w:p>
      <w:pPr>
        <w:spacing w:line="600" w:lineRule="exact"/>
        <w:ind w:left="0" w:leftChars="0" w:firstLine="0" w:firstLineChars="0"/>
        <w:outlineLvl w:val="2"/>
        <w:rPr>
          <w:rFonts w:ascii="仿宋" w:hAnsi="仿宋" w:eastAsia="仿宋"/>
          <w:b/>
          <w:sz w:val="32"/>
          <w:szCs w:val="32"/>
        </w:rPr>
      </w:pPr>
      <w:bookmarkStart w:id="67" w:name="_Toc15377210"/>
      <w:bookmarkStart w:id="68" w:name="_Toc16541"/>
      <w:r>
        <w:rPr>
          <w:rFonts w:hint="eastAsia" w:ascii="仿宋" w:hAnsi="仿宋" w:eastAsia="仿宋"/>
          <w:b/>
          <w:sz w:val="32"/>
          <w:szCs w:val="32"/>
        </w:rPr>
        <w:t>（一）一般公共预算财政拨款支出决算总体情况</w:t>
      </w:r>
      <w:bookmarkEnd w:id="67"/>
      <w:bookmarkEnd w:id="68"/>
    </w:p>
    <w:p>
      <w:pPr>
        <w:spacing w:line="600" w:lineRule="exact"/>
        <w:ind w:firstLine="640" w:firstLineChars="200"/>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433.97</w:t>
      </w:r>
      <w:r>
        <w:rPr>
          <w:rFonts w:hint="eastAsia" w:ascii="仿宋" w:hAnsi="仿宋" w:eastAsia="仿宋"/>
          <w:sz w:val="32"/>
          <w:szCs w:val="32"/>
        </w:rPr>
        <w:t>万元，占本年支出合计的</w:t>
      </w:r>
      <w:r>
        <w:rPr>
          <w:rFonts w:hint="eastAsia" w:ascii="仿宋" w:hAnsi="仿宋" w:eastAsia="仿宋"/>
          <w:sz w:val="32"/>
          <w:szCs w:val="32"/>
          <w:lang w:val="en-US" w:eastAsia="zh-CN"/>
        </w:rPr>
        <w:t>1.70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2021年本单位未单独填报决算，由系统统一填报部门决算，故无法对比。</w:t>
      </w:r>
    </w:p>
    <w:p>
      <w:pPr>
        <w:spacing w:line="600" w:lineRule="exact"/>
        <w:ind w:left="0" w:leftChars="0" w:firstLine="0" w:firstLineChars="0"/>
        <w:outlineLvl w:val="2"/>
        <w:rPr>
          <w:rFonts w:ascii="仿宋" w:hAnsi="仿宋" w:eastAsia="仿宋"/>
          <w:b/>
          <w:sz w:val="32"/>
          <w:szCs w:val="32"/>
        </w:rPr>
      </w:pPr>
      <w:bookmarkStart w:id="69" w:name="_Toc15377211"/>
      <w:bookmarkStart w:id="70" w:name="_Toc6308"/>
      <w:r>
        <w:rPr>
          <w:rFonts w:hint="eastAsia" w:ascii="仿宋" w:hAnsi="仿宋" w:eastAsia="仿宋"/>
          <w:b/>
          <w:sz w:val="32"/>
          <w:szCs w:val="32"/>
        </w:rPr>
        <w:t>（二）一般公共预算财政拨款支出决算结构情况</w:t>
      </w:r>
      <w:bookmarkEnd w:id="69"/>
      <w:bookmarkEnd w:id="70"/>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433.97</w:t>
      </w:r>
      <w:r>
        <w:rPr>
          <w:rFonts w:hint="eastAsia" w:ascii="仿宋" w:hAnsi="仿宋" w:eastAsia="仿宋"/>
          <w:sz w:val="32"/>
          <w:szCs w:val="32"/>
        </w:rPr>
        <w:t>万元，主要用于</w:t>
      </w:r>
      <w:r>
        <w:rPr>
          <w:rFonts w:hint="eastAsia" w:ascii="仿宋" w:hAnsi="仿宋" w:eastAsia="仿宋"/>
          <w:b/>
          <w:bCs/>
          <w:sz w:val="32"/>
          <w:szCs w:val="32"/>
        </w:rPr>
        <w:t>卫生健康支出</w:t>
      </w:r>
      <w:r>
        <w:rPr>
          <w:rFonts w:hint="eastAsia" w:ascii="仿宋" w:hAnsi="仿宋" w:eastAsia="仿宋"/>
          <w:sz w:val="32"/>
          <w:szCs w:val="32"/>
          <w:lang w:val="en-US" w:eastAsia="zh-CN"/>
        </w:rPr>
        <w:t>433.97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19"/>
        <w:ind w:left="420" w:leftChars="200" w:firstLine="0" w:firstLineChars="0"/>
        <w:rPr>
          <w:rFonts w:ascii="仿宋" w:hAnsi="仿宋" w:eastAsia="仿宋"/>
          <w:sz w:val="32"/>
          <w:szCs w:val="32"/>
        </w:rPr>
      </w:pPr>
      <w:r>
        <w:drawing>
          <wp:inline distT="0" distB="0" distL="114300" distR="114300">
            <wp:extent cx="5152390" cy="2724150"/>
            <wp:effectExtent l="4445" t="4445" r="571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left="0" w:leftChars="0" w:firstLine="0" w:firstLineChars="0"/>
        <w:outlineLvl w:val="2"/>
        <w:rPr>
          <w:rFonts w:ascii="仿宋" w:hAnsi="仿宋" w:eastAsia="仿宋"/>
          <w:b/>
          <w:sz w:val="32"/>
          <w:szCs w:val="32"/>
        </w:rPr>
      </w:pPr>
      <w:bookmarkStart w:id="71" w:name="_Toc15377212"/>
      <w:bookmarkStart w:id="72" w:name="_Toc8939"/>
      <w:r>
        <w:rPr>
          <w:rFonts w:hint="eastAsia" w:ascii="仿宋" w:hAnsi="仿宋" w:eastAsia="仿宋"/>
          <w:b/>
          <w:sz w:val="32"/>
          <w:szCs w:val="32"/>
        </w:rPr>
        <w:t>（三）一般公共预算财政拨款支出决算具体情况</w:t>
      </w:r>
      <w:bookmarkEnd w:id="71"/>
      <w:bookmarkEnd w:id="72"/>
    </w:p>
    <w:p>
      <w:pPr>
        <w:spacing w:line="600" w:lineRule="exact"/>
        <w:ind w:firstLine="643" w:firstLineChars="200"/>
        <w:outlineLvl w:val="2"/>
        <w:rPr>
          <w:rFonts w:ascii="仿宋" w:hAnsi="仿宋" w:eastAsia="仿宋"/>
          <w:sz w:val="32"/>
          <w:szCs w:val="32"/>
        </w:rPr>
      </w:pPr>
      <w:bookmarkStart w:id="73" w:name="_Toc15378460"/>
      <w:bookmarkStart w:id="74" w:name="_Toc15377444"/>
      <w:bookmarkStart w:id="75" w:name="_Toc16948"/>
      <w:bookmarkStart w:id="76"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433.97万元</w:t>
      </w:r>
      <w:r>
        <w:rPr>
          <w:rFonts w:hint="eastAsia" w:ascii="仿宋" w:hAnsi="仿宋" w:eastAsia="仿宋"/>
          <w:sz w:val="32"/>
          <w:szCs w:val="32"/>
        </w:rPr>
        <w:t>，</w:t>
      </w:r>
      <w:r>
        <w:rPr>
          <w:rStyle w:val="22"/>
          <w:rFonts w:hint="eastAsia" w:ascii="仿宋" w:hAnsi="仿宋" w:eastAsia="仿宋"/>
          <w:bCs/>
          <w:sz w:val="32"/>
          <w:szCs w:val="32"/>
        </w:rPr>
        <w:t>完成预算</w:t>
      </w:r>
      <w:r>
        <w:rPr>
          <w:rStyle w:val="22"/>
          <w:rFonts w:hint="eastAsia" w:ascii="仿宋" w:hAnsi="仿宋" w:eastAsia="仿宋"/>
          <w:bCs/>
          <w:sz w:val="32"/>
          <w:szCs w:val="32"/>
          <w:lang w:val="en-US" w:eastAsia="zh-CN"/>
        </w:rPr>
        <w:t>100</w:t>
      </w:r>
      <w:r>
        <w:rPr>
          <w:rStyle w:val="22"/>
          <w:rFonts w:ascii="仿宋" w:hAnsi="仿宋" w:eastAsia="仿宋"/>
          <w:bCs/>
          <w:sz w:val="32"/>
          <w:szCs w:val="32"/>
        </w:rPr>
        <w:t>%</w:t>
      </w:r>
      <w:r>
        <w:rPr>
          <w:rStyle w:val="22"/>
          <w:rFonts w:hint="eastAsia" w:ascii="仿宋" w:hAnsi="仿宋" w:eastAsia="仿宋"/>
          <w:bCs/>
          <w:sz w:val="32"/>
          <w:szCs w:val="32"/>
        </w:rPr>
        <w:t>。其中：</w:t>
      </w:r>
      <w:bookmarkEnd w:id="73"/>
      <w:bookmarkEnd w:id="74"/>
      <w:bookmarkEnd w:id="75"/>
      <w:bookmarkEnd w:id="76"/>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highlight w:val="none"/>
        </w:rPr>
        <w:t>卫生健康</w:t>
      </w:r>
      <w:r>
        <w:rPr>
          <w:rStyle w:val="22"/>
          <w:rFonts w:hint="eastAsia" w:ascii="仿宋" w:hAnsi="仿宋" w:eastAsia="仿宋"/>
          <w:bCs/>
          <w:sz w:val="32"/>
          <w:szCs w:val="32"/>
          <w:highlight w:val="none"/>
        </w:rPr>
        <w:t>（类）</w:t>
      </w:r>
      <w:r>
        <w:rPr>
          <w:rStyle w:val="22"/>
          <w:rFonts w:hint="eastAsia" w:ascii="仿宋" w:hAnsi="仿宋" w:eastAsia="仿宋"/>
          <w:bCs/>
          <w:sz w:val="32"/>
          <w:szCs w:val="32"/>
          <w:highlight w:val="none"/>
          <w:lang w:eastAsia="zh-CN"/>
        </w:rPr>
        <w:t>公立医院</w:t>
      </w:r>
      <w:r>
        <w:rPr>
          <w:rStyle w:val="22"/>
          <w:rFonts w:hint="eastAsia" w:ascii="仿宋" w:hAnsi="仿宋" w:eastAsia="仿宋"/>
          <w:bCs/>
          <w:sz w:val="32"/>
          <w:szCs w:val="32"/>
          <w:highlight w:val="none"/>
        </w:rPr>
        <w:t>（款）</w:t>
      </w:r>
      <w:r>
        <w:rPr>
          <w:rStyle w:val="22"/>
          <w:rFonts w:hint="eastAsia" w:ascii="仿宋" w:hAnsi="仿宋" w:eastAsia="仿宋"/>
          <w:bCs/>
          <w:sz w:val="32"/>
          <w:szCs w:val="32"/>
          <w:highlight w:val="none"/>
          <w:lang w:eastAsia="zh-CN"/>
        </w:rPr>
        <w:t>综合医院</w:t>
      </w:r>
      <w:r>
        <w:rPr>
          <w:rStyle w:val="22"/>
          <w:rFonts w:hint="eastAsia" w:ascii="仿宋" w:hAnsi="仿宋" w:eastAsia="仿宋"/>
          <w:bCs/>
          <w:sz w:val="32"/>
          <w:szCs w:val="32"/>
          <w:highlight w:val="none"/>
        </w:rPr>
        <w:t>（项）</w:t>
      </w:r>
      <w:r>
        <w:rPr>
          <w:rStyle w:val="22"/>
          <w:rFonts w:ascii="仿宋" w:hAnsi="仿宋" w:eastAsia="仿宋"/>
          <w:bCs/>
          <w:sz w:val="32"/>
          <w:szCs w:val="32"/>
          <w:highlight w:val="none"/>
        </w:rPr>
        <w:t>:</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433.97</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100</w:t>
      </w:r>
      <w:r>
        <w:rPr>
          <w:rStyle w:val="22"/>
          <w:rFonts w:ascii="仿宋" w:hAnsi="仿宋" w:eastAsia="仿宋"/>
          <w:b w:val="0"/>
          <w:bCs/>
          <w:sz w:val="32"/>
          <w:szCs w:val="32"/>
        </w:rPr>
        <w:t>%</w:t>
      </w:r>
      <w:r>
        <w:rPr>
          <w:rStyle w:val="22"/>
          <w:rFonts w:hint="eastAsia" w:ascii="仿宋" w:hAnsi="仿宋" w:eastAsia="仿宋"/>
          <w:b w:val="0"/>
          <w:bCs/>
          <w:sz w:val="32"/>
          <w:szCs w:val="32"/>
          <w:lang w:eastAsia="zh-CN"/>
        </w:rPr>
        <w:t>。</w:t>
      </w:r>
    </w:p>
    <w:p>
      <w:pPr>
        <w:tabs>
          <w:tab w:val="right" w:pos="8306"/>
        </w:tabs>
        <w:spacing w:line="600" w:lineRule="exact"/>
        <w:ind w:left="0" w:leftChars="0" w:firstLine="0" w:firstLineChars="0"/>
        <w:outlineLvl w:val="1"/>
        <w:rPr>
          <w:rStyle w:val="34"/>
        </w:rPr>
      </w:pPr>
      <w:bookmarkStart w:id="77" w:name="_Toc2673"/>
      <w:bookmarkStart w:id="78" w:name="_Toc15377214"/>
      <w:bookmarkStart w:id="7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rPr>
        <w:t>般公共预算财政拨款基本支出决算情况说明</w:t>
      </w:r>
      <w:bookmarkEnd w:id="77"/>
      <w:bookmarkEnd w:id="78"/>
      <w:bookmarkEnd w:id="79"/>
      <w:r>
        <w:rPr>
          <w:rStyle w:val="34"/>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433.97</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人员经费50万元，主要包括：基本工资。</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383.97</w:t>
      </w:r>
      <w:r>
        <w:rPr>
          <w:rFonts w:hint="eastAsia" w:ascii="仿宋" w:hAnsi="仿宋" w:eastAsia="仿宋"/>
          <w:sz w:val="32"/>
          <w:szCs w:val="32"/>
        </w:rPr>
        <w:t>万元，主要包括：办公费</w:t>
      </w:r>
      <w:r>
        <w:rPr>
          <w:rFonts w:hint="eastAsia" w:ascii="仿宋" w:hAnsi="仿宋" w:eastAsia="仿宋"/>
          <w:sz w:val="32"/>
          <w:szCs w:val="32"/>
          <w:lang w:eastAsia="zh-CN"/>
        </w:rPr>
        <w:t>，</w:t>
      </w:r>
      <w:r>
        <w:rPr>
          <w:rFonts w:hint="eastAsia" w:ascii="仿宋" w:hAnsi="仿宋" w:eastAsia="仿宋"/>
          <w:sz w:val="32"/>
          <w:szCs w:val="32"/>
        </w:rPr>
        <w:t>会议费培训费</w:t>
      </w:r>
      <w:r>
        <w:rPr>
          <w:rFonts w:hint="eastAsia" w:ascii="仿宋" w:hAnsi="仿宋" w:eastAsia="仿宋"/>
          <w:sz w:val="32"/>
          <w:szCs w:val="32"/>
          <w:lang w:val="en-US" w:eastAsia="zh-CN"/>
        </w:rPr>
        <w:t>，</w:t>
      </w:r>
      <w:r>
        <w:rPr>
          <w:rFonts w:hint="eastAsia" w:ascii="仿宋" w:hAnsi="仿宋" w:eastAsia="仿宋"/>
          <w:sz w:val="32"/>
          <w:szCs w:val="32"/>
        </w:rPr>
        <w:t>公务接待费</w:t>
      </w:r>
      <w:r>
        <w:rPr>
          <w:rFonts w:hint="eastAsia" w:ascii="仿宋" w:hAnsi="仿宋" w:eastAsia="仿宋"/>
          <w:sz w:val="32"/>
          <w:szCs w:val="32"/>
          <w:lang w:val="en-US" w:eastAsia="zh-CN"/>
        </w:rPr>
        <w:t>，</w:t>
      </w:r>
      <w:r>
        <w:rPr>
          <w:rFonts w:hint="eastAsia" w:ascii="仿宋" w:hAnsi="仿宋" w:eastAsia="仿宋"/>
          <w:sz w:val="32"/>
          <w:szCs w:val="32"/>
          <w:lang w:eastAsia="zh-CN"/>
        </w:rPr>
        <w:t>专用材料费</w:t>
      </w:r>
      <w:r>
        <w:rPr>
          <w:rFonts w:hint="eastAsia" w:ascii="仿宋" w:hAnsi="仿宋" w:eastAsia="仿宋"/>
          <w:sz w:val="32"/>
          <w:szCs w:val="32"/>
          <w:lang w:val="en-US" w:eastAsia="zh-CN"/>
        </w:rPr>
        <w:t>，公务用车运行维护费</w:t>
      </w:r>
      <w:r>
        <w:rPr>
          <w:rFonts w:hint="eastAsia" w:ascii="仿宋" w:hAnsi="仿宋" w:eastAsia="仿宋"/>
          <w:sz w:val="32"/>
          <w:szCs w:val="32"/>
        </w:rPr>
        <w:t>。</w:t>
      </w:r>
    </w:p>
    <w:p>
      <w:pPr>
        <w:spacing w:line="600" w:lineRule="exact"/>
        <w:ind w:left="0" w:leftChars="0" w:firstLine="0" w:firstLineChars="0"/>
        <w:outlineLvl w:val="1"/>
        <w:rPr>
          <w:rStyle w:val="34"/>
          <w:rFonts w:ascii="黑体" w:hAnsi="黑体" w:eastAsia="黑体"/>
          <w:b w:val="0"/>
        </w:rPr>
      </w:pPr>
      <w:bookmarkStart w:id="80" w:name="_Toc15396609"/>
      <w:bookmarkStart w:id="81" w:name="_Toc24098"/>
      <w:bookmarkStart w:id="82" w:name="_Toc15377215"/>
      <w:r>
        <w:rPr>
          <w:rFonts w:hint="eastAsia" w:ascii="黑体" w:eastAsia="黑体"/>
          <w:sz w:val="32"/>
          <w:szCs w:val="32"/>
        </w:rPr>
        <w:t>七、</w:t>
      </w:r>
      <w:r>
        <w:rPr>
          <w:rStyle w:val="34"/>
          <w:rFonts w:hint="eastAsia" w:ascii="黑体" w:hAnsi="黑体" w:eastAsia="黑体"/>
          <w:b w:val="0"/>
        </w:rPr>
        <w:t>财政拨款</w:t>
      </w:r>
      <w:r>
        <w:rPr>
          <w:rStyle w:val="34"/>
          <w:rFonts w:hint="eastAsia" w:ascii="黑体" w:hAnsi="黑体" w:eastAsia="黑体"/>
        </w:rPr>
        <w:t>“</w:t>
      </w:r>
      <w:r>
        <w:rPr>
          <w:rStyle w:val="34"/>
          <w:rFonts w:hint="eastAsia" w:ascii="黑体" w:hAnsi="黑体" w:eastAsia="黑体"/>
          <w:b w:val="0"/>
        </w:rPr>
        <w:t>三公”经费支出决算情况说明</w:t>
      </w:r>
      <w:bookmarkEnd w:id="80"/>
      <w:bookmarkEnd w:id="81"/>
      <w:bookmarkEnd w:id="82"/>
    </w:p>
    <w:p>
      <w:pPr>
        <w:spacing w:line="600" w:lineRule="exact"/>
        <w:ind w:left="0" w:leftChars="0" w:firstLine="0" w:firstLineChars="0"/>
        <w:outlineLvl w:val="2"/>
        <w:rPr>
          <w:rFonts w:ascii="仿宋" w:hAnsi="仿宋" w:eastAsia="仿宋"/>
          <w:b/>
          <w:sz w:val="32"/>
          <w:szCs w:val="32"/>
        </w:rPr>
      </w:pPr>
      <w:bookmarkStart w:id="83" w:name="_Toc15377216"/>
      <w:bookmarkStart w:id="84" w:name="_Toc16838"/>
      <w:r>
        <w:rPr>
          <w:rFonts w:hint="eastAsia" w:ascii="仿宋" w:hAnsi="仿宋" w:eastAsia="仿宋"/>
          <w:b/>
          <w:sz w:val="32"/>
          <w:szCs w:val="32"/>
        </w:rPr>
        <w:t>（一）“三公”经费财政拨款支出决算总体情况说明</w:t>
      </w:r>
      <w:bookmarkEnd w:id="83"/>
      <w:bookmarkEnd w:id="84"/>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29.86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2021年本单位未单独填报决算，由系统统一填报部门决算，故无法对比。</w:t>
      </w:r>
    </w:p>
    <w:p>
      <w:pPr>
        <w:spacing w:line="600" w:lineRule="exact"/>
        <w:ind w:left="0" w:leftChars="0" w:firstLine="0" w:firstLineChars="0"/>
        <w:outlineLvl w:val="2"/>
        <w:rPr>
          <w:rFonts w:ascii="仿宋" w:hAnsi="仿宋" w:eastAsia="仿宋"/>
          <w:b/>
          <w:sz w:val="32"/>
          <w:szCs w:val="32"/>
        </w:rPr>
      </w:pPr>
      <w:bookmarkStart w:id="85" w:name="_Toc15377217"/>
      <w:bookmarkStart w:id="86" w:name="_Toc3810"/>
      <w:r>
        <w:rPr>
          <w:rFonts w:hint="eastAsia" w:ascii="仿宋" w:hAnsi="仿宋" w:eastAsia="仿宋"/>
          <w:b/>
          <w:sz w:val="32"/>
          <w:szCs w:val="32"/>
        </w:rPr>
        <w:t>（二）“三公”经费财政拨款支出决算具体情况说明</w:t>
      </w:r>
      <w:bookmarkEnd w:id="85"/>
      <w:bookmarkEnd w:id="86"/>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0.00</w:t>
      </w:r>
      <w:r>
        <w:rPr>
          <w:rFonts w:hint="eastAsia" w:ascii="仿宋" w:hAnsi="仿宋" w:eastAsia="仿宋"/>
          <w:sz w:val="32"/>
          <w:szCs w:val="32"/>
        </w:rPr>
        <w:t>万元，占</w:t>
      </w:r>
      <w:r>
        <w:rPr>
          <w:rFonts w:hint="eastAsia" w:ascii="仿宋" w:hAnsi="仿宋" w:eastAsia="仿宋"/>
          <w:sz w:val="32"/>
          <w:szCs w:val="32"/>
          <w:lang w:val="en-US" w:eastAsia="zh-CN"/>
        </w:rPr>
        <w:t>0.00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4.27</w:t>
      </w:r>
      <w:r>
        <w:rPr>
          <w:rFonts w:hint="eastAsia" w:ascii="仿宋" w:hAnsi="仿宋" w:eastAsia="仿宋"/>
          <w:sz w:val="32"/>
          <w:szCs w:val="32"/>
        </w:rPr>
        <w:t>万元，占</w:t>
      </w:r>
      <w:r>
        <w:rPr>
          <w:rFonts w:hint="eastAsia" w:ascii="仿宋" w:hAnsi="仿宋" w:eastAsia="仿宋"/>
          <w:sz w:val="32"/>
          <w:szCs w:val="32"/>
          <w:lang w:val="en-US" w:eastAsia="zh-CN"/>
        </w:rPr>
        <w:t>14.30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25.59</w:t>
      </w:r>
      <w:r>
        <w:rPr>
          <w:rFonts w:hint="eastAsia" w:ascii="仿宋" w:hAnsi="仿宋" w:eastAsia="仿宋"/>
          <w:sz w:val="32"/>
          <w:szCs w:val="32"/>
        </w:rPr>
        <w:t>万元，占</w:t>
      </w:r>
      <w:r>
        <w:rPr>
          <w:rFonts w:hint="eastAsia" w:ascii="仿宋" w:hAnsi="仿宋" w:eastAsia="仿宋"/>
          <w:sz w:val="32"/>
          <w:szCs w:val="32"/>
          <w:lang w:val="en-US" w:eastAsia="zh-CN"/>
        </w:rPr>
        <w:t>85.70</w:t>
      </w:r>
      <w:r>
        <w:rPr>
          <w:rFonts w:ascii="仿宋" w:hAnsi="仿宋" w:eastAsia="仿宋"/>
          <w:sz w:val="32"/>
          <w:szCs w:val="32"/>
        </w:rPr>
        <w:t>%</w:t>
      </w:r>
      <w:r>
        <w:rPr>
          <w:rFonts w:hint="eastAsia" w:ascii="仿宋" w:hAnsi="仿宋" w:eastAsia="仿宋"/>
          <w:sz w:val="32"/>
          <w:szCs w:val="32"/>
        </w:rPr>
        <w:t>。具体情况如下：</w:t>
      </w:r>
    </w:p>
    <w:p>
      <w:pPr>
        <w:pStyle w:val="19"/>
        <w:rPr>
          <w:rFonts w:hint="eastAsia" w:ascii="仿宋_GB2312" w:hAnsi="Times New Roman" w:eastAsia="仿宋_GB2312" w:cs="Times New Roman"/>
          <w:kern w:val="2"/>
          <w:sz w:val="32"/>
          <w:szCs w:val="32"/>
          <w:lang w:val="en-US" w:eastAsia="zh-CN" w:bidi="ar-SA"/>
        </w:rPr>
      </w:pPr>
      <w:r>
        <w:rPr>
          <w:rFonts w:hint="eastAsia" w:ascii="仿宋_GB2312" w:eastAsia="仿宋_GB2312"/>
          <w:b/>
          <w:sz w:val="32"/>
          <w:szCs w:val="32"/>
          <w:lang w:val="en-US" w:eastAsia="zh-CN"/>
        </w:rPr>
        <w:t>1</w:t>
      </w:r>
      <w:r>
        <w:rPr>
          <w:rFonts w:ascii="仿宋_GB2312" w:eastAsia="仿宋_GB2312"/>
          <w:b/>
          <w:sz w:val="32"/>
          <w:szCs w:val="32"/>
        </w:rPr>
        <w:t>.</w:t>
      </w:r>
      <w:r>
        <w:rPr>
          <w:rFonts w:hint="eastAsia" w:ascii="仿宋_GB2312" w:eastAsia="仿宋_GB2312"/>
          <w:b/>
          <w:sz w:val="32"/>
          <w:szCs w:val="32"/>
          <w:lang w:eastAsia="zh-CN"/>
        </w:rPr>
        <w:t>因公出国（境）费支出：</w:t>
      </w:r>
      <w:r>
        <w:rPr>
          <w:rFonts w:hint="eastAsia" w:ascii="仿宋_GB2312" w:hAnsi="Times New Roman" w:eastAsia="仿宋_GB2312" w:cs="Times New Roman"/>
          <w:kern w:val="2"/>
          <w:sz w:val="32"/>
          <w:szCs w:val="32"/>
          <w:lang w:val="en-US" w:eastAsia="zh-CN" w:bidi="ar-SA"/>
        </w:rPr>
        <w:t>无</w:t>
      </w:r>
      <w:r>
        <w:rPr>
          <w:rFonts w:hint="eastAsia" w:ascii="仿宋_GB2312" w:eastAsia="仿宋_GB2312" w:cs="Times New Roman"/>
          <w:kern w:val="2"/>
          <w:sz w:val="32"/>
          <w:szCs w:val="32"/>
          <w:lang w:val="en-US" w:eastAsia="zh-CN" w:bidi="ar-SA"/>
        </w:rPr>
        <w:t>。</w:t>
      </w:r>
    </w:p>
    <w:p>
      <w:pPr>
        <w:pStyle w:val="19"/>
        <w:rPr>
          <w:rFonts w:hint="eastAsia"/>
        </w:rPr>
      </w:pPr>
    </w:p>
    <w:p>
      <w:pPr>
        <w:pStyle w:val="19"/>
        <w:ind w:left="420" w:leftChars="200" w:right="300" w:rightChars="143" w:firstLine="0" w:firstLineChars="0"/>
      </w:pPr>
      <w:r>
        <w:drawing>
          <wp:inline distT="0" distB="0" distL="114300" distR="114300">
            <wp:extent cx="4847590" cy="2695575"/>
            <wp:effectExtent l="4445" t="5080" r="5715"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9"/>
        <w:numPr>
          <w:ilvl w:val="0"/>
          <w:numId w:val="5"/>
        </w:numPr>
        <w:tabs>
          <w:tab w:val="left" w:pos="1228"/>
          <w:tab w:val="clear" w:pos="312"/>
        </w:tabs>
        <w:ind w:left="420" w:leftChars="200" w:firstLine="321" w:firstLineChars="100"/>
        <w:rPr>
          <w:rFonts w:hint="eastAsia" w:ascii="仿宋" w:hAnsi="仿宋" w:eastAsia="仿宋"/>
          <w:sz w:val="32"/>
          <w:szCs w:val="32"/>
          <w:lang w:val="en-US" w:eastAsia="zh-CN"/>
        </w:rPr>
      </w:pP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22"/>
          <w:rFonts w:hint="eastAsia" w:ascii="仿宋" w:hAnsi="仿宋" w:eastAsia="仿宋"/>
          <w:b w:val="0"/>
          <w:bCs/>
          <w:sz w:val="32"/>
          <w:szCs w:val="32"/>
        </w:rPr>
        <w:t>完成预算</w:t>
      </w:r>
      <w:r>
        <w:rPr>
          <w:rStyle w:val="22"/>
          <w:rFonts w:hint="eastAsia" w:ascii="仿宋" w:hAnsi="仿宋" w:eastAsia="仿宋"/>
          <w:b w:val="0"/>
          <w:bCs/>
          <w:sz w:val="32"/>
          <w:szCs w:val="32"/>
          <w:lang w:val="en-US" w:eastAsia="zh-CN"/>
        </w:rPr>
        <w:t>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 w:hAnsi="仿宋" w:eastAsia="仿宋"/>
          <w:sz w:val="32"/>
          <w:szCs w:val="32"/>
          <w:lang w:val="en-US" w:eastAsia="zh-CN"/>
        </w:rPr>
        <w:t>2021年本单位未单独填报决算，由系统统一填报部门决算，故无法对比。</w:t>
      </w:r>
    </w:p>
    <w:p>
      <w:pPr>
        <w:pStyle w:val="19"/>
        <w:numPr>
          <w:ilvl w:val="0"/>
          <w:numId w:val="5"/>
        </w:numPr>
        <w:tabs>
          <w:tab w:val="left" w:pos="1228"/>
          <w:tab w:val="clear" w:pos="312"/>
        </w:tabs>
        <w:ind w:left="420" w:leftChars="200" w:firstLine="321" w:firstLineChars="100"/>
        <w:rPr>
          <w:rFonts w:ascii="仿宋_GB2312" w:eastAsia="仿宋_GB2312"/>
          <w:b/>
          <w:sz w:val="32"/>
          <w:szCs w:val="32"/>
        </w:rPr>
      </w:pPr>
      <w:r>
        <w:rPr>
          <w:rFonts w:hint="eastAsia" w:ascii="仿宋_GB2312" w:eastAsia="仿宋_GB2312"/>
          <w:b/>
          <w:sz w:val="32"/>
          <w:szCs w:val="32"/>
        </w:rPr>
        <w:t>公务用车购置及运行维护费支出</w:t>
      </w:r>
      <w:r>
        <w:rPr>
          <w:rFonts w:hint="eastAsia" w:ascii="仿宋_GB2312" w:eastAsia="仿宋_GB2312"/>
          <w:b/>
          <w:sz w:val="32"/>
          <w:szCs w:val="32"/>
          <w:lang w:eastAsia="zh-CN"/>
        </w:rPr>
        <w:t>：</w:t>
      </w:r>
      <w:r>
        <w:rPr>
          <w:rFonts w:hint="eastAsia" w:ascii="仿宋_GB2312" w:eastAsia="仿宋_GB2312"/>
          <w:sz w:val="32"/>
          <w:szCs w:val="32"/>
          <w:lang w:val="en-US" w:eastAsia="zh-CN"/>
        </w:rPr>
        <w:t>2022年支出4.27</w:t>
      </w:r>
      <w:r>
        <w:rPr>
          <w:rFonts w:hint="eastAsia" w:ascii="仿宋_GB2312" w:eastAsia="仿宋_GB2312"/>
          <w:sz w:val="32"/>
          <w:szCs w:val="32"/>
        </w:rPr>
        <w:t>万元,</w:t>
      </w:r>
      <w:r>
        <w:rPr>
          <w:rStyle w:val="22"/>
          <w:rFonts w:hint="eastAsia" w:ascii="仿宋" w:hAnsi="仿宋" w:eastAsia="仿宋"/>
          <w:b w:val="0"/>
          <w:bCs/>
          <w:sz w:val="32"/>
          <w:szCs w:val="32"/>
        </w:rPr>
        <w:t>完成预算</w:t>
      </w:r>
      <w:r>
        <w:rPr>
          <w:rStyle w:val="22"/>
          <w:rFonts w:hint="eastAsia" w:ascii="仿宋" w:hAnsi="仿宋" w:eastAsia="仿宋"/>
          <w:b w:val="0"/>
          <w:bCs/>
          <w:sz w:val="32"/>
          <w:szCs w:val="32"/>
          <w:lang w:val="en-US" w:eastAsia="zh-CN"/>
        </w:rPr>
        <w:t>100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 w:hAnsi="仿宋" w:eastAsia="仿宋"/>
          <w:sz w:val="32"/>
          <w:szCs w:val="32"/>
          <w:lang w:val="en-US" w:eastAsia="zh-CN"/>
        </w:rPr>
        <w:t>2021年本单位未单独填报决算，由系统统一填报部门决算，故无法对比。</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4.27</w:t>
      </w:r>
      <w:r>
        <w:rPr>
          <w:rFonts w:hint="eastAsia" w:ascii="仿宋_GB2312" w:eastAsia="仿宋_GB2312"/>
          <w:sz w:val="32"/>
          <w:szCs w:val="32"/>
        </w:rPr>
        <w:t>万元。主要用于</w:t>
      </w:r>
      <w:r>
        <w:rPr>
          <w:rFonts w:hint="eastAsia" w:ascii="仿宋_GB2312" w:eastAsia="仿宋_GB2312"/>
          <w:sz w:val="32"/>
          <w:szCs w:val="32"/>
          <w:lang w:eastAsia="zh-CN"/>
        </w:rPr>
        <w:t>外出参会及公干</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hAnsi="Times New Roman" w:eastAsia="仿宋_GB2312" w:cs="Times New Roman"/>
          <w:b/>
          <w:kern w:val="2"/>
          <w:sz w:val="32"/>
          <w:szCs w:val="32"/>
          <w:lang w:val="en-US" w:eastAsia="zh-CN" w:bidi="ar-SA"/>
        </w:rPr>
        <w:t>3. 公务接待费支出</w:t>
      </w:r>
      <w:r>
        <w:rPr>
          <w:rFonts w:hint="eastAsia" w:ascii="仿宋_GB2312" w:eastAsia="仿宋_GB2312" w:cs="Times New Roman"/>
          <w:b/>
          <w:kern w:val="2"/>
          <w:sz w:val="32"/>
          <w:szCs w:val="32"/>
          <w:lang w:val="en-US" w:eastAsia="zh-CN" w:bidi="ar-SA"/>
        </w:rPr>
        <w:t>：</w:t>
      </w:r>
      <w:r>
        <w:rPr>
          <w:rFonts w:hint="eastAsia" w:ascii="仿宋_GB2312" w:eastAsia="仿宋_GB2312"/>
          <w:sz w:val="32"/>
          <w:szCs w:val="32"/>
          <w:lang w:val="en-US" w:eastAsia="zh-CN"/>
        </w:rPr>
        <w:t>2022年支出25.59</w:t>
      </w:r>
      <w:r>
        <w:rPr>
          <w:rFonts w:hint="eastAsia" w:ascii="仿宋_GB2312" w:eastAsia="仿宋_GB2312"/>
          <w:sz w:val="32"/>
          <w:szCs w:val="32"/>
        </w:rPr>
        <w:t>万元，</w:t>
      </w:r>
      <w:r>
        <w:rPr>
          <w:rStyle w:val="22"/>
          <w:rFonts w:hint="eastAsia" w:ascii="仿宋" w:hAnsi="仿宋" w:eastAsia="仿宋"/>
          <w:b w:val="0"/>
          <w:bCs/>
          <w:sz w:val="32"/>
          <w:szCs w:val="32"/>
        </w:rPr>
        <w:t>完成预算</w:t>
      </w:r>
      <w:r>
        <w:rPr>
          <w:rStyle w:val="22"/>
          <w:rFonts w:hint="eastAsia" w:ascii="仿宋" w:hAnsi="仿宋" w:eastAsia="仿宋"/>
          <w:b w:val="0"/>
          <w:bCs/>
          <w:sz w:val="32"/>
          <w:szCs w:val="32"/>
          <w:lang w:val="en-US" w:eastAsia="zh-CN"/>
        </w:rPr>
        <w:t>100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 w:hAnsi="仿宋" w:eastAsia="仿宋"/>
          <w:sz w:val="32"/>
          <w:szCs w:val="32"/>
          <w:lang w:val="en-US" w:eastAsia="zh-CN"/>
        </w:rPr>
        <w:t>2021年本单位未单独填报决算，由系统统一填报部门决算，故无法对比。</w:t>
      </w:r>
    </w:p>
    <w:p>
      <w:pPr>
        <w:spacing w:line="600" w:lineRule="exact"/>
        <w:ind w:firstLine="640"/>
        <w:rPr>
          <w:rFonts w:ascii="黑体" w:eastAsia="黑体"/>
          <w:sz w:val="32"/>
          <w:szCs w:val="32"/>
        </w:rPr>
      </w:pPr>
      <w:r>
        <w:rPr>
          <w:rFonts w:hint="eastAsia" w:ascii="仿宋" w:hAnsi="仿宋" w:eastAsia="仿宋"/>
          <w:b/>
          <w:sz w:val="32"/>
          <w:szCs w:val="32"/>
        </w:rPr>
        <w:t>国内公务接待支出</w:t>
      </w:r>
      <w:r>
        <w:rPr>
          <w:rFonts w:hint="eastAsia" w:ascii="仿宋" w:hAnsi="仿宋" w:eastAsia="仿宋"/>
          <w:b/>
          <w:sz w:val="32"/>
          <w:szCs w:val="32"/>
          <w:lang w:eastAsia="zh-CN"/>
        </w:rPr>
        <w:t>：</w:t>
      </w:r>
      <w:r>
        <w:rPr>
          <w:rFonts w:hint="eastAsia" w:ascii="仿宋_GB2312" w:eastAsia="仿宋_GB2312"/>
          <w:sz w:val="32"/>
          <w:szCs w:val="32"/>
          <w:lang w:val="en-US" w:eastAsia="zh-CN"/>
        </w:rPr>
        <w:t>2022年支出25.59</w:t>
      </w:r>
      <w:r>
        <w:rPr>
          <w:rFonts w:hint="eastAsia" w:ascii="仿宋_GB2312" w:eastAsia="仿宋_GB2312"/>
          <w:sz w:val="32"/>
          <w:szCs w:val="32"/>
        </w:rPr>
        <w:t>万元，主要用于</w:t>
      </w:r>
      <w:r>
        <w:rPr>
          <w:rFonts w:hint="eastAsia" w:ascii="仿宋_GB2312" w:eastAsia="仿宋_GB2312"/>
          <w:sz w:val="32"/>
          <w:szCs w:val="32"/>
          <w:lang w:eastAsia="zh-CN"/>
        </w:rPr>
        <w:t>接受各项检查、</w:t>
      </w:r>
      <w:r>
        <w:rPr>
          <w:rFonts w:hint="eastAsia" w:ascii="仿宋_GB2312" w:eastAsia="仿宋_GB2312"/>
          <w:sz w:val="32"/>
          <w:szCs w:val="32"/>
        </w:rPr>
        <w:t>开展业务活动开支的交通费、住宿费、用餐费等。国内公务接待</w:t>
      </w:r>
      <w:r>
        <w:rPr>
          <w:rFonts w:hint="eastAsia" w:ascii="仿宋_GB2312" w:eastAsia="仿宋_GB2312"/>
          <w:sz w:val="32"/>
          <w:szCs w:val="32"/>
          <w:lang w:val="en-US" w:eastAsia="zh-CN"/>
        </w:rPr>
        <w:t>259</w:t>
      </w:r>
      <w:r>
        <w:rPr>
          <w:rFonts w:hint="eastAsia" w:ascii="仿宋_GB2312" w:eastAsia="仿宋_GB2312"/>
          <w:sz w:val="32"/>
          <w:szCs w:val="32"/>
        </w:rPr>
        <w:t>批次，</w:t>
      </w:r>
      <w:r>
        <w:rPr>
          <w:rFonts w:hint="eastAsia" w:ascii="仿宋_GB2312" w:eastAsia="仿宋_GB2312"/>
          <w:sz w:val="32"/>
          <w:szCs w:val="32"/>
          <w:lang w:val="en-US" w:eastAsia="zh-CN"/>
        </w:rPr>
        <w:t>2558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25.59</w:t>
      </w:r>
      <w:r>
        <w:rPr>
          <w:rFonts w:hint="eastAsia" w:ascii="仿宋_GB2312" w:eastAsia="仿宋_GB2312"/>
          <w:sz w:val="32"/>
          <w:szCs w:val="32"/>
        </w:rPr>
        <w:t>万元</w:t>
      </w:r>
      <w:r>
        <w:rPr>
          <w:rFonts w:hint="eastAsia" w:ascii="仿宋_GB2312" w:eastAsia="仿宋_GB2312"/>
          <w:sz w:val="32"/>
          <w:szCs w:val="32"/>
          <w:lang w:eastAsia="zh-CN"/>
        </w:rPr>
        <w:t>。</w:t>
      </w:r>
      <w:bookmarkStart w:id="87" w:name="_Toc15377218"/>
      <w:bookmarkStart w:id="88" w:name="_Toc15396610"/>
    </w:p>
    <w:p>
      <w:pPr>
        <w:spacing w:line="600" w:lineRule="exact"/>
        <w:ind w:left="0" w:leftChars="0" w:firstLine="0" w:firstLineChars="0"/>
        <w:outlineLvl w:val="1"/>
        <w:rPr>
          <w:rStyle w:val="34"/>
          <w:rFonts w:ascii="黑体" w:hAnsi="黑体" w:eastAsia="黑体"/>
        </w:rPr>
      </w:pPr>
      <w:bookmarkStart w:id="89" w:name="_Toc17121"/>
      <w:r>
        <w:rPr>
          <w:rFonts w:hint="eastAsia" w:ascii="黑体" w:eastAsia="黑体"/>
          <w:sz w:val="32"/>
          <w:szCs w:val="32"/>
        </w:rPr>
        <w:t>八、</w:t>
      </w:r>
      <w:r>
        <w:rPr>
          <w:rStyle w:val="34"/>
          <w:rFonts w:hint="eastAsia" w:ascii="黑体" w:hAnsi="黑体" w:eastAsia="黑体"/>
          <w:b w:val="0"/>
        </w:rPr>
        <w:t>政府性基金预算支出决算情况说明</w:t>
      </w:r>
      <w:bookmarkEnd w:id="87"/>
      <w:bookmarkEnd w:id="88"/>
      <w:bookmarkEnd w:id="89"/>
    </w:p>
    <w:p>
      <w:pPr>
        <w:spacing w:line="600" w:lineRule="exact"/>
        <w:ind w:firstLine="64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3000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主要用于</w:t>
      </w:r>
      <w:r>
        <w:rPr>
          <w:rFonts w:hint="eastAsia" w:ascii="仿宋_GB2312" w:eastAsia="仿宋_GB2312"/>
          <w:sz w:val="32"/>
          <w:szCs w:val="32"/>
          <w:lang w:eastAsia="zh-CN"/>
        </w:rPr>
        <w:t>下寺门诊住院综合楼</w:t>
      </w:r>
      <w:r>
        <w:rPr>
          <w:rFonts w:hint="eastAsia" w:ascii="仿宋_GB2312" w:eastAsia="仿宋_GB2312"/>
          <w:sz w:val="32"/>
          <w:szCs w:val="32"/>
          <w:lang w:val="en-US" w:eastAsia="zh-CN"/>
        </w:rPr>
        <w:t>工程款及设备购置。</w:t>
      </w:r>
    </w:p>
    <w:p>
      <w:pPr>
        <w:numPr>
          <w:ilvl w:val="0"/>
          <w:numId w:val="6"/>
        </w:numPr>
        <w:spacing w:line="600" w:lineRule="exact"/>
        <w:ind w:left="0" w:leftChars="0" w:firstLine="0" w:firstLineChars="0"/>
        <w:outlineLvl w:val="1"/>
        <w:rPr>
          <w:rStyle w:val="34"/>
          <w:rFonts w:ascii="黑体" w:hAnsi="黑体" w:eastAsia="黑体"/>
          <w:b w:val="0"/>
        </w:rPr>
      </w:pPr>
      <w:bookmarkStart w:id="90" w:name="_Toc15377219"/>
      <w:bookmarkStart w:id="91" w:name="_Toc15396611"/>
      <w:bookmarkStart w:id="92" w:name="_Toc2718"/>
      <w:r>
        <w:rPr>
          <w:rStyle w:val="34"/>
          <w:rFonts w:hint="eastAsia" w:ascii="黑体" w:hAnsi="黑体" w:eastAsia="黑体"/>
          <w:b w:val="0"/>
        </w:rPr>
        <w:t>国有资本经营预算支出决算情况说明</w:t>
      </w:r>
      <w:bookmarkEnd w:id="90"/>
      <w:bookmarkEnd w:id="91"/>
      <w:bookmarkEnd w:id="92"/>
    </w:p>
    <w:p>
      <w:pPr>
        <w:spacing w:line="600" w:lineRule="exact"/>
        <w:ind w:firstLine="640"/>
        <w:rPr>
          <w:rFonts w:hint="eastAsia" w:ascii="方正小标宋简体" w:hAnsi="方正小标宋简体" w:eastAsia="方正小标宋简体" w:cs="方正小标宋简体"/>
          <w:sz w:val="44"/>
          <w:szCs w:val="44"/>
          <w:lang w:eastAsia="zh-CN"/>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6"/>
        </w:numPr>
        <w:spacing w:line="600" w:lineRule="exact"/>
        <w:ind w:left="0" w:leftChars="0" w:firstLine="0" w:firstLineChars="0"/>
        <w:outlineLvl w:val="1"/>
        <w:rPr>
          <w:rStyle w:val="34"/>
          <w:rFonts w:ascii="黑体" w:hAnsi="黑体" w:eastAsia="黑体"/>
          <w:b w:val="0"/>
        </w:rPr>
      </w:pPr>
      <w:bookmarkStart w:id="93" w:name="_Toc15377221"/>
      <w:bookmarkStart w:id="94" w:name="_Toc15396612"/>
      <w:bookmarkStart w:id="95" w:name="_Toc10022"/>
      <w:r>
        <w:rPr>
          <w:rStyle w:val="34"/>
          <w:rFonts w:hint="eastAsia" w:ascii="黑体" w:hAnsi="黑体" w:eastAsia="黑体"/>
          <w:b w:val="0"/>
        </w:rPr>
        <w:t>其他重要事项的情况说明</w:t>
      </w:r>
      <w:bookmarkEnd w:id="93"/>
      <w:bookmarkEnd w:id="94"/>
      <w:bookmarkEnd w:id="95"/>
    </w:p>
    <w:p>
      <w:pPr>
        <w:spacing w:line="600" w:lineRule="exact"/>
        <w:ind w:left="0" w:leftChars="0" w:firstLine="0" w:firstLineChars="0"/>
        <w:outlineLvl w:val="2"/>
        <w:rPr>
          <w:rFonts w:ascii="仿宋" w:hAnsi="仿宋" w:eastAsia="仿宋"/>
          <w:sz w:val="32"/>
          <w:szCs w:val="32"/>
        </w:rPr>
      </w:pPr>
      <w:bookmarkStart w:id="96" w:name="_Toc15377222"/>
      <w:bookmarkStart w:id="97" w:name="_Toc22913"/>
      <w:r>
        <w:rPr>
          <w:rFonts w:hint="eastAsia" w:ascii="仿宋" w:hAnsi="仿宋" w:eastAsia="仿宋"/>
          <w:b/>
          <w:sz w:val="32"/>
          <w:szCs w:val="32"/>
        </w:rPr>
        <w:t>（一）机关运行经费支出情况</w:t>
      </w:r>
      <w:bookmarkEnd w:id="96"/>
      <w:bookmarkEnd w:id="97"/>
    </w:p>
    <w:p>
      <w:pPr>
        <w:spacing w:line="600" w:lineRule="exact"/>
        <w:ind w:firstLine="640" w:firstLineChars="200"/>
        <w:rPr>
          <w:rFonts w:hint="default" w:ascii="仿宋_GB2312" w:eastAsia="仿宋_GB2312"/>
          <w:sz w:val="32"/>
          <w:szCs w:val="32"/>
          <w:lang w:val="en-US" w:eastAsia="zh-CN"/>
        </w:rPr>
      </w:pPr>
      <w:bookmarkStart w:id="98" w:name="_Toc15377223"/>
      <w:bookmarkStart w:id="99" w:name="_Toc2904"/>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剑阁县人民医院</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本单位为事业单位，无机关运行经费。</w:t>
      </w:r>
    </w:p>
    <w:p>
      <w:pPr>
        <w:autoSpaceDE w:val="0"/>
        <w:autoSpaceDN w:val="0"/>
        <w:adjustRightInd w:val="0"/>
        <w:spacing w:line="600" w:lineRule="exact"/>
        <w:ind w:left="0" w:leftChars="0" w:firstLine="0" w:firstLineChars="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98"/>
      <w:bookmarkEnd w:id="99"/>
    </w:p>
    <w:p>
      <w:pPr>
        <w:spacing w:line="600" w:lineRule="exact"/>
        <w:ind w:firstLine="640" w:firstLineChars="200"/>
        <w:rPr>
          <w:rFonts w:ascii="仿宋_GB2312" w:eastAsia="仿宋_GB2312"/>
          <w:sz w:val="32"/>
          <w:szCs w:val="32"/>
        </w:rPr>
      </w:pPr>
      <w:bookmarkStart w:id="100" w:name="_Toc15377224"/>
      <w:bookmarkStart w:id="101" w:name="_Toc29601"/>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剑阁县人民医院</w:t>
      </w:r>
      <w:r>
        <w:rPr>
          <w:rFonts w:hint="eastAsia" w:ascii="仿宋_GB2312" w:eastAsia="仿宋_GB2312"/>
          <w:sz w:val="32"/>
          <w:szCs w:val="32"/>
        </w:rPr>
        <w:t>政府采购支出总额</w:t>
      </w:r>
      <w:r>
        <w:rPr>
          <w:rFonts w:hint="eastAsia" w:ascii="仿宋_GB2312" w:eastAsia="仿宋_GB2312"/>
          <w:sz w:val="32"/>
          <w:szCs w:val="32"/>
          <w:lang w:val="en-US" w:eastAsia="zh-CN"/>
        </w:rPr>
        <w:t>1369.30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1369.30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购买医疗设备（血管造影机）</w:t>
      </w:r>
      <w:r>
        <w:rPr>
          <w:rFonts w:hint="eastAsia" w:ascii="仿宋_GB2312" w:eastAsia="仿宋_GB2312"/>
          <w:sz w:val="32"/>
          <w:szCs w:val="32"/>
        </w:rPr>
        <w:t>。授予中小企业合同金额</w:t>
      </w:r>
      <w:r>
        <w:rPr>
          <w:rFonts w:hint="eastAsia" w:ascii="仿宋_GB2312" w:eastAsia="仿宋_GB2312"/>
          <w:sz w:val="32"/>
          <w:szCs w:val="32"/>
          <w:lang w:val="en-US" w:eastAsia="zh-CN"/>
        </w:rPr>
        <w:t>1369.30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1369.30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left="0" w:leftChars="0" w:firstLine="0" w:firstLineChars="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100"/>
      <w:bookmarkEnd w:id="101"/>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剑阁县人民医院</w:t>
      </w:r>
      <w:r>
        <w:rPr>
          <w:rFonts w:hint="eastAsia" w:ascii="仿宋_GB2312" w:eastAsia="仿宋_GB2312"/>
          <w:sz w:val="32"/>
          <w:szCs w:val="32"/>
        </w:rPr>
        <w:t>共有车辆</w:t>
      </w:r>
      <w:r>
        <w:rPr>
          <w:rFonts w:hint="eastAsia" w:ascii="仿宋_GB2312" w:eastAsia="仿宋_GB2312"/>
          <w:sz w:val="32"/>
          <w:szCs w:val="32"/>
          <w:lang w:val="en-US" w:eastAsia="zh-CN"/>
        </w:rPr>
        <w:t>7</w:t>
      </w:r>
      <w:r>
        <w:rPr>
          <w:rFonts w:hint="eastAsia" w:ascii="仿宋_GB2312" w:eastAsia="仿宋_GB2312"/>
          <w:sz w:val="32"/>
          <w:szCs w:val="32"/>
        </w:rPr>
        <w:t>辆，其中：</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6辆，</w:t>
      </w:r>
      <w:r>
        <w:rPr>
          <w:rFonts w:hint="eastAsia" w:ascii="仿宋_GB2312" w:eastAsia="仿宋_GB2312"/>
          <w:sz w:val="32"/>
          <w:szCs w:val="32"/>
        </w:rPr>
        <w:t>其他用车</w:t>
      </w:r>
      <w:r>
        <w:rPr>
          <w:rFonts w:hint="eastAsia" w:ascii="仿宋_GB2312" w:eastAsia="仿宋_GB2312"/>
          <w:sz w:val="32"/>
          <w:szCs w:val="32"/>
          <w:lang w:val="en-US" w:eastAsia="zh-CN"/>
        </w:rPr>
        <w:t>1</w:t>
      </w:r>
      <w:r>
        <w:rPr>
          <w:rFonts w:hint="eastAsia" w:ascii="仿宋_GB2312" w:eastAsia="仿宋_GB2312"/>
          <w:sz w:val="32"/>
          <w:szCs w:val="32"/>
        </w:rPr>
        <w:t>辆，主要是用于</w:t>
      </w:r>
      <w:r>
        <w:rPr>
          <w:rFonts w:hint="eastAsia" w:ascii="仿宋_GB2312" w:eastAsia="仿宋_GB2312"/>
          <w:sz w:val="32"/>
          <w:szCs w:val="32"/>
          <w:lang w:val="en-US" w:eastAsia="zh-CN"/>
        </w:rPr>
        <w:t>全县医疗救治及转运工作</w:t>
      </w:r>
      <w:r>
        <w:rPr>
          <w:rFonts w:hint="eastAsia" w:ascii="仿宋_GB2312" w:eastAsia="仿宋_GB2312"/>
          <w:sz w:val="32"/>
          <w:szCs w:val="32"/>
        </w:rPr>
        <w:t>。</w:t>
      </w:r>
    </w:p>
    <w:p>
      <w:pPr>
        <w:autoSpaceDE w:val="0"/>
        <w:autoSpaceDN w:val="0"/>
        <w:adjustRightInd w:val="0"/>
        <w:spacing w:line="600" w:lineRule="exact"/>
        <w:ind w:left="0" w:leftChars="0" w:firstLine="0" w:firstLineChars="0"/>
        <w:jc w:val="left"/>
        <w:outlineLvl w:val="2"/>
        <w:rPr>
          <w:rFonts w:ascii="仿宋" w:hAnsi="仿宋" w:eastAsia="仿宋"/>
          <w:b/>
          <w:sz w:val="32"/>
          <w:szCs w:val="32"/>
        </w:rPr>
      </w:pPr>
      <w:bookmarkStart w:id="102" w:name="_Toc18268"/>
      <w:r>
        <w:rPr>
          <w:rFonts w:hint="eastAsia" w:ascii="仿宋" w:hAnsi="仿宋" w:eastAsia="仿宋"/>
          <w:b/>
          <w:sz w:val="32"/>
          <w:szCs w:val="32"/>
        </w:rPr>
        <w:t>（四）预算绩效管理情况</w:t>
      </w:r>
      <w:bookmarkEnd w:id="102"/>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val="en-US" w:eastAsia="zh-CN"/>
        </w:rPr>
        <w:t>2022年度设备购置</w:t>
      </w:r>
      <w:r>
        <w:rPr>
          <w:rFonts w:hint="eastAsia" w:hAnsi="仿宋_GB2312" w:cs="仿宋_GB2312"/>
          <w:sz w:val="32"/>
          <w:szCs w:val="32"/>
          <w:lang w:eastAsia="zh-CN"/>
        </w:rPr>
        <w:t>、下寺门诊住院综合楼专项债券等项目</w:t>
      </w:r>
      <w:r>
        <w:rPr>
          <w:rFonts w:hint="eastAsia" w:hAnsi="仿宋_GB2312" w:cs="仿宋_GB2312"/>
          <w:sz w:val="32"/>
          <w:szCs w:val="32"/>
        </w:rPr>
        <w:t>开展了预算事前绩效评估，对</w:t>
      </w:r>
      <w:r>
        <w:rPr>
          <w:rFonts w:hint="eastAsia" w:hAnsi="仿宋_GB2312" w:cs="仿宋_GB2312"/>
          <w:sz w:val="32"/>
          <w:szCs w:val="32"/>
          <w:lang w:val="en-US" w:eastAsia="zh-CN"/>
        </w:rPr>
        <w:t>2</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2</w:t>
      </w:r>
      <w:r>
        <w:rPr>
          <w:rFonts w:hint="eastAsia" w:hAnsi="仿宋_GB2312" w:cs="仿宋_GB2312"/>
          <w:sz w:val="32"/>
          <w:szCs w:val="32"/>
        </w:rPr>
        <w:t>个项目开展绩效监控，组织对</w:t>
      </w:r>
      <w:r>
        <w:rPr>
          <w:rFonts w:hint="eastAsia" w:hAnsi="仿宋_GB2312" w:cs="仿宋_GB2312"/>
          <w:sz w:val="32"/>
          <w:szCs w:val="32"/>
          <w:lang w:val="en-US" w:eastAsia="zh-CN"/>
        </w:rPr>
        <w:t>2</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0"/>
        </w:numPr>
        <w:spacing w:line="600" w:lineRule="exact"/>
        <w:ind w:firstLine="660" w:firstLineChars="150"/>
        <w:jc w:val="center"/>
        <w:outlineLvl w:val="0"/>
        <w:rPr>
          <w:rFonts w:ascii="宋体"/>
          <w:b/>
          <w:sz w:val="44"/>
          <w:szCs w:val="44"/>
        </w:rPr>
      </w:pPr>
      <w:bookmarkStart w:id="103" w:name="_Toc16341"/>
      <w:bookmarkStart w:id="104" w:name="_Toc15396613"/>
      <w:bookmarkStart w:id="105" w:name="_Toc15377225"/>
      <w:r>
        <w:rPr>
          <w:rFonts w:hint="eastAsia" w:ascii="黑体" w:hAnsi="黑体" w:eastAsia="黑体"/>
          <w:sz w:val="44"/>
          <w:szCs w:val="44"/>
          <w:lang w:val="en-US" w:eastAsia="zh-CN"/>
        </w:rPr>
        <w:t>第三部分</w:t>
      </w:r>
      <w:r>
        <w:rPr>
          <w:rFonts w:hint="eastAsia" w:ascii="黑体" w:hAnsi="黑体" w:eastAsia="黑体" w:cs="黑体"/>
          <w:b/>
          <w:kern w:val="2"/>
          <w:sz w:val="44"/>
          <w:szCs w:val="44"/>
          <w:lang w:val="en-US" w:eastAsia="zh-CN" w:bidi="ar-SA"/>
        </w:rPr>
        <w:t xml:space="preserve"> </w:t>
      </w:r>
      <w:r>
        <w:rPr>
          <w:rFonts w:hint="eastAsia" w:ascii="黑体" w:hAnsi="黑体" w:eastAsia="黑体"/>
          <w:sz w:val="44"/>
          <w:szCs w:val="44"/>
        </w:rPr>
        <w:t>名</w:t>
      </w:r>
      <w:r>
        <w:rPr>
          <w:rStyle w:val="33"/>
          <w:rFonts w:hint="eastAsia" w:ascii="黑体" w:hAnsi="黑体" w:eastAsia="黑体"/>
          <w:b w:val="0"/>
        </w:rPr>
        <w:t>词解释</w:t>
      </w:r>
      <w:bookmarkEnd w:id="103"/>
      <w:bookmarkEnd w:id="104"/>
      <w:bookmarkEnd w:id="105"/>
    </w:p>
    <w:p>
      <w:pPr>
        <w:pStyle w:val="19"/>
      </w:pPr>
    </w:p>
    <w:p>
      <w:pPr>
        <w:pStyle w:val="31"/>
        <w:spacing w:line="560" w:lineRule="exact"/>
        <w:rPr>
          <w:rFonts w:ascii="仿宋_GB2312" w:eastAsia="仿宋_GB2312" w:cs="黑体"/>
          <w:color w:val="auto"/>
          <w:sz w:val="32"/>
          <w:szCs w:val="32"/>
        </w:rPr>
      </w:pPr>
      <w:r>
        <w:rPr>
          <w:rFonts w:hint="eastAsia" w:ascii="仿宋_GB2312" w:hAnsi="Times New Roman" w:eastAsia="仿宋_GB2312" w:cs="Times New Roman"/>
          <w:color w:val="auto"/>
          <w:kern w:val="2"/>
          <w:sz w:val="32"/>
          <w:szCs w:val="32"/>
          <w:lang w:val="en-US" w:eastAsia="zh-CN" w:bidi="ar-SA"/>
        </w:rPr>
        <w:t>1.财政拨款收入：指单位从同级财政部门取得的财政预算资金。</w:t>
      </w:r>
      <w:r>
        <w:rPr>
          <w:rFonts w:hint="eastAsia" w:ascii="仿宋_GB2312" w:hAnsi="Times New Roman" w:eastAsia="仿宋_GB2312" w:cs="Times New Roman"/>
          <w:color w:val="auto"/>
          <w:kern w:val="2"/>
          <w:sz w:val="32"/>
          <w:szCs w:val="32"/>
          <w:lang w:val="en-US" w:eastAsia="zh-CN" w:bidi="ar-SA"/>
        </w:rPr>
        <w:br w:type="textWrapping"/>
      </w:r>
      <w:r>
        <w:rPr>
          <w:rFonts w:hint="eastAsia" w:ascii="仿宋_GB2312" w:hAnsi="Times New Roman" w:eastAsia="仿宋_GB2312" w:cs="Times New Roman"/>
          <w:color w:val="auto"/>
          <w:kern w:val="2"/>
          <w:sz w:val="32"/>
          <w:szCs w:val="32"/>
          <w:lang w:val="en-US" w:eastAsia="zh-CN" w:bidi="ar-SA"/>
        </w:rPr>
        <w:t>2.事业收入：指事业单位开展专业业务活动及辅助活动取得的收入。</w:t>
      </w:r>
      <w:r>
        <w:rPr>
          <w:rFonts w:hint="eastAsia" w:ascii="仿宋_GB2312" w:hAnsi="Times New Roman" w:eastAsia="仿宋_GB2312" w:cs="Times New Roman"/>
          <w:color w:val="auto"/>
          <w:kern w:val="2"/>
          <w:sz w:val="32"/>
          <w:szCs w:val="32"/>
          <w:lang w:val="en-US" w:eastAsia="zh-CN" w:bidi="ar-SA"/>
        </w:rPr>
        <w:br w:type="textWrapping"/>
      </w:r>
      <w:r>
        <w:rPr>
          <w:rFonts w:hint="eastAsia" w:ascii="仿宋_GB2312" w:hAnsi="Times New Roman" w:eastAsia="仿宋_GB2312" w:cs="Times New Roman"/>
          <w:color w:val="auto"/>
          <w:kern w:val="2"/>
          <w:sz w:val="32"/>
          <w:szCs w:val="32"/>
          <w:lang w:val="en-US" w:eastAsia="zh-CN" w:bidi="ar-SA"/>
        </w:rPr>
        <w:t>3.其他收入：指单位取得的除上述收入以外的各项收入。</w:t>
      </w:r>
      <w:r>
        <w:rPr>
          <w:rFonts w:hint="eastAsia" w:ascii="仿宋_GB2312" w:hAnsi="Times New Roman" w:eastAsia="仿宋_GB2312" w:cs="Times New Roman"/>
          <w:color w:val="auto"/>
          <w:kern w:val="2"/>
          <w:sz w:val="32"/>
          <w:szCs w:val="32"/>
          <w:lang w:val="en-US" w:eastAsia="zh-CN" w:bidi="ar-SA"/>
        </w:rPr>
        <w:br w:type="textWrapping"/>
      </w:r>
      <w:r>
        <w:rPr>
          <w:rFonts w:hint="eastAsia" w:ascii="仿宋_GB2312" w:hAnsi="Times New Roman" w:eastAsia="仿宋_GB2312" w:cs="Times New Roman"/>
          <w:color w:val="auto"/>
          <w:kern w:val="2"/>
          <w:sz w:val="32"/>
          <w:szCs w:val="32"/>
          <w:lang w:val="en-US" w:eastAsia="zh-CN" w:bidi="ar-SA"/>
        </w:rPr>
        <w:t>4.卫生健康支出（类）公立医院（款）综合医院（项）:指反映卫生健康、中医部门所属的城市综合性医院、独立门诊、教学医院、疗养院和县医院的支出。</w:t>
      </w:r>
      <w:r>
        <w:rPr>
          <w:rFonts w:hint="eastAsia" w:ascii="仿宋_GB2312" w:hAnsi="Times New Roman" w:eastAsia="仿宋_GB2312" w:cs="Times New Roman"/>
          <w:color w:val="auto"/>
          <w:kern w:val="2"/>
          <w:sz w:val="32"/>
          <w:szCs w:val="32"/>
          <w:lang w:val="en-US" w:eastAsia="zh-CN" w:bidi="ar-SA"/>
        </w:rPr>
        <w:br w:type="textWrapping"/>
      </w:r>
      <w:r>
        <w:rPr>
          <w:rFonts w:hint="eastAsia" w:ascii="仿宋_GB2312" w:hAnsi="Times New Roman" w:eastAsia="仿宋_GB2312" w:cs="Times New Roman"/>
          <w:color w:val="auto"/>
          <w:kern w:val="2"/>
          <w:sz w:val="32"/>
          <w:szCs w:val="32"/>
          <w:lang w:val="en-US" w:eastAsia="zh-CN" w:bidi="ar-SA"/>
        </w:rPr>
        <w:t>5.基本支出：指为保障机构正常运转、完成日常工作任务而发生的人员支出和公用支出。</w:t>
      </w:r>
      <w:r>
        <w:rPr>
          <w:rFonts w:hint="eastAsia" w:ascii="仿宋_GB2312" w:hAnsi="Times New Roman" w:eastAsia="仿宋_GB2312" w:cs="Times New Roman"/>
          <w:color w:val="auto"/>
          <w:kern w:val="2"/>
          <w:sz w:val="32"/>
          <w:szCs w:val="32"/>
          <w:lang w:val="en-US" w:eastAsia="zh-CN" w:bidi="ar-SA"/>
        </w:rPr>
        <w:br w:type="textWrapping"/>
      </w:r>
      <w:r>
        <w:rPr>
          <w:rFonts w:hint="eastAsia" w:ascii="仿宋_GB2312" w:hAnsi="Times New Roman" w:eastAsia="仿宋_GB2312" w:cs="Times New Roman"/>
          <w:color w:val="auto"/>
          <w:kern w:val="2"/>
          <w:sz w:val="32"/>
          <w:szCs w:val="32"/>
          <w:lang w:val="en-US" w:eastAsia="zh-CN" w:bidi="ar-SA"/>
        </w:rPr>
        <w:t>6.项目支出：指在基本支出之外为完成特定行政任务和事业发展目标所发生的支出。 </w:t>
      </w:r>
      <w:r>
        <w:rPr>
          <w:rFonts w:hint="eastAsia" w:ascii="仿宋_GB2312" w:hAnsi="Times New Roman" w:eastAsia="仿宋_GB2312" w:cs="Times New Roman"/>
          <w:color w:val="auto"/>
          <w:kern w:val="2"/>
          <w:sz w:val="32"/>
          <w:szCs w:val="32"/>
          <w:lang w:val="en-US" w:eastAsia="zh-CN" w:bidi="ar-SA"/>
        </w:rPr>
        <w:br w:type="textWrapping"/>
      </w:r>
      <w:r>
        <w:rPr>
          <w:rFonts w:hint="eastAsia" w:ascii="仿宋_GB2312" w:hAnsi="Times New Roman" w:eastAsia="仿宋_GB2312" w:cs="Times New Roman"/>
          <w:color w:val="auto"/>
          <w:kern w:val="2"/>
          <w:sz w:val="32"/>
          <w:szCs w:val="32"/>
          <w:lang w:val="en-US" w:eastAsia="zh-CN" w:bidi="ar-SA"/>
        </w:rPr>
        <w:t>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Times New Roman" w:eastAsia="仿宋_GB2312" w:cs="Times New Roman"/>
          <w:color w:val="auto"/>
          <w:kern w:val="2"/>
          <w:sz w:val="32"/>
          <w:szCs w:val="32"/>
          <w:lang w:val="en-US" w:eastAsia="zh-CN" w:bidi="ar-SA"/>
        </w:rPr>
        <w:br w:type="textWrapping"/>
      </w:r>
    </w:p>
    <w:p>
      <w:pPr>
        <w:numPr>
          <w:ilvl w:val="0"/>
          <w:numId w:val="7"/>
        </w:numPr>
        <w:spacing w:line="600" w:lineRule="exact"/>
        <w:jc w:val="center"/>
        <w:outlineLvl w:val="0"/>
        <w:rPr>
          <w:rStyle w:val="33"/>
          <w:rFonts w:hint="eastAsia" w:ascii="黑体" w:hAnsi="黑体" w:eastAsia="黑体"/>
          <w:b w:val="0"/>
        </w:rPr>
      </w:pPr>
      <w:bookmarkStart w:id="106" w:name="_Toc15377226"/>
      <w:r>
        <w:rPr>
          <w:rFonts w:ascii="宋体"/>
          <w:b/>
          <w:sz w:val="44"/>
          <w:szCs w:val="44"/>
        </w:rPr>
        <w:br w:type="page"/>
      </w:r>
      <w:bookmarkStart w:id="107" w:name="_Toc15396614"/>
      <w:bookmarkStart w:id="108" w:name="_Toc28446"/>
      <w:r>
        <w:rPr>
          <w:rStyle w:val="33"/>
          <w:rFonts w:hint="eastAsia" w:ascii="黑体" w:hAnsi="黑体" w:eastAsia="黑体"/>
          <w:b w:val="0"/>
        </w:rPr>
        <w:t>附件</w:t>
      </w:r>
      <w:bookmarkEnd w:id="107"/>
      <w:bookmarkEnd w:id="108"/>
    </w:p>
    <w:p>
      <w:pPr>
        <w:pStyle w:val="24"/>
        <w:numPr>
          <w:ilvl w:val="0"/>
          <w:numId w:val="0"/>
        </w:numPr>
        <w:ind w:leftChars="0"/>
      </w:pPr>
    </w:p>
    <w:p/>
    <w:p>
      <w:pPr>
        <w:pStyle w:val="24"/>
      </w:pP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sz w:val="44"/>
          <w:szCs w:val="44"/>
          <w:highlight w:val="none"/>
          <w:shd w:val="clear" w:color="auto" w:fill="FFFFFF"/>
          <w:lang w:eastAsia="zh-CN"/>
        </w:rPr>
      </w:pPr>
      <w:r>
        <w:rPr>
          <w:rFonts w:hint="eastAsia" w:ascii="宋体" w:hAnsi="宋体" w:eastAsia="宋体"/>
          <w:b/>
          <w:sz w:val="44"/>
          <w:szCs w:val="44"/>
          <w:highlight w:val="none"/>
          <w:shd w:val="clear" w:color="auto" w:fill="FFFFFF"/>
          <w:lang w:eastAsia="zh-CN"/>
        </w:rPr>
        <w:t>剑阁县人民医院</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sz w:val="44"/>
          <w:szCs w:val="44"/>
          <w:highlight w:val="none"/>
          <w:shd w:val="clear" w:color="auto" w:fill="FFFFFF"/>
          <w:lang w:eastAsia="zh-CN"/>
        </w:rPr>
      </w:pPr>
      <w:r>
        <w:rPr>
          <w:rFonts w:hint="eastAsia" w:ascii="宋体" w:hAnsi="宋体" w:eastAsia="宋体"/>
          <w:b/>
          <w:sz w:val="44"/>
          <w:szCs w:val="44"/>
          <w:highlight w:val="none"/>
          <w:shd w:val="clear" w:color="auto" w:fill="FFFFFF"/>
        </w:rPr>
        <w:t>20</w:t>
      </w:r>
      <w:r>
        <w:rPr>
          <w:rFonts w:hint="eastAsia" w:ascii="宋体" w:hAnsi="宋体" w:eastAsia="宋体"/>
          <w:b/>
          <w:sz w:val="44"/>
          <w:szCs w:val="44"/>
          <w:highlight w:val="none"/>
          <w:shd w:val="clear" w:color="auto" w:fill="FFFFFF"/>
          <w:lang w:val="en-US" w:eastAsia="zh-CN"/>
        </w:rPr>
        <w:t>22</w:t>
      </w:r>
      <w:r>
        <w:rPr>
          <w:rFonts w:hint="eastAsia" w:ascii="宋体" w:hAnsi="宋体" w:eastAsia="宋体"/>
          <w:b/>
          <w:sz w:val="44"/>
          <w:szCs w:val="44"/>
          <w:highlight w:val="none"/>
          <w:shd w:val="clear" w:color="auto" w:fill="FFFFFF"/>
        </w:rPr>
        <w:t>年</w:t>
      </w:r>
      <w:r>
        <w:rPr>
          <w:rFonts w:hint="eastAsia" w:ascii="宋体" w:hAnsi="宋体" w:eastAsia="宋体"/>
          <w:b/>
          <w:sz w:val="44"/>
          <w:szCs w:val="44"/>
          <w:highlight w:val="none"/>
          <w:shd w:val="clear" w:color="auto" w:fill="FFFFFF"/>
          <w:lang w:eastAsia="zh-CN"/>
        </w:rPr>
        <w:t>部门</w:t>
      </w:r>
      <w:r>
        <w:rPr>
          <w:rFonts w:hint="eastAsia" w:ascii="宋体" w:hAnsi="宋体" w:eastAsia="宋体"/>
          <w:b/>
          <w:sz w:val="44"/>
          <w:szCs w:val="44"/>
          <w:highlight w:val="none"/>
          <w:shd w:val="clear" w:color="auto" w:fill="FFFFFF"/>
        </w:rPr>
        <w:t>整体</w:t>
      </w:r>
      <w:r>
        <w:rPr>
          <w:rFonts w:hint="eastAsia" w:ascii="宋体" w:hAnsi="宋体" w:eastAsia="宋体"/>
          <w:b/>
          <w:sz w:val="44"/>
          <w:szCs w:val="44"/>
          <w:highlight w:val="none"/>
          <w:shd w:val="clear" w:color="auto" w:fill="FFFFFF"/>
          <w:lang w:eastAsia="zh-CN"/>
        </w:rPr>
        <w:t>支出</w:t>
      </w:r>
      <w:r>
        <w:rPr>
          <w:rFonts w:hint="eastAsia" w:ascii="宋体" w:hAnsi="宋体" w:eastAsia="宋体"/>
          <w:b/>
          <w:sz w:val="44"/>
          <w:szCs w:val="44"/>
          <w:highlight w:val="none"/>
          <w:shd w:val="clear" w:color="auto" w:fill="FFFFFF"/>
        </w:rPr>
        <w:t>绩效评价报告</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200"/>
        <w:contextualSpacing/>
        <w:jc w:val="left"/>
        <w:textAlignment w:val="auto"/>
        <w:rPr>
          <w:rFonts w:ascii="黑体" w:hAnsi="宋体" w:eastAsia="黑体" w:cs="宋体"/>
          <w:color w:val="000000"/>
          <w:kern w:val="0"/>
          <w:sz w:val="24"/>
          <w:szCs w:val="32"/>
          <w:highlight w:val="none"/>
          <w:shd w:val="clear" w:color="auto" w:fill="FFFFFF"/>
        </w:rPr>
      </w:pPr>
    </w:p>
    <w:p>
      <w:pPr>
        <w:pStyle w:val="6"/>
        <w:numPr>
          <w:ilvl w:val="0"/>
          <w:numId w:val="8"/>
        </w:numPr>
        <w:bidi w:val="0"/>
        <w:spacing w:before="0" w:beforeLines="0" w:beforeAutospacing="0" w:after="0" w:afterLines="0" w:afterAutospacing="0"/>
        <w:rPr>
          <w:rFonts w:hint="eastAsia"/>
          <w:lang w:val="zh-CN"/>
        </w:rPr>
      </w:pPr>
      <w:r>
        <w:rPr>
          <w:rFonts w:hint="eastAsia"/>
          <w:lang w:val="zh-CN"/>
        </w:rPr>
        <w:t>部门（单位）基本情况</w:t>
      </w:r>
    </w:p>
    <w:p>
      <w:pPr>
        <w:pStyle w:val="7"/>
        <w:numPr>
          <w:ilvl w:val="0"/>
          <w:numId w:val="9"/>
        </w:numPr>
        <w:bidi w:val="0"/>
        <w:spacing w:before="0" w:beforeLines="0" w:beforeAutospacing="0" w:after="0" w:afterLines="0" w:afterAutospacing="0"/>
        <w:rPr>
          <w:rFonts w:hint="eastAsia"/>
          <w:lang w:val="zh-CN"/>
        </w:rPr>
      </w:pPr>
      <w:r>
        <w:rPr>
          <w:rFonts w:hint="eastAsia"/>
          <w:lang w:val="zh-CN"/>
        </w:rPr>
        <w:t>机构组成。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_GB2312" w:hAnsi="仿宋_GB2312" w:eastAsia="仿宋_GB2312" w:cs="仿宋_GB2312"/>
          <w:b w:val="0"/>
          <w:bCs/>
          <w:kern w:val="2"/>
          <w:sz w:val="32"/>
          <w:szCs w:val="32"/>
          <w:lang w:val="zh-CN" w:eastAsia="zh-CN" w:bidi="ar-SA"/>
        </w:rPr>
        <w:t>剑阁县人民医院占地54亩，业务用房总面积</w:t>
      </w:r>
      <w:r>
        <w:rPr>
          <w:rFonts w:hint="eastAsia" w:ascii="仿宋_GB2312" w:hAnsi="仿宋_GB2312" w:eastAsia="仿宋_GB2312" w:cs="仿宋_GB2312"/>
          <w:b w:val="0"/>
          <w:bCs/>
          <w:kern w:val="2"/>
          <w:sz w:val="32"/>
          <w:szCs w:val="32"/>
          <w:lang w:val="en-US" w:eastAsia="zh-CN" w:bidi="ar-SA"/>
        </w:rPr>
        <w:t>34977</w:t>
      </w:r>
      <w:r>
        <w:rPr>
          <w:rFonts w:hint="eastAsia" w:ascii="仿宋_GB2312" w:hAnsi="仿宋_GB2312" w:eastAsia="仿宋_GB2312" w:cs="仿宋_GB2312"/>
          <w:b w:val="0"/>
          <w:bCs/>
          <w:kern w:val="2"/>
          <w:sz w:val="32"/>
          <w:szCs w:val="32"/>
          <w:lang w:val="zh-CN" w:eastAsia="zh-CN" w:bidi="ar-SA"/>
        </w:rPr>
        <w:t>平方米。开设有内、外、妇、儿等临床医疗医技科室</w:t>
      </w:r>
      <w:r>
        <w:rPr>
          <w:rFonts w:hint="eastAsia" w:ascii="仿宋_GB2312" w:hAnsi="仿宋_GB2312" w:eastAsia="仿宋_GB2312" w:cs="仿宋_GB2312"/>
          <w:b w:val="0"/>
          <w:bCs/>
          <w:kern w:val="2"/>
          <w:sz w:val="32"/>
          <w:szCs w:val="32"/>
          <w:lang w:val="en-US" w:eastAsia="zh-CN" w:bidi="ar-SA"/>
        </w:rPr>
        <w:t>28</w:t>
      </w:r>
      <w:r>
        <w:rPr>
          <w:rFonts w:hint="eastAsia" w:ascii="仿宋_GB2312" w:hAnsi="仿宋_GB2312" w:eastAsia="仿宋_GB2312" w:cs="仿宋_GB2312"/>
          <w:b w:val="0"/>
          <w:bCs/>
          <w:kern w:val="2"/>
          <w:sz w:val="32"/>
          <w:szCs w:val="32"/>
          <w:lang w:val="zh-CN" w:eastAsia="zh-CN" w:bidi="ar-SA"/>
        </w:rPr>
        <w:t>个，普外科、心血管内科、肛肠外科、呼吸内科为广元市重点专科。编制床位</w:t>
      </w:r>
      <w:r>
        <w:rPr>
          <w:rFonts w:hint="eastAsia" w:ascii="仿宋_GB2312" w:hAnsi="仿宋_GB2312" w:eastAsia="仿宋_GB2312" w:cs="仿宋_GB2312"/>
          <w:b w:val="0"/>
          <w:bCs/>
          <w:kern w:val="2"/>
          <w:sz w:val="32"/>
          <w:szCs w:val="32"/>
          <w:lang w:val="en-US" w:eastAsia="zh-CN" w:bidi="ar-SA"/>
        </w:rPr>
        <w:t>560</w:t>
      </w:r>
      <w:r>
        <w:rPr>
          <w:rFonts w:hint="eastAsia" w:ascii="仿宋_GB2312" w:hAnsi="仿宋_GB2312" w:eastAsia="仿宋_GB2312" w:cs="仿宋_GB2312"/>
          <w:b w:val="0"/>
          <w:bCs/>
          <w:kern w:val="2"/>
          <w:sz w:val="32"/>
          <w:szCs w:val="32"/>
          <w:lang w:val="zh-CN" w:eastAsia="zh-CN" w:bidi="ar-SA"/>
        </w:rPr>
        <w:t>张。</w:t>
      </w:r>
    </w:p>
    <w:p>
      <w:pPr>
        <w:pStyle w:val="7"/>
        <w:numPr>
          <w:ilvl w:val="0"/>
          <w:numId w:val="9"/>
        </w:numPr>
        <w:bidi w:val="0"/>
        <w:spacing w:before="0" w:beforeLines="0" w:beforeAutospacing="0" w:after="0" w:afterLines="0" w:afterAutospacing="0"/>
        <w:rPr>
          <w:rFonts w:hint="eastAsia"/>
          <w:lang w:val="zh-CN"/>
        </w:rPr>
      </w:pPr>
      <w:r>
        <w:rPr>
          <w:rFonts w:hint="eastAsia"/>
          <w:lang w:val="zh-CN"/>
        </w:rPr>
        <w:t>机构职能和人员概况。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eastAsia" w:ascii="仿宋_GB2312" w:hAnsi="仿宋_GB2312" w:eastAsia="仿宋_GB2312" w:cs="仿宋_GB2312"/>
          <w:b w:val="0"/>
          <w:bCs/>
          <w:kern w:val="2"/>
          <w:sz w:val="32"/>
          <w:szCs w:val="32"/>
          <w:lang w:val="zh-CN" w:eastAsia="zh-CN" w:bidi="ar-SA"/>
        </w:rPr>
      </w:pPr>
      <w:r>
        <w:rPr>
          <w:rFonts w:hint="eastAsia" w:ascii="仿宋_GB2312" w:hAnsi="仿宋_GB2312" w:eastAsia="仿宋_GB2312" w:cs="仿宋_GB2312"/>
          <w:b w:val="0"/>
          <w:bCs/>
          <w:kern w:val="2"/>
          <w:sz w:val="32"/>
          <w:szCs w:val="32"/>
          <w:lang w:val="zh-CN" w:eastAsia="zh-CN" w:bidi="ar-SA"/>
        </w:rPr>
        <w:t>剑阁县人民医院成立于1950年，是一所集医疗、教学、科研、急救、预防保健为一体的国家三级乙等综合医院，担负着全县及邻近辖区70余万人口的医疗救治任务和基层医院的指导工作。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eastAsia"/>
          <w:lang w:val="zh-CN"/>
        </w:rPr>
      </w:pPr>
      <w:r>
        <w:rPr>
          <w:rFonts w:hint="eastAsia" w:ascii="仿宋_GB2312" w:hAnsi="仿宋_GB2312" w:eastAsia="仿宋_GB2312" w:cs="仿宋_GB2312"/>
          <w:b w:val="0"/>
          <w:bCs/>
          <w:kern w:val="2"/>
          <w:sz w:val="32"/>
          <w:szCs w:val="32"/>
          <w:lang w:val="zh-CN" w:eastAsia="zh-CN" w:bidi="ar-SA"/>
        </w:rPr>
        <w:t>在职职工</w:t>
      </w:r>
      <w:r>
        <w:rPr>
          <w:rFonts w:hint="eastAsia" w:ascii="仿宋_GB2312" w:hAnsi="仿宋_GB2312" w:eastAsia="仿宋_GB2312" w:cs="仿宋_GB2312"/>
          <w:b w:val="0"/>
          <w:bCs/>
          <w:kern w:val="2"/>
          <w:sz w:val="32"/>
          <w:szCs w:val="32"/>
          <w:lang w:val="en-US" w:eastAsia="zh-CN" w:bidi="ar-SA"/>
        </w:rPr>
        <w:t>511人，</w:t>
      </w:r>
      <w:r>
        <w:rPr>
          <w:rFonts w:hint="eastAsia" w:ascii="仿宋_GB2312" w:hAnsi="仿宋_GB2312" w:eastAsia="仿宋_GB2312" w:cs="仿宋_GB2312"/>
          <w:b w:val="0"/>
          <w:bCs/>
          <w:kern w:val="2"/>
          <w:sz w:val="32"/>
          <w:szCs w:val="32"/>
          <w:lang w:val="zh-CN" w:eastAsia="zh-CN" w:bidi="ar-SA"/>
        </w:rPr>
        <w:t>正高</w:t>
      </w:r>
      <w:r>
        <w:rPr>
          <w:rFonts w:hint="eastAsia" w:ascii="仿宋_GB2312" w:hAnsi="仿宋_GB2312" w:eastAsia="仿宋_GB2312" w:cs="仿宋_GB2312"/>
          <w:b w:val="0"/>
          <w:bCs/>
          <w:kern w:val="2"/>
          <w:sz w:val="32"/>
          <w:szCs w:val="32"/>
          <w:lang w:val="en-US" w:eastAsia="zh-CN" w:bidi="ar-SA"/>
        </w:rPr>
        <w:t>14</w:t>
      </w:r>
      <w:r>
        <w:rPr>
          <w:rFonts w:hint="eastAsia" w:ascii="仿宋_GB2312" w:hAnsi="仿宋_GB2312" w:eastAsia="仿宋_GB2312" w:cs="仿宋_GB2312"/>
          <w:b w:val="0"/>
          <w:bCs/>
          <w:kern w:val="2"/>
          <w:sz w:val="32"/>
          <w:szCs w:val="32"/>
          <w:lang w:val="zh-CN" w:eastAsia="zh-CN" w:bidi="ar-SA"/>
        </w:rPr>
        <w:t>人，副高</w:t>
      </w:r>
      <w:r>
        <w:rPr>
          <w:rFonts w:hint="eastAsia" w:ascii="仿宋_GB2312" w:hAnsi="仿宋_GB2312" w:eastAsia="仿宋_GB2312" w:cs="仿宋_GB2312"/>
          <w:b w:val="0"/>
          <w:bCs/>
          <w:kern w:val="2"/>
          <w:sz w:val="32"/>
          <w:szCs w:val="32"/>
          <w:lang w:val="en-US" w:eastAsia="zh-CN" w:bidi="ar-SA"/>
        </w:rPr>
        <w:t>53</w:t>
      </w:r>
      <w:r>
        <w:rPr>
          <w:rFonts w:hint="eastAsia" w:ascii="仿宋_GB2312" w:hAnsi="仿宋_GB2312" w:eastAsia="仿宋_GB2312" w:cs="仿宋_GB2312"/>
          <w:b w:val="0"/>
          <w:bCs/>
          <w:kern w:val="2"/>
          <w:sz w:val="32"/>
          <w:szCs w:val="32"/>
          <w:lang w:val="zh-CN" w:eastAsia="zh-CN" w:bidi="ar-SA"/>
        </w:rPr>
        <w:t>人，研究生</w:t>
      </w:r>
      <w:r>
        <w:rPr>
          <w:rFonts w:hint="eastAsia" w:ascii="仿宋_GB2312" w:hAnsi="仿宋_GB2312" w:eastAsia="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zh-CN" w:eastAsia="zh-CN" w:bidi="ar-SA"/>
        </w:rPr>
        <w:t>人，本科1</w:t>
      </w:r>
      <w:r>
        <w:rPr>
          <w:rFonts w:hint="eastAsia" w:ascii="仿宋_GB2312" w:hAnsi="仿宋_GB2312" w:eastAsia="仿宋_GB2312" w:cs="仿宋_GB2312"/>
          <w:b w:val="0"/>
          <w:bCs/>
          <w:kern w:val="2"/>
          <w:sz w:val="32"/>
          <w:szCs w:val="32"/>
          <w:lang w:val="en-US" w:eastAsia="zh-CN" w:bidi="ar-SA"/>
        </w:rPr>
        <w:t>60</w:t>
      </w:r>
      <w:r>
        <w:rPr>
          <w:rFonts w:hint="eastAsia" w:ascii="仿宋_GB2312" w:hAnsi="仿宋_GB2312" w:eastAsia="仿宋_GB2312" w:cs="仿宋_GB2312"/>
          <w:b w:val="0"/>
          <w:bCs/>
          <w:kern w:val="2"/>
          <w:sz w:val="32"/>
          <w:szCs w:val="32"/>
          <w:lang w:val="zh-CN" w:eastAsia="zh-CN" w:bidi="ar-SA"/>
        </w:rPr>
        <w:t>人。</w:t>
      </w:r>
    </w:p>
    <w:p>
      <w:pPr>
        <w:pStyle w:val="6"/>
        <w:bidi w:val="0"/>
        <w:spacing w:before="0" w:beforeLines="0" w:beforeAutospacing="0" w:after="0" w:afterLines="0" w:afterAutospacing="0"/>
      </w:pPr>
      <w:r>
        <w:rPr>
          <w:rFonts w:hint="eastAsia"/>
          <w:lang w:eastAsia="zh-CN"/>
        </w:rPr>
        <w:t>二</w:t>
      </w:r>
      <w:r>
        <w:rPr>
          <w:rFonts w:hint="eastAsia"/>
        </w:rPr>
        <w:t>、</w:t>
      </w:r>
      <w:r>
        <w:rPr>
          <w:rFonts w:hint="eastAsia"/>
          <w:lang w:val="zh-CN" w:eastAsia="zh-CN"/>
        </w:rPr>
        <w:t>部门（单位）资金收支情况</w:t>
      </w:r>
    </w:p>
    <w:p>
      <w:pPr>
        <w:pStyle w:val="7"/>
        <w:bidi w:val="0"/>
        <w:spacing w:before="0" w:beforeLines="0" w:beforeAutospacing="0" w:after="0" w:afterLines="0" w:afterAutospacing="0"/>
        <w:rPr>
          <w:rFonts w:hint="eastAsia"/>
          <w:lang w:val="en-US" w:eastAsia="zh-CN"/>
        </w:rPr>
      </w:pPr>
      <w:r>
        <w:rPr>
          <w:rFonts w:hint="eastAsia"/>
          <w:lang w:val="en-US" w:eastAsia="zh-CN"/>
        </w:rPr>
        <w:t>1.部门（单位）财政拨款收入情况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contextualSpacing/>
        <w:jc w:val="left"/>
        <w:textAlignment w:val="auto"/>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财政拨款收入共计3433.97万元，其中专项债券3000万元，一般公共预算拨款433.97万元。</w:t>
      </w:r>
    </w:p>
    <w:p>
      <w:pPr>
        <w:pStyle w:val="7"/>
        <w:numPr>
          <w:ilvl w:val="0"/>
          <w:numId w:val="10"/>
        </w:numPr>
        <w:bidi w:val="0"/>
        <w:spacing w:after="0" w:afterLines="0" w:afterAutospacing="0"/>
        <w:rPr>
          <w:rFonts w:hint="eastAsia"/>
          <w:lang w:val="en-US" w:eastAsia="zh-CN"/>
        </w:rPr>
      </w:pPr>
      <w:r>
        <w:rPr>
          <w:rFonts w:hint="eastAsia"/>
          <w:lang w:val="en-US" w:eastAsia="zh-CN"/>
        </w:rPr>
        <w:t>部门（单位）财政拨款支出情况</w:t>
      </w:r>
    </w:p>
    <w:p>
      <w:pPr>
        <w:pStyle w:val="19"/>
        <w:spacing w:beforeAutospacing="0" w:afterLines="0" w:afterAutospacing="0"/>
        <w:ind w:left="0" w:leftChars="0" w:firstLine="640" w:firstLineChars="200"/>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财政拨款支出共计3433.97万元，其中专项债券3000万元，用于下寺门诊住院综合楼项目支出。一般公共预算拨款433.97万元。</w:t>
      </w:r>
    </w:p>
    <w:p>
      <w:pPr>
        <w:pStyle w:val="7"/>
        <w:numPr>
          <w:ilvl w:val="0"/>
          <w:numId w:val="10"/>
        </w:numPr>
        <w:bidi w:val="0"/>
        <w:spacing w:before="0" w:beforeLines="0" w:beforeAutospacing="0" w:after="0" w:afterLines="0" w:afterAutospacing="0"/>
        <w:rPr>
          <w:rFonts w:hint="eastAsia"/>
          <w:lang w:val="en-US" w:eastAsia="zh-CN"/>
        </w:rPr>
      </w:pPr>
      <w:r>
        <w:rPr>
          <w:rFonts w:hint="eastAsia"/>
          <w:lang w:val="en-US" w:eastAsia="zh-CN"/>
        </w:rPr>
        <w:t>部门（单位）财政拨款结转结余情况</w:t>
      </w:r>
    </w:p>
    <w:p>
      <w:pPr>
        <w:numPr>
          <w:ilvl w:val="0"/>
          <w:numId w:val="0"/>
        </w:numPr>
        <w:spacing w:beforeAutospacing="0" w:afterAutospacing="0"/>
        <w:ind w:left="0" w:leftChars="0" w:firstLine="0" w:firstLineChars="0"/>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财政拨款无结余。</w:t>
      </w:r>
    </w:p>
    <w:p>
      <w:pPr>
        <w:pStyle w:val="6"/>
        <w:bidi w:val="0"/>
        <w:spacing w:before="0" w:beforeLines="0" w:beforeAutospacing="0" w:after="0" w:afterLines="0" w:afterAutospacing="0"/>
      </w:pPr>
      <w:r>
        <w:rPr>
          <w:rFonts w:hint="eastAsia"/>
        </w:rPr>
        <w:t>三、</w:t>
      </w:r>
      <w:r>
        <w:rPr>
          <w:rFonts w:hint="eastAsia"/>
          <w:lang w:eastAsia="zh-CN"/>
        </w:rPr>
        <w:t>部门（单位）</w:t>
      </w:r>
      <w:r>
        <w:rPr>
          <w:rFonts w:hint="eastAsia"/>
        </w:rPr>
        <w:t>整体绩效</w:t>
      </w:r>
      <w:r>
        <w:rPr>
          <w:rFonts w:hint="eastAsia"/>
          <w:lang w:eastAsia="zh-CN"/>
        </w:rPr>
        <w:t>分析</w:t>
      </w:r>
    </w:p>
    <w:p>
      <w:pPr>
        <w:pStyle w:val="7"/>
        <w:bidi w:val="0"/>
        <w:spacing w:before="0" w:beforeLines="0" w:beforeAutospacing="0" w:after="0" w:afterLines="0" w:afterAutospacing="0"/>
        <w:rPr>
          <w:rFonts w:hint="eastAsia"/>
          <w:lang w:val="zh-CN"/>
        </w:rPr>
      </w:pPr>
      <w:r>
        <w:rPr>
          <w:rFonts w:hint="eastAsia"/>
          <w:lang w:val="zh-CN"/>
        </w:rPr>
        <w:t>（一）部门（单位）预算项目绩效分析。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1.产出指标完成情况分析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zh-CN" w:eastAsia="zh-CN" w:bidi="ar-SA"/>
        </w:rPr>
        <w:t>（1）数量指标：2022年完成政府指定大规模核酸检测活动超</w:t>
      </w:r>
      <w:r>
        <w:rPr>
          <w:rFonts w:hint="eastAsia" w:ascii="仿宋" w:hAnsi="仿宋" w:eastAsia="仿宋" w:cs="仿宋"/>
          <w:color w:val="000000"/>
          <w:kern w:val="0"/>
          <w:sz w:val="32"/>
          <w:szCs w:val="32"/>
          <w:shd w:val="clear" w:color="auto" w:fill="FFFFFF"/>
          <w:lang w:val="en-US" w:eastAsia="zh-CN" w:bidi="ar-SA"/>
        </w:rPr>
        <w:t>10次以上；受疫情影响，下乡义诊活动开展次数减少。基本完成数量指标执行情况。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　　（2）质量指标：2022年涉及的设备采购及人员培训质量指标符合预期绩效目标。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　　（3）时效指标：按照工作计划，在2022年1-12月期间完成，时效指标符合预期绩效目标。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　　（4）成本指标：2022年成本指标符合预期绩效目标。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　　2.效益指标完成情况分析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zh-CN" w:eastAsia="zh-CN" w:bidi="ar-SA"/>
        </w:rPr>
        <w:t>（1）社会效益指标：</w:t>
      </w:r>
      <w:r>
        <w:rPr>
          <w:rFonts w:hint="eastAsia" w:ascii="仿宋" w:hAnsi="仿宋" w:eastAsia="仿宋" w:cs="仿宋"/>
          <w:color w:val="000000"/>
          <w:kern w:val="0"/>
          <w:sz w:val="32"/>
          <w:szCs w:val="32"/>
          <w:shd w:val="clear" w:color="auto" w:fill="FFFFFF"/>
          <w:lang w:val="en-US" w:eastAsia="zh-CN" w:bidi="ar-SA"/>
        </w:rPr>
        <w:t>2022年社会效益指标基本符合预期绩效目标。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　　（2）可持续影响指标：实现收支平衡，保障公立医院长期、稳定运营。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　　3.满意度指标完成情况分析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lang w:val="zh-CN"/>
        </w:rPr>
      </w:pPr>
      <w:r>
        <w:rPr>
          <w:rFonts w:hint="eastAsia" w:ascii="仿宋" w:hAnsi="仿宋" w:eastAsia="仿宋" w:cs="仿宋"/>
          <w:color w:val="000000"/>
          <w:kern w:val="0"/>
          <w:sz w:val="32"/>
          <w:szCs w:val="32"/>
          <w:shd w:val="clear" w:color="auto" w:fill="FFFFFF"/>
          <w:lang w:val="zh-CN" w:eastAsia="zh-CN" w:bidi="ar-SA"/>
        </w:rPr>
        <w:t>　　医院职工满意度、门诊患者满意度、住院患者满意度</w:t>
      </w:r>
      <w:r>
        <w:rPr>
          <w:rFonts w:hint="eastAsia" w:ascii="仿宋" w:hAnsi="仿宋" w:eastAsia="仿宋" w:cs="仿宋"/>
          <w:color w:val="000000"/>
          <w:kern w:val="0"/>
          <w:sz w:val="32"/>
          <w:szCs w:val="32"/>
          <w:shd w:val="clear" w:color="auto" w:fill="FFFFFF"/>
          <w:lang w:val="en-US" w:eastAsia="zh-CN" w:bidi="ar-SA"/>
        </w:rPr>
        <w:t>均达到95分以上</w:t>
      </w:r>
      <w:r>
        <w:rPr>
          <w:rFonts w:hint="eastAsia" w:ascii="仿宋" w:hAnsi="仿宋" w:eastAsia="仿宋" w:cs="仿宋"/>
          <w:color w:val="000000"/>
          <w:kern w:val="0"/>
          <w:sz w:val="32"/>
          <w:szCs w:val="32"/>
          <w:shd w:val="clear" w:color="auto" w:fill="FFFFFF"/>
          <w:lang w:val="zh-CN" w:eastAsia="zh-CN" w:bidi="ar-SA"/>
        </w:rPr>
        <w:t>，满意度指标符合预期绩效目标。</w:t>
      </w:r>
    </w:p>
    <w:p>
      <w:pPr>
        <w:pStyle w:val="7"/>
        <w:bidi w:val="0"/>
        <w:spacing w:before="0" w:beforeLines="0" w:beforeAutospacing="0" w:after="0" w:afterLines="0" w:afterAutospacing="0"/>
        <w:rPr>
          <w:rFonts w:hint="eastAsia"/>
          <w:lang w:val="zh-CN"/>
        </w:rPr>
      </w:pPr>
      <w:r>
        <w:rPr>
          <w:rFonts w:hint="eastAsia"/>
          <w:lang w:val="zh-CN"/>
        </w:rPr>
        <w:t>（二）结果应用情况。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rPr>
          <w:rFonts w:hint="eastAsia" w:ascii="仿宋_GB2312" w:hAnsi="宋体" w:cs="宋体"/>
          <w:color w:val="000000"/>
          <w:kern w:val="0"/>
          <w:szCs w:val="32"/>
          <w:highlight w:val="none"/>
          <w:shd w:val="clear" w:color="auto" w:fill="FFFFFF"/>
          <w:lang w:val="zh-CN"/>
        </w:rPr>
      </w:pPr>
      <w:r>
        <w:rPr>
          <w:rFonts w:hint="eastAsia" w:ascii="仿宋" w:hAnsi="仿宋" w:eastAsia="仿宋" w:cs="仿宋"/>
          <w:color w:val="000000"/>
          <w:kern w:val="0"/>
          <w:sz w:val="32"/>
          <w:szCs w:val="32"/>
          <w:shd w:val="clear" w:color="auto" w:fill="FFFFFF"/>
          <w:lang w:val="zh-CN" w:eastAsia="zh-CN" w:bidi="ar-SA"/>
        </w:rPr>
        <w:t>医院高度重视预算绩效评价管理工作，逐步完善单位预算评价机制，及时开展预算自查自评工作，严格按照财政项目资金规定专款专用，支出控制不超过整体预算，所有财政项目资金支出均符合预期绩效目标。</w:t>
      </w:r>
    </w:p>
    <w:p>
      <w:pPr>
        <w:pStyle w:val="6"/>
        <w:bidi w:val="0"/>
        <w:spacing w:before="0" w:beforeLines="0" w:beforeAutospacing="0" w:after="0" w:afterLines="0" w:afterAutospacing="0"/>
      </w:pPr>
      <w:r>
        <w:rPr>
          <w:rFonts w:hint="eastAsia"/>
        </w:rPr>
        <w:t>四、评价结论及建议</w:t>
      </w:r>
    </w:p>
    <w:p>
      <w:pPr>
        <w:pStyle w:val="7"/>
        <w:bidi w:val="0"/>
        <w:spacing w:before="0" w:beforeLines="0" w:beforeAutospacing="0" w:after="0" w:afterLines="0" w:afterAutospacing="0"/>
        <w:rPr>
          <w:rFonts w:hint="eastAsia"/>
          <w:lang w:val="zh-CN"/>
        </w:rPr>
      </w:pPr>
      <w:r>
        <w:rPr>
          <w:rFonts w:hint="eastAsia"/>
          <w:lang w:val="zh-CN"/>
        </w:rPr>
        <w:t>（一）评价结论。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rPr>
          <w:rFonts w:hint="default" w:eastAsia="仿宋_GB2312"/>
          <w:lang w:val="en-US" w:eastAsia="zh-CN"/>
        </w:rPr>
      </w:pPr>
      <w:r>
        <w:rPr>
          <w:rFonts w:hint="eastAsia" w:ascii="仿宋" w:hAnsi="仿宋" w:eastAsia="仿宋" w:cs="仿宋"/>
          <w:color w:val="000000"/>
          <w:kern w:val="0"/>
          <w:sz w:val="32"/>
          <w:szCs w:val="32"/>
          <w:shd w:val="clear" w:color="auto" w:fill="FFFFFF"/>
          <w:lang w:val="en-US" w:eastAsia="zh-CN" w:bidi="ar-SA"/>
        </w:rPr>
        <w:t>医院经预算绩效目标综合自评，2022年年部门整体支出绩效评价得分91分。</w:t>
      </w:r>
    </w:p>
    <w:p>
      <w:pPr>
        <w:pStyle w:val="7"/>
        <w:bidi w:val="0"/>
        <w:spacing w:before="0" w:beforeLines="0" w:beforeAutospacing="0" w:after="0" w:afterLines="0" w:afterAutospacing="0"/>
        <w:rPr>
          <w:rFonts w:hint="eastAsia"/>
          <w:lang w:val="zh-CN"/>
        </w:rPr>
      </w:pPr>
      <w:r>
        <w:rPr>
          <w:rFonts w:hint="eastAsia"/>
          <w:lang w:val="zh-CN" w:eastAsia="zh-CN"/>
        </w:rPr>
        <w:t>（二）</w:t>
      </w:r>
      <w:r>
        <w:rPr>
          <w:rFonts w:hint="eastAsia"/>
          <w:lang w:val="zh-CN"/>
        </w:rPr>
        <w:t>存在问题。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rPr>
          <w:rFonts w:hint="eastAsia"/>
          <w:lang w:val="zh-CN"/>
        </w:rPr>
      </w:pPr>
      <w:r>
        <w:rPr>
          <w:rFonts w:hint="eastAsia" w:ascii="仿宋" w:hAnsi="仿宋" w:eastAsia="仿宋" w:cs="仿宋"/>
          <w:color w:val="000000"/>
          <w:kern w:val="0"/>
          <w:sz w:val="32"/>
          <w:szCs w:val="32"/>
          <w:shd w:val="clear" w:color="auto" w:fill="FFFFFF"/>
          <w:lang w:val="en-US" w:eastAsia="zh-CN" w:bidi="ar-SA"/>
        </w:rPr>
        <w:t>医院需</w:t>
      </w:r>
      <w:r>
        <w:rPr>
          <w:rFonts w:hint="eastAsia" w:ascii="仿宋" w:hAnsi="仿宋" w:eastAsia="仿宋" w:cs="仿宋"/>
          <w:color w:val="000000"/>
          <w:kern w:val="0"/>
          <w:sz w:val="32"/>
          <w:szCs w:val="32"/>
          <w:shd w:val="clear" w:color="auto" w:fill="FFFFFF"/>
          <w:lang w:val="zh-CN" w:eastAsia="zh-CN" w:bidi="ar-SA"/>
        </w:rPr>
        <w:t>加快推进人才建设，提高医疗水平；绩效目标规划不够合理，还需进一步结合医院自身实际发展状况设定绩效目标。</w:t>
      </w:r>
    </w:p>
    <w:p>
      <w:pPr>
        <w:pStyle w:val="7"/>
        <w:numPr>
          <w:ilvl w:val="0"/>
          <w:numId w:val="9"/>
        </w:numPr>
        <w:bidi w:val="0"/>
        <w:spacing w:before="0" w:beforeLines="0" w:beforeAutospacing="0" w:after="0" w:afterLines="0" w:afterAutospacing="0"/>
        <w:rPr>
          <w:rFonts w:hint="eastAsia"/>
          <w:lang w:val="zh-CN"/>
        </w:rPr>
      </w:pPr>
      <w:r>
        <w:rPr>
          <w:rFonts w:hint="eastAsia"/>
          <w:lang w:val="zh-CN"/>
        </w:rPr>
        <w:t>改进建议。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Autospacing="0"/>
        <w:ind w:left="0" w:leftChars="0" w:firstLine="640" w:firstLineChars="200"/>
        <w:textAlignment w:val="baseline"/>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申报预算时，应充分结合医院自身发展需求及实际收支状况，编制科学合理的预算方案，根据预算方案设定绩效目标，按时对预算执行结果进行分析及评价。将预算目标执行情况更好地应用于医院的日常活动中。</w:t>
      </w:r>
    </w:p>
    <w:p>
      <w:pPr>
        <w:rPr>
          <w:rFonts w:hint="eastAsia" w:ascii="仿宋" w:hAnsi="仿宋" w:eastAsia="仿宋" w:cs="仿宋"/>
          <w:color w:val="000000"/>
          <w:kern w:val="0"/>
          <w:sz w:val="32"/>
          <w:szCs w:val="32"/>
          <w:shd w:val="clear" w:color="auto" w:fill="FFFFFF"/>
          <w:lang w:val="en-US" w:eastAsia="zh-CN" w:bidi="ar-SA"/>
        </w:rPr>
      </w:pPr>
    </w:p>
    <w:p>
      <w:pPr>
        <w:pStyle w:val="24"/>
        <w:rPr>
          <w:rFonts w:hint="eastAsia" w:ascii="仿宋" w:hAnsi="仿宋" w:eastAsia="仿宋" w:cs="仿宋"/>
          <w:color w:val="000000"/>
          <w:kern w:val="0"/>
          <w:sz w:val="32"/>
          <w:szCs w:val="32"/>
          <w:shd w:val="clear" w:color="auto" w:fill="FFFFFF"/>
          <w:lang w:val="en-US" w:eastAsia="zh-CN" w:bidi="ar-SA"/>
        </w:rPr>
      </w:pPr>
    </w:p>
    <w:p>
      <w:pPr>
        <w:rPr>
          <w:rFonts w:hint="eastAsia" w:ascii="仿宋" w:hAnsi="仿宋" w:eastAsia="仿宋" w:cs="仿宋"/>
          <w:color w:val="000000"/>
          <w:kern w:val="0"/>
          <w:sz w:val="32"/>
          <w:szCs w:val="32"/>
          <w:shd w:val="clear" w:color="auto" w:fill="FFFFFF"/>
          <w:lang w:val="en-US" w:eastAsia="zh-CN" w:bidi="ar-SA"/>
        </w:rPr>
      </w:pPr>
    </w:p>
    <w:p>
      <w:pPr>
        <w:pStyle w:val="24"/>
        <w:rPr>
          <w:rFonts w:hint="eastAsia" w:ascii="仿宋" w:hAnsi="仿宋" w:eastAsia="仿宋" w:cs="仿宋"/>
          <w:color w:val="000000"/>
          <w:kern w:val="0"/>
          <w:sz w:val="32"/>
          <w:szCs w:val="32"/>
          <w:shd w:val="clear" w:color="auto" w:fill="FFFFFF"/>
          <w:lang w:val="en-US" w:eastAsia="zh-CN" w:bidi="ar-SA"/>
        </w:rPr>
      </w:pPr>
    </w:p>
    <w:p>
      <w:pPr>
        <w:rPr>
          <w:rFonts w:hint="default"/>
          <w:lang w:val="en-US" w:eastAsia="zh-CN"/>
        </w:rPr>
      </w:pPr>
    </w:p>
    <w:tbl>
      <w:tblPr>
        <w:tblStyle w:val="20"/>
        <w:tblW w:w="7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
        <w:gridCol w:w="819"/>
        <w:gridCol w:w="1492"/>
        <w:gridCol w:w="1586"/>
        <w:gridCol w:w="859"/>
        <w:gridCol w:w="1228"/>
        <w:gridCol w:w="787"/>
        <w:gridCol w:w="563"/>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1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2022年度部门整体支出绩效目标自评表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年度主要</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年初任务目标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保障单位日常运转，提高预算编制质量，严格执行预算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预算执行情况（万元）</w:t>
            </w:r>
          </w:p>
        </w:tc>
        <w:tc>
          <w:tcPr>
            <w:tcW w:w="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 xml:space="preserve"> 其中：财政拨款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保障单位日常运转，提高居民健康水平，提高居民公共卫生均等化水平，提高患者就医满意度。</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保障单位日常运转，提高居民健康水平，提高居民公共卫生均等化水平，提高患者就医满意度。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预期指标值（包含数字及文字描述）</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实际完成指标值（包含数字及文字描述）</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财政复评得分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3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小于等于十次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涉及科目调整次数3次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占比大于百分之九十</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电脑等政府采购率100%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完成政府指令性医疗保障任务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完成至少5次医疗保障任务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完成大规模核酸采样超10次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开展义诊活动</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完成至少5次医疗义诊活动</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开展义诊活动2次</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受疫情影响，义诊活动开展受限。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开展基层医疗机构帮扶工作</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开展基层医疗机构帮扶3个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开展医疗机构对口支援工作</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开展医疗机构对口支援单位2个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准确度大于等于85%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37" w:name="_GoBack"/>
            <w:bookmarkEnd w:id="137"/>
            <w:r>
              <w:rPr>
                <w:rFonts w:hint="eastAsia" w:ascii="宋体" w:hAnsi="宋体" w:cs="宋体"/>
                <w:i w:val="0"/>
                <w:iCs w:val="0"/>
                <w:color w:val="000000"/>
                <w:kern w:val="0"/>
                <w:sz w:val="20"/>
                <w:szCs w:val="20"/>
                <w:u w:val="none"/>
                <w:lang w:val="en-US" w:eastAsia="zh-CN" w:bidi="ar"/>
              </w:rPr>
              <w:t>截至</w:t>
            </w:r>
            <w:r>
              <w:rPr>
                <w:rFonts w:hint="eastAsia" w:ascii="宋体" w:hAnsi="宋体" w:eastAsia="宋体" w:cs="宋体"/>
                <w:i w:val="0"/>
                <w:iCs w:val="0"/>
                <w:color w:val="000000"/>
                <w:kern w:val="0"/>
                <w:sz w:val="20"/>
                <w:szCs w:val="20"/>
                <w:u w:val="none"/>
                <w:lang w:val="en-US" w:eastAsia="zh-CN" w:bidi="ar"/>
              </w:rPr>
              <w:t>目前预算编制准确率为86%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小于5%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设备故障率4.2%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人员培训合格率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人员培训合格率100%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设备合格验收率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全部合格</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设备验收合格率100%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及时完成率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小于一年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照预估预算完成时间小于一年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成本控制有效性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各项支出相较上一年度有所下降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控制在预算100%以内</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未超出预算控制数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基本药物存量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大于等于80%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基本药物存量80%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设备利用率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大于等于95%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设备利用率为96%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提升基层医疗机构医疗服务能力</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提高服务能力水平</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逐步提升基层医疗机构医疗服务能力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社会群众满意率</w:t>
            </w:r>
          </w:p>
        </w:tc>
        <w:tc>
          <w:tcPr>
            <w:tcW w:w="13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社会群众满意率95%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572" w:lineRule="exact"/>
        <w:jc w:val="left"/>
        <w:outlineLvl w:val="0"/>
        <w:rPr>
          <w:rFonts w:ascii="仿宋_GB2312" w:hAnsi="仿宋_GB2312" w:eastAsia="仿宋_GB2312" w:cs="仿宋_GB2312"/>
          <w:sz w:val="32"/>
          <w:szCs w:val="32"/>
        </w:rPr>
      </w:pPr>
    </w:p>
    <w:tbl>
      <w:tblPr>
        <w:tblStyle w:val="2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7"/>
        <w:gridCol w:w="706"/>
        <w:gridCol w:w="472"/>
        <w:gridCol w:w="262"/>
        <w:gridCol w:w="1003"/>
        <w:gridCol w:w="269"/>
        <w:gridCol w:w="516"/>
        <w:gridCol w:w="816"/>
        <w:gridCol w:w="916"/>
        <w:gridCol w:w="516"/>
        <w:gridCol w:w="416"/>
        <w:gridCol w:w="816"/>
        <w:gridCol w:w="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27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109" w:name="_Toc15396618"/>
            <w:r>
              <w:rPr>
                <w:rFonts w:hint="eastAsia" w:ascii="宋体" w:hAnsi="宋体" w:eastAsia="宋体" w:cs="宋体"/>
                <w:b/>
                <w:bCs/>
                <w:i w:val="0"/>
                <w:iCs w:val="0"/>
                <w:color w:val="000000"/>
                <w:kern w:val="0"/>
                <w:sz w:val="32"/>
                <w:szCs w:val="32"/>
                <w:u w:val="none"/>
                <w:lang w:val="en-US" w:eastAsia="zh-CN" w:bidi="ar"/>
              </w:rPr>
              <w:t>2022年度部门预算项目支出绩效自评表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下寺门诊住院综合楼专项债券</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其中：中央、省、市财政资金</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县级财政资金</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购置一批医疗设备，进一步完善医疗设施建设，更好地提升医疗服务能力。</w:t>
            </w:r>
          </w:p>
        </w:tc>
        <w:tc>
          <w:tcPr>
            <w:tcW w:w="3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购置一批医疗设备，进一步完善医疗设施建设，更好地提升医疗服务能力。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财政复评得分</w:t>
            </w:r>
          </w:p>
        </w:tc>
        <w:tc>
          <w:tcPr>
            <w:tcW w:w="11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实际值</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完成设备采购数量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购置设备质量合格率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设备采购及时率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设备购置成本</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1925.56万元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效绩指标（30分）</w:t>
            </w: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设备使用率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提升医疗服务能力</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提高医疗收入</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由于疫情影响，医院实行封控政策，就诊人次下降，收入减少。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提高患者满意度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600" w:lineRule="exact"/>
        <w:jc w:val="both"/>
        <w:outlineLvl w:val="0"/>
        <w:rPr>
          <w:rFonts w:hint="eastAsia" w:ascii="宋体" w:hAnsi="宋体" w:cs="宋体"/>
          <w:kern w:val="0"/>
          <w:sz w:val="32"/>
          <w:szCs w:val="32"/>
        </w:rPr>
      </w:pPr>
    </w:p>
    <w:p>
      <w:pPr>
        <w:pStyle w:val="19"/>
        <w:ind w:left="420" w:leftChars="150" w:hanging="105" w:hangingChars="50"/>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afterAutospacing="0" w:line="600" w:lineRule="exact"/>
        <w:jc w:val="center"/>
        <w:outlineLvl w:val="0"/>
        <w:rPr>
          <w:rStyle w:val="33"/>
          <w:rFonts w:hint="eastAsia" w:ascii="黑体" w:hAnsi="黑体" w:eastAsia="黑体"/>
          <w:b w:val="0"/>
        </w:rPr>
      </w:pPr>
      <w:bookmarkStart w:id="110" w:name="_Toc31766"/>
      <w:r>
        <w:rPr>
          <w:rFonts w:hint="eastAsia" w:ascii="黑体" w:hAnsi="黑体" w:eastAsia="黑体"/>
          <w:sz w:val="44"/>
          <w:szCs w:val="44"/>
        </w:rPr>
        <w:t>第</w:t>
      </w:r>
      <w:r>
        <w:rPr>
          <w:rStyle w:val="33"/>
          <w:rFonts w:hint="eastAsia" w:ascii="黑体" w:hAnsi="黑体" w:eastAsia="黑体"/>
          <w:b w:val="0"/>
        </w:rPr>
        <w:t>五部分 附表</w:t>
      </w:r>
      <w:bookmarkEnd w:id="106"/>
      <w:bookmarkEnd w:id="109"/>
      <w:bookmarkEnd w:id="110"/>
      <w:bookmarkStart w:id="111" w:name="_Toc15396619"/>
    </w:p>
    <w:p>
      <w:pPr>
        <w:pStyle w:val="19"/>
      </w:pPr>
    </w:p>
    <w:p>
      <w:pPr>
        <w:pStyle w:val="18"/>
      </w:pPr>
    </w:p>
    <w:p>
      <w:pPr>
        <w:pStyle w:val="4"/>
        <w:spacing w:before="0" w:beforeAutospacing="0" w:after="0" w:afterAutospacing="0"/>
        <w:outlineLvl w:val="1"/>
        <w:rPr>
          <w:rFonts w:ascii="仿宋" w:hAnsi="仿宋" w:eastAsia="仿宋"/>
        </w:rPr>
      </w:pPr>
      <w:bookmarkStart w:id="112" w:name="_Toc5605"/>
      <w:r>
        <w:rPr>
          <w:rFonts w:hint="eastAsia" w:ascii="仿宋" w:hAnsi="仿宋" w:eastAsia="仿宋"/>
          <w:b w:val="0"/>
        </w:rPr>
        <w:t>一、收</w:t>
      </w:r>
      <w:r>
        <w:rPr>
          <w:rStyle w:val="34"/>
          <w:rFonts w:hint="eastAsia" w:ascii="仿宋" w:hAnsi="仿宋" w:eastAsia="仿宋"/>
          <w:b w:val="0"/>
          <w:bCs w:val="0"/>
        </w:rPr>
        <w:t>入支出决算总表</w:t>
      </w:r>
      <w:bookmarkEnd w:id="111"/>
      <w:bookmarkEnd w:id="112"/>
    </w:p>
    <w:p>
      <w:pPr>
        <w:pStyle w:val="4"/>
        <w:spacing w:before="0" w:beforeAutospacing="0" w:after="0" w:afterAutospacing="0"/>
        <w:outlineLvl w:val="1"/>
        <w:rPr>
          <w:rFonts w:ascii="仿宋" w:hAnsi="仿宋" w:eastAsia="仿宋"/>
        </w:rPr>
      </w:pPr>
      <w:bookmarkStart w:id="113" w:name="_Toc15396620"/>
      <w:bookmarkStart w:id="114" w:name="_Toc4801"/>
      <w:r>
        <w:rPr>
          <w:rFonts w:hint="eastAsia" w:ascii="仿宋" w:hAnsi="仿宋" w:eastAsia="仿宋"/>
          <w:b w:val="0"/>
        </w:rPr>
        <w:t>二、收</w:t>
      </w:r>
      <w:r>
        <w:rPr>
          <w:rStyle w:val="34"/>
          <w:rFonts w:hint="eastAsia" w:ascii="仿宋" w:hAnsi="仿宋" w:eastAsia="仿宋"/>
          <w:b w:val="0"/>
          <w:bCs w:val="0"/>
        </w:rPr>
        <w:t>入决算表</w:t>
      </w:r>
      <w:bookmarkEnd w:id="113"/>
      <w:bookmarkEnd w:id="114"/>
    </w:p>
    <w:p>
      <w:pPr>
        <w:pStyle w:val="4"/>
        <w:spacing w:before="0" w:beforeAutospacing="0" w:after="0" w:afterAutospacing="0"/>
        <w:outlineLvl w:val="1"/>
        <w:rPr>
          <w:rFonts w:ascii="仿宋" w:hAnsi="仿宋" w:eastAsia="仿宋"/>
        </w:rPr>
      </w:pPr>
      <w:bookmarkStart w:id="115" w:name="_Toc15396621"/>
      <w:bookmarkStart w:id="116" w:name="_Toc22535"/>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115"/>
      <w:bookmarkEnd w:id="116"/>
    </w:p>
    <w:p>
      <w:pPr>
        <w:pStyle w:val="4"/>
        <w:spacing w:before="0" w:beforeAutospacing="0" w:after="0" w:afterAutospacing="0"/>
        <w:outlineLvl w:val="1"/>
        <w:rPr>
          <w:rFonts w:ascii="仿宋" w:hAnsi="仿宋" w:eastAsia="仿宋"/>
          <w:b w:val="0"/>
        </w:rPr>
      </w:pPr>
      <w:bookmarkStart w:id="117" w:name="_Toc17555"/>
      <w:bookmarkStart w:id="118" w:name="_Toc15396622"/>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117"/>
      <w:bookmarkEnd w:id="118"/>
    </w:p>
    <w:p>
      <w:pPr>
        <w:pStyle w:val="4"/>
        <w:spacing w:before="0" w:beforeAutospacing="0" w:after="0" w:afterAutospacing="0"/>
        <w:outlineLvl w:val="1"/>
        <w:rPr>
          <w:rStyle w:val="34"/>
          <w:rFonts w:ascii="仿宋" w:hAnsi="仿宋" w:eastAsia="仿宋"/>
          <w:b w:val="0"/>
          <w:bCs w:val="0"/>
        </w:rPr>
      </w:pPr>
      <w:bookmarkStart w:id="119" w:name="_Toc14852"/>
      <w:bookmarkStart w:id="120" w:name="_Toc15396623"/>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119"/>
      <w:bookmarkEnd w:id="120"/>
      <w:bookmarkStart w:id="121" w:name="_Toc15396624"/>
    </w:p>
    <w:p>
      <w:pPr>
        <w:pStyle w:val="4"/>
        <w:spacing w:before="0" w:beforeAutospacing="0" w:after="0" w:afterAutospacing="0"/>
        <w:outlineLvl w:val="1"/>
        <w:rPr>
          <w:rFonts w:ascii="仿宋" w:hAnsi="仿宋" w:eastAsia="仿宋"/>
        </w:rPr>
      </w:pPr>
      <w:bookmarkStart w:id="122" w:name="_Toc6115"/>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121"/>
      <w:bookmarkEnd w:id="122"/>
    </w:p>
    <w:p>
      <w:pPr>
        <w:pStyle w:val="4"/>
        <w:spacing w:before="0" w:beforeAutospacing="0" w:after="0" w:afterAutospacing="0"/>
        <w:outlineLvl w:val="1"/>
        <w:rPr>
          <w:rFonts w:ascii="仿宋" w:hAnsi="仿宋" w:eastAsia="仿宋"/>
        </w:rPr>
      </w:pPr>
      <w:bookmarkStart w:id="123" w:name="_Toc13668"/>
      <w:bookmarkStart w:id="124" w:name="_Toc15396625"/>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123"/>
      <w:bookmarkEnd w:id="124"/>
    </w:p>
    <w:p>
      <w:pPr>
        <w:pStyle w:val="4"/>
        <w:spacing w:before="0" w:beforeAutospacing="0" w:after="0" w:afterAutospacing="0"/>
        <w:outlineLvl w:val="1"/>
        <w:rPr>
          <w:rFonts w:ascii="仿宋" w:hAnsi="仿宋" w:eastAsia="仿宋"/>
        </w:rPr>
      </w:pPr>
      <w:bookmarkStart w:id="125" w:name="_Toc15396626"/>
      <w:bookmarkStart w:id="126" w:name="_Toc8822"/>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125"/>
      <w:bookmarkEnd w:id="126"/>
    </w:p>
    <w:p>
      <w:pPr>
        <w:pStyle w:val="4"/>
        <w:spacing w:before="0" w:beforeAutospacing="0" w:after="0" w:afterAutospacing="0"/>
        <w:outlineLvl w:val="1"/>
        <w:rPr>
          <w:rFonts w:ascii="仿宋" w:hAnsi="仿宋" w:eastAsia="仿宋"/>
        </w:rPr>
      </w:pPr>
      <w:bookmarkStart w:id="127" w:name="_Toc2479"/>
      <w:bookmarkStart w:id="128" w:name="_Toc15396627"/>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127"/>
      <w:bookmarkEnd w:id="128"/>
    </w:p>
    <w:p>
      <w:pPr>
        <w:pStyle w:val="4"/>
        <w:spacing w:before="0" w:beforeAutospacing="0" w:after="0" w:afterAutospacing="0"/>
        <w:outlineLvl w:val="1"/>
        <w:rPr>
          <w:rFonts w:ascii="仿宋" w:hAnsi="仿宋" w:eastAsia="仿宋"/>
        </w:rPr>
      </w:pPr>
      <w:bookmarkStart w:id="129" w:name="_Toc15396628"/>
      <w:bookmarkStart w:id="130" w:name="_Toc2859"/>
      <w:r>
        <w:rPr>
          <w:rStyle w:val="34"/>
          <w:rFonts w:hint="eastAsia" w:ascii="仿宋" w:hAnsi="仿宋" w:eastAsia="仿宋"/>
          <w:b w:val="0"/>
          <w:bCs w:val="0"/>
        </w:rPr>
        <w:t>十、</w:t>
      </w:r>
      <w:bookmarkEnd w:id="129"/>
      <w:r>
        <w:rPr>
          <w:rFonts w:hint="eastAsia" w:ascii="仿宋" w:hAnsi="仿宋" w:eastAsia="仿宋"/>
          <w:b w:val="0"/>
        </w:rPr>
        <w:t>政</w:t>
      </w:r>
      <w:r>
        <w:rPr>
          <w:rStyle w:val="34"/>
          <w:rFonts w:hint="eastAsia" w:ascii="仿宋" w:hAnsi="仿宋" w:eastAsia="仿宋"/>
          <w:b w:val="0"/>
          <w:bCs w:val="0"/>
        </w:rPr>
        <w:t>府性基金预算财政拨款收入支出决算表</w:t>
      </w:r>
      <w:bookmarkEnd w:id="130"/>
    </w:p>
    <w:p>
      <w:pPr>
        <w:pStyle w:val="4"/>
        <w:spacing w:before="0" w:beforeAutospacing="0" w:after="0" w:afterAutospacing="0"/>
        <w:outlineLvl w:val="1"/>
        <w:rPr>
          <w:rFonts w:ascii="仿宋" w:hAnsi="仿宋" w:eastAsia="仿宋"/>
        </w:rPr>
      </w:pPr>
      <w:bookmarkStart w:id="131" w:name="_Toc15396629"/>
      <w:bookmarkStart w:id="132" w:name="_Toc23028"/>
      <w:r>
        <w:rPr>
          <w:rStyle w:val="34"/>
          <w:rFonts w:hint="eastAsia" w:ascii="仿宋" w:hAnsi="仿宋" w:eastAsia="仿宋"/>
          <w:b w:val="0"/>
          <w:bCs w:val="0"/>
        </w:rPr>
        <w:t>十一、</w:t>
      </w:r>
      <w:bookmarkEnd w:id="131"/>
      <w:r>
        <w:rPr>
          <w:rFonts w:hint="eastAsia" w:ascii="仿宋" w:hAnsi="仿宋" w:eastAsia="仿宋"/>
          <w:b w:val="0"/>
        </w:rPr>
        <w:t>国</w:t>
      </w:r>
      <w:r>
        <w:rPr>
          <w:rStyle w:val="34"/>
          <w:rFonts w:hint="eastAsia" w:ascii="仿宋" w:hAnsi="仿宋" w:eastAsia="仿宋"/>
          <w:b w:val="0"/>
          <w:bCs w:val="0"/>
        </w:rPr>
        <w:t>有资本经营预算财政拨款收入支出决算表</w:t>
      </w:r>
      <w:bookmarkEnd w:id="132"/>
    </w:p>
    <w:p>
      <w:pPr>
        <w:pStyle w:val="4"/>
        <w:spacing w:before="0" w:beforeAutospacing="0" w:after="0" w:afterAutospacing="0"/>
        <w:outlineLvl w:val="1"/>
        <w:rPr>
          <w:rFonts w:ascii="仿宋" w:hAnsi="仿宋" w:eastAsia="仿宋"/>
        </w:rPr>
      </w:pPr>
      <w:bookmarkStart w:id="133" w:name="_Toc15396630"/>
      <w:bookmarkStart w:id="134" w:name="_Toc18898"/>
      <w:r>
        <w:rPr>
          <w:rStyle w:val="34"/>
          <w:rFonts w:hint="eastAsia" w:ascii="仿宋" w:hAnsi="仿宋" w:eastAsia="仿宋"/>
          <w:b w:val="0"/>
          <w:bCs w:val="0"/>
        </w:rPr>
        <w:t>十二、</w:t>
      </w:r>
      <w:bookmarkEnd w:id="133"/>
      <w:r>
        <w:rPr>
          <w:rStyle w:val="34"/>
          <w:rFonts w:hint="eastAsia" w:ascii="仿宋" w:hAnsi="仿宋" w:eastAsia="仿宋"/>
          <w:b w:val="0"/>
          <w:bCs w:val="0"/>
        </w:rPr>
        <w:t>国有资本经营预算财政拨款支出决算表</w:t>
      </w:r>
      <w:bookmarkEnd w:id="134"/>
    </w:p>
    <w:p>
      <w:pPr>
        <w:pStyle w:val="4"/>
        <w:spacing w:before="0" w:beforeAutospacing="0" w:after="0" w:afterAutospacing="0"/>
        <w:outlineLvl w:val="1"/>
        <w:rPr>
          <w:rFonts w:eastAsia="仿宋"/>
        </w:rPr>
      </w:pPr>
      <w:bookmarkStart w:id="135" w:name="_Toc15396631"/>
      <w:bookmarkStart w:id="136" w:name="_Toc9147"/>
      <w:r>
        <w:rPr>
          <w:rStyle w:val="34"/>
          <w:rFonts w:hint="eastAsia" w:ascii="仿宋" w:hAnsi="仿宋" w:eastAsia="仿宋"/>
          <w:b w:val="0"/>
          <w:bCs w:val="0"/>
        </w:rPr>
        <w:t>十三、</w:t>
      </w:r>
      <w:bookmarkEnd w:id="135"/>
      <w:r>
        <w:rPr>
          <w:rStyle w:val="34"/>
          <w:rFonts w:hint="eastAsia" w:ascii="仿宋" w:hAnsi="仿宋" w:eastAsia="仿宋"/>
          <w:b w:val="0"/>
          <w:bCs w:val="0"/>
        </w:rPr>
        <w:t>财政拨款“三公”经费支出决算表</w:t>
      </w:r>
      <w:bookmarkEnd w:id="136"/>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9"/>
                    </w:pP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37AF4"/>
    <w:multiLevelType w:val="singleLevel"/>
    <w:tmpl w:val="B2537AF4"/>
    <w:lvl w:ilvl="0" w:tentative="0">
      <w:start w:val="4"/>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C476942"/>
    <w:multiLevelType w:val="multilevel"/>
    <w:tmpl w:val="DC476942"/>
    <w:lvl w:ilvl="0" w:tentative="0">
      <w:start w:val="1"/>
      <w:numFmt w:val="decimal"/>
      <w:suff w:val="nothing"/>
      <w:lvlText w:val="%1、"/>
      <w:lvlJc w:val="left"/>
      <w:pPr>
        <w:ind w:left="0" w:leftChars="0" w:firstLine="626" w:firstLineChars="0"/>
      </w:pPr>
    </w:lvl>
    <w:lvl w:ilvl="1" w:tentative="0">
      <w:start w:val="1"/>
      <w:numFmt w:val="decimal"/>
      <w:lvlText w:val="(%2)"/>
      <w:lvlJc w:val="left"/>
      <w:pPr>
        <w:tabs>
          <w:tab w:val="left" w:pos="840"/>
        </w:tabs>
        <w:ind w:left="1466" w:leftChars="0" w:hanging="420" w:firstLineChars="0"/>
      </w:pPr>
      <w:rPr>
        <w:rFonts w:hint="default"/>
      </w:rPr>
    </w:lvl>
    <w:lvl w:ilvl="2" w:tentative="0">
      <w:start w:val="1"/>
      <w:numFmt w:val="decimalEnclosedCircleChinese"/>
      <w:lvlText w:val="%3"/>
      <w:lvlJc w:val="left"/>
      <w:pPr>
        <w:tabs>
          <w:tab w:val="left" w:pos="1260"/>
        </w:tabs>
        <w:ind w:left="1886" w:leftChars="0" w:hanging="420" w:firstLineChars="0"/>
      </w:pPr>
      <w:rPr>
        <w:rFonts w:hint="default"/>
      </w:rPr>
    </w:lvl>
    <w:lvl w:ilvl="3" w:tentative="0">
      <w:start w:val="1"/>
      <w:numFmt w:val="decimal"/>
      <w:lvlText w:val="%4)"/>
      <w:lvlJc w:val="left"/>
      <w:pPr>
        <w:tabs>
          <w:tab w:val="left" w:pos="1680"/>
        </w:tabs>
        <w:ind w:left="2306" w:leftChars="0" w:hanging="420" w:firstLineChars="0"/>
      </w:pPr>
      <w:rPr>
        <w:rFonts w:hint="default"/>
      </w:rPr>
    </w:lvl>
    <w:lvl w:ilvl="4" w:tentative="0">
      <w:start w:val="1"/>
      <w:numFmt w:val="lowerLetter"/>
      <w:lvlText w:val="%5."/>
      <w:lvlJc w:val="left"/>
      <w:pPr>
        <w:tabs>
          <w:tab w:val="left" w:pos="2100"/>
        </w:tabs>
        <w:ind w:left="2726" w:leftChars="0" w:hanging="420" w:firstLineChars="0"/>
      </w:pPr>
      <w:rPr>
        <w:rFonts w:hint="default"/>
      </w:rPr>
    </w:lvl>
    <w:lvl w:ilvl="5" w:tentative="0">
      <w:start w:val="1"/>
      <w:numFmt w:val="lowerLetter"/>
      <w:lvlText w:val="%6)"/>
      <w:lvlJc w:val="left"/>
      <w:pPr>
        <w:tabs>
          <w:tab w:val="left" w:pos="2520"/>
        </w:tabs>
        <w:ind w:left="3146" w:leftChars="0" w:hanging="420" w:firstLineChars="0"/>
      </w:pPr>
      <w:rPr>
        <w:rFonts w:hint="default"/>
      </w:rPr>
    </w:lvl>
    <w:lvl w:ilvl="6" w:tentative="0">
      <w:start w:val="1"/>
      <w:numFmt w:val="lowerRoman"/>
      <w:lvlText w:val="%7."/>
      <w:lvlJc w:val="left"/>
      <w:pPr>
        <w:tabs>
          <w:tab w:val="left" w:pos="2940"/>
        </w:tabs>
        <w:ind w:left="3566" w:leftChars="0" w:hanging="420" w:firstLineChars="0"/>
      </w:pPr>
      <w:rPr>
        <w:rFonts w:hint="default"/>
      </w:rPr>
    </w:lvl>
    <w:lvl w:ilvl="7" w:tentative="0">
      <w:start w:val="1"/>
      <w:numFmt w:val="lowerRoman"/>
      <w:lvlText w:val="%8)"/>
      <w:lvlJc w:val="left"/>
      <w:pPr>
        <w:tabs>
          <w:tab w:val="left" w:pos="3360"/>
        </w:tabs>
        <w:ind w:left="3986" w:leftChars="0" w:hanging="420" w:firstLineChars="0"/>
      </w:pPr>
      <w:rPr>
        <w:rFonts w:hint="default"/>
      </w:rPr>
    </w:lvl>
    <w:lvl w:ilvl="8" w:tentative="0">
      <w:start w:val="1"/>
      <w:numFmt w:val="lowerLetter"/>
      <w:lvlText w:val="%9."/>
      <w:lvlJc w:val="left"/>
      <w:pPr>
        <w:tabs>
          <w:tab w:val="left" w:pos="3780"/>
        </w:tabs>
        <w:ind w:left="4406" w:leftChars="0" w:hanging="420" w:firstLineChars="0"/>
      </w:pPr>
      <w:rPr>
        <w:rFonts w:hint="default"/>
      </w:rPr>
    </w:lvl>
  </w:abstractNum>
  <w:abstractNum w:abstractNumId="3">
    <w:nsid w:val="FFCDA293"/>
    <w:multiLevelType w:val="singleLevel"/>
    <w:tmpl w:val="FFCDA293"/>
    <w:lvl w:ilvl="0" w:tentative="0">
      <w:start w:val="1"/>
      <w:numFmt w:val="decimal"/>
      <w:lvlText w:val="%1."/>
      <w:lvlJc w:val="left"/>
      <w:pPr>
        <w:tabs>
          <w:tab w:val="left" w:pos="312"/>
        </w:tabs>
      </w:p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331F33E"/>
    <w:multiLevelType w:val="singleLevel"/>
    <w:tmpl w:val="1331F33E"/>
    <w:lvl w:ilvl="0" w:tentative="0">
      <w:start w:val="1"/>
      <w:numFmt w:val="chineseCounting"/>
      <w:suff w:val="nothing"/>
      <w:lvlText w:val="（%1）"/>
      <w:lvlJc w:val="left"/>
      <w:rPr>
        <w:rFonts w:hint="eastAsia"/>
      </w:rPr>
    </w:lvl>
  </w:abstractNum>
  <w:abstractNum w:abstractNumId="7">
    <w:nsid w:val="300048AF"/>
    <w:multiLevelType w:val="singleLevel"/>
    <w:tmpl w:val="300048AF"/>
    <w:lvl w:ilvl="0" w:tentative="0">
      <w:start w:val="2"/>
      <w:numFmt w:val="decimal"/>
      <w:lvlText w:val="%1."/>
      <w:lvlJc w:val="left"/>
      <w:pPr>
        <w:tabs>
          <w:tab w:val="left" w:pos="312"/>
        </w:tabs>
      </w:pPr>
    </w:lvl>
  </w:abstractNum>
  <w:abstractNum w:abstractNumId="8">
    <w:nsid w:val="311F0FDF"/>
    <w:multiLevelType w:val="singleLevel"/>
    <w:tmpl w:val="311F0FDF"/>
    <w:lvl w:ilvl="0" w:tentative="0">
      <w:start w:val="1"/>
      <w:numFmt w:val="chineseCounting"/>
      <w:suff w:val="nothing"/>
      <w:lvlText w:val="（%1）"/>
      <w:lvlJc w:val="left"/>
      <w:rPr>
        <w:rFonts w:hint="eastAsia"/>
      </w:rPr>
    </w:lvl>
  </w:abstractNum>
  <w:abstractNum w:abstractNumId="9">
    <w:nsid w:val="3818A09A"/>
    <w:multiLevelType w:val="multilevel"/>
    <w:tmpl w:val="3818A09A"/>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9"/>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jZhOThhOGZiYzQwNWYwZTFhMmI3MTU3Nzg2NjEifQ=="/>
  </w:docVars>
  <w:rsids>
    <w:rsidRoot w:val="00F1361C"/>
    <w:rsid w:val="000222C6"/>
    <w:rsid w:val="0002549F"/>
    <w:rsid w:val="000409D9"/>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3C1B"/>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7CD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7BF4"/>
    <w:rsid w:val="004E0A2D"/>
    <w:rsid w:val="004E206B"/>
    <w:rsid w:val="004E6DF7"/>
    <w:rsid w:val="004F0FBD"/>
    <w:rsid w:val="00505A47"/>
    <w:rsid w:val="00512FDA"/>
    <w:rsid w:val="00520DA0"/>
    <w:rsid w:val="005664BB"/>
    <w:rsid w:val="00566FFA"/>
    <w:rsid w:val="0057481D"/>
    <w:rsid w:val="0058486E"/>
    <w:rsid w:val="00585B33"/>
    <w:rsid w:val="00587AA4"/>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0E31"/>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575B9"/>
    <w:rsid w:val="0096294D"/>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73A9"/>
    <w:rsid w:val="00B944D6"/>
    <w:rsid w:val="00BB4DF0"/>
    <w:rsid w:val="00BC289F"/>
    <w:rsid w:val="00BC2D50"/>
    <w:rsid w:val="00BC5361"/>
    <w:rsid w:val="00BC5460"/>
    <w:rsid w:val="00BC6B50"/>
    <w:rsid w:val="00BD0E25"/>
    <w:rsid w:val="00BF5BD6"/>
    <w:rsid w:val="00C03E31"/>
    <w:rsid w:val="00C1671B"/>
    <w:rsid w:val="00C33E72"/>
    <w:rsid w:val="00C354B2"/>
    <w:rsid w:val="00C35554"/>
    <w:rsid w:val="00C42709"/>
    <w:rsid w:val="00C533CC"/>
    <w:rsid w:val="00C56F3A"/>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5C5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23DCA"/>
    <w:rsid w:val="01934780"/>
    <w:rsid w:val="02407F1D"/>
    <w:rsid w:val="02550368"/>
    <w:rsid w:val="03E42821"/>
    <w:rsid w:val="045C354F"/>
    <w:rsid w:val="053A62B5"/>
    <w:rsid w:val="05C23886"/>
    <w:rsid w:val="06CD24E2"/>
    <w:rsid w:val="0A2032A3"/>
    <w:rsid w:val="0AE61DC4"/>
    <w:rsid w:val="0B8A37D8"/>
    <w:rsid w:val="0CBB579D"/>
    <w:rsid w:val="0E664FCA"/>
    <w:rsid w:val="0F4D7193"/>
    <w:rsid w:val="109B2FCE"/>
    <w:rsid w:val="10C055FF"/>
    <w:rsid w:val="118107EC"/>
    <w:rsid w:val="11DD6519"/>
    <w:rsid w:val="14755F67"/>
    <w:rsid w:val="14D47131"/>
    <w:rsid w:val="14E31A5A"/>
    <w:rsid w:val="16BB723D"/>
    <w:rsid w:val="17425D11"/>
    <w:rsid w:val="18015F3F"/>
    <w:rsid w:val="19F72851"/>
    <w:rsid w:val="1A951111"/>
    <w:rsid w:val="1BE8440E"/>
    <w:rsid w:val="1C016273"/>
    <w:rsid w:val="1D155CEE"/>
    <w:rsid w:val="208C5913"/>
    <w:rsid w:val="20F57F95"/>
    <w:rsid w:val="21B224EB"/>
    <w:rsid w:val="2273740C"/>
    <w:rsid w:val="240371BF"/>
    <w:rsid w:val="25711CC6"/>
    <w:rsid w:val="25C741E6"/>
    <w:rsid w:val="26610446"/>
    <w:rsid w:val="27842671"/>
    <w:rsid w:val="29FD04D3"/>
    <w:rsid w:val="2ABE7A3E"/>
    <w:rsid w:val="2C465205"/>
    <w:rsid w:val="2C4F68DB"/>
    <w:rsid w:val="2CA234A8"/>
    <w:rsid w:val="2EB536D8"/>
    <w:rsid w:val="2EFA178C"/>
    <w:rsid w:val="304D52F7"/>
    <w:rsid w:val="30B46D73"/>
    <w:rsid w:val="311566B0"/>
    <w:rsid w:val="319F7F4E"/>
    <w:rsid w:val="32DE626A"/>
    <w:rsid w:val="32ED1692"/>
    <w:rsid w:val="3406598F"/>
    <w:rsid w:val="368E4F3A"/>
    <w:rsid w:val="371C3DAC"/>
    <w:rsid w:val="3733163E"/>
    <w:rsid w:val="383D272C"/>
    <w:rsid w:val="39AE70AB"/>
    <w:rsid w:val="3C0C0783"/>
    <w:rsid w:val="3D8B50CD"/>
    <w:rsid w:val="3E935A7D"/>
    <w:rsid w:val="3F346265"/>
    <w:rsid w:val="3F9F3A96"/>
    <w:rsid w:val="3FE63ADD"/>
    <w:rsid w:val="3FE7786E"/>
    <w:rsid w:val="44071E88"/>
    <w:rsid w:val="48BF60AB"/>
    <w:rsid w:val="493C27E9"/>
    <w:rsid w:val="49461866"/>
    <w:rsid w:val="496F39ED"/>
    <w:rsid w:val="49F8189F"/>
    <w:rsid w:val="49FF41D3"/>
    <w:rsid w:val="4A54394D"/>
    <w:rsid w:val="4AEA6836"/>
    <w:rsid w:val="4B306404"/>
    <w:rsid w:val="4B5A58B9"/>
    <w:rsid w:val="4BBA0A13"/>
    <w:rsid w:val="4BE068DB"/>
    <w:rsid w:val="4BF6002B"/>
    <w:rsid w:val="4C464D2B"/>
    <w:rsid w:val="4ECE2238"/>
    <w:rsid w:val="4FDC525E"/>
    <w:rsid w:val="51DB4B86"/>
    <w:rsid w:val="52466271"/>
    <w:rsid w:val="52900D39"/>
    <w:rsid w:val="55333C3E"/>
    <w:rsid w:val="55BD096D"/>
    <w:rsid w:val="581D20BA"/>
    <w:rsid w:val="5C4B09D0"/>
    <w:rsid w:val="5C5A0451"/>
    <w:rsid w:val="5C6E6437"/>
    <w:rsid w:val="5F0A2931"/>
    <w:rsid w:val="5F32731A"/>
    <w:rsid w:val="5F617C85"/>
    <w:rsid w:val="616C5F8B"/>
    <w:rsid w:val="64CA39A1"/>
    <w:rsid w:val="66042274"/>
    <w:rsid w:val="69630ADE"/>
    <w:rsid w:val="6A026ACA"/>
    <w:rsid w:val="6C4A05C8"/>
    <w:rsid w:val="6CB7305F"/>
    <w:rsid w:val="6D3B1A89"/>
    <w:rsid w:val="6EB96DF5"/>
    <w:rsid w:val="6EDC1FE0"/>
    <w:rsid w:val="6F956817"/>
    <w:rsid w:val="703C7927"/>
    <w:rsid w:val="71BF4EC2"/>
    <w:rsid w:val="725A720B"/>
    <w:rsid w:val="72734D90"/>
    <w:rsid w:val="72E37CEC"/>
    <w:rsid w:val="73751A30"/>
    <w:rsid w:val="737B4316"/>
    <w:rsid w:val="7412278C"/>
    <w:rsid w:val="74B254D4"/>
    <w:rsid w:val="74ED11DA"/>
    <w:rsid w:val="752A4114"/>
    <w:rsid w:val="76A41635"/>
    <w:rsid w:val="76A7532F"/>
    <w:rsid w:val="79E7B28D"/>
    <w:rsid w:val="7B2D5625"/>
    <w:rsid w:val="7D1F4CA1"/>
    <w:rsid w:val="7D4B109A"/>
    <w:rsid w:val="7F923747"/>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link w:val="30"/>
    <w:qFormat/>
    <w:uiPriority w:val="99"/>
    <w:pPr>
      <w:spacing w:beforeLines="30"/>
    </w:pPr>
    <w:rPr>
      <w:rFonts w:ascii="仿宋_GB2312" w:eastAsia="仿宋_GB2312"/>
      <w:kern w:val="0"/>
      <w:sz w:val="30"/>
    </w:rPr>
  </w:style>
  <w:style w:type="paragraph" w:styleId="9">
    <w:name w:val="Body Text Indent"/>
    <w:basedOn w:val="1"/>
    <w:qFormat/>
    <w:uiPriority w:val="0"/>
    <w:pPr>
      <w:spacing w:afterLines="0" w:afterAutospacing="0"/>
      <w:ind w:left="420" w:leftChars="200"/>
    </w:p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qFormat/>
    <w:uiPriority w:val="99"/>
    <w:rPr>
      <w:rFonts w:ascii="宋体" w:hAnsi="Courier New" w:eastAsia="仿宋_GB2312" w:cs="Courier New"/>
      <w:b/>
      <w:sz w:val="32"/>
      <w:szCs w:val="21"/>
    </w:rPr>
  </w:style>
  <w:style w:type="paragraph" w:styleId="12">
    <w:name w:val="Balloon Text"/>
    <w:basedOn w:val="1"/>
    <w:link w:val="36"/>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2"/>
    <w:qFormat/>
    <w:uiPriority w:val="0"/>
    <w:pPr>
      <w:ind w:firstLine="420" w:firstLineChars="100"/>
    </w:pPr>
  </w:style>
  <w:style w:type="paragraph" w:styleId="19">
    <w:name w:val="Body Text First Indent 2"/>
    <w:basedOn w:val="9"/>
    <w:next w:val="1"/>
    <w:qFormat/>
    <w:uiPriority w:val="0"/>
    <w:pPr>
      <w:ind w:firstLine="420" w:firstLineChars="200"/>
    </w:p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paragraph" w:customStyle="1" w:styleId="24">
    <w:name w:val="ToCaption"/>
    <w:basedOn w:val="1"/>
    <w:next w:val="1"/>
    <w:qFormat/>
    <w:uiPriority w:val="0"/>
    <w:pPr>
      <w:ind w:left="200" w:leftChars="200" w:hanging="200" w:hangingChars="200"/>
      <w:jc w:val="both"/>
      <w:textAlignment w:val="baseline"/>
    </w:pPr>
  </w:style>
  <w:style w:type="character" w:customStyle="1" w:styleId="25">
    <w:name w:val="Header Char"/>
    <w:basedOn w:val="21"/>
    <w:semiHidden/>
    <w:qFormat/>
    <w:uiPriority w:val="99"/>
    <w:rPr>
      <w:rFonts w:ascii="Times New Roman" w:hAnsi="Times New Roman"/>
      <w:sz w:val="18"/>
      <w:szCs w:val="18"/>
    </w:rPr>
  </w:style>
  <w:style w:type="character" w:customStyle="1" w:styleId="26">
    <w:name w:val="页眉 字符"/>
    <w:link w:val="14"/>
    <w:semiHidden/>
    <w:qFormat/>
    <w:locked/>
    <w:uiPriority w:val="99"/>
    <w:rPr>
      <w:sz w:val="18"/>
    </w:rPr>
  </w:style>
  <w:style w:type="character" w:customStyle="1" w:styleId="27">
    <w:name w:val="Footer Char"/>
    <w:basedOn w:val="21"/>
    <w:semiHidden/>
    <w:qFormat/>
    <w:uiPriority w:val="99"/>
    <w:rPr>
      <w:rFonts w:ascii="Times New Roman" w:hAnsi="Times New Roman"/>
      <w:sz w:val="18"/>
      <w:szCs w:val="18"/>
    </w:rPr>
  </w:style>
  <w:style w:type="character" w:customStyle="1" w:styleId="28">
    <w:name w:val="页脚 字符"/>
    <w:link w:val="13"/>
    <w:qFormat/>
    <w:locked/>
    <w:uiPriority w:val="99"/>
    <w:rPr>
      <w:sz w:val="18"/>
    </w:rPr>
  </w:style>
  <w:style w:type="character" w:customStyle="1" w:styleId="29">
    <w:name w:val="Body Text Char"/>
    <w:basedOn w:val="21"/>
    <w:semiHidden/>
    <w:qFormat/>
    <w:uiPriority w:val="99"/>
    <w:rPr>
      <w:rFonts w:ascii="Times New Roman" w:hAnsi="Times New Roman"/>
      <w:szCs w:val="24"/>
    </w:rPr>
  </w:style>
  <w:style w:type="character" w:customStyle="1" w:styleId="30">
    <w:name w:val="正文文本 字符"/>
    <w:link w:val="2"/>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字符"/>
    <w:basedOn w:val="21"/>
    <w:link w:val="3"/>
    <w:qFormat/>
    <w:uiPriority w:val="9"/>
    <w:rPr>
      <w:rFonts w:ascii="Times New Roman" w:hAnsi="Times New Roman"/>
      <w:b/>
      <w:bCs/>
      <w:kern w:val="44"/>
      <w:sz w:val="44"/>
      <w:szCs w:val="44"/>
    </w:rPr>
  </w:style>
  <w:style w:type="character" w:customStyle="1" w:styleId="34">
    <w:name w:val="标题 2 字符"/>
    <w:basedOn w:val="21"/>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字符"/>
    <w:basedOn w:val="21"/>
    <w:link w:val="12"/>
    <w:semiHidden/>
    <w:qFormat/>
    <w:uiPriority w:val="99"/>
    <w:rPr>
      <w:rFonts w:ascii="Times New Roman" w:hAnsi="Times New Roman"/>
      <w:kern w:val="2"/>
      <w:sz w:val="18"/>
      <w:szCs w:val="18"/>
    </w:rPr>
  </w:style>
  <w:style w:type="character" w:customStyle="1" w:styleId="37">
    <w:name w:val="标题 3 字符"/>
    <w:basedOn w:val="21"/>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
    <w:name w:val="font21"/>
    <w:basedOn w:val="21"/>
    <w:qFormat/>
    <w:uiPriority w:val="0"/>
    <w:rPr>
      <w:rFonts w:hint="eastAsia" w:ascii="宋体" w:hAnsi="宋体" w:eastAsia="宋体" w:cs="宋体"/>
      <w:color w:val="000000"/>
      <w:sz w:val="20"/>
      <w:szCs w:val="20"/>
      <w:u w:val="none"/>
    </w:rPr>
  </w:style>
  <w:style w:type="character" w:customStyle="1" w:styleId="40">
    <w:name w:val="标题 4 Char"/>
    <w:link w:val="6"/>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HZ$D.627.4030\HZ$D.627.4032\&#20844;&#24320;&#21450;&#25209;&#22797;&#26448;&#26009;&#65288;&#20379;&#21442;&#32771;&#65289;\&#30465;&#26412;&#32423;\&#20844;&#24320;&#26448;&#26009;\&#20915;&#31639;&#20844;&#24320;&#25554;&#22270;&#21046;&#20316;&#31034;&#2036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AppData\Local\Temp\HZ$D.627.4030\HZ$D.627.4032\&#20844;&#24320;&#21450;&#25209;&#22797;&#26448;&#26009;&#65288;&#20379;&#21442;&#32771;&#65289;\&#30465;&#26412;&#32423;\&#20844;&#24320;&#26448;&#26009;\&#20915;&#31639;&#20844;&#24320;&#25554;&#22270;&#21046;&#20316;&#31034;&#2036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AppData\Local\Temp\HZ$D.627.4030\HZ$D.627.4032\&#20844;&#24320;&#21450;&#25209;&#22797;&#26448;&#26009;&#65288;&#20379;&#21442;&#32771;&#65289;\&#30465;&#26412;&#32423;\&#20844;&#24320;&#26448;&#26009;\&#20915;&#31639;&#20844;&#24320;&#25554;&#22270;&#21046;&#20316;&#31034;&#2036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0915;&#31639;&#20844;&#24320;\&#20915;&#31639;&#20844;&#24320;&#25554;&#22270;&#21046;&#20316;&#31034;&#203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800" b="1">
                <a:solidFill>
                  <a:schemeClr val="tx1"/>
                </a:solidFill>
              </a:rPr>
              <a:t>收入决算结构</a:t>
            </a:r>
            <a:endParaRPr altLang="en-US" sz="1800" b="1">
              <a:solidFill>
                <a:schemeClr val="tx1"/>
              </a:solidFill>
            </a:endParaRPr>
          </a:p>
        </c:rich>
      </c:tx>
      <c:layout/>
      <c:overlay val="0"/>
      <c:spPr>
        <a:noFill/>
        <a:ln>
          <a:noFill/>
        </a:ln>
        <a:effectLst/>
      </c:spPr>
    </c:title>
    <c:autoTitleDeleted val="0"/>
    <c:plotArea>
      <c:layout>
        <c:manualLayout>
          <c:layoutTarget val="inner"/>
          <c:xMode val="edge"/>
          <c:yMode val="edge"/>
          <c:x val="0.344097222222222"/>
          <c:y val="0.270330549601048"/>
          <c:w val="0.324305555555556"/>
          <c:h val="0.540509259259259"/>
        </c:manualLayout>
      </c:layout>
      <c:pieChart>
        <c:varyColors val="1"/>
        <c:ser>
          <c:idx val="0"/>
          <c:order val="0"/>
          <c:spPr/>
          <c:explosion val="0"/>
          <c:dLbls>
            <c:delete val="1"/>
          </c:dLbls>
          <c:cat>
            <c:strRef>
              <c:f>[决算公开插图制作示例.xlsx]图二!$A$1:$A$4</c:f>
              <c:strCache>
                <c:ptCount val="4"/>
                <c:pt idx="0">
                  <c:v>一、一般公共预算财政拨款收入</c:v>
                </c:pt>
                <c:pt idx="1">
                  <c:v>二、政府性基金预算财政拨款收入</c:v>
                </c:pt>
                <c:pt idx="2">
                  <c:v>三、事业收入</c:v>
                </c:pt>
                <c:pt idx="3">
                  <c:v>四、其他收入</c:v>
                </c:pt>
              </c:strCache>
            </c:strRef>
          </c:cat>
          <c:val>
            <c:numRef>
              <c:f>[决算公开插图制作示例.xlsx]图二!$B$1:$B$4</c:f>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40377173817993"/>
                  <c:y val="-0.08223887143342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tx1"/>
                        </a:solidFill>
                      </a:rPr>
                      <a:t>1.70%</a:t>
                    </a:r>
                    <a:endParaRPr>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3320954583319"/>
                  <c:y val="-0.01152660899068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tx1"/>
                        </a:solidFill>
                      </a:rPr>
                      <a:t>11.74%</a:t>
                    </a:r>
                    <a:endParaRPr>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74042838819255"/>
                  <c:y val="-0.03400495093131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tx1"/>
                        </a:solidFill>
                      </a:rPr>
                      <a:t>0.90%</a:t>
                    </a:r>
                    <a:endParaRPr>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[决算公开插图制作示例.xlsx]图二!$A$1:$A$4</c:f>
              <c:strCache>
                <c:ptCount val="4"/>
                <c:pt idx="0">
                  <c:v>一、一般公共预算财政拨款收入</c:v>
                </c:pt>
                <c:pt idx="1">
                  <c:v>二、政府性基金预算财政拨款收入</c:v>
                </c:pt>
                <c:pt idx="2">
                  <c:v>三、事业收入</c:v>
                </c:pt>
                <c:pt idx="3">
                  <c:v>四、其他收入</c:v>
                </c:pt>
              </c:strCache>
            </c:strRef>
          </c:cat>
          <c:val>
            <c:numRef>
              <c:f>[决算公开插图制作示例.xlsx]图二!$C$1:$C$4</c:f>
              <c:numCache>
                <c:formatCode>0.00%</c:formatCode>
                <c:ptCount val="4"/>
                <c:pt idx="0">
                  <c:v>0.0169879396862964</c:v>
                </c:pt>
                <c:pt idx="1">
                  <c:v>0.11743627222824</c:v>
                </c:pt>
                <c:pt idx="2">
                  <c:v>0.85660561415843</c:v>
                </c:pt>
                <c:pt idx="3">
                  <c:v>0.00897017392703371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支出决算结构</a:t>
            </a:r>
          </a:p>
        </c:rich>
      </c:tx>
      <c:layout>
        <c:manualLayout>
          <c:xMode val="edge"/>
          <c:yMode val="edge"/>
          <c:x val="0.308055555555556"/>
          <c:y val="0.0173611111111111"/>
        </c:manualLayout>
      </c:layout>
      <c:overlay val="0"/>
    </c:title>
    <c:autoTitleDeleted val="0"/>
    <c:plotArea>
      <c:layout>
        <c:manualLayout>
          <c:layoutTarget val="inner"/>
          <c:xMode val="edge"/>
          <c:yMode val="edge"/>
          <c:x val="0.169224846894138"/>
          <c:y val="0.150462962962963"/>
          <c:w val="0.566371172353456"/>
          <c:h val="0.689814814814815"/>
        </c:manualLayout>
      </c:layout>
      <c:pieChart>
        <c:varyColors val="1"/>
        <c:ser>
          <c:idx val="0"/>
          <c:order val="0"/>
          <c:explosion val="0"/>
          <c:dPt>
            <c:idx val="0"/>
            <c:bubble3D val="0"/>
          </c:dPt>
          <c:dPt>
            <c:idx val="1"/>
            <c:bubble3D val="0"/>
          </c:dPt>
          <c:dLbls>
            <c:dLbl>
              <c:idx val="0"/>
              <c:layout>
                <c:manualLayout>
                  <c:x val="-0.0192959317585302"/>
                  <c:y val="-0.2549066783318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2707786526685"/>
                  <c:y val="0.1505639399241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[决算公开插图制作示例.xlsx]图三!$A$2:$B$2</c:f>
              <c:strCache>
                <c:ptCount val="2"/>
                <c:pt idx="0">
                  <c:v>基本支出</c:v>
                </c:pt>
                <c:pt idx="1">
                  <c:v>项目支出</c:v>
                </c:pt>
              </c:strCache>
            </c:strRef>
          </c:cat>
          <c:val>
            <c:numRef>
              <c:f>[决算公开插图制作示例.xlsx]图三!$A$3:$B$3</c:f>
              <c:numCache>
                <c:formatCode>0.00%</c:formatCode>
                <c:ptCount val="2"/>
                <c:pt idx="0">
                  <c:v>0.8376</c:v>
                </c:pt>
                <c:pt idx="1">
                  <c:v>0.1624</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77043088363955"/>
          <c:y val="0.434801326917469"/>
          <c:w val="0.186845800524934"/>
          <c:h val="0.16743438320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一般公共预算财政拨款支出决算结构图</a:t>
            </a:r>
          </a:p>
        </c:rich>
      </c:tx>
      <c:layout>
        <c:manualLayout>
          <c:xMode val="edge"/>
          <c:yMode val="edge"/>
          <c:x val="0.1"/>
          <c:y val="0.0451388888888889"/>
        </c:manualLayout>
      </c:layout>
      <c:overlay val="0"/>
    </c:title>
    <c:autoTitleDeleted val="0"/>
    <c:plotArea>
      <c:layout/>
      <c:pieChart>
        <c:varyColors val="1"/>
        <c:ser>
          <c:idx val="0"/>
          <c:order val="0"/>
          <c:explosion val="0"/>
          <c:dPt>
            <c:idx val="0"/>
            <c:bubble3D val="0"/>
            <c:spPr>
              <a:solidFill>
                <a:schemeClr val="tx2">
                  <a:lumMod val="40000"/>
                  <a:lumOff val="60000"/>
                </a:schemeClr>
              </a:solidFill>
            </c:spPr>
          </c:dPt>
          <c:dPt>
            <c:idx val="1"/>
            <c:bubble3D val="0"/>
          </c:dPt>
          <c:dPt>
            <c:idx val="2"/>
            <c:bubble3D val="0"/>
          </c:dPt>
          <c:dPt>
            <c:idx val="3"/>
            <c:bubble3D val="0"/>
          </c:dPt>
          <c:dLbls>
            <c:dLbl>
              <c:idx val="0"/>
              <c:layout>
                <c:manualLayout>
                  <c:x val="0.0483216316710411"/>
                  <c:y val="0.09773804316127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46208442694663"/>
                  <c:y val="-0.03596310877806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951443569554"/>
                  <c:y val="-0.1322783610382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6543197725284"/>
                  <c:y val="-0.1086734470691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[决算公开插图制作示例.xlsx]图6!$A$2:$A$5</c:f>
              <c:strCache>
                <c:ptCount val="4"/>
                <c:pt idx="2">
                  <c:v>卫生健康(类)支出</c:v>
                </c:pt>
              </c:strCache>
            </c:strRef>
          </c:cat>
          <c:val>
            <c:numRef>
              <c:f>[决算公开插图制作示例.xlsx]图6!$B$2:$B$5</c:f>
              <c:numCache>
                <c:formatCode>General</c:formatCode>
                <c:ptCount val="4"/>
                <c:pt idx="2">
                  <c:v>433.97</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egendEntry>
        <c:idx val="0"/>
        <c:delete val="1"/>
      </c:legendEntry>
      <c:legendEntry>
        <c:idx val="1"/>
        <c:delete val="1"/>
      </c:legendEntry>
      <c:legendEntry>
        <c:idx val="3"/>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0"/>
              <c:layout>
                <c:manualLayout>
                  <c:x val="-0.0677309711286089"/>
                  <c:y val="-0.06258967629046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2130139982502"/>
                  <c:y val="-0.04985819480898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9491251093613"/>
                  <c:y val="0.05496974336541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[决算公开插图制作示例.xlsx]图7!$A$2:$A$4</c:f>
              <c:strCache>
                <c:ptCount val="3"/>
                <c:pt idx="0">
                  <c:v>因公出国（境）费支出</c:v>
                </c:pt>
                <c:pt idx="1">
                  <c:v>公务用车购置及运行维护费支出</c:v>
                </c:pt>
                <c:pt idx="2">
                  <c:v>公务接待费支出</c:v>
                </c:pt>
              </c:strCache>
            </c:strRef>
          </c:cat>
          <c:val>
            <c:numRef>
              <c:f>[决算公开插图制作示例.xlsx]图7!$B$2:$B$4</c:f>
              <c:numCache>
                <c:formatCode>General</c:formatCode>
                <c:ptCount val="3"/>
                <c:pt idx="0">
                  <c:v>0</c:v>
                </c:pt>
                <c:pt idx="1">
                  <c:v>4.27</c:v>
                </c:pt>
                <c:pt idx="2">
                  <c:v>25.59</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64920094314907"/>
          <c:y val="0.3415173897395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5274</Words>
  <Characters>626</Characters>
  <Lines>5</Lines>
  <Paragraphs>11</Paragraphs>
  <TotalTime>1</TotalTime>
  <ScaleCrop>false</ScaleCrop>
  <LinksUpToDate>false</LinksUpToDate>
  <CharactersWithSpaces>5889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NO LOVE</cp:lastModifiedBy>
  <cp:lastPrinted>2023-07-31T02:35:00Z</cp:lastPrinted>
  <dcterms:modified xsi:type="dcterms:W3CDTF">2023-10-30T02:14:09Z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B66413AEEA754C6884F2004FD71BDC63_13</vt:lpwstr>
  </property>
</Properties>
</file>