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7" w:firstLineChars="0"/>
      </w:pPr>
    </w:p>
    <w:tbl>
      <w:tblPr>
        <w:tblStyle w:val="2"/>
        <w:tblW w:w="146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287"/>
        <w:gridCol w:w="1175"/>
        <w:gridCol w:w="566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845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黑体" w:hAnsi="黑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剑阁县人力资源和社会保障局2023年度行政处罚实施情况统计表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</w:pPr>
            <w:r>
              <w:rPr>
                <w:rFonts w:hint="default"/>
                <w:lang w:val="en-US" w:eastAsia="zh-CN"/>
              </w:rPr>
              <w:t>制表单位（盖章）：剑阁县人力资源和</w:t>
            </w:r>
            <w:r>
              <w:rPr>
                <w:rFonts w:hint="eastAsia"/>
                <w:lang w:val="en-US" w:eastAsia="zh-CN"/>
              </w:rPr>
              <w:t>社会</w:t>
            </w:r>
            <w:r>
              <w:rPr>
                <w:rFonts w:hint="default"/>
                <w:lang w:val="en-US" w:eastAsia="zh-CN"/>
              </w:rPr>
              <w:t xml:space="preserve">保障局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default"/>
                <w:lang w:val="en-US" w:eastAsia="zh-CN"/>
              </w:rPr>
              <w:t xml:space="preserve">    制表日期：2024年1月10日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统一社会信用代码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单位全称</w:t>
            </w:r>
          </w:p>
        </w:tc>
        <w:tc>
          <w:tcPr>
            <w:tcW w:w="92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行政处罚实施数量（件）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罚没金额（万元）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警告、通报批评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罚款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没收违法所得、没收非法财物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暂扣许可证件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降低资质等级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吊销许可证件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限制开展生产经营活动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责令停产停业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责令关闭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限制从业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行政拘留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其他行政处罚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合 计（件）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11510721008477575T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剑阁县人力资源和社</w:t>
            </w:r>
            <w:r>
              <w:rPr>
                <w:rFonts w:hint="eastAsia"/>
                <w:lang w:val="en-US" w:eastAsia="zh-CN"/>
              </w:rPr>
              <w:t>会</w:t>
            </w:r>
            <w:bookmarkStart w:id="0" w:name="_GoBack"/>
            <w:bookmarkEnd w:id="0"/>
            <w:r>
              <w:rPr>
                <w:rFonts w:hint="default"/>
                <w:lang w:val="en-US" w:eastAsia="zh-CN"/>
              </w:rPr>
              <w:t>保障局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合计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17" w:firstLineChars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说明：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2.其他行政处罚，为法律、行政法规规定的其他行政处罚，比如通报批评、驱逐出境等。</w:t>
            </w:r>
            <w:r>
              <w:rPr>
                <w:lang w:val="en-US" w:eastAsia="zh-CN"/>
              </w:rPr>
              <w:t> 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4.没收违法所得、没收非法财物能确定金额的，计入“罚没金额”；不能确定金额的，不计入“罚没金额”。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5.“罚没金额”以处罚决定书确定的金额为准。</w:t>
            </w:r>
          </w:p>
        </w:tc>
      </w:tr>
    </w:tbl>
    <w:p>
      <w:pPr>
        <w:ind w:firstLine="317" w:firstLineChars="0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dhOTJiY2U5OTIxY2FiNTc1ZWRmMzhjOTg1YTEifQ=="/>
    <w:docVar w:name="KSO_WPS_MARK_KEY" w:val="c8184a62-075d-4962-bc50-dbc2c0c17fde"/>
  </w:docVars>
  <w:rsids>
    <w:rsidRoot w:val="33A15AB7"/>
    <w:rsid w:val="1FDFA4AF"/>
    <w:rsid w:val="2F33737E"/>
    <w:rsid w:val="33A15AB7"/>
    <w:rsid w:val="5E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1850</Words>
  <Characters>1986</Characters>
  <Lines>0</Lines>
  <Paragraphs>0</Paragraphs>
  <TotalTime>15</TotalTime>
  <ScaleCrop>false</ScaleCrop>
  <LinksUpToDate>false</LinksUpToDate>
  <CharactersWithSpaces>2164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2024-01-11T18:21:00Z</dcterms:created>
  <dc:creator>一枪毙命</dc:creator>
  <cp:lastModifiedBy>uos</cp:lastModifiedBy>
  <dcterms:modified xsi:type="dcterms:W3CDTF">2024-01-11T16:59:01Z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5103FA1E61064EB584D52C2A8F3C475B_11</vt:lpwstr>
  </property>
</Properties>
</file>