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pPr>
      <w:r>
        <w:rPr>
          <w:rFonts w:hint="eastAsia" w:eastAsia="方正小标宋简体"/>
          <w:kern w:val="0"/>
          <w:sz w:val="40"/>
          <w:szCs w:val="40"/>
          <w:lang w:bidi="ar"/>
        </w:rPr>
        <w:t>退役军人事务</w:t>
      </w:r>
      <w:r>
        <w:rPr>
          <w:rFonts w:eastAsia="方正小标宋简体"/>
          <w:kern w:val="0"/>
          <w:sz w:val="40"/>
          <w:szCs w:val="40"/>
          <w:lang w:bidi="ar"/>
        </w:rPr>
        <w:t>部门行政权力事项调整目录</w:t>
      </w:r>
    </w:p>
    <w:tbl>
      <w:tblPr>
        <w:tblStyle w:val="4"/>
        <w:tblW w:w="15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49"/>
        <w:gridCol w:w="715"/>
        <w:gridCol w:w="716"/>
        <w:gridCol w:w="1934"/>
        <w:gridCol w:w="375"/>
        <w:gridCol w:w="350"/>
        <w:gridCol w:w="387"/>
        <w:gridCol w:w="604"/>
        <w:gridCol w:w="705"/>
        <w:gridCol w:w="730"/>
        <w:gridCol w:w="4306"/>
        <w:gridCol w:w="1095"/>
        <w:gridCol w:w="405"/>
        <w:gridCol w:w="390"/>
        <w:gridCol w:w="42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88" w:type="dxa"/>
            <w:vMerge w:val="restart"/>
            <w:noWrap w:val="0"/>
            <w:vAlign w:val="center"/>
          </w:tcPr>
          <w:p>
            <w:pPr>
              <w:widowControl/>
              <w:spacing w:line="240" w:lineRule="exact"/>
              <w:jc w:val="center"/>
              <w:textAlignment w:val="center"/>
              <w:rPr>
                <w:szCs w:val="21"/>
              </w:rPr>
            </w:pPr>
            <w:r>
              <w:rPr>
                <w:rFonts w:eastAsia="黑体"/>
                <w:kern w:val="0"/>
                <w:szCs w:val="21"/>
                <w:lang w:bidi="ar"/>
              </w:rPr>
              <w:t>序号</w:t>
            </w:r>
          </w:p>
        </w:tc>
        <w:tc>
          <w:tcPr>
            <w:tcW w:w="949" w:type="dxa"/>
            <w:vMerge w:val="restart"/>
            <w:noWrap w:val="0"/>
            <w:vAlign w:val="center"/>
          </w:tcPr>
          <w:p>
            <w:pPr>
              <w:widowControl/>
              <w:spacing w:line="240" w:lineRule="exact"/>
              <w:jc w:val="center"/>
              <w:textAlignment w:val="center"/>
              <w:rPr>
                <w:rFonts w:hint="eastAsia" w:eastAsia="宋体"/>
                <w:szCs w:val="21"/>
                <w:lang w:eastAsia="zh-CN"/>
              </w:rPr>
            </w:pPr>
            <w:r>
              <w:rPr>
                <w:rFonts w:hint="eastAsia" w:eastAsia="黑体"/>
                <w:kern w:val="0"/>
                <w:szCs w:val="21"/>
                <w:lang w:eastAsia="zh-CN" w:bidi="ar"/>
              </w:rPr>
              <w:t>对应县级部门</w:t>
            </w:r>
          </w:p>
        </w:tc>
        <w:tc>
          <w:tcPr>
            <w:tcW w:w="715" w:type="dxa"/>
            <w:vMerge w:val="restart"/>
            <w:noWrap w:val="0"/>
            <w:vAlign w:val="center"/>
          </w:tcPr>
          <w:p>
            <w:pPr>
              <w:widowControl/>
              <w:spacing w:line="240" w:lineRule="exact"/>
              <w:jc w:val="center"/>
              <w:textAlignment w:val="center"/>
              <w:rPr>
                <w:rFonts w:eastAsia="黑体"/>
                <w:kern w:val="0"/>
                <w:szCs w:val="21"/>
                <w:lang w:bidi="ar"/>
              </w:rPr>
            </w:pPr>
            <w:r>
              <w:rPr>
                <w:rFonts w:hint="eastAsia" w:eastAsia="黑体"/>
                <w:kern w:val="0"/>
                <w:szCs w:val="21"/>
                <w:lang w:bidi="ar"/>
              </w:rPr>
              <w:t>清单序号</w:t>
            </w:r>
          </w:p>
        </w:tc>
        <w:tc>
          <w:tcPr>
            <w:tcW w:w="4366" w:type="dxa"/>
            <w:gridSpan w:val="6"/>
            <w:noWrap w:val="0"/>
            <w:vAlign w:val="center"/>
          </w:tcPr>
          <w:p>
            <w:pPr>
              <w:widowControl/>
              <w:spacing w:line="240" w:lineRule="exact"/>
              <w:jc w:val="center"/>
              <w:textAlignment w:val="center"/>
              <w:rPr>
                <w:rFonts w:eastAsia="黑体"/>
                <w:kern w:val="0"/>
                <w:szCs w:val="21"/>
                <w:lang w:bidi="ar"/>
              </w:rPr>
            </w:pPr>
            <w:r>
              <w:rPr>
                <w:rFonts w:hint="eastAsia" w:eastAsia="黑体"/>
                <w:kern w:val="0"/>
                <w:szCs w:val="21"/>
                <w:lang w:bidi="ar"/>
              </w:rPr>
              <w:t>当前情况</w:t>
            </w:r>
          </w:p>
        </w:tc>
        <w:tc>
          <w:tcPr>
            <w:tcW w:w="705" w:type="dxa"/>
            <w:vMerge w:val="restart"/>
            <w:noWrap w:val="0"/>
            <w:vAlign w:val="center"/>
          </w:tcPr>
          <w:p>
            <w:pPr>
              <w:widowControl/>
              <w:spacing w:line="240" w:lineRule="exact"/>
              <w:jc w:val="center"/>
              <w:textAlignment w:val="center"/>
              <w:rPr>
                <w:szCs w:val="21"/>
              </w:rPr>
            </w:pPr>
            <w:r>
              <w:rPr>
                <w:rFonts w:eastAsia="黑体"/>
                <w:kern w:val="0"/>
                <w:szCs w:val="21"/>
                <w:lang w:bidi="ar"/>
              </w:rPr>
              <w:t>调整方式</w:t>
            </w:r>
          </w:p>
        </w:tc>
        <w:tc>
          <w:tcPr>
            <w:tcW w:w="8006" w:type="dxa"/>
            <w:gridSpan w:val="7"/>
            <w:noWrap w:val="0"/>
            <w:vAlign w:val="center"/>
          </w:tcPr>
          <w:p>
            <w:pPr>
              <w:widowControl/>
              <w:spacing w:line="240" w:lineRule="exact"/>
              <w:jc w:val="center"/>
              <w:textAlignment w:val="center"/>
              <w:rPr>
                <w:rFonts w:hint="eastAsia" w:eastAsia="黑体"/>
                <w:szCs w:val="21"/>
              </w:rPr>
            </w:pPr>
            <w:r>
              <w:rPr>
                <w:rFonts w:hint="eastAsia" w:eastAsia="黑体"/>
                <w:szCs w:val="21"/>
              </w:rPr>
              <w:t>调整后情况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688" w:type="dxa"/>
            <w:vMerge w:val="continue"/>
            <w:noWrap w:val="0"/>
            <w:vAlign w:val="center"/>
          </w:tcPr>
          <w:p>
            <w:pPr>
              <w:widowControl/>
              <w:spacing w:line="240" w:lineRule="exact"/>
              <w:jc w:val="center"/>
              <w:rPr>
                <w:szCs w:val="21"/>
              </w:rPr>
            </w:pPr>
          </w:p>
        </w:tc>
        <w:tc>
          <w:tcPr>
            <w:tcW w:w="949" w:type="dxa"/>
            <w:vMerge w:val="continue"/>
            <w:noWrap w:val="0"/>
            <w:vAlign w:val="center"/>
          </w:tcPr>
          <w:p>
            <w:pPr>
              <w:widowControl/>
              <w:spacing w:line="240" w:lineRule="exact"/>
              <w:jc w:val="center"/>
              <w:rPr>
                <w:szCs w:val="21"/>
              </w:rPr>
            </w:pPr>
          </w:p>
        </w:tc>
        <w:tc>
          <w:tcPr>
            <w:tcW w:w="715" w:type="dxa"/>
            <w:vMerge w:val="continue"/>
            <w:noWrap w:val="0"/>
            <w:vAlign w:val="center"/>
          </w:tcPr>
          <w:p>
            <w:pPr>
              <w:widowControl/>
              <w:spacing w:line="240" w:lineRule="exact"/>
              <w:jc w:val="center"/>
              <w:rPr>
                <w:szCs w:val="21"/>
              </w:rPr>
            </w:pPr>
          </w:p>
        </w:tc>
        <w:tc>
          <w:tcPr>
            <w:tcW w:w="716" w:type="dxa"/>
            <w:vMerge w:val="restart"/>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权力类型</w:t>
            </w:r>
          </w:p>
        </w:tc>
        <w:tc>
          <w:tcPr>
            <w:tcW w:w="1934" w:type="dxa"/>
            <w:vMerge w:val="restart"/>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权力名称</w:t>
            </w:r>
          </w:p>
        </w:tc>
        <w:tc>
          <w:tcPr>
            <w:tcW w:w="1112" w:type="dxa"/>
            <w:gridSpan w:val="3"/>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行使层级</w:t>
            </w:r>
          </w:p>
        </w:tc>
        <w:tc>
          <w:tcPr>
            <w:tcW w:w="604" w:type="dxa"/>
            <w:vMerge w:val="restart"/>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备注</w:t>
            </w:r>
          </w:p>
        </w:tc>
        <w:tc>
          <w:tcPr>
            <w:tcW w:w="705" w:type="dxa"/>
            <w:vMerge w:val="continue"/>
            <w:noWrap w:val="0"/>
            <w:vAlign w:val="center"/>
          </w:tcPr>
          <w:p>
            <w:pPr>
              <w:widowControl/>
              <w:spacing w:line="240" w:lineRule="exact"/>
              <w:jc w:val="center"/>
              <w:rPr>
                <w:szCs w:val="21"/>
              </w:rPr>
            </w:pPr>
          </w:p>
        </w:tc>
        <w:tc>
          <w:tcPr>
            <w:tcW w:w="730" w:type="dxa"/>
            <w:vMerge w:val="restart"/>
            <w:noWrap w:val="0"/>
            <w:vAlign w:val="center"/>
          </w:tcPr>
          <w:p>
            <w:pPr>
              <w:widowControl/>
              <w:spacing w:line="240" w:lineRule="exact"/>
              <w:jc w:val="center"/>
              <w:textAlignment w:val="center"/>
              <w:rPr>
                <w:rFonts w:eastAsia="黑体"/>
                <w:kern w:val="0"/>
                <w:szCs w:val="21"/>
                <w:lang w:bidi="ar"/>
              </w:rPr>
            </w:pPr>
            <w:r>
              <w:rPr>
                <w:rFonts w:eastAsia="黑体"/>
                <w:kern w:val="0"/>
                <w:szCs w:val="21"/>
                <w:lang w:bidi="ar"/>
              </w:rPr>
              <w:t>权力</w:t>
            </w:r>
          </w:p>
          <w:p>
            <w:pPr>
              <w:widowControl/>
              <w:spacing w:line="240" w:lineRule="exact"/>
              <w:jc w:val="center"/>
              <w:rPr>
                <w:szCs w:val="21"/>
              </w:rPr>
            </w:pPr>
            <w:r>
              <w:rPr>
                <w:rFonts w:eastAsia="黑体"/>
                <w:kern w:val="0"/>
                <w:szCs w:val="21"/>
                <w:lang w:bidi="ar"/>
              </w:rPr>
              <w:t>类型</w:t>
            </w:r>
          </w:p>
        </w:tc>
        <w:tc>
          <w:tcPr>
            <w:tcW w:w="4306" w:type="dxa"/>
            <w:vMerge w:val="restart"/>
            <w:noWrap w:val="0"/>
            <w:vAlign w:val="center"/>
          </w:tcPr>
          <w:p>
            <w:pPr>
              <w:widowControl/>
              <w:spacing w:line="240" w:lineRule="exact"/>
              <w:jc w:val="center"/>
              <w:rPr>
                <w:szCs w:val="21"/>
              </w:rPr>
            </w:pPr>
            <w:r>
              <w:rPr>
                <w:rFonts w:eastAsia="黑体"/>
                <w:kern w:val="0"/>
                <w:szCs w:val="21"/>
                <w:lang w:bidi="ar"/>
              </w:rPr>
              <w:t>权力名称</w:t>
            </w:r>
          </w:p>
        </w:tc>
        <w:tc>
          <w:tcPr>
            <w:tcW w:w="1095" w:type="dxa"/>
            <w:vMerge w:val="restart"/>
            <w:noWrap w:val="0"/>
            <w:vAlign w:val="center"/>
          </w:tcPr>
          <w:p>
            <w:pPr>
              <w:widowControl/>
              <w:spacing w:line="240" w:lineRule="exact"/>
              <w:jc w:val="center"/>
              <w:textAlignment w:val="center"/>
              <w:rPr>
                <w:rFonts w:ascii="黑体" w:hAnsi="黑体" w:eastAsia="黑体" w:cs="黑体"/>
                <w:kern w:val="0"/>
                <w:szCs w:val="21"/>
                <w:lang w:bidi="ar"/>
              </w:rPr>
            </w:pPr>
            <w:r>
              <w:rPr>
                <w:rFonts w:hint="eastAsia" w:eastAsia="黑体"/>
                <w:kern w:val="0"/>
                <w:szCs w:val="21"/>
                <w:lang w:bidi="ar"/>
              </w:rPr>
              <w:t>子项名称</w:t>
            </w:r>
          </w:p>
        </w:tc>
        <w:tc>
          <w:tcPr>
            <w:tcW w:w="1215" w:type="dxa"/>
            <w:gridSpan w:val="3"/>
            <w:noWrap w:val="0"/>
            <w:vAlign w:val="center"/>
          </w:tcPr>
          <w:p>
            <w:pPr>
              <w:widowControl/>
              <w:spacing w:line="24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行使层级</w:t>
            </w:r>
          </w:p>
        </w:tc>
        <w:tc>
          <w:tcPr>
            <w:tcW w:w="660" w:type="dxa"/>
            <w:vMerge w:val="restart"/>
            <w:noWrap w:val="0"/>
            <w:vAlign w:val="center"/>
          </w:tcPr>
          <w:p>
            <w:pPr>
              <w:widowControl/>
              <w:spacing w:line="240" w:lineRule="exact"/>
              <w:jc w:val="center"/>
              <w:rPr>
                <w:rFonts w:eastAsia="黑体"/>
                <w:szCs w:val="21"/>
              </w:rPr>
            </w:pPr>
            <w:r>
              <w:rPr>
                <w:rFonts w:eastAsia="黑体"/>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688" w:type="dxa"/>
            <w:vMerge w:val="continue"/>
            <w:noWrap w:val="0"/>
            <w:vAlign w:val="center"/>
          </w:tcPr>
          <w:p>
            <w:pPr>
              <w:widowControl/>
              <w:spacing w:line="240" w:lineRule="exact"/>
              <w:jc w:val="center"/>
            </w:pPr>
          </w:p>
        </w:tc>
        <w:tc>
          <w:tcPr>
            <w:tcW w:w="949" w:type="dxa"/>
            <w:vMerge w:val="continue"/>
            <w:noWrap w:val="0"/>
            <w:vAlign w:val="center"/>
          </w:tcPr>
          <w:p>
            <w:pPr>
              <w:widowControl/>
              <w:spacing w:line="240" w:lineRule="exact"/>
              <w:jc w:val="center"/>
            </w:pPr>
          </w:p>
        </w:tc>
        <w:tc>
          <w:tcPr>
            <w:tcW w:w="715" w:type="dxa"/>
            <w:vMerge w:val="continue"/>
            <w:noWrap w:val="0"/>
            <w:vAlign w:val="center"/>
          </w:tcPr>
          <w:p>
            <w:pPr>
              <w:widowControl/>
              <w:spacing w:line="240" w:lineRule="exact"/>
              <w:jc w:val="center"/>
            </w:pPr>
          </w:p>
        </w:tc>
        <w:tc>
          <w:tcPr>
            <w:tcW w:w="716" w:type="dxa"/>
            <w:vMerge w:val="continue"/>
            <w:noWrap w:val="0"/>
            <w:vAlign w:val="center"/>
          </w:tcPr>
          <w:p>
            <w:pPr>
              <w:widowControl/>
              <w:spacing w:line="240" w:lineRule="exact"/>
              <w:jc w:val="center"/>
            </w:pPr>
          </w:p>
        </w:tc>
        <w:tc>
          <w:tcPr>
            <w:tcW w:w="1934" w:type="dxa"/>
            <w:vMerge w:val="continue"/>
            <w:noWrap w:val="0"/>
            <w:vAlign w:val="center"/>
          </w:tcPr>
          <w:p>
            <w:pPr>
              <w:widowControl/>
              <w:spacing w:line="240" w:lineRule="exact"/>
              <w:jc w:val="center"/>
            </w:pPr>
          </w:p>
        </w:tc>
        <w:tc>
          <w:tcPr>
            <w:tcW w:w="375"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省</w:t>
            </w:r>
          </w:p>
        </w:tc>
        <w:tc>
          <w:tcPr>
            <w:tcW w:w="350"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市</w:t>
            </w:r>
          </w:p>
        </w:tc>
        <w:tc>
          <w:tcPr>
            <w:tcW w:w="387"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县</w:t>
            </w:r>
          </w:p>
        </w:tc>
        <w:tc>
          <w:tcPr>
            <w:tcW w:w="604" w:type="dxa"/>
            <w:vMerge w:val="continue"/>
            <w:noWrap w:val="0"/>
            <w:vAlign w:val="center"/>
          </w:tcPr>
          <w:p>
            <w:pPr>
              <w:widowControl/>
              <w:spacing w:line="240" w:lineRule="exact"/>
              <w:jc w:val="center"/>
              <w:rPr>
                <w:szCs w:val="21"/>
              </w:rPr>
            </w:pPr>
          </w:p>
        </w:tc>
        <w:tc>
          <w:tcPr>
            <w:tcW w:w="705" w:type="dxa"/>
            <w:vMerge w:val="continue"/>
            <w:noWrap w:val="0"/>
            <w:vAlign w:val="center"/>
          </w:tcPr>
          <w:p>
            <w:pPr>
              <w:widowControl/>
              <w:spacing w:line="240" w:lineRule="exact"/>
              <w:jc w:val="center"/>
              <w:rPr>
                <w:szCs w:val="21"/>
              </w:rPr>
            </w:pPr>
          </w:p>
        </w:tc>
        <w:tc>
          <w:tcPr>
            <w:tcW w:w="730" w:type="dxa"/>
            <w:vMerge w:val="continue"/>
            <w:noWrap w:val="0"/>
            <w:vAlign w:val="center"/>
          </w:tcPr>
          <w:p>
            <w:pPr>
              <w:widowControl/>
              <w:spacing w:line="240" w:lineRule="exact"/>
              <w:jc w:val="center"/>
              <w:rPr>
                <w:szCs w:val="21"/>
              </w:rPr>
            </w:pPr>
          </w:p>
        </w:tc>
        <w:tc>
          <w:tcPr>
            <w:tcW w:w="4306" w:type="dxa"/>
            <w:vMerge w:val="continue"/>
            <w:noWrap w:val="0"/>
            <w:vAlign w:val="center"/>
          </w:tcPr>
          <w:p>
            <w:pPr>
              <w:widowControl/>
              <w:spacing w:line="240" w:lineRule="exact"/>
              <w:jc w:val="center"/>
              <w:rPr>
                <w:szCs w:val="21"/>
              </w:rPr>
            </w:pPr>
          </w:p>
        </w:tc>
        <w:tc>
          <w:tcPr>
            <w:tcW w:w="1095" w:type="dxa"/>
            <w:vMerge w:val="continue"/>
            <w:noWrap w:val="0"/>
            <w:vAlign w:val="center"/>
          </w:tcPr>
          <w:p>
            <w:pPr>
              <w:widowControl/>
              <w:spacing w:line="240" w:lineRule="exact"/>
              <w:jc w:val="center"/>
              <w:rPr>
                <w:rFonts w:hint="eastAsia" w:ascii="黑体" w:hAnsi="黑体" w:eastAsia="黑体" w:cs="黑体"/>
                <w:szCs w:val="21"/>
              </w:rPr>
            </w:pPr>
          </w:p>
        </w:tc>
        <w:tc>
          <w:tcPr>
            <w:tcW w:w="405"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省</w:t>
            </w:r>
          </w:p>
        </w:tc>
        <w:tc>
          <w:tcPr>
            <w:tcW w:w="390"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市</w:t>
            </w:r>
          </w:p>
        </w:tc>
        <w:tc>
          <w:tcPr>
            <w:tcW w:w="420" w:type="dxa"/>
            <w:noWrap w:val="0"/>
            <w:vAlign w:val="center"/>
          </w:tcPr>
          <w:p>
            <w:pPr>
              <w:widowControl/>
              <w:spacing w:line="240" w:lineRule="exact"/>
              <w:jc w:val="center"/>
              <w:rPr>
                <w:rFonts w:hint="eastAsia" w:ascii="黑体" w:hAnsi="黑体" w:eastAsia="黑体" w:cs="黑体"/>
                <w:szCs w:val="21"/>
              </w:rPr>
            </w:pPr>
            <w:r>
              <w:rPr>
                <w:rFonts w:hint="eastAsia" w:ascii="黑体" w:hAnsi="黑体" w:eastAsia="黑体" w:cs="黑体"/>
                <w:szCs w:val="21"/>
              </w:rPr>
              <w:t>县</w:t>
            </w:r>
          </w:p>
        </w:tc>
        <w:tc>
          <w:tcPr>
            <w:tcW w:w="660" w:type="dxa"/>
            <w:vMerge w:val="continue"/>
            <w:noWrap w:val="0"/>
            <w:vAlign w:val="center"/>
          </w:tcPr>
          <w:p>
            <w:pPr>
              <w:widowControl/>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1</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行政处罚</w:t>
            </w:r>
          </w:p>
        </w:tc>
        <w:tc>
          <w:tcPr>
            <w:tcW w:w="4306" w:type="dxa"/>
            <w:noWrap w:val="0"/>
            <w:vAlign w:val="center"/>
          </w:tcPr>
          <w:p>
            <w:pPr>
              <w:widowControl/>
              <w:spacing w:line="240" w:lineRule="exact"/>
              <w:textAlignment w:val="center"/>
              <w:rPr>
                <w:rFonts w:eastAsia="方正仿宋简体"/>
                <w:sz w:val="18"/>
                <w:szCs w:val="18"/>
              </w:rPr>
            </w:pPr>
            <w:r>
              <w:rPr>
                <w:rFonts w:eastAsia="方正仿宋简体"/>
                <w:kern w:val="0"/>
                <w:sz w:val="18"/>
                <w:szCs w:val="18"/>
                <w:lang w:bidi="ar"/>
              </w:rPr>
              <w:t>对弄虚作假骗取安置待遇的退役军人的行政处罚</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2</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其他行政权力</w:t>
            </w:r>
          </w:p>
        </w:tc>
        <w:tc>
          <w:tcPr>
            <w:tcW w:w="4306" w:type="dxa"/>
            <w:noWrap w:val="0"/>
            <w:vAlign w:val="center"/>
          </w:tcPr>
          <w:p>
            <w:pPr>
              <w:widowControl/>
              <w:spacing w:line="240" w:lineRule="exact"/>
              <w:textAlignment w:val="center"/>
              <w:rPr>
                <w:rFonts w:eastAsia="方正仿宋简体"/>
                <w:sz w:val="18"/>
                <w:szCs w:val="18"/>
              </w:rPr>
            </w:pPr>
            <w:r>
              <w:rPr>
                <w:rFonts w:eastAsia="方正仿宋简体"/>
                <w:kern w:val="0"/>
                <w:sz w:val="18"/>
                <w:szCs w:val="18"/>
                <w:lang w:bidi="ar"/>
              </w:rPr>
              <w:t>依法处理在英雄烈士纪念设施保护范围内从事有损纪念英雄烈士环境和氛围活动的行为</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3</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其他行政权力</w:t>
            </w:r>
          </w:p>
        </w:tc>
        <w:tc>
          <w:tcPr>
            <w:tcW w:w="4306" w:type="dxa"/>
            <w:noWrap w:val="0"/>
            <w:vAlign w:val="center"/>
          </w:tcPr>
          <w:p>
            <w:pPr>
              <w:widowControl/>
              <w:spacing w:line="240" w:lineRule="exact"/>
              <w:textAlignment w:val="center"/>
              <w:rPr>
                <w:rFonts w:eastAsia="方正仿宋简体"/>
                <w:sz w:val="18"/>
                <w:szCs w:val="18"/>
              </w:rPr>
            </w:pPr>
            <w:r>
              <w:rPr>
                <w:rFonts w:eastAsia="方正仿宋简体"/>
                <w:kern w:val="0"/>
                <w:sz w:val="18"/>
                <w:szCs w:val="18"/>
                <w:lang w:bidi="ar"/>
              </w:rPr>
              <w:t>依法处理违反英雄烈士纪念设施保护规定的行为</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4</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其他行政权力</w:t>
            </w:r>
          </w:p>
        </w:tc>
        <w:tc>
          <w:tcPr>
            <w:tcW w:w="4306" w:type="dxa"/>
            <w:noWrap w:val="0"/>
            <w:vAlign w:val="center"/>
          </w:tcPr>
          <w:p>
            <w:pPr>
              <w:widowControl/>
              <w:spacing w:line="240" w:lineRule="exact"/>
              <w:textAlignment w:val="center"/>
              <w:rPr>
                <w:rFonts w:eastAsia="方正仿宋简体"/>
                <w:sz w:val="18"/>
                <w:szCs w:val="18"/>
              </w:rPr>
            </w:pPr>
            <w:r>
              <w:rPr>
                <w:rFonts w:hint="eastAsia" w:eastAsia="方正仿宋简体"/>
                <w:kern w:val="0"/>
                <w:sz w:val="18"/>
                <w:szCs w:val="18"/>
                <w:lang w:bidi="ar"/>
              </w:rPr>
              <w:t>依法处理冒领、骗取烈士褒扬金、抚恤金的行为</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5</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其他行政权力</w:t>
            </w:r>
          </w:p>
        </w:tc>
        <w:tc>
          <w:tcPr>
            <w:tcW w:w="4306" w:type="dxa"/>
            <w:noWrap w:val="0"/>
            <w:vAlign w:val="center"/>
          </w:tcPr>
          <w:p>
            <w:pPr>
              <w:widowControl/>
              <w:spacing w:line="240" w:lineRule="exact"/>
              <w:textAlignment w:val="center"/>
              <w:rPr>
                <w:rFonts w:eastAsia="方正仿宋简体"/>
                <w:sz w:val="18"/>
                <w:szCs w:val="18"/>
              </w:rPr>
            </w:pPr>
            <w:r>
              <w:rPr>
                <w:rFonts w:hint="eastAsia" w:eastAsia="方正仿宋简体"/>
                <w:kern w:val="0"/>
                <w:sz w:val="18"/>
                <w:szCs w:val="18"/>
                <w:lang w:bidi="ar"/>
              </w:rPr>
              <w:t>依法处理</w:t>
            </w:r>
            <w:r>
              <w:rPr>
                <w:rFonts w:eastAsia="方正仿宋简体"/>
                <w:kern w:val="0"/>
                <w:sz w:val="18"/>
                <w:szCs w:val="18"/>
                <w:lang w:bidi="ar"/>
              </w:rPr>
              <w:t>侵占、破坏光荣院财物的</w:t>
            </w:r>
            <w:r>
              <w:rPr>
                <w:rFonts w:hint="eastAsia" w:eastAsia="方正仿宋简体"/>
                <w:kern w:val="0"/>
                <w:sz w:val="18"/>
                <w:szCs w:val="18"/>
                <w:lang w:bidi="ar"/>
              </w:rPr>
              <w:t>行为</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6</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其他行政权力</w:t>
            </w:r>
          </w:p>
        </w:tc>
        <w:tc>
          <w:tcPr>
            <w:tcW w:w="4306" w:type="dxa"/>
            <w:noWrap w:val="0"/>
            <w:vAlign w:val="center"/>
          </w:tcPr>
          <w:p>
            <w:pPr>
              <w:widowControl/>
              <w:spacing w:line="240" w:lineRule="exact"/>
              <w:textAlignment w:val="center"/>
              <w:rPr>
                <w:rFonts w:eastAsia="方正仿宋简体"/>
                <w:sz w:val="18"/>
                <w:szCs w:val="18"/>
              </w:rPr>
            </w:pPr>
            <w:r>
              <w:rPr>
                <w:rFonts w:hint="eastAsia" w:eastAsia="方正仿宋简体"/>
                <w:kern w:val="0"/>
                <w:sz w:val="18"/>
                <w:szCs w:val="18"/>
                <w:lang w:bidi="ar"/>
              </w:rPr>
              <w:t>依法处理</w:t>
            </w:r>
            <w:r>
              <w:rPr>
                <w:rFonts w:eastAsia="方正仿宋简体"/>
                <w:kern w:val="0"/>
                <w:sz w:val="18"/>
                <w:szCs w:val="18"/>
                <w:lang w:bidi="ar"/>
              </w:rPr>
              <w:t>侵占、破坏优抚医院财物的</w:t>
            </w:r>
            <w:r>
              <w:rPr>
                <w:rFonts w:hint="eastAsia" w:eastAsia="方正仿宋简体"/>
                <w:kern w:val="0"/>
                <w:sz w:val="18"/>
                <w:szCs w:val="18"/>
                <w:lang w:bidi="ar"/>
              </w:rPr>
              <w:t>行为</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7</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行政确认</w:t>
            </w:r>
          </w:p>
        </w:tc>
        <w:tc>
          <w:tcPr>
            <w:tcW w:w="4306" w:type="dxa"/>
            <w:noWrap w:val="0"/>
            <w:vAlign w:val="center"/>
          </w:tcPr>
          <w:p>
            <w:pPr>
              <w:widowControl/>
              <w:spacing w:line="240" w:lineRule="exact"/>
              <w:textAlignment w:val="center"/>
              <w:rPr>
                <w:rFonts w:eastAsia="方正仿宋简体"/>
                <w:sz w:val="18"/>
                <w:szCs w:val="18"/>
              </w:rPr>
            </w:pPr>
            <w:r>
              <w:rPr>
                <w:rFonts w:eastAsia="方正仿宋简体"/>
                <w:kern w:val="0"/>
                <w:sz w:val="18"/>
                <w:szCs w:val="18"/>
                <w:lang w:bidi="ar"/>
              </w:rPr>
              <w:t>烈士评定</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noWrap/>
            <w:vAlign w:val="center"/>
          </w:tcPr>
          <w:p>
            <w:pPr>
              <w:widowControl/>
              <w:spacing w:line="240" w:lineRule="exact"/>
              <w:jc w:val="center"/>
              <w:textAlignment w:val="center"/>
              <w:rPr>
                <w:rFonts w:eastAsia="方正仿宋简体"/>
                <w:sz w:val="18"/>
                <w:szCs w:val="18"/>
              </w:rPr>
            </w:pPr>
            <w:r>
              <w:rPr>
                <w:rFonts w:hint="eastAsia" w:eastAsia="方正仿宋简体"/>
                <w:kern w:val="0"/>
                <w:sz w:val="18"/>
                <w:szCs w:val="18"/>
                <w:lang w:bidi="ar"/>
              </w:rPr>
              <w:t>8</w:t>
            </w:r>
          </w:p>
        </w:tc>
        <w:tc>
          <w:tcPr>
            <w:tcW w:w="949" w:type="dxa"/>
            <w:noWrap w:val="0"/>
            <w:vAlign w:val="center"/>
          </w:tcPr>
          <w:p>
            <w:pPr>
              <w:widowControl/>
              <w:spacing w:line="240" w:lineRule="exact"/>
              <w:jc w:val="center"/>
              <w:textAlignment w:val="center"/>
              <w:rPr>
                <w:rFonts w:hint="eastAsia" w:eastAsia="方正仿宋简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eastAsia="方正仿宋简体"/>
                <w:kern w:val="0"/>
                <w:sz w:val="18"/>
                <w:szCs w:val="18"/>
                <w:lang w:bidi="ar"/>
              </w:rPr>
            </w:pPr>
          </w:p>
        </w:tc>
        <w:tc>
          <w:tcPr>
            <w:tcW w:w="716" w:type="dxa"/>
            <w:noWrap w:val="0"/>
            <w:vAlign w:val="center"/>
          </w:tcPr>
          <w:p>
            <w:pPr>
              <w:widowControl/>
              <w:spacing w:line="240" w:lineRule="exact"/>
              <w:jc w:val="center"/>
              <w:textAlignment w:val="center"/>
              <w:rPr>
                <w:rFonts w:eastAsia="方正仿宋简体"/>
                <w:kern w:val="0"/>
                <w:sz w:val="18"/>
                <w:szCs w:val="18"/>
                <w:lang w:bidi="ar"/>
              </w:rPr>
            </w:pPr>
          </w:p>
        </w:tc>
        <w:tc>
          <w:tcPr>
            <w:tcW w:w="1934" w:type="dxa"/>
            <w:noWrap w:val="0"/>
            <w:vAlign w:val="center"/>
          </w:tcPr>
          <w:p>
            <w:pPr>
              <w:widowControl/>
              <w:spacing w:line="240" w:lineRule="exact"/>
              <w:jc w:val="center"/>
              <w:textAlignment w:val="center"/>
              <w:rPr>
                <w:rFonts w:eastAsia="方正仿宋简体"/>
                <w:kern w:val="0"/>
                <w:sz w:val="18"/>
                <w:szCs w:val="18"/>
                <w:lang w:bidi="ar"/>
              </w:rPr>
            </w:pPr>
          </w:p>
        </w:tc>
        <w:tc>
          <w:tcPr>
            <w:tcW w:w="375" w:type="dxa"/>
            <w:noWrap w:val="0"/>
            <w:vAlign w:val="center"/>
          </w:tcPr>
          <w:p>
            <w:pPr>
              <w:widowControl/>
              <w:spacing w:line="240" w:lineRule="exact"/>
              <w:jc w:val="center"/>
              <w:textAlignment w:val="center"/>
              <w:rPr>
                <w:rFonts w:eastAsia="方正仿宋简体"/>
                <w:kern w:val="0"/>
                <w:sz w:val="18"/>
                <w:szCs w:val="18"/>
                <w:lang w:bidi="ar"/>
              </w:rPr>
            </w:pPr>
          </w:p>
        </w:tc>
        <w:tc>
          <w:tcPr>
            <w:tcW w:w="350" w:type="dxa"/>
            <w:noWrap w:val="0"/>
            <w:vAlign w:val="center"/>
          </w:tcPr>
          <w:p>
            <w:pPr>
              <w:widowControl/>
              <w:spacing w:line="240" w:lineRule="exact"/>
              <w:jc w:val="center"/>
              <w:textAlignment w:val="center"/>
              <w:rPr>
                <w:rFonts w:eastAsia="方正仿宋简体"/>
                <w:kern w:val="0"/>
                <w:sz w:val="18"/>
                <w:szCs w:val="18"/>
                <w:lang w:bidi="ar"/>
              </w:rPr>
            </w:pPr>
          </w:p>
        </w:tc>
        <w:tc>
          <w:tcPr>
            <w:tcW w:w="387" w:type="dxa"/>
            <w:noWrap w:val="0"/>
            <w:vAlign w:val="center"/>
          </w:tcPr>
          <w:p>
            <w:pPr>
              <w:widowControl/>
              <w:spacing w:line="240" w:lineRule="exact"/>
              <w:jc w:val="center"/>
              <w:textAlignment w:val="center"/>
              <w:rPr>
                <w:rFonts w:eastAsia="方正仿宋简体"/>
                <w:kern w:val="0"/>
                <w:sz w:val="18"/>
                <w:szCs w:val="18"/>
                <w:lang w:bidi="ar"/>
              </w:rPr>
            </w:pPr>
          </w:p>
        </w:tc>
        <w:tc>
          <w:tcPr>
            <w:tcW w:w="604" w:type="dxa"/>
            <w:noWrap w:val="0"/>
            <w:vAlign w:val="center"/>
          </w:tcPr>
          <w:p>
            <w:pPr>
              <w:widowControl/>
              <w:spacing w:line="240" w:lineRule="exact"/>
              <w:jc w:val="center"/>
              <w:textAlignment w:val="center"/>
              <w:rPr>
                <w:rFonts w:eastAsia="方正仿宋简体"/>
                <w:kern w:val="0"/>
                <w:sz w:val="18"/>
                <w:szCs w:val="18"/>
                <w:lang w:bidi="ar"/>
              </w:rPr>
            </w:pPr>
          </w:p>
        </w:tc>
        <w:tc>
          <w:tcPr>
            <w:tcW w:w="7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新增</w:t>
            </w:r>
          </w:p>
        </w:tc>
        <w:tc>
          <w:tcPr>
            <w:tcW w:w="73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行政检查</w:t>
            </w:r>
          </w:p>
        </w:tc>
        <w:tc>
          <w:tcPr>
            <w:tcW w:w="4306" w:type="dxa"/>
            <w:noWrap w:val="0"/>
            <w:vAlign w:val="center"/>
          </w:tcPr>
          <w:p>
            <w:pPr>
              <w:widowControl/>
              <w:spacing w:line="240" w:lineRule="exact"/>
              <w:textAlignment w:val="center"/>
              <w:rPr>
                <w:rFonts w:eastAsia="方正仿宋简体"/>
                <w:sz w:val="18"/>
                <w:szCs w:val="18"/>
              </w:rPr>
            </w:pPr>
            <w:r>
              <w:rPr>
                <w:rFonts w:eastAsia="方正仿宋简体"/>
                <w:kern w:val="0"/>
                <w:sz w:val="18"/>
                <w:szCs w:val="18"/>
                <w:lang w:bidi="ar"/>
              </w:rPr>
              <w:t>监督检查退役军人保障相关法律法规和政策措施落实情况</w:t>
            </w:r>
          </w:p>
        </w:tc>
        <w:tc>
          <w:tcPr>
            <w:tcW w:w="1095" w:type="dxa"/>
            <w:noWrap w:val="0"/>
            <w:vAlign w:val="center"/>
          </w:tcPr>
          <w:p>
            <w:pPr>
              <w:widowControl/>
              <w:spacing w:line="240" w:lineRule="exact"/>
              <w:jc w:val="center"/>
              <w:textAlignment w:val="center"/>
              <w:rPr>
                <w:rFonts w:eastAsia="方正仿宋简体"/>
                <w:kern w:val="0"/>
                <w:sz w:val="18"/>
                <w:szCs w:val="18"/>
                <w:lang w:bidi="ar"/>
              </w:rPr>
            </w:pPr>
          </w:p>
        </w:tc>
        <w:tc>
          <w:tcPr>
            <w:tcW w:w="405"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39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420" w:type="dxa"/>
            <w:noWrap w:val="0"/>
            <w:vAlign w:val="center"/>
          </w:tcPr>
          <w:p>
            <w:pPr>
              <w:widowControl/>
              <w:spacing w:line="240" w:lineRule="exact"/>
              <w:jc w:val="center"/>
              <w:textAlignment w:val="center"/>
              <w:rPr>
                <w:rFonts w:eastAsia="方正仿宋简体"/>
                <w:sz w:val="18"/>
                <w:szCs w:val="18"/>
              </w:rPr>
            </w:pPr>
            <w:r>
              <w:rPr>
                <w:rFonts w:eastAsia="方正仿宋简体"/>
                <w:kern w:val="0"/>
                <w:sz w:val="18"/>
                <w:szCs w:val="18"/>
                <w:lang w:bidi="ar"/>
              </w:rPr>
              <w:t>√</w:t>
            </w:r>
          </w:p>
        </w:tc>
        <w:tc>
          <w:tcPr>
            <w:tcW w:w="660" w:type="dxa"/>
            <w:noWrap/>
            <w:vAlign w:val="center"/>
          </w:tcPr>
          <w:p>
            <w:pPr>
              <w:widowControl/>
              <w:spacing w:line="240" w:lineRule="exact"/>
              <w:rPr>
                <w:rFonts w:eastAsia="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8" w:type="dxa"/>
            <w:noWrap w:val="0"/>
            <w:vAlign w:val="center"/>
          </w:tcPr>
          <w:p>
            <w:pPr>
              <w:widowControl/>
              <w:spacing w:line="240" w:lineRule="exact"/>
              <w:jc w:val="center"/>
              <w:textAlignment w:val="center"/>
              <w:rPr>
                <w:sz w:val="18"/>
                <w:szCs w:val="18"/>
              </w:rPr>
            </w:pPr>
            <w:r>
              <w:rPr>
                <w:rFonts w:hint="eastAsia"/>
                <w:kern w:val="0"/>
                <w:sz w:val="18"/>
                <w:szCs w:val="18"/>
                <w:lang w:bidi="ar"/>
              </w:rPr>
              <w:t>9</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sz w:val="18"/>
                <w:szCs w:val="18"/>
              </w:rPr>
            </w:pPr>
            <w:r>
              <w:rPr>
                <w:rFonts w:hint="eastAsia"/>
                <w:sz w:val="18"/>
                <w:szCs w:val="18"/>
                <w:lang w:val="en-US" w:eastAsia="zh-CN"/>
              </w:rPr>
              <w:t>4817</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行政确认</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伤残等级评定（调整）和伤残证办理</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c>
          <w:tcPr>
            <w:tcW w:w="705" w:type="dxa"/>
            <w:noWrap w:val="0"/>
            <w:vAlign w:val="center"/>
          </w:tcPr>
          <w:p>
            <w:pPr>
              <w:widowControl/>
              <w:spacing w:line="240" w:lineRule="exact"/>
              <w:jc w:val="center"/>
              <w:textAlignment w:val="center"/>
              <w:rPr>
                <w:sz w:val="18"/>
                <w:szCs w:val="18"/>
              </w:rPr>
            </w:pPr>
            <w:r>
              <w:rPr>
                <w:rFonts w:eastAsia="方正仿宋简体"/>
                <w:kern w:val="0"/>
                <w:sz w:val="18"/>
                <w:szCs w:val="18"/>
                <w:lang w:bidi="ar"/>
              </w:rPr>
              <w:t>变更</w:t>
            </w:r>
          </w:p>
        </w:tc>
        <w:tc>
          <w:tcPr>
            <w:tcW w:w="73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行政确认</w:t>
            </w:r>
          </w:p>
        </w:tc>
        <w:tc>
          <w:tcPr>
            <w:tcW w:w="4306"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残疾性质认定和残疾等级评定</w:t>
            </w:r>
          </w:p>
        </w:tc>
        <w:tc>
          <w:tcPr>
            <w:tcW w:w="1095" w:type="dxa"/>
            <w:noWrap w:val="0"/>
            <w:vAlign w:val="center"/>
          </w:tcPr>
          <w:p>
            <w:pPr>
              <w:widowControl/>
              <w:spacing w:line="240" w:lineRule="exact"/>
              <w:jc w:val="center"/>
              <w:textAlignment w:val="center"/>
              <w:rPr>
                <w:kern w:val="0"/>
                <w:sz w:val="18"/>
                <w:szCs w:val="18"/>
                <w:lang w:bidi="ar"/>
              </w:rPr>
            </w:pPr>
          </w:p>
        </w:tc>
        <w:tc>
          <w:tcPr>
            <w:tcW w:w="40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88" w:type="dxa"/>
            <w:noWrap w:val="0"/>
            <w:vAlign w:val="center"/>
          </w:tcPr>
          <w:p>
            <w:pPr>
              <w:widowControl/>
              <w:spacing w:line="240" w:lineRule="exact"/>
              <w:jc w:val="center"/>
              <w:textAlignment w:val="center"/>
              <w:rPr>
                <w:sz w:val="18"/>
                <w:szCs w:val="18"/>
              </w:rPr>
            </w:pPr>
            <w:r>
              <w:rPr>
                <w:rFonts w:hint="eastAsia"/>
                <w:kern w:val="0"/>
                <w:sz w:val="18"/>
                <w:szCs w:val="18"/>
                <w:lang w:bidi="ar"/>
              </w:rPr>
              <w:t>10</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sz w:val="18"/>
                <w:szCs w:val="18"/>
              </w:rPr>
            </w:pPr>
            <w:r>
              <w:rPr>
                <w:rFonts w:hint="eastAsia"/>
                <w:sz w:val="18"/>
                <w:szCs w:val="18"/>
                <w:lang w:val="en-US" w:eastAsia="zh-CN"/>
              </w:rPr>
              <w:t>4846</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烈士遗属、因公牺牲军人遗属、病故军人遗属定期抚恤金的给付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c>
          <w:tcPr>
            <w:tcW w:w="705"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变更</w:t>
            </w:r>
          </w:p>
        </w:tc>
        <w:tc>
          <w:tcPr>
            <w:tcW w:w="730"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行政给付</w:t>
            </w:r>
          </w:p>
        </w:tc>
        <w:tc>
          <w:tcPr>
            <w:tcW w:w="4306" w:type="dxa"/>
            <w:vMerge w:val="restart"/>
            <w:noWrap w:val="0"/>
            <w:vAlign w:val="center"/>
          </w:tcPr>
          <w:p>
            <w:pPr>
              <w:widowControl/>
              <w:spacing w:line="240" w:lineRule="exact"/>
              <w:textAlignment w:val="center"/>
              <w:rPr>
                <w:sz w:val="18"/>
                <w:szCs w:val="18"/>
              </w:rPr>
            </w:pPr>
            <w:r>
              <w:rPr>
                <w:rFonts w:eastAsia="方正仿宋简体"/>
                <w:kern w:val="0"/>
                <w:sz w:val="18"/>
                <w:szCs w:val="18"/>
                <w:lang w:bidi="ar"/>
              </w:rPr>
              <w:t>发给定期抚恤金或者补助、丧葬补助费</w:t>
            </w:r>
          </w:p>
        </w:tc>
        <w:tc>
          <w:tcPr>
            <w:tcW w:w="1095" w:type="dxa"/>
            <w:vMerge w:val="restart"/>
            <w:noWrap w:val="0"/>
            <w:vAlign w:val="center"/>
          </w:tcPr>
          <w:p>
            <w:pPr>
              <w:widowControl/>
              <w:spacing w:line="240" w:lineRule="exact"/>
              <w:jc w:val="center"/>
              <w:textAlignment w:val="center"/>
              <w:rPr>
                <w:kern w:val="0"/>
                <w:sz w:val="18"/>
                <w:szCs w:val="18"/>
                <w:lang w:bidi="ar"/>
              </w:rPr>
            </w:pPr>
          </w:p>
        </w:tc>
        <w:tc>
          <w:tcPr>
            <w:tcW w:w="405"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vMerge w:val="restart"/>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88" w:type="dxa"/>
            <w:noWrap w:val="0"/>
            <w:vAlign w:val="center"/>
          </w:tcPr>
          <w:p>
            <w:pPr>
              <w:widowControl/>
              <w:spacing w:line="240" w:lineRule="exact"/>
              <w:jc w:val="center"/>
              <w:rPr>
                <w:sz w:val="18"/>
                <w:szCs w:val="18"/>
              </w:rPr>
            </w:pPr>
            <w:r>
              <w:rPr>
                <w:rFonts w:hint="eastAsia"/>
                <w:sz w:val="18"/>
                <w:szCs w:val="18"/>
              </w:rPr>
              <w:t>11</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sz w:val="18"/>
                <w:szCs w:val="18"/>
              </w:rPr>
            </w:pPr>
            <w:r>
              <w:rPr>
                <w:rFonts w:hint="eastAsia"/>
                <w:sz w:val="18"/>
                <w:szCs w:val="18"/>
                <w:lang w:val="en-US" w:eastAsia="zh-CN"/>
              </w:rPr>
              <w:t>4847</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享受定期补助的复员军人、带病回乡退伍军人死亡丧葬补助费的给付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c>
          <w:tcPr>
            <w:tcW w:w="705" w:type="dxa"/>
            <w:vMerge w:val="continue"/>
            <w:noWrap w:val="0"/>
            <w:vAlign w:val="center"/>
          </w:tcPr>
          <w:p>
            <w:pPr>
              <w:widowControl/>
              <w:spacing w:line="240" w:lineRule="exact"/>
              <w:jc w:val="center"/>
              <w:rPr>
                <w:sz w:val="18"/>
                <w:szCs w:val="18"/>
              </w:rPr>
            </w:pPr>
          </w:p>
        </w:tc>
        <w:tc>
          <w:tcPr>
            <w:tcW w:w="730" w:type="dxa"/>
            <w:vMerge w:val="continue"/>
            <w:noWrap w:val="0"/>
            <w:vAlign w:val="center"/>
          </w:tcPr>
          <w:p>
            <w:pPr>
              <w:widowControl/>
              <w:spacing w:line="240" w:lineRule="exact"/>
              <w:jc w:val="center"/>
              <w:rPr>
                <w:sz w:val="18"/>
                <w:szCs w:val="18"/>
              </w:rPr>
            </w:pPr>
          </w:p>
        </w:tc>
        <w:tc>
          <w:tcPr>
            <w:tcW w:w="4306" w:type="dxa"/>
            <w:vMerge w:val="continue"/>
            <w:noWrap w:val="0"/>
            <w:vAlign w:val="center"/>
          </w:tcPr>
          <w:p>
            <w:pPr>
              <w:widowControl/>
              <w:spacing w:line="240" w:lineRule="exact"/>
              <w:rPr>
                <w:sz w:val="18"/>
                <w:szCs w:val="18"/>
              </w:rPr>
            </w:pPr>
          </w:p>
        </w:tc>
        <w:tc>
          <w:tcPr>
            <w:tcW w:w="1095" w:type="dxa"/>
            <w:vMerge w:val="continue"/>
            <w:noWrap w:val="0"/>
            <w:vAlign w:val="center"/>
          </w:tcPr>
          <w:p>
            <w:pPr>
              <w:widowControl/>
              <w:spacing w:line="240" w:lineRule="exact"/>
              <w:jc w:val="center"/>
              <w:rPr>
                <w:sz w:val="18"/>
                <w:szCs w:val="18"/>
              </w:rPr>
            </w:pPr>
          </w:p>
        </w:tc>
        <w:tc>
          <w:tcPr>
            <w:tcW w:w="405" w:type="dxa"/>
            <w:vMerge w:val="continue"/>
            <w:noWrap w:val="0"/>
            <w:vAlign w:val="center"/>
          </w:tcPr>
          <w:p>
            <w:pPr>
              <w:widowControl/>
              <w:spacing w:line="240" w:lineRule="exact"/>
              <w:jc w:val="center"/>
              <w:rPr>
                <w:sz w:val="18"/>
                <w:szCs w:val="18"/>
              </w:rPr>
            </w:pPr>
          </w:p>
        </w:tc>
        <w:tc>
          <w:tcPr>
            <w:tcW w:w="390" w:type="dxa"/>
            <w:vMerge w:val="continue"/>
            <w:noWrap w:val="0"/>
            <w:vAlign w:val="center"/>
          </w:tcPr>
          <w:p>
            <w:pPr>
              <w:widowControl/>
              <w:spacing w:line="240" w:lineRule="exact"/>
              <w:jc w:val="center"/>
              <w:rPr>
                <w:sz w:val="18"/>
                <w:szCs w:val="18"/>
              </w:rPr>
            </w:pPr>
          </w:p>
        </w:tc>
        <w:tc>
          <w:tcPr>
            <w:tcW w:w="420" w:type="dxa"/>
            <w:vMerge w:val="continue"/>
            <w:noWrap w:val="0"/>
            <w:vAlign w:val="center"/>
          </w:tcPr>
          <w:p>
            <w:pPr>
              <w:widowControl/>
              <w:spacing w:line="240" w:lineRule="exact"/>
              <w:jc w:val="center"/>
              <w:rPr>
                <w:sz w:val="18"/>
                <w:szCs w:val="18"/>
              </w:rPr>
            </w:pPr>
          </w:p>
        </w:tc>
        <w:tc>
          <w:tcPr>
            <w:tcW w:w="660" w:type="dxa"/>
            <w:vMerge w:val="continue"/>
            <w:noWrap w:val="0"/>
            <w:vAlign w:val="center"/>
          </w:tcPr>
          <w:p>
            <w:pPr>
              <w:widowControl/>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8" w:type="dxa"/>
            <w:noWrap w:val="0"/>
            <w:vAlign w:val="center"/>
          </w:tcPr>
          <w:p>
            <w:pPr>
              <w:widowControl/>
              <w:spacing w:line="240" w:lineRule="exact"/>
              <w:jc w:val="center"/>
              <w:textAlignment w:val="center"/>
              <w:rPr>
                <w:sz w:val="18"/>
                <w:szCs w:val="18"/>
              </w:rPr>
            </w:pPr>
            <w:r>
              <w:rPr>
                <w:rFonts w:hint="eastAsia"/>
                <w:kern w:val="0"/>
                <w:sz w:val="18"/>
                <w:szCs w:val="18"/>
                <w:lang w:bidi="ar"/>
              </w:rPr>
              <w:t>12</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sz w:val="18"/>
                <w:szCs w:val="18"/>
                <w:lang w:val="en-US" w:eastAsia="zh-CN"/>
              </w:rPr>
            </w:pPr>
            <w:r>
              <w:rPr>
                <w:rFonts w:hint="eastAsia"/>
                <w:kern w:val="0"/>
                <w:sz w:val="18"/>
                <w:szCs w:val="18"/>
                <w:lang w:val="en-US" w:eastAsia="zh-CN" w:bidi="ar"/>
              </w:rPr>
              <w:t>4848</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在乡复员军人定期定量生活补助发放</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c>
          <w:tcPr>
            <w:tcW w:w="705"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变更</w:t>
            </w:r>
          </w:p>
        </w:tc>
        <w:tc>
          <w:tcPr>
            <w:tcW w:w="73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4306"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在乡复员军人定期定量补助</w:t>
            </w:r>
          </w:p>
        </w:tc>
        <w:tc>
          <w:tcPr>
            <w:tcW w:w="1095" w:type="dxa"/>
            <w:noWrap w:val="0"/>
            <w:vAlign w:val="center"/>
          </w:tcPr>
          <w:p>
            <w:pPr>
              <w:widowControl/>
              <w:spacing w:line="240" w:lineRule="exact"/>
              <w:jc w:val="center"/>
              <w:textAlignment w:val="center"/>
              <w:rPr>
                <w:kern w:val="0"/>
                <w:sz w:val="18"/>
                <w:szCs w:val="18"/>
                <w:lang w:bidi="ar"/>
              </w:rPr>
            </w:pPr>
          </w:p>
        </w:tc>
        <w:tc>
          <w:tcPr>
            <w:tcW w:w="40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88" w:type="dxa"/>
            <w:noWrap w:val="0"/>
            <w:vAlign w:val="center"/>
          </w:tcPr>
          <w:p>
            <w:pPr>
              <w:widowControl/>
              <w:spacing w:line="240" w:lineRule="exact"/>
              <w:jc w:val="center"/>
              <w:textAlignment w:val="center"/>
              <w:rPr>
                <w:sz w:val="18"/>
                <w:szCs w:val="18"/>
              </w:rPr>
            </w:pPr>
            <w:r>
              <w:rPr>
                <w:rFonts w:hint="eastAsia"/>
                <w:kern w:val="0"/>
                <w:sz w:val="18"/>
                <w:szCs w:val="18"/>
                <w:lang w:bidi="ar"/>
              </w:rPr>
              <w:t>13</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sz w:val="18"/>
                <w:szCs w:val="18"/>
                <w:lang w:val="en-US" w:eastAsia="zh-CN"/>
              </w:rPr>
            </w:pPr>
            <w:r>
              <w:rPr>
                <w:rFonts w:hint="eastAsia"/>
                <w:kern w:val="0"/>
                <w:sz w:val="18"/>
                <w:szCs w:val="18"/>
                <w:lang w:val="en-US" w:eastAsia="zh-CN" w:bidi="ar"/>
              </w:rPr>
              <w:t>4849</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退出现役的残疾军人残疾抚恤金的给付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Fonts w:eastAsia="方正仿宋简体"/>
                <w:kern w:val="0"/>
                <w:sz w:val="18"/>
                <w:szCs w:val="18"/>
                <w:lang w:bidi="ar"/>
              </w:rPr>
              <w:t>涉密</w:t>
            </w:r>
          </w:p>
        </w:tc>
        <w:tc>
          <w:tcPr>
            <w:tcW w:w="705"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变更</w:t>
            </w:r>
          </w:p>
        </w:tc>
        <w:tc>
          <w:tcPr>
            <w:tcW w:w="730"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行政给付</w:t>
            </w:r>
          </w:p>
        </w:tc>
        <w:tc>
          <w:tcPr>
            <w:tcW w:w="4306" w:type="dxa"/>
            <w:vMerge w:val="restart"/>
            <w:noWrap w:val="0"/>
            <w:vAlign w:val="center"/>
          </w:tcPr>
          <w:p>
            <w:pPr>
              <w:widowControl/>
              <w:spacing w:line="240" w:lineRule="exact"/>
              <w:textAlignment w:val="center"/>
              <w:rPr>
                <w:sz w:val="18"/>
                <w:szCs w:val="18"/>
              </w:rPr>
            </w:pPr>
            <w:r>
              <w:rPr>
                <w:rFonts w:eastAsia="方正仿宋简体"/>
                <w:kern w:val="0"/>
                <w:sz w:val="18"/>
                <w:szCs w:val="18"/>
                <w:lang w:bidi="ar"/>
              </w:rPr>
              <w:t>发给残疾抚恤金或者补助、丧葬补助费</w:t>
            </w:r>
          </w:p>
        </w:tc>
        <w:tc>
          <w:tcPr>
            <w:tcW w:w="1095" w:type="dxa"/>
            <w:vMerge w:val="restart"/>
            <w:noWrap w:val="0"/>
            <w:vAlign w:val="center"/>
          </w:tcPr>
          <w:p>
            <w:pPr>
              <w:widowControl/>
              <w:spacing w:line="240" w:lineRule="exact"/>
              <w:jc w:val="center"/>
              <w:textAlignment w:val="center"/>
              <w:rPr>
                <w:kern w:val="0"/>
                <w:sz w:val="18"/>
                <w:szCs w:val="18"/>
                <w:lang w:bidi="ar"/>
              </w:rPr>
            </w:pPr>
          </w:p>
        </w:tc>
        <w:tc>
          <w:tcPr>
            <w:tcW w:w="405"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vMerge w:val="restart"/>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88" w:type="dxa"/>
            <w:noWrap w:val="0"/>
            <w:vAlign w:val="center"/>
          </w:tcPr>
          <w:p>
            <w:pPr>
              <w:widowControl/>
              <w:spacing w:line="240" w:lineRule="exact"/>
              <w:jc w:val="center"/>
              <w:rPr>
                <w:sz w:val="18"/>
                <w:szCs w:val="18"/>
              </w:rPr>
            </w:pPr>
            <w:r>
              <w:rPr>
                <w:rFonts w:hint="eastAsia"/>
                <w:sz w:val="18"/>
                <w:szCs w:val="18"/>
              </w:rPr>
              <w:t>14</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sz w:val="18"/>
                <w:szCs w:val="18"/>
                <w:lang w:val="en-US" w:eastAsia="zh-CN"/>
              </w:rPr>
            </w:pPr>
            <w:r>
              <w:rPr>
                <w:rFonts w:hint="eastAsia"/>
                <w:kern w:val="0"/>
                <w:sz w:val="18"/>
                <w:szCs w:val="18"/>
                <w:lang w:val="en-US" w:eastAsia="zh-CN" w:bidi="ar"/>
              </w:rPr>
              <w:t>4855</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退出现役的残疾军人病故丧葬补助费的给付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Fonts w:eastAsia="方正仿宋简体"/>
                <w:kern w:val="0"/>
                <w:sz w:val="18"/>
                <w:szCs w:val="18"/>
                <w:lang w:bidi="ar"/>
              </w:rPr>
              <w:t>涉密</w:t>
            </w:r>
          </w:p>
        </w:tc>
        <w:tc>
          <w:tcPr>
            <w:tcW w:w="705" w:type="dxa"/>
            <w:vMerge w:val="continue"/>
            <w:noWrap w:val="0"/>
            <w:vAlign w:val="center"/>
          </w:tcPr>
          <w:p>
            <w:pPr>
              <w:widowControl/>
              <w:spacing w:line="240" w:lineRule="exact"/>
              <w:jc w:val="center"/>
              <w:rPr>
                <w:sz w:val="18"/>
                <w:szCs w:val="18"/>
              </w:rPr>
            </w:pPr>
          </w:p>
        </w:tc>
        <w:tc>
          <w:tcPr>
            <w:tcW w:w="730" w:type="dxa"/>
            <w:vMerge w:val="continue"/>
            <w:noWrap w:val="0"/>
            <w:vAlign w:val="center"/>
          </w:tcPr>
          <w:p>
            <w:pPr>
              <w:widowControl/>
              <w:spacing w:line="240" w:lineRule="exact"/>
              <w:jc w:val="center"/>
              <w:rPr>
                <w:sz w:val="18"/>
                <w:szCs w:val="18"/>
              </w:rPr>
            </w:pPr>
          </w:p>
        </w:tc>
        <w:tc>
          <w:tcPr>
            <w:tcW w:w="4306" w:type="dxa"/>
            <w:vMerge w:val="continue"/>
            <w:noWrap w:val="0"/>
            <w:vAlign w:val="center"/>
          </w:tcPr>
          <w:p>
            <w:pPr>
              <w:widowControl/>
              <w:spacing w:line="240" w:lineRule="exact"/>
              <w:rPr>
                <w:sz w:val="18"/>
                <w:szCs w:val="18"/>
              </w:rPr>
            </w:pPr>
          </w:p>
        </w:tc>
        <w:tc>
          <w:tcPr>
            <w:tcW w:w="1095" w:type="dxa"/>
            <w:vMerge w:val="continue"/>
            <w:noWrap w:val="0"/>
            <w:vAlign w:val="center"/>
          </w:tcPr>
          <w:p>
            <w:pPr>
              <w:widowControl/>
              <w:spacing w:line="240" w:lineRule="exact"/>
              <w:jc w:val="center"/>
              <w:rPr>
                <w:sz w:val="18"/>
                <w:szCs w:val="18"/>
              </w:rPr>
            </w:pPr>
          </w:p>
        </w:tc>
        <w:tc>
          <w:tcPr>
            <w:tcW w:w="405" w:type="dxa"/>
            <w:vMerge w:val="continue"/>
            <w:noWrap w:val="0"/>
            <w:vAlign w:val="center"/>
          </w:tcPr>
          <w:p>
            <w:pPr>
              <w:widowControl/>
              <w:spacing w:line="240" w:lineRule="exact"/>
              <w:jc w:val="center"/>
              <w:rPr>
                <w:sz w:val="18"/>
                <w:szCs w:val="18"/>
              </w:rPr>
            </w:pPr>
          </w:p>
        </w:tc>
        <w:tc>
          <w:tcPr>
            <w:tcW w:w="390" w:type="dxa"/>
            <w:vMerge w:val="continue"/>
            <w:noWrap w:val="0"/>
            <w:vAlign w:val="center"/>
          </w:tcPr>
          <w:p>
            <w:pPr>
              <w:widowControl/>
              <w:spacing w:line="240" w:lineRule="exact"/>
              <w:jc w:val="center"/>
              <w:rPr>
                <w:sz w:val="18"/>
                <w:szCs w:val="18"/>
              </w:rPr>
            </w:pPr>
          </w:p>
        </w:tc>
        <w:tc>
          <w:tcPr>
            <w:tcW w:w="420" w:type="dxa"/>
            <w:vMerge w:val="continue"/>
            <w:noWrap w:val="0"/>
            <w:vAlign w:val="center"/>
          </w:tcPr>
          <w:p>
            <w:pPr>
              <w:widowControl/>
              <w:spacing w:line="240" w:lineRule="exact"/>
              <w:jc w:val="center"/>
              <w:rPr>
                <w:sz w:val="18"/>
                <w:szCs w:val="18"/>
              </w:rPr>
            </w:pPr>
          </w:p>
        </w:tc>
        <w:tc>
          <w:tcPr>
            <w:tcW w:w="660" w:type="dxa"/>
            <w:vMerge w:val="continue"/>
            <w:noWrap w:val="0"/>
            <w:vAlign w:val="center"/>
          </w:tcPr>
          <w:p>
            <w:pPr>
              <w:widowControl/>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8" w:type="dxa"/>
            <w:noWrap w:val="0"/>
            <w:vAlign w:val="center"/>
          </w:tcPr>
          <w:p>
            <w:pPr>
              <w:widowControl/>
              <w:spacing w:line="240" w:lineRule="exact"/>
              <w:jc w:val="center"/>
              <w:rPr>
                <w:sz w:val="18"/>
                <w:szCs w:val="18"/>
              </w:rPr>
            </w:pPr>
            <w:r>
              <w:rPr>
                <w:rFonts w:hint="eastAsia"/>
                <w:sz w:val="18"/>
                <w:szCs w:val="18"/>
              </w:rPr>
              <w:t>15</w:t>
            </w:r>
          </w:p>
        </w:tc>
        <w:tc>
          <w:tcPr>
            <w:tcW w:w="949" w:type="dxa"/>
            <w:noWrap w:val="0"/>
            <w:vAlign w:val="center"/>
          </w:tcPr>
          <w:p>
            <w:pPr>
              <w:widowControl/>
              <w:spacing w:line="240" w:lineRule="exact"/>
              <w:jc w:val="center"/>
              <w:textAlignment w:val="center"/>
              <w:rPr>
                <w:rFonts w:hint="eastAsia" w:eastAsia="方正仿宋简体"/>
                <w:kern w:val="0"/>
                <w:sz w:val="18"/>
                <w:szCs w:val="18"/>
                <w:lang w:eastAsia="zh-CN" w:bidi="ar"/>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kern w:val="0"/>
                <w:sz w:val="18"/>
                <w:szCs w:val="18"/>
                <w:lang w:val="en-US" w:eastAsia="zh-CN" w:bidi="ar"/>
              </w:rPr>
            </w:pPr>
            <w:r>
              <w:rPr>
                <w:rFonts w:hint="eastAsia"/>
                <w:kern w:val="0"/>
                <w:sz w:val="18"/>
                <w:szCs w:val="18"/>
                <w:lang w:val="en-US" w:eastAsia="zh-CN" w:bidi="ar"/>
              </w:rPr>
              <w:t>4853</w:t>
            </w:r>
          </w:p>
        </w:tc>
        <w:tc>
          <w:tcPr>
            <w:tcW w:w="716" w:type="dxa"/>
            <w:noWrap w:val="0"/>
            <w:vAlign w:val="center"/>
          </w:tcPr>
          <w:p>
            <w:pPr>
              <w:widowControl/>
              <w:spacing w:line="240" w:lineRule="exact"/>
              <w:jc w:val="center"/>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退出现役的分散安置的一级至四级残疾军人护理费的给付</w:t>
            </w:r>
          </w:p>
        </w:tc>
        <w:tc>
          <w:tcPr>
            <w:tcW w:w="375" w:type="dxa"/>
            <w:noWrap w:val="0"/>
            <w:vAlign w:val="center"/>
          </w:tcPr>
          <w:p>
            <w:pPr>
              <w:widowControl/>
              <w:spacing w:line="240" w:lineRule="exact"/>
              <w:jc w:val="center"/>
              <w:textAlignment w:val="center"/>
              <w:rPr>
                <w:kern w:val="0"/>
                <w:sz w:val="18"/>
                <w:szCs w:val="18"/>
                <w:lang w:bidi="ar"/>
              </w:rPr>
            </w:pPr>
            <w:r>
              <w:rPr>
                <w:kern w:val="0"/>
                <w:sz w:val="18"/>
                <w:szCs w:val="18"/>
                <w:lang w:bidi="ar"/>
              </w:rPr>
              <w:t>×</w:t>
            </w:r>
          </w:p>
        </w:tc>
        <w:tc>
          <w:tcPr>
            <w:tcW w:w="350" w:type="dxa"/>
            <w:noWrap w:val="0"/>
            <w:vAlign w:val="center"/>
          </w:tcPr>
          <w:p>
            <w:pPr>
              <w:widowControl/>
              <w:spacing w:line="240" w:lineRule="exact"/>
              <w:jc w:val="center"/>
              <w:textAlignment w:val="center"/>
              <w:rPr>
                <w:kern w:val="0"/>
                <w:sz w:val="18"/>
                <w:szCs w:val="18"/>
                <w:lang w:bidi="ar"/>
              </w:rPr>
            </w:pPr>
            <w:r>
              <w:rPr>
                <w:kern w:val="0"/>
                <w:sz w:val="18"/>
                <w:szCs w:val="18"/>
                <w:lang w:bidi="ar"/>
              </w:rPr>
              <w:t>×</w:t>
            </w:r>
          </w:p>
        </w:tc>
        <w:tc>
          <w:tcPr>
            <w:tcW w:w="387" w:type="dxa"/>
            <w:noWrap w:val="0"/>
            <w:vAlign w:val="center"/>
          </w:tcPr>
          <w:p>
            <w:pPr>
              <w:widowControl/>
              <w:spacing w:line="240" w:lineRule="exact"/>
              <w:jc w:val="center"/>
              <w:textAlignment w:val="center"/>
              <w:rPr>
                <w:kern w:val="0"/>
                <w:sz w:val="18"/>
                <w:szCs w:val="18"/>
                <w:lang w:bidi="ar"/>
              </w:rPr>
            </w:pPr>
            <w:r>
              <w:rPr>
                <w:kern w:val="0"/>
                <w:sz w:val="18"/>
                <w:szCs w:val="18"/>
                <w:lang w:bidi="ar"/>
              </w:rPr>
              <w:t>√</w:t>
            </w:r>
          </w:p>
        </w:tc>
        <w:tc>
          <w:tcPr>
            <w:tcW w:w="604" w:type="dxa"/>
            <w:noWrap w:val="0"/>
            <w:vAlign w:val="center"/>
          </w:tcPr>
          <w:p>
            <w:pPr>
              <w:widowControl/>
              <w:spacing w:line="240" w:lineRule="exact"/>
              <w:jc w:val="center"/>
              <w:textAlignment w:val="center"/>
              <w:rPr>
                <w:rFonts w:eastAsia="方正仿宋简体"/>
                <w:kern w:val="0"/>
                <w:sz w:val="18"/>
                <w:szCs w:val="18"/>
                <w:lang w:bidi="ar"/>
              </w:rPr>
            </w:pPr>
            <w:r>
              <w:rPr>
                <w:rFonts w:eastAsia="方正仿宋简体"/>
                <w:kern w:val="0"/>
                <w:sz w:val="18"/>
                <w:szCs w:val="18"/>
                <w:lang w:bidi="ar"/>
              </w:rPr>
              <w:t>涉密</w:t>
            </w:r>
          </w:p>
        </w:tc>
        <w:tc>
          <w:tcPr>
            <w:tcW w:w="705"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变更</w:t>
            </w:r>
          </w:p>
        </w:tc>
        <w:tc>
          <w:tcPr>
            <w:tcW w:w="73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4306"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对分散安置的一级至四级残疾军人发给护理费</w:t>
            </w:r>
          </w:p>
        </w:tc>
        <w:tc>
          <w:tcPr>
            <w:tcW w:w="1095" w:type="dxa"/>
            <w:noWrap w:val="0"/>
            <w:vAlign w:val="center"/>
          </w:tcPr>
          <w:p>
            <w:pPr>
              <w:widowControl/>
              <w:spacing w:line="240" w:lineRule="exact"/>
              <w:jc w:val="center"/>
              <w:textAlignment w:val="center"/>
              <w:rPr>
                <w:sz w:val="18"/>
                <w:szCs w:val="18"/>
              </w:rPr>
            </w:pPr>
          </w:p>
        </w:tc>
        <w:tc>
          <w:tcPr>
            <w:tcW w:w="40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88" w:type="dxa"/>
            <w:noWrap w:val="0"/>
            <w:vAlign w:val="center"/>
          </w:tcPr>
          <w:p>
            <w:pPr>
              <w:widowControl/>
              <w:spacing w:line="240" w:lineRule="exact"/>
              <w:jc w:val="center"/>
              <w:textAlignment w:val="center"/>
              <w:rPr>
                <w:sz w:val="18"/>
                <w:szCs w:val="18"/>
              </w:rPr>
            </w:pPr>
            <w:r>
              <w:rPr>
                <w:rFonts w:hint="eastAsia"/>
                <w:kern w:val="0"/>
                <w:sz w:val="18"/>
                <w:szCs w:val="18"/>
                <w:lang w:bidi="ar"/>
              </w:rPr>
              <w:t>16</w:t>
            </w:r>
          </w:p>
        </w:tc>
        <w:tc>
          <w:tcPr>
            <w:tcW w:w="949" w:type="dxa"/>
            <w:noWrap w:val="0"/>
            <w:vAlign w:val="center"/>
          </w:tcPr>
          <w:p>
            <w:pPr>
              <w:widowControl/>
              <w:spacing w:line="240" w:lineRule="exact"/>
              <w:jc w:val="center"/>
              <w:textAlignment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sz w:val="18"/>
                <w:szCs w:val="18"/>
                <w:lang w:val="en-US" w:eastAsia="zh-CN"/>
              </w:rPr>
            </w:pPr>
            <w:r>
              <w:rPr>
                <w:rFonts w:hint="eastAsia"/>
                <w:kern w:val="0"/>
                <w:sz w:val="18"/>
                <w:szCs w:val="18"/>
                <w:lang w:val="en-US" w:eastAsia="zh-CN" w:bidi="ar"/>
              </w:rPr>
              <w:t>4852</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退出现役的因战、因公致残的残疾军人旧伤复发死亡遗属一次性抚恤金的给付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Fonts w:eastAsia="方正仿宋简体"/>
                <w:kern w:val="0"/>
                <w:sz w:val="18"/>
                <w:szCs w:val="18"/>
                <w:lang w:bidi="ar"/>
              </w:rPr>
              <w:t>涉密</w:t>
            </w:r>
          </w:p>
        </w:tc>
        <w:tc>
          <w:tcPr>
            <w:tcW w:w="705"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变更</w:t>
            </w:r>
          </w:p>
        </w:tc>
        <w:tc>
          <w:tcPr>
            <w:tcW w:w="730" w:type="dxa"/>
            <w:vMerge w:val="restart"/>
            <w:noWrap w:val="0"/>
            <w:vAlign w:val="center"/>
          </w:tcPr>
          <w:p>
            <w:pPr>
              <w:widowControl/>
              <w:spacing w:line="240" w:lineRule="exact"/>
              <w:jc w:val="center"/>
              <w:textAlignment w:val="center"/>
              <w:rPr>
                <w:sz w:val="18"/>
                <w:szCs w:val="18"/>
              </w:rPr>
            </w:pPr>
            <w:r>
              <w:rPr>
                <w:rFonts w:eastAsia="方正仿宋简体"/>
                <w:kern w:val="0"/>
                <w:sz w:val="18"/>
                <w:szCs w:val="18"/>
                <w:lang w:bidi="ar"/>
              </w:rPr>
              <w:t>行政给付</w:t>
            </w:r>
          </w:p>
        </w:tc>
        <w:tc>
          <w:tcPr>
            <w:tcW w:w="4306" w:type="dxa"/>
            <w:vMerge w:val="restart"/>
            <w:noWrap w:val="0"/>
            <w:vAlign w:val="center"/>
          </w:tcPr>
          <w:p>
            <w:pPr>
              <w:widowControl/>
              <w:spacing w:line="240" w:lineRule="exact"/>
              <w:textAlignment w:val="center"/>
              <w:rPr>
                <w:sz w:val="18"/>
                <w:szCs w:val="18"/>
              </w:rPr>
            </w:pPr>
            <w:r>
              <w:rPr>
                <w:rFonts w:eastAsia="方正仿宋简体"/>
                <w:kern w:val="0"/>
                <w:sz w:val="18"/>
                <w:szCs w:val="18"/>
                <w:lang w:bidi="ar"/>
              </w:rPr>
              <w:t>发给一次性抚恤金或者补助金</w:t>
            </w:r>
          </w:p>
        </w:tc>
        <w:tc>
          <w:tcPr>
            <w:tcW w:w="1095" w:type="dxa"/>
            <w:vMerge w:val="restart"/>
            <w:noWrap w:val="0"/>
            <w:vAlign w:val="center"/>
          </w:tcPr>
          <w:p>
            <w:pPr>
              <w:widowControl/>
              <w:spacing w:line="240" w:lineRule="exact"/>
              <w:jc w:val="center"/>
              <w:textAlignment w:val="center"/>
              <w:rPr>
                <w:kern w:val="0"/>
                <w:sz w:val="18"/>
                <w:szCs w:val="18"/>
                <w:lang w:bidi="ar"/>
              </w:rPr>
            </w:pPr>
          </w:p>
        </w:tc>
        <w:tc>
          <w:tcPr>
            <w:tcW w:w="405"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39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420" w:type="dxa"/>
            <w:vMerge w:val="restart"/>
            <w:noWrap w:val="0"/>
            <w:vAlign w:val="center"/>
          </w:tcPr>
          <w:p>
            <w:pPr>
              <w:widowControl/>
              <w:spacing w:line="240" w:lineRule="exact"/>
              <w:jc w:val="center"/>
              <w:textAlignment w:val="center"/>
              <w:rPr>
                <w:sz w:val="18"/>
                <w:szCs w:val="18"/>
              </w:rPr>
            </w:pPr>
            <w:r>
              <w:rPr>
                <w:kern w:val="0"/>
                <w:sz w:val="18"/>
                <w:szCs w:val="18"/>
                <w:lang w:bidi="ar"/>
              </w:rPr>
              <w:t>√</w:t>
            </w:r>
          </w:p>
        </w:tc>
        <w:tc>
          <w:tcPr>
            <w:tcW w:w="660" w:type="dxa"/>
            <w:vMerge w:val="restart"/>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88" w:type="dxa"/>
            <w:noWrap w:val="0"/>
            <w:vAlign w:val="center"/>
          </w:tcPr>
          <w:p>
            <w:pPr>
              <w:widowControl/>
              <w:spacing w:line="240" w:lineRule="exact"/>
              <w:jc w:val="center"/>
              <w:rPr>
                <w:sz w:val="18"/>
                <w:szCs w:val="18"/>
              </w:rPr>
            </w:pPr>
            <w:r>
              <w:rPr>
                <w:rFonts w:hint="eastAsia"/>
                <w:sz w:val="18"/>
                <w:szCs w:val="18"/>
              </w:rPr>
              <w:t>17</w:t>
            </w:r>
          </w:p>
        </w:tc>
        <w:tc>
          <w:tcPr>
            <w:tcW w:w="949" w:type="dxa"/>
            <w:noWrap w:val="0"/>
            <w:vAlign w:val="center"/>
          </w:tcPr>
          <w:p>
            <w:pPr>
              <w:widowControl/>
              <w:spacing w:line="240" w:lineRule="exact"/>
              <w:jc w:val="center"/>
              <w:rPr>
                <w:rFonts w:hint="eastAsia" w:eastAsia="宋体"/>
                <w:sz w:val="18"/>
                <w:szCs w:val="18"/>
                <w:lang w:eastAsia="zh-CN"/>
              </w:rPr>
            </w:pPr>
            <w:r>
              <w:rPr>
                <w:rFonts w:hint="eastAsia" w:eastAsia="方正仿宋简体"/>
                <w:kern w:val="0"/>
                <w:sz w:val="18"/>
                <w:szCs w:val="18"/>
                <w:lang w:eastAsia="zh-CN" w:bidi="ar"/>
              </w:rPr>
              <w:t>县退役军人事务局</w:t>
            </w:r>
          </w:p>
        </w:tc>
        <w:tc>
          <w:tcPr>
            <w:tcW w:w="715" w:type="dxa"/>
            <w:noWrap w:val="0"/>
            <w:vAlign w:val="center"/>
          </w:tcPr>
          <w:p>
            <w:pPr>
              <w:widowControl/>
              <w:spacing w:line="240" w:lineRule="exact"/>
              <w:jc w:val="center"/>
              <w:textAlignment w:val="center"/>
              <w:rPr>
                <w:rFonts w:hint="default" w:eastAsia="宋体"/>
                <w:sz w:val="18"/>
                <w:szCs w:val="18"/>
                <w:lang w:val="en-US" w:eastAsia="zh-CN"/>
              </w:rPr>
            </w:pPr>
            <w:r>
              <w:rPr>
                <w:rFonts w:hint="eastAsia"/>
                <w:kern w:val="0"/>
                <w:sz w:val="18"/>
                <w:szCs w:val="18"/>
                <w:lang w:val="en-US" w:eastAsia="zh-CN" w:bidi="ar"/>
              </w:rPr>
              <w:t>4854</w:t>
            </w:r>
          </w:p>
        </w:tc>
        <w:tc>
          <w:tcPr>
            <w:tcW w:w="716" w:type="dxa"/>
            <w:noWrap w:val="0"/>
            <w:vAlign w:val="center"/>
          </w:tcPr>
          <w:p>
            <w:pPr>
              <w:widowControl/>
              <w:spacing w:line="240" w:lineRule="exact"/>
              <w:jc w:val="center"/>
              <w:textAlignment w:val="center"/>
              <w:rPr>
                <w:sz w:val="18"/>
                <w:szCs w:val="18"/>
              </w:rPr>
            </w:pPr>
            <w:r>
              <w:rPr>
                <w:rStyle w:val="6"/>
                <w:rFonts w:hint="default" w:ascii="Times New Roman" w:hAnsi="Times New Roman" w:cs="Times New Roman"/>
                <w:color w:val="auto"/>
                <w:lang w:bidi="ar"/>
              </w:rPr>
              <w:t>行政给付</w:t>
            </w:r>
          </w:p>
        </w:tc>
        <w:tc>
          <w:tcPr>
            <w:tcW w:w="1934" w:type="dxa"/>
            <w:noWrap w:val="0"/>
            <w:vAlign w:val="center"/>
          </w:tcPr>
          <w:p>
            <w:pPr>
              <w:widowControl/>
              <w:spacing w:line="240" w:lineRule="exact"/>
              <w:textAlignment w:val="center"/>
              <w:rPr>
                <w:sz w:val="18"/>
                <w:szCs w:val="18"/>
              </w:rPr>
            </w:pPr>
            <w:r>
              <w:rPr>
                <w:rStyle w:val="6"/>
                <w:rFonts w:hint="default" w:ascii="Times New Roman" w:hAnsi="Times New Roman" w:cs="Times New Roman"/>
                <w:color w:val="auto"/>
                <w:lang w:bidi="ar"/>
              </w:rPr>
              <w:t>烈士遗属、因公牺牲军人遗属、病故军人遗属一次性抚恤金的给付</w:t>
            </w:r>
          </w:p>
        </w:tc>
        <w:tc>
          <w:tcPr>
            <w:tcW w:w="375"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50" w:type="dxa"/>
            <w:noWrap w:val="0"/>
            <w:vAlign w:val="center"/>
          </w:tcPr>
          <w:p>
            <w:pPr>
              <w:widowControl/>
              <w:spacing w:line="240" w:lineRule="exact"/>
              <w:jc w:val="center"/>
              <w:textAlignment w:val="center"/>
              <w:rPr>
                <w:sz w:val="18"/>
                <w:szCs w:val="18"/>
              </w:rPr>
            </w:pPr>
            <w:r>
              <w:rPr>
                <w:kern w:val="0"/>
                <w:sz w:val="18"/>
                <w:szCs w:val="18"/>
                <w:lang w:bidi="ar"/>
              </w:rPr>
              <w:t>×</w:t>
            </w:r>
          </w:p>
        </w:tc>
        <w:tc>
          <w:tcPr>
            <w:tcW w:w="387" w:type="dxa"/>
            <w:noWrap w:val="0"/>
            <w:vAlign w:val="center"/>
          </w:tcPr>
          <w:p>
            <w:pPr>
              <w:widowControl/>
              <w:spacing w:line="240" w:lineRule="exact"/>
              <w:jc w:val="center"/>
              <w:textAlignment w:val="center"/>
              <w:rPr>
                <w:sz w:val="18"/>
                <w:szCs w:val="18"/>
              </w:rPr>
            </w:pPr>
            <w:r>
              <w:rPr>
                <w:kern w:val="0"/>
                <w:sz w:val="18"/>
                <w:szCs w:val="18"/>
                <w:lang w:bidi="ar"/>
              </w:rPr>
              <w:t>√</w:t>
            </w:r>
          </w:p>
        </w:tc>
        <w:tc>
          <w:tcPr>
            <w:tcW w:w="604" w:type="dxa"/>
            <w:noWrap w:val="0"/>
            <w:vAlign w:val="center"/>
          </w:tcPr>
          <w:p>
            <w:pPr>
              <w:widowControl/>
              <w:spacing w:line="240" w:lineRule="exact"/>
              <w:jc w:val="center"/>
              <w:textAlignment w:val="center"/>
              <w:rPr>
                <w:sz w:val="18"/>
                <w:szCs w:val="18"/>
              </w:rPr>
            </w:pPr>
            <w:r>
              <w:rPr>
                <w:rFonts w:eastAsia="方正仿宋简体"/>
                <w:kern w:val="0"/>
                <w:sz w:val="18"/>
                <w:szCs w:val="18"/>
                <w:lang w:bidi="ar"/>
              </w:rPr>
              <w:t>涉密</w:t>
            </w:r>
          </w:p>
        </w:tc>
        <w:tc>
          <w:tcPr>
            <w:tcW w:w="705" w:type="dxa"/>
            <w:vMerge w:val="continue"/>
            <w:noWrap w:val="0"/>
            <w:vAlign w:val="center"/>
          </w:tcPr>
          <w:p>
            <w:pPr>
              <w:widowControl/>
              <w:spacing w:line="240" w:lineRule="exact"/>
              <w:jc w:val="center"/>
              <w:rPr>
                <w:sz w:val="18"/>
                <w:szCs w:val="18"/>
              </w:rPr>
            </w:pPr>
          </w:p>
        </w:tc>
        <w:tc>
          <w:tcPr>
            <w:tcW w:w="730" w:type="dxa"/>
            <w:vMerge w:val="continue"/>
            <w:noWrap w:val="0"/>
            <w:vAlign w:val="center"/>
          </w:tcPr>
          <w:p>
            <w:pPr>
              <w:widowControl/>
              <w:spacing w:line="240" w:lineRule="exact"/>
              <w:jc w:val="center"/>
              <w:rPr>
                <w:sz w:val="18"/>
                <w:szCs w:val="18"/>
              </w:rPr>
            </w:pPr>
          </w:p>
        </w:tc>
        <w:tc>
          <w:tcPr>
            <w:tcW w:w="4306" w:type="dxa"/>
            <w:vMerge w:val="continue"/>
            <w:noWrap w:val="0"/>
            <w:vAlign w:val="center"/>
          </w:tcPr>
          <w:p>
            <w:pPr>
              <w:widowControl/>
              <w:spacing w:line="240" w:lineRule="exact"/>
              <w:rPr>
                <w:sz w:val="18"/>
                <w:szCs w:val="18"/>
              </w:rPr>
            </w:pPr>
          </w:p>
        </w:tc>
        <w:tc>
          <w:tcPr>
            <w:tcW w:w="1095" w:type="dxa"/>
            <w:vMerge w:val="continue"/>
            <w:noWrap w:val="0"/>
            <w:vAlign w:val="center"/>
          </w:tcPr>
          <w:p>
            <w:pPr>
              <w:widowControl/>
              <w:spacing w:line="240" w:lineRule="exact"/>
              <w:jc w:val="center"/>
              <w:rPr>
                <w:sz w:val="18"/>
                <w:szCs w:val="18"/>
              </w:rPr>
            </w:pPr>
          </w:p>
        </w:tc>
        <w:tc>
          <w:tcPr>
            <w:tcW w:w="405" w:type="dxa"/>
            <w:vMerge w:val="continue"/>
            <w:noWrap w:val="0"/>
            <w:vAlign w:val="center"/>
          </w:tcPr>
          <w:p>
            <w:pPr>
              <w:widowControl/>
              <w:spacing w:line="240" w:lineRule="exact"/>
              <w:jc w:val="center"/>
              <w:rPr>
                <w:sz w:val="18"/>
                <w:szCs w:val="18"/>
              </w:rPr>
            </w:pPr>
          </w:p>
        </w:tc>
        <w:tc>
          <w:tcPr>
            <w:tcW w:w="390" w:type="dxa"/>
            <w:vMerge w:val="continue"/>
            <w:noWrap w:val="0"/>
            <w:vAlign w:val="center"/>
          </w:tcPr>
          <w:p>
            <w:pPr>
              <w:widowControl/>
              <w:spacing w:line="240" w:lineRule="exact"/>
              <w:jc w:val="center"/>
              <w:rPr>
                <w:sz w:val="18"/>
                <w:szCs w:val="18"/>
              </w:rPr>
            </w:pPr>
          </w:p>
        </w:tc>
        <w:tc>
          <w:tcPr>
            <w:tcW w:w="420" w:type="dxa"/>
            <w:vMerge w:val="continue"/>
            <w:noWrap w:val="0"/>
            <w:vAlign w:val="center"/>
          </w:tcPr>
          <w:p>
            <w:pPr>
              <w:widowControl/>
              <w:spacing w:line="240" w:lineRule="exact"/>
              <w:jc w:val="center"/>
              <w:rPr>
                <w:sz w:val="18"/>
                <w:szCs w:val="18"/>
              </w:rPr>
            </w:pPr>
          </w:p>
        </w:tc>
        <w:tc>
          <w:tcPr>
            <w:tcW w:w="660" w:type="dxa"/>
            <w:vMerge w:val="continue"/>
            <w:noWrap w:val="0"/>
            <w:vAlign w:val="center"/>
          </w:tcPr>
          <w:p>
            <w:pPr>
              <w:widowControl/>
              <w:spacing w:line="240" w:lineRule="exact"/>
              <w:jc w:val="center"/>
              <w:rPr>
                <w:sz w:val="18"/>
                <w:szCs w:val="18"/>
              </w:rPr>
            </w:pPr>
          </w:p>
        </w:tc>
      </w:tr>
    </w:tbl>
    <w:p>
      <w:pPr>
        <w:pStyle w:val="2"/>
        <w:rPr>
          <w:rFonts w:hint="eastAsia"/>
          <w:lang w:val="en-US" w:eastAsia="zh-CN"/>
        </w:rPr>
      </w:pPr>
    </w:p>
    <w:p>
      <w:bookmarkStart w:id="0" w:name="_GoBack"/>
      <w:bookmarkEnd w:id="0"/>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1C32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200" w:firstLine="200" w:firstLineChars="200"/>
    </w:pPr>
    <w:rPr>
      <w:rFonts w:ascii="Calibri" w:hAnsi="Calibri" w:cs="Arial"/>
      <w:szCs w:val="22"/>
    </w:rPr>
  </w:style>
  <w:style w:type="paragraph" w:styleId="3">
    <w:name w:val="Body Text Indent"/>
    <w:basedOn w:val="1"/>
    <w:uiPriority w:val="0"/>
    <w:pPr>
      <w:spacing w:after="120"/>
      <w:ind w:left="420" w:leftChars="200"/>
    </w:pPr>
  </w:style>
  <w:style w:type="character" w:customStyle="1" w:styleId="6">
    <w:name w:val="font221"/>
    <w:basedOn w:val="5"/>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2024-05-10T02:14:17Z</dcterms:created>
  <dc:creator>1</dc:creator>
  <cp:lastModifiedBy>寒～炎</cp:lastModifiedBy>
  <dcterms:modified xsi:type="dcterms:W3CDTF">2024-05-10T02:14:48Z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C3B2D7A9237F42BFAD63969DB5B3A57A_12</vt:lpwstr>
  </property>
</Properties>
</file>