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剑阁县国家储备林建设项目经济林和</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林下经济发展建设方案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为深入践行习近平总书记“绿水青山就是金山银山”理论和“森林四库”重要论述，大力实施“天府森林粮库123工程”，深度挖掘我县森林资源发展潜力，高质量推动经济林和林下经济发展，推动生态产品价值转化，结合我县国家储备林建设项目总体规划，特制定本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一、总体目标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围绕“为国储材、藏富于林”国家储备林建设宗旨，以深化林权改革为抓手，以国家储备林建设为载体，以“调结构、转方式、惠民生”为目的，构建“国储林+经济林和林下经济”发展模式，充分利用全县林地资源，集中集约发展经济林和林下经济，切实提高森林经营水平及林地生产力</w:t>
      </w:r>
      <w:r>
        <w:rPr>
          <w:rFonts w:hint="eastAsia" w:ascii="仿宋_GB2312" w:hAnsi="仿宋_GB2312" w:cs="仿宋_GB2312"/>
          <w:color w:val="000000" w:themeColor="text1"/>
          <w:szCs w:val="32"/>
          <w:lang w:eastAsia="zh-CN"/>
          <w14:textFill>
            <w14:solidFill>
              <w14:schemeClr w14:val="tx1"/>
            </w14:solidFill>
          </w14:textFill>
        </w:rPr>
        <w:t>和</w:t>
      </w:r>
      <w:r>
        <w:rPr>
          <w:rFonts w:hint="eastAsia" w:ascii="仿宋_GB2312" w:hAnsi="仿宋_GB2312" w:cs="仿宋_GB2312"/>
          <w:color w:val="000000" w:themeColor="text1"/>
          <w:szCs w:val="32"/>
          <w14:textFill>
            <w14:solidFill>
              <w14:schemeClr w14:val="tx1"/>
            </w14:solidFill>
          </w14:textFill>
        </w:rPr>
        <w:t>单产量，实现林业生态经济可持续发展，推动绿水青山向金山银山转化。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（一）坚持合作共赢原则。</w:t>
      </w:r>
      <w:r>
        <w:rPr>
          <w:rFonts w:hint="eastAsia" w:ascii="仿宋_GB2312" w:hAnsi="仿宋_GB2312" w:cs="仿宋_GB2312"/>
          <w:color w:val="000000" w:themeColor="text1"/>
          <w:szCs w:val="32"/>
          <w14:textFill>
            <w14:solidFill>
              <w14:schemeClr w14:val="tx1"/>
            </w14:solidFill>
          </w14:textFill>
        </w:rPr>
        <w:t>充分发挥资源、资金、技术等多方优势，本着风险共担、利益共享的原则，建立高效务实的合作机制，推动合作双方互惠互利、共同发展。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（二）坚持科学规划原则。</w:t>
      </w:r>
      <w:r>
        <w:rPr>
          <w:rFonts w:hint="eastAsia" w:ascii="仿宋_GB2312" w:hAnsi="仿宋_GB2312" w:cs="仿宋_GB2312"/>
          <w:color w:val="000000" w:themeColor="text1"/>
          <w:szCs w:val="32"/>
          <w14:textFill>
            <w14:solidFill>
              <w14:schemeClr w14:val="tx1"/>
            </w14:solidFill>
          </w14:textFill>
        </w:rPr>
        <w:t>遵循自然规律和客观条件，在充分调研和论证的基础上，把准市场规律，着眼长远发展，合理规划、科学布局林下经济产业种类。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（三）坚持规模发展原则。</w:t>
      </w:r>
      <w:r>
        <w:rPr>
          <w:rFonts w:hint="eastAsia" w:ascii="仿宋_GB2312" w:hAnsi="仿宋_GB2312" w:cs="仿宋_GB2312"/>
          <w:color w:val="000000" w:themeColor="text1"/>
          <w:szCs w:val="32"/>
          <w14:textFill>
            <w14:solidFill>
              <w14:schemeClr w14:val="tx1"/>
            </w14:solidFill>
          </w14:textFill>
        </w:rPr>
        <w:t>按照规模化、特色化、标准化建设要求，选择自然条件优越、交通便利、集中成片的林地，</w:t>
      </w:r>
      <w:r>
        <w:rPr>
          <w:rFonts w:hint="eastAsia" w:ascii="仿宋_GB2312" w:hAnsi="仿宋_GB2312" w:cs="仿宋_GB2312"/>
          <w:color w:val="000000" w:themeColor="text1"/>
          <w:szCs w:val="32"/>
          <w:lang w:eastAsia="zh-CN"/>
          <w14:textFill>
            <w14:solidFill>
              <w14:schemeClr w14:val="tx1"/>
            </w14:solidFill>
          </w14:textFill>
        </w:rPr>
        <w:t>通过</w:t>
      </w:r>
      <w:r>
        <w:rPr>
          <w:rFonts w:hint="eastAsia" w:ascii="仿宋_GB2312" w:hAnsi="仿宋_GB2312" w:cs="仿宋_GB2312"/>
          <w:color w:val="000000" w:themeColor="text1"/>
          <w:szCs w:val="32"/>
          <w14:textFill>
            <w14:solidFill>
              <w14:schemeClr w14:val="tx1"/>
            </w14:solidFill>
          </w14:textFill>
        </w:rPr>
        <w:t>整合生产要素，高质量推进经济林和林下经济产业发展。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（四）坚持成链发展原则。</w:t>
      </w:r>
      <w:r>
        <w:rPr>
          <w:rFonts w:hint="eastAsia" w:ascii="仿宋_GB2312" w:hAnsi="仿宋_GB2312" w:cs="仿宋_GB2312"/>
          <w:color w:val="000000" w:themeColor="text1"/>
          <w:szCs w:val="32"/>
          <w14:textFill>
            <w14:solidFill>
              <w14:schemeClr w14:val="tx1"/>
            </w14:solidFill>
          </w14:textFill>
        </w:rPr>
        <w:t>不断优化产业发展模式，健全利益联结机制，着力基地建设、业态培育、产品开发和市场销售，成链推进产业发展，实现经济林和林下经济可持续发展。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三、项目投资方式及合作模式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（一）投资方式。</w:t>
      </w:r>
      <w:r>
        <w:rPr>
          <w:rFonts w:hint="eastAsia" w:ascii="仿宋_GB2312" w:hAnsi="仿宋_GB2312" w:cs="仿宋_GB2312"/>
          <w:color w:val="000000" w:themeColor="text1"/>
          <w:szCs w:val="32"/>
          <w14:textFill>
            <w14:solidFill>
              <w14:schemeClr w14:val="tx1"/>
            </w14:solidFill>
          </w14:textFill>
        </w:rPr>
        <w:t>投资主体为实施国家储备林建设项目的国有企业或政府指定的其他县属国有企业，与其他社会资本按约定比例共同投资。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（二）合作模式。</w:t>
      </w:r>
      <w:r>
        <w:rPr>
          <w:rFonts w:hint="eastAsia" w:ascii="仿宋_GB2312" w:hAnsi="仿宋_GB2312" w:cs="仿宋_GB2312"/>
          <w:color w:val="000000" w:themeColor="text1"/>
          <w:szCs w:val="32"/>
          <w14:textFill>
            <w14:solidFill>
              <w14:schemeClr w14:val="tx1"/>
            </w14:solidFill>
          </w14:textFill>
        </w:rPr>
        <w:t>投资主体与社会资本按约定比例共同投资建设；正式投产后，双方按约定比例参与分红。合作期限不超过30年。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四、项目建设内容及方式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（一）建设内容。</w:t>
      </w:r>
      <w:r>
        <w:rPr>
          <w:rFonts w:hint="eastAsia" w:ascii="仿宋_GB2312" w:hAnsi="仿宋_GB2312" w:cs="仿宋_GB2312"/>
          <w:color w:val="000000" w:themeColor="text1"/>
          <w:szCs w:val="32"/>
          <w14:textFill>
            <w14:solidFill>
              <w14:schemeClr w14:val="tx1"/>
            </w14:solidFill>
          </w14:textFill>
        </w:rPr>
        <w:t>结合《国家储备林树种目录》和当地自然条件，优选地块和特色经济品种，投资建设一批经营周期长、见效稳定的经济林和林下经济项目。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（二）建设方式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1.项目业主与投资主体合作经营。投资主体根据合作项目业主</w:t>
      </w:r>
      <w:r>
        <w:rPr>
          <w:rFonts w:hint="eastAsia" w:ascii="仿宋_GB2312" w:hAnsi="仿宋_GB2312" w:cs="仿宋_GB2312"/>
          <w:color w:val="000000" w:themeColor="text1"/>
          <w:spacing w:val="-6"/>
          <w:szCs w:val="32"/>
          <w14:textFill>
            <w14:solidFill>
              <w14:schemeClr w14:val="tx1"/>
            </w14:solidFill>
          </w14:textFill>
        </w:rPr>
        <w:t>的技术水平、资金能力、项目区域等综合因素自主选择。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仿宋_GB2312" w:hAnsi="仿宋_GB2312" w:cs="仿宋_GB2312"/>
          <w:color w:val="000000" w:themeColor="text1"/>
          <w:szCs w:val="32"/>
          <w14:textFill>
            <w14:solidFill>
              <w14:schemeClr w14:val="tx1"/>
            </w14:solidFill>
          </w14:textFill>
        </w:rPr>
        <w:t>2.可直接流转或收购原产业投资企业，独立自主经营。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五、投资内容及收益分红</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宋体" w:hAnsi="宋体" w:eastAsia="宋体" w:cs="宋体"/>
          <w:color w:val="000000" w:themeColor="text1"/>
          <w14:textFill>
            <w14:solidFill>
              <w14:schemeClr w14:val="tx1"/>
            </w14:solidFill>
          </w14:textFill>
        </w:rPr>
      </w:pPr>
      <w:r>
        <w:rPr>
          <w:rFonts w:hint="eastAsia"/>
          <w:color w:val="000000" w:themeColor="text1"/>
          <w14:textFill>
            <w14:solidFill>
              <w14:schemeClr w14:val="tx1"/>
            </w14:solidFill>
          </w14:textFill>
        </w:rPr>
        <w:t>投资内容及收益分红方式见下</w:t>
      </w:r>
      <w:r>
        <w:rPr>
          <w:rFonts w:hint="eastAsia" w:ascii="宋体" w:hAnsi="宋体" w:eastAsia="宋体" w:cs="宋体"/>
          <w:color w:val="000000" w:themeColor="text1"/>
          <w14:textFill>
            <w14:solidFill>
              <w14:schemeClr w14:val="tx1"/>
            </w14:solidFill>
          </w14:textFill>
        </w:rPr>
        <w:t>。</w:t>
      </w:r>
    </w:p>
    <w:p>
      <w:pPr>
        <w:pStyle w:val="3"/>
      </w:pPr>
    </w:p>
    <w:p>
      <w:pPr>
        <w:pStyle w:val="9"/>
        <w:keepNext w:val="0"/>
        <w:keepLines w:val="0"/>
        <w:pageBreakBefore w:val="0"/>
        <w:widowControl w:val="0"/>
        <w:kinsoku/>
        <w:wordWrap/>
        <w:overflowPunct/>
        <w:topLinePunct w:val="0"/>
        <w:bidi w:val="0"/>
        <w:spacing w:line="576" w:lineRule="exact"/>
        <w:jc w:val="center"/>
        <w:textAlignment w:val="auto"/>
        <w:rPr>
          <w:rFonts w:hint="eastAsia" w:ascii="方正小标宋简体" w:hAnsi="方正小标宋简体" w:eastAsia="方正小标宋简体" w:cs="方正小标宋简体"/>
          <w:color w:val="000000" w:themeColor="text1"/>
          <w:sz w:val="40"/>
          <w:szCs w:val="40"/>
          <w14:textFill>
            <w14:solidFill>
              <w14:schemeClr w14:val="tx1"/>
            </w14:solidFill>
          </w14:textFill>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经济林和林下经济投资内容及收益分红明细表</w:t>
      </w:r>
    </w:p>
    <w:tbl>
      <w:tblPr>
        <w:tblStyle w:val="7"/>
        <w:tblW w:w="518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4"/>
        <w:gridCol w:w="425"/>
        <w:gridCol w:w="1069"/>
        <w:gridCol w:w="845"/>
        <w:gridCol w:w="772"/>
        <w:gridCol w:w="866"/>
        <w:gridCol w:w="718"/>
        <w:gridCol w:w="717"/>
        <w:gridCol w:w="783"/>
        <w:gridCol w:w="2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blHeader/>
          <w:jc w:val="center"/>
        </w:trPr>
        <w:tc>
          <w:tcPr>
            <w:tcW w:w="102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lang w:val="en-US" w:eastAsia="zh-CN" w:bidi="ar"/>
              </w:rPr>
              <w:t>投资内容</w:t>
            </w:r>
          </w:p>
        </w:tc>
        <w:tc>
          <w:tcPr>
            <w:tcW w:w="250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lang w:val="en-US" w:eastAsia="zh-CN" w:bidi="ar"/>
              </w:rPr>
              <w:t>投资金额（元/亩）</w:t>
            </w:r>
          </w:p>
        </w:tc>
        <w:tc>
          <w:tcPr>
            <w:tcW w:w="14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收益分红方式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blHeader/>
          <w:jc w:val="center"/>
        </w:trPr>
        <w:tc>
          <w:tcPr>
            <w:tcW w:w="10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pacing w:val="-6"/>
                <w:sz w:val="21"/>
                <w:szCs w:val="21"/>
                <w:u w:val="none"/>
              </w:rPr>
            </w:pPr>
          </w:p>
        </w:tc>
        <w:tc>
          <w:tcPr>
            <w:tcW w:w="4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6"/>
                <w:sz w:val="21"/>
                <w:szCs w:val="21"/>
                <w:u w:val="none"/>
              </w:rPr>
            </w:pPr>
            <w:r>
              <w:rPr>
                <w:rFonts w:hint="eastAsia" w:ascii="宋体" w:hAnsi="宋体" w:eastAsia="宋体" w:cs="宋体"/>
                <w:i w:val="0"/>
                <w:iCs w:val="0"/>
                <w:color w:val="000000"/>
                <w:spacing w:val="-6"/>
                <w:kern w:val="0"/>
                <w:sz w:val="21"/>
                <w:szCs w:val="21"/>
                <w:u w:val="none"/>
                <w:lang w:val="en-US" w:eastAsia="zh-CN" w:bidi="ar"/>
              </w:rPr>
              <w:t>合计</w:t>
            </w:r>
          </w:p>
        </w:tc>
        <w:tc>
          <w:tcPr>
            <w:tcW w:w="4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清杂、整地（元/亩）</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栽植/点播/换、套种（元/亩）</w:t>
            </w:r>
          </w:p>
        </w:tc>
        <w:tc>
          <w:tcPr>
            <w:tcW w:w="118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管护费</w:t>
            </w:r>
          </w:p>
        </w:tc>
        <w:tc>
          <w:tcPr>
            <w:tcW w:w="1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3" w:hRule="atLeast"/>
          <w:tblHeader/>
          <w:jc w:val="center"/>
        </w:trPr>
        <w:tc>
          <w:tcPr>
            <w:tcW w:w="102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pacing w:val="-6"/>
                <w:sz w:val="21"/>
                <w:szCs w:val="21"/>
                <w:u w:val="none"/>
              </w:rPr>
            </w:pPr>
          </w:p>
        </w:tc>
        <w:tc>
          <w:tcPr>
            <w:tcW w:w="4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pacing w:val="-6"/>
                <w:sz w:val="21"/>
                <w:szCs w:val="21"/>
                <w:u w:val="none"/>
              </w:rPr>
            </w:pPr>
          </w:p>
        </w:tc>
        <w:tc>
          <w:tcPr>
            <w:tcW w:w="4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pacing w:val="-17"/>
                <w:sz w:val="21"/>
                <w:szCs w:val="21"/>
                <w:u w:val="none"/>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rPr>
                <w:rFonts w:hint="eastAsia" w:ascii="宋体" w:hAnsi="宋体" w:eastAsia="宋体" w:cs="宋体"/>
                <w:i w:val="0"/>
                <w:iCs w:val="0"/>
                <w:color w:val="000000"/>
                <w:spacing w:val="-17"/>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小计</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kern w:val="0"/>
                <w:sz w:val="21"/>
                <w:szCs w:val="21"/>
                <w:u w:val="none"/>
                <w:lang w:val="en-US" w:eastAsia="zh-CN" w:bidi="ar"/>
              </w:rPr>
            </w:pPr>
            <w:r>
              <w:rPr>
                <w:rFonts w:hint="eastAsia" w:ascii="宋体" w:hAnsi="宋体" w:eastAsia="宋体" w:cs="宋体"/>
                <w:i w:val="0"/>
                <w:iCs w:val="0"/>
                <w:color w:val="000000"/>
                <w:spacing w:val="-17"/>
                <w:kern w:val="0"/>
                <w:sz w:val="21"/>
                <w:szCs w:val="21"/>
                <w:u w:val="none"/>
                <w:lang w:val="en-US" w:eastAsia="zh-CN" w:bidi="ar"/>
              </w:rPr>
              <w:t>标准</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（元/亩）</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i w:val="0"/>
                <w:iCs w:val="0"/>
                <w:color w:val="000000"/>
                <w:spacing w:val="-17"/>
                <w:sz w:val="21"/>
                <w:szCs w:val="21"/>
                <w:u w:val="none"/>
              </w:rPr>
            </w:pPr>
            <w:r>
              <w:rPr>
                <w:rFonts w:hint="eastAsia" w:ascii="宋体" w:hAnsi="宋体" w:eastAsia="宋体" w:cs="宋体"/>
                <w:i w:val="0"/>
                <w:iCs w:val="0"/>
                <w:color w:val="000000"/>
                <w:spacing w:val="-17"/>
                <w:kern w:val="0"/>
                <w:sz w:val="21"/>
                <w:szCs w:val="21"/>
                <w:u w:val="none"/>
                <w:lang w:val="en-US" w:eastAsia="zh-CN" w:bidi="ar"/>
              </w:rPr>
              <w:t>管护年限（年）</w:t>
            </w:r>
          </w:p>
        </w:tc>
        <w:tc>
          <w:tcPr>
            <w:tcW w:w="14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主导产业</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元宝枫</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第6年开始投资方每年按固定产量80斤/亩（带壳籽）参与收益分红（春季栽植从当年算起，秋季栽植从次年算起，下同）。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23"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2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中药材</w:t>
            </w: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木本中药材</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第15年开始投资方可要求收获鲜皮参与收益分红，黄柏800斤/亩、厚朴和杜仲500斤/亩，也可根据市场行情延迟收获年限，每延迟一年分红产量较上年递增3%。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0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2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5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其他中药材 （淫羊藿、川明参、金银花等）</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6"/>
                <w:rFonts w:hint="eastAsia" w:ascii="宋体" w:hAnsi="宋体" w:eastAsia="宋体" w:cs="宋体"/>
                <w:sz w:val="21"/>
                <w:szCs w:val="21"/>
                <w:lang w:val="en-US" w:eastAsia="zh-CN" w:bidi="ar"/>
              </w:rPr>
              <w:t>6000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1"/>
                <w:szCs w:val="21"/>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rPr>
                <w:rFonts w:hint="eastAsia" w:ascii="宋体" w:hAnsi="宋体" w:eastAsia="宋体" w:cs="宋体"/>
                <w:i w:val="0"/>
                <w:iCs w:val="0"/>
                <w:color w:val="000000"/>
                <w:sz w:val="21"/>
                <w:szCs w:val="21"/>
                <w:u w:val="none"/>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投资一年生的药材，扣除投资成本后，每亩按20%纯利润分红；投资多年生的药材，扣除投资成本后，每亩按15%纯利润分红。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李类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第6年开始投资方每年按固定产量100斤/亩（鲜果）参与收益分红。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2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引导产业</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油茶产业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第6年开始投资方每年按固定产量100斤/亩（鲜果）参与收益分红。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核桃产业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第6年开始按固定产量150斤/亩（青果）参与收益分红。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油桐产业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第6年开始投资方每年按固定产量100斤/亩（干果）参与收益分红。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油橄榄产业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第6年开始投资方按固定产量50斤/亩（鲜果）参与收益分红。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藤椒产业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第6年开始投资方按固定产量30斤/亩参与收益分红。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笋用竹产业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第7年开始投资方按固定产量150斤/亩（鲜笋）参与收益分红。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柑橘类</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第6年开始投资方按固定产量300斤/亩（鲜果）参与收益分红。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其他林下种养产业</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根据项目可行性研究报告进行论证，再另行具体商议投资协议内容。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3" w:hRule="atLeast"/>
          <w:jc w:val="center"/>
        </w:trPr>
        <w:tc>
          <w:tcPr>
            <w:tcW w:w="22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老旧园区及产业基地改造</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r>
              <w:rPr>
                <w:rStyle w:val="16"/>
                <w:rFonts w:hint="eastAsia" w:ascii="宋体" w:hAnsi="宋体" w:eastAsia="宋体" w:cs="宋体"/>
                <w:sz w:val="21"/>
                <w:szCs w:val="21"/>
                <w:lang w:val="en-US" w:eastAsia="zh-CN" w:bidi="ar"/>
              </w:rPr>
              <w:t>3000</w:t>
            </w:r>
          </w:p>
        </w:tc>
        <w:tc>
          <w:tcPr>
            <w:tcW w:w="4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00" w:lineRule="exact"/>
              <w:ind w:firstLine="0" w:firstLineChars="0"/>
              <w:jc w:val="center"/>
              <w:rPr>
                <w:rFonts w:hint="eastAsia" w:ascii="宋体" w:hAnsi="宋体" w:eastAsia="宋体" w:cs="宋体"/>
                <w:i w:val="0"/>
                <w:iCs w:val="0"/>
                <w:color w:val="000000"/>
                <w:sz w:val="21"/>
                <w:szCs w:val="21"/>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w:t>
            </w:r>
          </w:p>
        </w:tc>
        <w:tc>
          <w:tcPr>
            <w:tcW w:w="3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7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不低于盛产期固定亩产量的10%参与收益分红。</w:t>
            </w:r>
          </w:p>
        </w:tc>
      </w:tr>
    </w:tbl>
    <w:p>
      <w:pPr>
        <w:pStyle w:val="9"/>
        <w:keepNext w:val="0"/>
        <w:keepLines w:val="0"/>
        <w:pageBreakBefore w:val="0"/>
        <w:widowControl w:val="0"/>
        <w:kinsoku/>
        <w:wordWrap/>
        <w:overflowPunct/>
        <w:topLinePunct w:val="0"/>
        <w:autoSpaceDE w:val="0"/>
        <w:autoSpaceDN w:val="0"/>
        <w:bidi w:val="0"/>
        <w:adjustRightInd w:val="0"/>
        <w:snapToGrid/>
        <w:spacing w:line="20" w:lineRule="exact"/>
        <w:ind w:firstLine="560" w:firstLineChars="200"/>
        <w:textAlignment w:val="auto"/>
        <w:rPr>
          <w:rFonts w:asciiTheme="minorEastAsia" w:hAnsiTheme="minorEastAsia" w:eastAsiaTheme="minorEastAsia" w:cstheme="minorEastAsia"/>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bidi w:val="0"/>
        <w:spacing w:line="576"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六、建设要求</w:t>
      </w:r>
    </w:p>
    <w:p>
      <w:pPr>
        <w:keepNext w:val="0"/>
        <w:keepLines w:val="0"/>
        <w:pageBreakBefore w:val="0"/>
        <w:widowControl w:val="0"/>
        <w:kinsoku/>
        <w:wordWrap/>
        <w:overflowPunct/>
        <w:topLinePunct w:val="0"/>
        <w:bidi w:val="0"/>
        <w:spacing w:line="576"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（一）高规格规划布局。</w:t>
      </w:r>
      <w:r>
        <w:rPr>
          <w:rFonts w:hint="eastAsia" w:ascii="仿宋_GB2312" w:hAnsi="仿宋_GB2312" w:cs="仿宋_GB2312"/>
          <w:color w:val="000000" w:themeColor="text1"/>
          <w:szCs w:val="32"/>
          <w14:textFill>
            <w14:solidFill>
              <w14:schemeClr w14:val="tx1"/>
            </w14:solidFill>
          </w14:textFill>
        </w:rPr>
        <w:t>坚持适地适种，综合考虑自然气候、立地条件、市场行情等多种因素，科学规划产业发展类型及品种。按照集约化、规模化发展思路，选择自然条件优越、交通便利、水源充足且相对集中连片的林区，高规格布局产业基地。</w:t>
      </w:r>
    </w:p>
    <w:p>
      <w:pPr>
        <w:keepNext w:val="0"/>
        <w:keepLines w:val="0"/>
        <w:pageBreakBefore w:val="0"/>
        <w:widowControl w:val="0"/>
        <w:kinsoku/>
        <w:wordWrap/>
        <w:overflowPunct/>
        <w:topLinePunct w:val="0"/>
        <w:bidi w:val="0"/>
        <w:spacing w:line="576"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（二）高质量建设基地。</w:t>
      </w:r>
      <w:r>
        <w:rPr>
          <w:rFonts w:hint="eastAsia" w:ascii="仿宋_GB2312" w:hAnsi="仿宋_GB2312" w:cs="仿宋_GB2312"/>
          <w:color w:val="000000" w:themeColor="text1"/>
          <w:szCs w:val="32"/>
          <w14:textFill>
            <w14:solidFill>
              <w14:schemeClr w14:val="tx1"/>
            </w14:solidFill>
          </w14:textFill>
        </w:rPr>
        <w:t>严格按照作业设计和技术标准施工，严把林木采伐、场地平整、种苗质量、打窝栽植、后续管理等多个环节质量关。加强交通、渠系、管网、电力和通讯等基础设施建设。</w:t>
      </w:r>
    </w:p>
    <w:p>
      <w:pPr>
        <w:keepNext w:val="0"/>
        <w:keepLines w:val="0"/>
        <w:pageBreakBefore w:val="0"/>
        <w:widowControl w:val="0"/>
        <w:kinsoku/>
        <w:wordWrap/>
        <w:overflowPunct/>
        <w:topLinePunct w:val="0"/>
        <w:bidi w:val="0"/>
        <w:spacing w:line="576"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（三）高效率产销对接</w:t>
      </w:r>
      <w:r>
        <w:rPr>
          <w:rFonts w:hint="eastAsia" w:ascii="仿宋_GB2312" w:hAnsi="仿宋_GB2312" w:cs="仿宋_GB2312"/>
          <w:color w:val="000000" w:themeColor="text1"/>
          <w:szCs w:val="32"/>
          <w14:textFill>
            <w14:solidFill>
              <w14:schemeClr w14:val="tx1"/>
            </w14:solidFill>
          </w14:textFill>
        </w:rPr>
        <w:t>。坚持市场引导、效益带动，做实初深加工、物流仓储、线上线下销售，拓展市场销售途径，推动场地向市场、产品向商品转化，推动产销有效衔接，切实提升产业发展效益。</w:t>
      </w:r>
    </w:p>
    <w:p>
      <w:pPr>
        <w:keepNext w:val="0"/>
        <w:keepLines w:val="0"/>
        <w:pageBreakBefore w:val="0"/>
        <w:widowControl w:val="0"/>
        <w:kinsoku/>
        <w:wordWrap/>
        <w:overflowPunct/>
        <w:topLinePunct w:val="0"/>
        <w:bidi w:val="0"/>
        <w:spacing w:line="576" w:lineRule="exact"/>
        <w:ind w:firstLine="640" w:firstLineChars="200"/>
        <w:textAlignment w:val="auto"/>
        <w:rPr>
          <w:rFonts w:ascii="黑体" w:hAnsi="黑体" w:eastAsia="黑体" w:cs="黑体"/>
          <w:color w:val="000000" w:themeColor="text1"/>
          <w:szCs w:val="32"/>
          <w14:textFill>
            <w14:solidFill>
              <w14:schemeClr w14:val="tx1"/>
            </w14:solidFill>
          </w14:textFill>
        </w:rPr>
      </w:pPr>
      <w:r>
        <w:rPr>
          <w:rFonts w:hint="eastAsia" w:ascii="黑体" w:hAnsi="黑体" w:eastAsia="黑体" w:cs="黑体"/>
          <w:color w:val="000000" w:themeColor="text1"/>
          <w:szCs w:val="32"/>
          <w14:textFill>
            <w14:solidFill>
              <w14:schemeClr w14:val="tx1"/>
            </w14:solidFill>
          </w14:textFill>
        </w:rPr>
        <w:t>七、保障措施</w:t>
      </w:r>
    </w:p>
    <w:p>
      <w:pPr>
        <w:keepNext w:val="0"/>
        <w:keepLines w:val="0"/>
        <w:pageBreakBefore w:val="0"/>
        <w:widowControl w:val="0"/>
        <w:kinsoku/>
        <w:wordWrap/>
        <w:overflowPunct/>
        <w:topLinePunct w:val="0"/>
        <w:bidi w:val="0"/>
        <w:adjustRightInd w:val="0"/>
        <w:snapToGrid w:val="0"/>
        <w:spacing w:line="576"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（一）加强组织领导。</w:t>
      </w:r>
      <w:r>
        <w:rPr>
          <w:rFonts w:hint="eastAsia" w:ascii="仿宋_GB2312" w:hAnsi="仿宋_GB2312" w:cs="仿宋_GB2312"/>
          <w:color w:val="000000" w:themeColor="text1"/>
          <w:szCs w:val="32"/>
          <w14:textFill>
            <w14:solidFill>
              <w14:schemeClr w14:val="tx1"/>
            </w14:solidFill>
          </w14:textFill>
        </w:rPr>
        <w:t>县国家储备林项目推进工作领导小组</w:t>
      </w:r>
      <w:r>
        <w:rPr>
          <w:rFonts w:hint="eastAsia" w:ascii="仿宋_GB2312" w:hAnsi="仿宋_GB2312" w:cs="仿宋_GB2312"/>
          <w:color w:val="000000" w:themeColor="text1"/>
          <w:szCs w:val="32"/>
          <w:lang w:eastAsia="zh-CN"/>
          <w14:textFill>
            <w14:solidFill>
              <w14:schemeClr w14:val="tx1"/>
            </w14:solidFill>
          </w14:textFill>
        </w:rPr>
        <w:t>办公室</w:t>
      </w:r>
      <w:r>
        <w:rPr>
          <w:rFonts w:hint="eastAsia" w:ascii="仿宋_GB2312" w:hAnsi="仿宋_GB2312" w:cs="仿宋_GB2312"/>
          <w:color w:val="000000" w:themeColor="text1"/>
          <w:szCs w:val="32"/>
          <w14:textFill>
            <w14:solidFill>
              <w14:schemeClr w14:val="tx1"/>
            </w14:solidFill>
          </w14:textFill>
        </w:rPr>
        <w:t>要统筹协调和科学调度，推动项目建设落地。县林业局要加强技术指导、检查验收和成效监督，确保项目建设质量。项目乡镇要积极配合、主动协调、全力保障，及时化解项目建设过程中出现的具体问题和困难，确保项目顺利推进。</w:t>
      </w:r>
    </w:p>
    <w:p>
      <w:pPr>
        <w:keepNext w:val="0"/>
        <w:keepLines w:val="0"/>
        <w:pageBreakBefore w:val="0"/>
        <w:widowControl w:val="0"/>
        <w:kinsoku/>
        <w:wordWrap/>
        <w:overflowPunct/>
        <w:topLinePunct w:val="0"/>
        <w:bidi w:val="0"/>
        <w:spacing w:line="576" w:lineRule="exact"/>
        <w:ind w:firstLine="640" w:firstLineChars="200"/>
        <w:textAlignment w:val="auto"/>
        <w:rPr>
          <w:rFonts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（二）加强技术服务。</w:t>
      </w:r>
      <w:r>
        <w:rPr>
          <w:rFonts w:hint="eastAsia" w:ascii="仿宋_GB2312" w:hAnsi="仿宋_GB2312" w:cs="仿宋_GB2312"/>
          <w:color w:val="000000" w:themeColor="text1"/>
          <w:szCs w:val="32"/>
          <w14:textFill>
            <w14:solidFill>
              <w14:schemeClr w14:val="tx1"/>
            </w14:solidFill>
          </w14:textFill>
        </w:rPr>
        <w:t>组建专家团队，聘请省市专家做好技术指导，对原有企业“传帮带教”，对新发展企业“跟进孵化”。围绕各环节开展技术研究，建立完善的培训体系，形成可操作可复制的产业技术规范。严把场地平整质量，严格按照作业设计和技术标准进行施工，确保工程建设质量。</w:t>
      </w:r>
    </w:p>
    <w:p>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cs="仿宋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（三）加强过程监管。</w:t>
      </w:r>
      <w:r>
        <w:rPr>
          <w:rFonts w:hint="eastAsia" w:ascii="仿宋_GB2312" w:hAnsi="仿宋_GB2312" w:cs="仿宋_GB2312"/>
          <w:color w:val="000000" w:themeColor="text1"/>
          <w:szCs w:val="32"/>
          <w14:textFill>
            <w14:solidFill>
              <w14:schemeClr w14:val="tx1"/>
            </w14:solidFill>
          </w14:textFill>
        </w:rPr>
        <w:t>要严格按照国家储备林建设相关政策要求、总体规划及市场动态，科学确定产业发展方向、合作模式和利益联结机制。要切实加强资金使用监管，防范资金投入和使用风险，严防国有资产流失。要严格项目建设程序，做好过程资料存档，加强考核验收、绩效评估，确保产业发展质量。</w:t>
      </w:r>
    </w:p>
    <w:sectPr>
      <w:headerReference r:id="rId5" w:type="default"/>
      <w:footerReference r:id="rId7" w:type="default"/>
      <w:headerReference r:id="rId6" w:type="even"/>
      <w:footerReference r:id="rId8" w:type="even"/>
      <w:pgSz w:w="11906" w:h="16838"/>
      <w:pgMar w:top="2098" w:right="1474" w:bottom="1814" w:left="1587" w:header="851" w:footer="1587" w:gutter="0"/>
      <w:cols w:space="0" w:num="1"/>
      <w:rtlGutter w:val="0"/>
      <w:docGrid w:type="lines" w:linePitch="43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7641" w:firstLine="560"/>
      <w:rPr>
        <w:rFonts w:ascii="Times New Roman" w:hAnsi="Times New Roman" w:eastAsia="Times New Roman"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56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AG5FJIwIAADc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MAbkUkjAgAANwQAAA4AAAAAAAAAAQAgAAAANQEAAGRycy9lMm9Eb2Mu&#10;eG1sUEsFBgAAAAAGAAYAWQEAAMoFAAAAAA==&#10;">
              <v:fill on="f" focussize="0,0"/>
              <v:stroke on="f" weight="0.5pt"/>
              <v:imagedata o:title=""/>
              <o:lock v:ext="edit" aspectratio="f"/>
              <v:textbox inset="0mm,0mm,0mm,0mm" style="mso-fit-shape-to-text:t;">
                <w:txbxContent>
                  <w:p>
                    <w:pPr>
                      <w:pStyle w:val="4"/>
                      <w:ind w:firstLine="560"/>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t xml:space="preserve">— </w:t>
                    </w:r>
                    <w:r>
                      <w:rPr>
                        <w:rFonts w:asciiTheme="minorEastAsia" w:hAnsiTheme="minorEastAsia" w:eastAsiaTheme="minorEastAsia" w:cstheme="minorEastAsia"/>
                        <w:sz w:val="28"/>
                        <w:szCs w:val="28"/>
                      </w:rPr>
                      <w:fldChar w:fldCharType="begin"/>
                    </w:r>
                    <w:r>
                      <w:rPr>
                        <w:rFonts w:asciiTheme="minorEastAsia" w:hAnsiTheme="minorEastAsia" w:eastAsiaTheme="minorEastAsia" w:cstheme="minorEastAsia"/>
                        <w:sz w:val="28"/>
                        <w:szCs w:val="28"/>
                      </w:rPr>
                      <w:instrText xml:space="preserve"> PAGE  \* MERGEFORMAT </w:instrText>
                    </w:r>
                    <w:r>
                      <w:rPr>
                        <w:rFonts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11</w:t>
                    </w:r>
                    <w:r>
                      <w:rPr>
                        <w:rFonts w:asciiTheme="minorEastAsia" w:hAnsiTheme="minorEastAsia" w:eastAsiaTheme="minorEastAsia" w:cstheme="minorEastAsia"/>
                        <w:sz w:val="28"/>
                        <w:szCs w:val="28"/>
                      </w:rPr>
                      <w:fldChar w:fldCharType="end"/>
                    </w:r>
                    <w:r>
                      <w:rPr>
                        <w:rFonts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0" w:firstLineChars="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4"/>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TrueTypeFonts/>
  <w:saveSubsetFonts/>
  <w:bordersDoNotSurroundHeader w:val="false"/>
  <w:bordersDoNotSurroundFooter w:val="false"/>
  <w:documentProtection w:enforcement="0"/>
  <w:defaultTabStop w:val="420"/>
  <w:evenAndOddHeaders w:val="true"/>
  <w:drawingGridVerticalSpacing w:val="228"/>
  <w:displayHorizontalDrawingGridEvery w:val="1"/>
  <w:displayVerticalDrawingGridEvery w:val="2"/>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NmM1ODIwOWVmODU3MWIwMDhkODc1MDNlYTUyZDcifQ=="/>
    <w:docVar w:name="KSO_WPS_MARK_KEY" w:val="3cb7c21c-de76-41ec-b713-fc94dc5bf58d"/>
  </w:docVars>
  <w:rsids>
    <w:rsidRoot w:val="74EB7F21"/>
    <w:rsid w:val="00010E53"/>
    <w:rsid w:val="000415E9"/>
    <w:rsid w:val="00053735"/>
    <w:rsid w:val="00156304"/>
    <w:rsid w:val="001E1F60"/>
    <w:rsid w:val="001E252A"/>
    <w:rsid w:val="00287BBD"/>
    <w:rsid w:val="003850BE"/>
    <w:rsid w:val="003B236E"/>
    <w:rsid w:val="00491844"/>
    <w:rsid w:val="0049185D"/>
    <w:rsid w:val="004F251E"/>
    <w:rsid w:val="005368C4"/>
    <w:rsid w:val="005945F6"/>
    <w:rsid w:val="005F0978"/>
    <w:rsid w:val="0063194D"/>
    <w:rsid w:val="0082187A"/>
    <w:rsid w:val="00884D85"/>
    <w:rsid w:val="00A16E11"/>
    <w:rsid w:val="00A67E51"/>
    <w:rsid w:val="00A905CD"/>
    <w:rsid w:val="00AC472E"/>
    <w:rsid w:val="00B060DD"/>
    <w:rsid w:val="00C620E0"/>
    <w:rsid w:val="00C9579F"/>
    <w:rsid w:val="00CE5882"/>
    <w:rsid w:val="00D070A5"/>
    <w:rsid w:val="00D2707D"/>
    <w:rsid w:val="00D442D0"/>
    <w:rsid w:val="00DA5C53"/>
    <w:rsid w:val="00E1439A"/>
    <w:rsid w:val="00EB5440"/>
    <w:rsid w:val="00F36E9D"/>
    <w:rsid w:val="00F5514C"/>
    <w:rsid w:val="00F86080"/>
    <w:rsid w:val="02E90288"/>
    <w:rsid w:val="02F50DA5"/>
    <w:rsid w:val="0389004C"/>
    <w:rsid w:val="042F62B6"/>
    <w:rsid w:val="05D01A05"/>
    <w:rsid w:val="075524D7"/>
    <w:rsid w:val="076844A9"/>
    <w:rsid w:val="07CD4181"/>
    <w:rsid w:val="080D7B47"/>
    <w:rsid w:val="083A3833"/>
    <w:rsid w:val="08F723D1"/>
    <w:rsid w:val="090E7104"/>
    <w:rsid w:val="0ACF3988"/>
    <w:rsid w:val="0B370440"/>
    <w:rsid w:val="0C0D512F"/>
    <w:rsid w:val="0CB3284F"/>
    <w:rsid w:val="0CF40031"/>
    <w:rsid w:val="0D3120EE"/>
    <w:rsid w:val="0E9955B2"/>
    <w:rsid w:val="0EC31366"/>
    <w:rsid w:val="0F884C3F"/>
    <w:rsid w:val="10004163"/>
    <w:rsid w:val="11025A13"/>
    <w:rsid w:val="1149506D"/>
    <w:rsid w:val="12C93E2C"/>
    <w:rsid w:val="14394C3B"/>
    <w:rsid w:val="145F1760"/>
    <w:rsid w:val="14FE4FDC"/>
    <w:rsid w:val="16AC4287"/>
    <w:rsid w:val="17141897"/>
    <w:rsid w:val="18475E6C"/>
    <w:rsid w:val="189B27C5"/>
    <w:rsid w:val="190C374D"/>
    <w:rsid w:val="19D63475"/>
    <w:rsid w:val="1B7E21A9"/>
    <w:rsid w:val="1BD000A0"/>
    <w:rsid w:val="1C44694B"/>
    <w:rsid w:val="1C8F7A67"/>
    <w:rsid w:val="1CC71783"/>
    <w:rsid w:val="1DB6298E"/>
    <w:rsid w:val="1DC75A85"/>
    <w:rsid w:val="20F6042F"/>
    <w:rsid w:val="214766EF"/>
    <w:rsid w:val="215F430E"/>
    <w:rsid w:val="22212B7C"/>
    <w:rsid w:val="23F35827"/>
    <w:rsid w:val="261E020C"/>
    <w:rsid w:val="26A63AB5"/>
    <w:rsid w:val="26DC5ACE"/>
    <w:rsid w:val="282B1749"/>
    <w:rsid w:val="28F33BD2"/>
    <w:rsid w:val="29147D8A"/>
    <w:rsid w:val="29C63095"/>
    <w:rsid w:val="2AB20610"/>
    <w:rsid w:val="2B1240B8"/>
    <w:rsid w:val="2C107A1A"/>
    <w:rsid w:val="2CA1525F"/>
    <w:rsid w:val="2DE16B08"/>
    <w:rsid w:val="2EA77831"/>
    <w:rsid w:val="2F6E0B27"/>
    <w:rsid w:val="316D0302"/>
    <w:rsid w:val="32D42D1F"/>
    <w:rsid w:val="335E6981"/>
    <w:rsid w:val="341B2481"/>
    <w:rsid w:val="35602ED7"/>
    <w:rsid w:val="363932F5"/>
    <w:rsid w:val="36FA6408"/>
    <w:rsid w:val="39111E53"/>
    <w:rsid w:val="39237EA6"/>
    <w:rsid w:val="39735DD8"/>
    <w:rsid w:val="39C66B0B"/>
    <w:rsid w:val="3A013C75"/>
    <w:rsid w:val="3A503F45"/>
    <w:rsid w:val="3A743660"/>
    <w:rsid w:val="3B7B5BB8"/>
    <w:rsid w:val="3BDBBB82"/>
    <w:rsid w:val="3C9F32D2"/>
    <w:rsid w:val="3CA32DC2"/>
    <w:rsid w:val="3CC86B93"/>
    <w:rsid w:val="3CDF11A5"/>
    <w:rsid w:val="3EC139DB"/>
    <w:rsid w:val="3F1D3911"/>
    <w:rsid w:val="3F373317"/>
    <w:rsid w:val="3FAA3A1E"/>
    <w:rsid w:val="3FFC37A1"/>
    <w:rsid w:val="407C15D8"/>
    <w:rsid w:val="42E037F6"/>
    <w:rsid w:val="4368266F"/>
    <w:rsid w:val="436A63E7"/>
    <w:rsid w:val="44335043"/>
    <w:rsid w:val="44A771C7"/>
    <w:rsid w:val="47A90D89"/>
    <w:rsid w:val="47CA7E15"/>
    <w:rsid w:val="49C32CF5"/>
    <w:rsid w:val="4B63653E"/>
    <w:rsid w:val="4C4B2223"/>
    <w:rsid w:val="4C775D4E"/>
    <w:rsid w:val="4CDC1628"/>
    <w:rsid w:val="4E1B5A5A"/>
    <w:rsid w:val="4E491E85"/>
    <w:rsid w:val="4FC77813"/>
    <w:rsid w:val="507549EE"/>
    <w:rsid w:val="5293241B"/>
    <w:rsid w:val="540305CB"/>
    <w:rsid w:val="54DC7F38"/>
    <w:rsid w:val="565D65DE"/>
    <w:rsid w:val="566C201F"/>
    <w:rsid w:val="566C63B8"/>
    <w:rsid w:val="567B4AEE"/>
    <w:rsid w:val="56CF5CFB"/>
    <w:rsid w:val="5AFD097D"/>
    <w:rsid w:val="5BEA174B"/>
    <w:rsid w:val="5CF35248"/>
    <w:rsid w:val="5D293723"/>
    <w:rsid w:val="5D632BE3"/>
    <w:rsid w:val="5E4A3D4E"/>
    <w:rsid w:val="5E9A1FCB"/>
    <w:rsid w:val="5EC25722"/>
    <w:rsid w:val="5EDA5ABF"/>
    <w:rsid w:val="5F9320FB"/>
    <w:rsid w:val="5FD06480"/>
    <w:rsid w:val="602A61DB"/>
    <w:rsid w:val="60A86C95"/>
    <w:rsid w:val="61D73592"/>
    <w:rsid w:val="624E0F06"/>
    <w:rsid w:val="62D84CC4"/>
    <w:rsid w:val="63870498"/>
    <w:rsid w:val="643E4FD2"/>
    <w:rsid w:val="65044496"/>
    <w:rsid w:val="653F438F"/>
    <w:rsid w:val="657E0130"/>
    <w:rsid w:val="662F669C"/>
    <w:rsid w:val="675DE372"/>
    <w:rsid w:val="68B8521D"/>
    <w:rsid w:val="68D128E1"/>
    <w:rsid w:val="6CB77491"/>
    <w:rsid w:val="6D201395"/>
    <w:rsid w:val="6D552E84"/>
    <w:rsid w:val="6D5BC76A"/>
    <w:rsid w:val="6F586F79"/>
    <w:rsid w:val="6F7F2214"/>
    <w:rsid w:val="6FD165D7"/>
    <w:rsid w:val="715A2061"/>
    <w:rsid w:val="718A304C"/>
    <w:rsid w:val="727053B2"/>
    <w:rsid w:val="72B127B7"/>
    <w:rsid w:val="74EB7F21"/>
    <w:rsid w:val="74EF636F"/>
    <w:rsid w:val="75F941FC"/>
    <w:rsid w:val="769E10C9"/>
    <w:rsid w:val="77922A07"/>
    <w:rsid w:val="77BE04D4"/>
    <w:rsid w:val="78925B44"/>
    <w:rsid w:val="78B57116"/>
    <w:rsid w:val="79560E29"/>
    <w:rsid w:val="79E5F2F4"/>
    <w:rsid w:val="7B302950"/>
    <w:rsid w:val="7C403381"/>
    <w:rsid w:val="7DFD0E00"/>
    <w:rsid w:val="7E6A65D4"/>
    <w:rsid w:val="7EDF3024"/>
    <w:rsid w:val="7F567A8F"/>
    <w:rsid w:val="7F84020E"/>
    <w:rsid w:val="7FAFC44E"/>
    <w:rsid w:val="7FB57F93"/>
    <w:rsid w:val="7FDF5F18"/>
    <w:rsid w:val="B72FD6A6"/>
    <w:rsid w:val="BB6ED4C7"/>
    <w:rsid w:val="CBFF395C"/>
    <w:rsid w:val="D97F7BA3"/>
    <w:rsid w:val="DCFDD3E3"/>
    <w:rsid w:val="DEEF80BA"/>
    <w:rsid w:val="E5D344D0"/>
    <w:rsid w:val="EDFEF5D3"/>
    <w:rsid w:val="F75FAE77"/>
    <w:rsid w:val="FAFCDD53"/>
    <w:rsid w:val="FBFB403E"/>
    <w:rsid w:val="FD5D0812"/>
    <w:rsid w:val="FEEF25C8"/>
    <w:rsid w:val="FFB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eastAsia="仿宋_GB2312" w:asciiTheme="minorHAnsi" w:hAnsiTheme="minorHAnsi" w:cstheme="minorBidi"/>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link w:val="15"/>
    <w:unhideWhenUsed/>
    <w:qFormat/>
    <w:uiPriority w:val="0"/>
    <w:pPr>
      <w:spacing w:after="120" w:line="480" w:lineRule="auto"/>
      <w:ind w:firstLine="640"/>
    </w:pPr>
    <w:rPr>
      <w:rFonts w:ascii="Calibri" w:hAnsi="Calibri" w:cs="Times New Roman"/>
      <w:color w:val="FF0000"/>
    </w:rPr>
  </w:style>
  <w:style w:type="paragraph" w:styleId="3">
    <w:name w:val="Body Text"/>
    <w:basedOn w:val="1"/>
    <w:next w:val="2"/>
    <w:link w:val="14"/>
    <w:semiHidden/>
    <w:qFormat/>
    <w:uiPriority w:val="0"/>
    <w:rPr>
      <w:rFonts w:ascii="方正仿宋简体" w:hAnsi="方正仿宋简体" w:eastAsia="方正仿宋简体" w:cs="方正仿宋简体"/>
      <w:sz w:val="24"/>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rPr>
      <w:sz w:val="24"/>
    </w:rPr>
  </w:style>
  <w:style w:type="paragraph" w:customStyle="1" w:styleId="9">
    <w:name w:val="Default"/>
    <w:qFormat/>
    <w:uiPriority w:val="99"/>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0">
    <w:name w:val="_Style 3"/>
    <w:basedOn w:val="1"/>
    <w:qFormat/>
    <w:uiPriority w:val="34"/>
    <w:pPr>
      <w:ind w:firstLine="420"/>
    </w:pPr>
    <w:rPr>
      <w:sz w:val="20"/>
      <w:szCs w:val="20"/>
    </w:rPr>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Arial" w:hAnsi="Arial" w:eastAsia="Arial" w:cs="Arial"/>
      <w:sz w:val="21"/>
      <w:szCs w:val="21"/>
      <w:lang w:eastAsia="en-US"/>
    </w:rPr>
  </w:style>
  <w:style w:type="character" w:customStyle="1" w:styleId="13">
    <w:name w:val="NormalCharacter"/>
    <w:semiHidden/>
    <w:qFormat/>
    <w:uiPriority w:val="0"/>
  </w:style>
  <w:style w:type="character" w:customStyle="1" w:styleId="14">
    <w:name w:val="正文文本 Char"/>
    <w:basedOn w:val="8"/>
    <w:link w:val="3"/>
    <w:semiHidden/>
    <w:qFormat/>
    <w:uiPriority w:val="0"/>
    <w:rPr>
      <w:rFonts w:ascii="方正仿宋简体" w:hAnsi="方正仿宋简体" w:eastAsia="方正仿宋简体" w:cs="方正仿宋简体"/>
      <w:kern w:val="2"/>
      <w:sz w:val="24"/>
      <w:szCs w:val="24"/>
      <w:lang w:eastAsia="en-US"/>
    </w:rPr>
  </w:style>
  <w:style w:type="character" w:customStyle="1" w:styleId="15">
    <w:name w:val="正文文本 2 Char"/>
    <w:basedOn w:val="8"/>
    <w:link w:val="2"/>
    <w:qFormat/>
    <w:uiPriority w:val="0"/>
    <w:rPr>
      <w:rFonts w:ascii="Calibri" w:hAnsi="Calibri" w:eastAsia="仿宋_GB2312"/>
      <w:color w:val="FF0000"/>
      <w:kern w:val="2"/>
      <w:sz w:val="32"/>
      <w:szCs w:val="24"/>
    </w:rPr>
  </w:style>
  <w:style w:type="character" w:customStyle="1" w:styleId="16">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2482</Words>
  <Characters>2664</Characters>
  <Lines>26</Lines>
  <Paragraphs>7</Paragraphs>
  <TotalTime>14</TotalTime>
  <ScaleCrop>false</ScaleCrop>
  <LinksUpToDate>false</LinksUpToDate>
  <CharactersWithSpaces>2692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2024-02-29T15:08:00Z</dcterms:created>
  <dc:creator>，</dc:creator>
  <cp:lastModifiedBy>user</cp:lastModifiedBy>
  <cp:lastPrinted>2024-04-01T10:40:00Z</cp:lastPrinted>
  <dcterms:modified xsi:type="dcterms:W3CDTF">2024-06-27T17:01:15Z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8A052EFFD8D14FC9924EC42A43CE755E_13</vt:lpwstr>
  </property>
</Properties>
</file>