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F8A3">
      <w:pPr>
        <w:spacing w:line="576" w:lineRule="exact"/>
        <w:rPr>
          <w:rFonts w:ascii="黑体" w:hAnsi="宋体" w:eastAsia="黑体" w:cs="宋体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sz w:val="28"/>
          <w:szCs w:val="28"/>
        </w:rPr>
        <w:t>附件</w:t>
      </w:r>
      <w:r>
        <w:rPr>
          <w:rFonts w:ascii="黑体" w:hAnsi="宋体" w:eastAsia="黑体" w:cs="宋体"/>
          <w:b/>
          <w:bCs/>
          <w:sz w:val="28"/>
          <w:szCs w:val="28"/>
        </w:rPr>
        <w:t>1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：</w:t>
      </w:r>
    </w:p>
    <w:p w14:paraId="0154E62A">
      <w:pPr>
        <w:spacing w:line="576" w:lineRule="exact"/>
        <w:jc w:val="center"/>
        <w:rPr>
          <w:rFonts w:ascii="宋体" w:cs="宋体"/>
          <w:b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剑阁县</w:t>
      </w:r>
      <w:r>
        <w:rPr>
          <w:rFonts w:ascii="方正小标宋简体" w:hAnsi="方正小标宋简体" w:eastAsia="方正小标宋简体" w:cs="方正小标宋简体"/>
          <w:b/>
          <w:kern w:val="0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年度新增医保定点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eastAsia="zh-CN"/>
        </w:rPr>
        <w:t>医药机构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名单</w:t>
      </w:r>
    </w:p>
    <w:tbl>
      <w:tblPr>
        <w:tblStyle w:val="2"/>
        <w:tblpPr w:leftFromText="180" w:rightFromText="180" w:vertAnchor="text" w:horzAnchor="page" w:tblpX="1909" w:tblpY="95"/>
        <w:tblOverlap w:val="never"/>
        <w:tblW w:w="129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3249"/>
        <w:gridCol w:w="1504"/>
        <w:gridCol w:w="1804"/>
        <w:gridCol w:w="3400"/>
        <w:gridCol w:w="1288"/>
        <w:gridCol w:w="783"/>
      </w:tblGrid>
      <w:tr w14:paraId="0736D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0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F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5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B03A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2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广元康诚大药房有限公司杏林药房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0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D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下寺镇盛世华城二期一栋1-108号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2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罗岸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27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14:paraId="138ECB1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20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2024-07-05T03:11:44Z</dcterms:created>
  <dc:creator>1</dc:creator>
  <cp:lastModifiedBy>寒～炎</cp:lastModifiedBy>
  <dcterms:modified xsi:type="dcterms:W3CDTF">2024-07-05T03:11:56Z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949CAC1532BF4DBEBCC89B146BE396EF_12</vt:lpwstr>
  </property>
</Properties>
</file>