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ascii="方正小标宋简体" w:hAnsi="宋体" w:eastAsia="方正小标宋简体"/>
          <w:szCs w:val="21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sz w:val="56"/>
          <w:szCs w:val="56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72"/>
          <w:szCs w:val="72"/>
        </w:rPr>
      </w:pPr>
      <w:bookmarkStart w:id="1" w:name="_Toc27547"/>
      <w:bookmarkStart w:id="2" w:name="_Toc2936"/>
      <w:bookmarkStart w:id="3" w:name="_Toc15377193"/>
      <w:bookmarkStart w:id="4" w:name="_Toc15396475"/>
      <w:bookmarkStart w:id="5" w:name="_Toc28295"/>
      <w:bookmarkStart w:id="6" w:name="_Toc15377425"/>
      <w:bookmarkStart w:id="7" w:name="_Toc15378441"/>
      <w:bookmarkStart w:id="8" w:name="_Toc15396597"/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2022年度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b w:val="0"/>
          <w:bCs w:val="0"/>
          <w:sz w:val="72"/>
          <w:szCs w:val="72"/>
        </w:rPr>
      </w:pPr>
      <w:bookmarkStart w:id="9" w:name="_Toc15396598"/>
      <w:bookmarkStart w:id="10" w:name="_Toc15377426"/>
      <w:bookmarkStart w:id="11" w:name="_Toc15377194"/>
      <w:bookmarkStart w:id="12" w:name="_Toc24849"/>
      <w:bookmarkStart w:id="13" w:name="_Toc15396476"/>
      <w:bookmarkStart w:id="14" w:name="_Toc9639"/>
      <w:bookmarkStart w:id="15" w:name="_Toc15378442"/>
      <w:bookmarkStart w:id="16" w:name="_Toc2955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剑阁县</w:t>
      </w:r>
      <w:bookmarkEnd w:id="0"/>
      <w:bookmarkStart w:id="17" w:name="_Toc1530626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下镇中心卫生院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单位决算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widowControl/>
        <w:jc w:val="center"/>
        <w:rPr>
          <w:rFonts w:ascii="黑体" w:hAnsi="黑体" w:eastAsia="黑体"/>
          <w:sz w:val="48"/>
          <w:szCs w:val="48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r>
        <w:rPr>
          <w:rFonts w:hint="eastAsia" w:ascii="黑体" w:hAnsi="黑体" w:eastAsia="黑体"/>
          <w:sz w:val="48"/>
          <w:szCs w:val="48"/>
        </w:rPr>
        <w:t>目录</w:t>
      </w:r>
    </w:p>
    <w:p>
      <w:pPr>
        <w:widowControl/>
        <w:jc w:val="center"/>
        <w:rPr>
          <w:rFonts w:ascii="黑体" w:hAnsi="黑体" w:eastAsia="黑体" w:cstheme="minorBidi"/>
          <w:sz w:val="28"/>
          <w:szCs w:val="28"/>
        </w:rPr>
      </w:pPr>
    </w:p>
    <w:p>
      <w:pPr>
        <w:pStyle w:val="12"/>
        <w:rPr>
          <w:rFonts w:hint="eastAsia"/>
        </w:rPr>
      </w:pPr>
      <w:r>
        <w:rPr>
          <w:rFonts w:hint="eastAsia"/>
        </w:rPr>
        <w:t>公开时间：2023年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 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 xml:space="preserve"> 日</w:t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TOC \o "1-9" \h \u </w:instrText>
      </w:r>
      <w:r>
        <w:fldChar w:fldCharType="separate"/>
      </w:r>
      <w:r>
        <w:fldChar w:fldCharType="begin"/>
      </w:r>
      <w:r>
        <w:instrText xml:space="preserve"> HYPERLINK \l _Toc28295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Cs w:val="72"/>
        </w:rPr>
        <w:t>2022年度</w:t>
      </w:r>
      <w:r>
        <w:tab/>
      </w:r>
      <w:r>
        <w:fldChar w:fldCharType="begin"/>
      </w:r>
      <w:r>
        <w:instrText xml:space="preserve"> PAGEREF _Toc28295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_Toc9639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bCs w:val="0"/>
          <w:szCs w:val="72"/>
        </w:rPr>
        <w:t>剑阁县</w:t>
      </w:r>
      <w:r>
        <w:rPr>
          <w:rFonts w:hint="eastAsia" w:ascii="方正小标宋简体" w:hAnsi="方正小标宋简体" w:eastAsia="方正小标宋简体" w:cs="方正小标宋简体"/>
          <w:bCs w:val="0"/>
          <w:szCs w:val="72"/>
          <w:lang w:eastAsia="zh-CN"/>
        </w:rPr>
        <w:t>下镇中心卫生院</w:t>
      </w:r>
      <w:r>
        <w:rPr>
          <w:rFonts w:hint="eastAsia" w:ascii="方正小标宋简体" w:hAnsi="方正小标宋简体" w:eastAsia="方正小标宋简体" w:cs="方正小标宋简体"/>
          <w:bCs w:val="0"/>
          <w:szCs w:val="72"/>
        </w:rPr>
        <w:t>单位决算</w:t>
      </w:r>
      <w:r>
        <w:tab/>
      </w:r>
      <w:r>
        <w:fldChar w:fldCharType="begin"/>
      </w:r>
      <w:r>
        <w:instrText xml:space="preserve"> PAGEREF _Toc9639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_Toc29618 </w:instrText>
      </w:r>
      <w:r>
        <w:fldChar w:fldCharType="separate"/>
      </w:r>
      <w:r>
        <w:rPr>
          <w:rFonts w:hint="eastAsia" w:ascii="黑体" w:hAnsi="黑体" w:eastAsia="黑体"/>
          <w:szCs w:val="36"/>
        </w:rPr>
        <w:t xml:space="preserve">第一部分 </w:t>
      </w:r>
      <w:r>
        <w:rPr>
          <w:rFonts w:hint="eastAsia" w:ascii="黑体" w:hAnsi="黑体" w:eastAsia="黑体"/>
          <w:szCs w:val="36"/>
          <w:lang w:val="en-US" w:eastAsia="zh-CN"/>
        </w:rPr>
        <w:t>剑阁县下寺镇中心卫生院</w:t>
      </w:r>
      <w:r>
        <w:rPr>
          <w:rFonts w:hint="eastAsia" w:ascii="黑体" w:hAnsi="黑体" w:eastAsia="黑体"/>
          <w:szCs w:val="36"/>
        </w:rPr>
        <w:t>单位</w:t>
      </w:r>
      <w:r>
        <w:rPr>
          <w:rFonts w:hint="eastAsia" w:ascii="黑体" w:hAnsi="黑体" w:eastAsia="黑体"/>
          <w:bCs w:val="0"/>
          <w:szCs w:val="36"/>
        </w:rPr>
        <w:t>概况</w:t>
      </w:r>
      <w:r>
        <w:tab/>
      </w:r>
      <w:r>
        <w:fldChar w:fldCharType="begin"/>
      </w:r>
      <w:r>
        <w:instrText xml:space="preserve"> PAGEREF _Toc29618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_Toc29756 </w:instrText>
      </w:r>
      <w:r>
        <w:fldChar w:fldCharType="separate"/>
      </w:r>
      <w:r>
        <w:rPr>
          <w:rFonts w:hint="eastAsia" w:ascii="黑体" w:hAnsi="黑体" w:eastAsia="黑体" w:cs="黑体"/>
          <w:bCs w:val="0"/>
          <w:szCs w:val="28"/>
        </w:rPr>
        <w:t xml:space="preserve">一、 </w:t>
      </w:r>
      <w:r>
        <w:rPr>
          <w:rFonts w:hint="eastAsia" w:ascii="黑体" w:hAnsi="黑体" w:eastAsia="黑体"/>
          <w:bCs w:val="0"/>
          <w:szCs w:val="32"/>
        </w:rPr>
        <w:t>主要职责</w:t>
      </w:r>
      <w:r>
        <w:tab/>
      </w:r>
      <w:r>
        <w:fldChar w:fldCharType="begin"/>
      </w:r>
      <w:r>
        <w:instrText xml:space="preserve"> PAGEREF _Toc29756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_Toc9165 </w:instrText>
      </w:r>
      <w:r>
        <w:fldChar w:fldCharType="separate"/>
      </w:r>
      <w:r>
        <w:rPr>
          <w:rFonts w:hint="eastAsia" w:ascii="黑体" w:hAnsi="黑体" w:eastAsia="黑体" w:cs="黑体"/>
          <w:kern w:val="0"/>
          <w:szCs w:val="28"/>
        </w:rPr>
        <w:t xml:space="preserve">二、 </w:t>
      </w:r>
      <w:r>
        <w:rPr>
          <w:rFonts w:hint="eastAsia" w:ascii="黑体" w:hAnsi="黑体" w:eastAsia="黑体"/>
          <w:szCs w:val="32"/>
        </w:rPr>
        <w:t>机构设置</w:t>
      </w:r>
      <w:r>
        <w:tab/>
      </w:r>
      <w:r>
        <w:fldChar w:fldCharType="begin"/>
      </w:r>
      <w:r>
        <w:instrText xml:space="preserve"> PAGEREF _Toc9165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_Toc28153 </w:instrText>
      </w:r>
      <w:r>
        <w:fldChar w:fldCharType="separate"/>
      </w:r>
      <w:r>
        <w:rPr>
          <w:rFonts w:hint="eastAsia" w:ascii="黑体" w:hAnsi="黑体" w:eastAsia="黑体"/>
          <w:szCs w:val="36"/>
        </w:rPr>
        <w:t xml:space="preserve">第二部分 </w:t>
      </w:r>
      <w:r>
        <w:rPr>
          <w:rFonts w:hint="eastAsia" w:ascii="黑体" w:hAnsi="黑体" w:eastAsia="黑体"/>
          <w:szCs w:val="36"/>
          <w:lang w:val="en-US" w:eastAsia="zh-CN"/>
        </w:rPr>
        <w:t>剑阁县下寺镇中心卫生院</w:t>
      </w:r>
      <w:r>
        <w:rPr>
          <w:rFonts w:hint="eastAsia" w:ascii="黑体" w:hAnsi="黑体" w:eastAsia="黑体"/>
          <w:szCs w:val="36"/>
        </w:rPr>
        <w:t>2022年度</w:t>
      </w:r>
      <w:r>
        <w:rPr>
          <w:rFonts w:hint="eastAsia" w:ascii="黑体" w:hAnsi="黑体" w:eastAsia="黑体"/>
          <w:bCs/>
          <w:szCs w:val="36"/>
        </w:rPr>
        <w:t>单位决算情况说明</w:t>
      </w:r>
      <w:r>
        <w:tab/>
      </w:r>
      <w:r>
        <w:fldChar w:fldCharType="begin"/>
      </w:r>
      <w:r>
        <w:instrText xml:space="preserve"> PAGEREF _Toc28153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_Toc32648 </w:instrText>
      </w:r>
      <w:r>
        <w:fldChar w:fldCharType="separate"/>
      </w:r>
      <w:r>
        <w:rPr>
          <w:rFonts w:hint="default" w:ascii="黑体" w:hAnsi="黑体" w:eastAsia="黑体"/>
        </w:rPr>
        <w:t xml:space="preserve">一、 </w:t>
      </w:r>
      <w:r>
        <w:rPr>
          <w:rFonts w:hint="eastAsia" w:ascii="黑体" w:hAnsi="黑体" w:eastAsia="黑体"/>
          <w:szCs w:val="32"/>
        </w:rPr>
        <w:t>收</w:t>
      </w:r>
      <w:r>
        <w:rPr>
          <w:rFonts w:hint="eastAsia" w:ascii="黑体" w:hAnsi="黑体" w:eastAsia="黑体"/>
        </w:rPr>
        <w:t>入支出决算总体情况说明</w:t>
      </w:r>
      <w:r>
        <w:tab/>
      </w:r>
      <w:r>
        <w:fldChar w:fldCharType="begin"/>
      </w:r>
      <w:r>
        <w:instrText xml:space="preserve"> PAGEREF _Toc32648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_Toc19090 </w:instrText>
      </w:r>
      <w:r>
        <w:fldChar w:fldCharType="separate"/>
      </w:r>
      <w:r>
        <w:rPr>
          <w:rFonts w:hint="default" w:ascii="黑体" w:hAnsi="黑体" w:eastAsia="黑体"/>
        </w:rPr>
        <w:t xml:space="preserve">二、 </w:t>
      </w:r>
      <w:r>
        <w:rPr>
          <w:rFonts w:hint="eastAsia" w:ascii="黑体" w:hAnsi="黑体" w:eastAsia="黑体"/>
          <w:szCs w:val="32"/>
        </w:rPr>
        <w:t>收</w:t>
      </w:r>
      <w:r>
        <w:rPr>
          <w:rFonts w:hint="eastAsia" w:ascii="黑体" w:hAnsi="黑体" w:eastAsia="黑体"/>
        </w:rPr>
        <w:t>入决算情况说明</w:t>
      </w:r>
      <w:r>
        <w:tab/>
      </w:r>
      <w:r>
        <w:fldChar w:fldCharType="begin"/>
      </w:r>
      <w:r>
        <w:instrText xml:space="preserve"> PAGEREF _Toc19090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_Toc14979 </w:instrText>
      </w:r>
      <w:r>
        <w:fldChar w:fldCharType="separate"/>
      </w:r>
      <w:r>
        <w:tab/>
      </w:r>
      <w:r>
        <w:fldChar w:fldCharType="begin"/>
      </w:r>
      <w:r>
        <w:instrText xml:space="preserve"> PAGEREF _Toc14979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_Toc18168 </w:instrText>
      </w:r>
      <w:r>
        <w:fldChar w:fldCharType="separate"/>
      </w:r>
      <w:r>
        <w:rPr>
          <w:rFonts w:hint="default" w:ascii="黑体" w:hAnsi="黑体" w:eastAsia="黑体"/>
        </w:rPr>
        <w:t xml:space="preserve">三、 </w:t>
      </w:r>
      <w:r>
        <w:rPr>
          <w:rFonts w:hint="eastAsia" w:ascii="黑体" w:hAnsi="黑体" w:eastAsia="黑体"/>
          <w:szCs w:val="32"/>
        </w:rPr>
        <w:t>支</w:t>
      </w:r>
      <w:r>
        <w:rPr>
          <w:rFonts w:hint="eastAsia" w:ascii="黑体" w:hAnsi="黑体" w:eastAsia="黑体"/>
        </w:rPr>
        <w:t>出决算情况说明</w:t>
      </w:r>
      <w:r>
        <w:tab/>
      </w:r>
      <w:r>
        <w:fldChar w:fldCharType="begin"/>
      </w:r>
      <w:r>
        <w:instrText xml:space="preserve"> PAGEREF _Toc18168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_Toc24175 </w:instrText>
      </w:r>
      <w:r>
        <w:fldChar w:fldCharType="separate"/>
      </w:r>
      <w:r>
        <w:tab/>
      </w:r>
      <w:r>
        <w:fldChar w:fldCharType="begin"/>
      </w:r>
      <w:r>
        <w:instrText xml:space="preserve"> PAGEREF _Toc24175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_Toc11383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四、财</w:t>
      </w:r>
      <w:r>
        <w:rPr>
          <w:rFonts w:hint="eastAsia" w:ascii="黑体" w:hAnsi="黑体" w:eastAsia="黑体"/>
        </w:rPr>
        <w:t>政拨款收入支出决算总体情况说明</w:t>
      </w:r>
      <w:r>
        <w:tab/>
      </w:r>
      <w:r>
        <w:fldChar w:fldCharType="begin"/>
      </w:r>
      <w:r>
        <w:instrText xml:space="preserve"> PAGEREF _Toc11383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_Toc25669 </w:instrText>
      </w:r>
      <w:r>
        <w:fldChar w:fldCharType="separate"/>
      </w:r>
      <w:r>
        <w:rPr>
          <w:rFonts w:hint="eastAsia" w:ascii="黑体" w:hAnsi="黑体" w:eastAsia="黑体"/>
          <w:szCs w:val="32"/>
        </w:rPr>
        <w:t>五、一</w:t>
      </w:r>
      <w:r>
        <w:rPr>
          <w:rFonts w:hint="eastAsia" w:ascii="黑体" w:hAnsi="黑体" w:eastAsia="黑体"/>
        </w:rPr>
        <w:t>般公共预算财政拨款支出决算情况说明</w:t>
      </w:r>
      <w:r>
        <w:tab/>
      </w:r>
      <w:r>
        <w:fldChar w:fldCharType="begin"/>
      </w:r>
      <w:r>
        <w:instrText xml:space="preserve"> PAGEREF _Toc25669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_Toc31131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（一）一般公共预算财政拨款支出决算总体情况</w:t>
      </w:r>
      <w:r>
        <w:tab/>
      </w:r>
      <w:r>
        <w:fldChar w:fldCharType="begin"/>
      </w:r>
      <w:r>
        <w:instrText xml:space="preserve"> PAGEREF _Toc31131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_Toc23565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（二）一般公共预算财政拨款支出决算结构情况</w:t>
      </w:r>
      <w:r>
        <w:tab/>
      </w:r>
      <w:r>
        <w:fldChar w:fldCharType="begin"/>
      </w:r>
      <w:r>
        <w:instrText xml:space="preserve"> PAGEREF _Toc23565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_Toc841 </w:instrText>
      </w:r>
      <w:r>
        <w:fldChar w:fldCharType="separate"/>
      </w:r>
      <w:r>
        <w:rPr>
          <w:rFonts w:hint="eastAsia" w:ascii="仿宋" w:hAnsi="仿宋" w:eastAsia="仿宋"/>
          <w:bCs/>
          <w:szCs w:val="32"/>
        </w:rPr>
        <w:t>（三）一般公共预算财政拨款支出决算具体情况</w:t>
      </w:r>
      <w:r>
        <w:tab/>
      </w:r>
      <w:r>
        <w:fldChar w:fldCharType="begin"/>
      </w:r>
      <w:r>
        <w:instrText xml:space="preserve"> PAGEREF _Toc841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_Toc16400 </w:instrText>
      </w:r>
      <w:r>
        <w:fldChar w:fldCharType="separate"/>
      </w:r>
      <w:r>
        <w:tab/>
      </w:r>
      <w:r>
        <w:fldChar w:fldCharType="begin"/>
      </w:r>
      <w:r>
        <w:instrText xml:space="preserve"> PAGEREF _Toc16400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_Toc22458 </w:instrText>
      </w:r>
      <w:r>
        <w:fldChar w:fldCharType="separate"/>
      </w:r>
      <w:r>
        <w:rPr>
          <w:rFonts w:hint="eastAsia" w:ascii="黑体" w:eastAsia="黑体"/>
          <w:szCs w:val="32"/>
        </w:rPr>
        <w:t>六、</w:t>
      </w:r>
      <w:r>
        <w:rPr>
          <w:rFonts w:hint="eastAsia" w:ascii="黑体" w:hAnsi="黑体" w:eastAsia="黑体"/>
          <w:szCs w:val="32"/>
        </w:rPr>
        <w:t>一</w:t>
      </w:r>
      <w:r>
        <w:rPr>
          <w:rFonts w:hint="eastAsia" w:ascii="黑体" w:hAnsi="黑体" w:eastAsia="黑体"/>
        </w:rPr>
        <w:t>般公共预算财政拨款基本支出决算情况说明</w:t>
      </w:r>
      <w:r>
        <w:tab/>
      </w:r>
      <w:r>
        <w:fldChar w:fldCharType="begin"/>
      </w:r>
      <w:r>
        <w:instrText xml:space="preserve"> PAGEREF _Toc22458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_Toc13931 </w:instrText>
      </w:r>
      <w:r>
        <w:fldChar w:fldCharType="separate"/>
      </w:r>
      <w:r>
        <w:rPr>
          <w:rFonts w:hint="eastAsia" w:ascii="黑体" w:eastAsia="黑体"/>
          <w:szCs w:val="32"/>
        </w:rPr>
        <w:t>七、</w:t>
      </w:r>
      <w:r>
        <w:rPr>
          <w:rFonts w:hint="eastAsia" w:ascii="黑体" w:hAnsi="黑体" w:eastAsia="黑体"/>
        </w:rPr>
        <w:t>财政拨款“三公”经费支出决算情况说明</w:t>
      </w:r>
      <w:r>
        <w:tab/>
      </w:r>
      <w:r>
        <w:fldChar w:fldCharType="begin"/>
      </w:r>
      <w:r>
        <w:instrText xml:space="preserve"> PAGEREF _Toc13931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_Toc14907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（一）“三公”经费财政拨款支出决算总体情况说明</w:t>
      </w:r>
      <w:r>
        <w:tab/>
      </w:r>
      <w:r>
        <w:fldChar w:fldCharType="begin"/>
      </w:r>
      <w:r>
        <w:instrText xml:space="preserve"> PAGEREF _Toc14907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_Toc23638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（二）“三公”经费财政拨款支出决算具体情况说明</w:t>
      </w:r>
      <w:r>
        <w:tab/>
      </w:r>
      <w:r>
        <w:fldChar w:fldCharType="begin"/>
      </w:r>
      <w:r>
        <w:instrText xml:space="preserve"> PAGEREF _Toc23638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_Toc1489 </w:instrText>
      </w:r>
      <w:r>
        <w:fldChar w:fldCharType="separate"/>
      </w:r>
      <w:r>
        <w:rPr>
          <w:rFonts w:hint="eastAsia" w:ascii="黑体" w:eastAsia="黑体"/>
          <w:szCs w:val="32"/>
        </w:rPr>
        <w:t>八、</w:t>
      </w:r>
      <w:r>
        <w:rPr>
          <w:rFonts w:hint="eastAsia" w:ascii="黑体" w:hAnsi="黑体" w:eastAsia="黑体"/>
        </w:rPr>
        <w:t>政府性基金预算支出决算情况说明</w:t>
      </w:r>
      <w:r>
        <w:tab/>
      </w:r>
      <w:r>
        <w:fldChar w:fldCharType="begin"/>
      </w:r>
      <w:r>
        <w:instrText xml:space="preserve"> PAGEREF _Toc1489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_Toc20648 </w:instrText>
      </w:r>
      <w:r>
        <w:fldChar w:fldCharType="separate"/>
      </w:r>
      <w:r>
        <w:rPr>
          <w:rFonts w:hint="eastAsia" w:ascii="黑体" w:hAnsi="黑体" w:eastAsia="黑体"/>
        </w:rPr>
        <w:t>九、 国有资本经营预算支出决算情况说明</w:t>
      </w:r>
      <w:r>
        <w:tab/>
      </w:r>
      <w:r>
        <w:fldChar w:fldCharType="begin"/>
      </w:r>
      <w:r>
        <w:instrText xml:space="preserve"> PAGEREF _Toc20648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_Toc30271 </w:instrText>
      </w:r>
      <w:r>
        <w:fldChar w:fldCharType="separate"/>
      </w:r>
      <w:r>
        <w:rPr>
          <w:rFonts w:hint="eastAsia" w:ascii="黑体" w:hAnsi="黑体" w:eastAsia="黑体"/>
        </w:rPr>
        <w:t>十、 其他重要事项的情况说明</w:t>
      </w:r>
      <w:r>
        <w:tab/>
      </w:r>
      <w:r>
        <w:fldChar w:fldCharType="begin"/>
      </w:r>
      <w:r>
        <w:instrText xml:space="preserve"> PAGEREF _Toc30271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_Toc8018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（一）机关运行经费支出情况</w:t>
      </w:r>
      <w:r>
        <w:tab/>
      </w:r>
      <w:r>
        <w:fldChar w:fldCharType="begin"/>
      </w:r>
      <w:r>
        <w:instrText xml:space="preserve"> PAGEREF _Toc8018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_Toc4609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（二）政府采购支出情况</w:t>
      </w:r>
      <w:r>
        <w:tab/>
      </w:r>
      <w:r>
        <w:fldChar w:fldCharType="begin"/>
      </w:r>
      <w:r>
        <w:instrText xml:space="preserve"> PAGEREF _Toc4609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_Toc32239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（三）国有资产占有使用情况</w:t>
      </w:r>
      <w:r>
        <w:tab/>
      </w:r>
      <w:r>
        <w:fldChar w:fldCharType="begin"/>
      </w:r>
      <w:r>
        <w:instrText xml:space="preserve"> PAGEREF _Toc32239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_Toc1322 </w:instrText>
      </w:r>
      <w:r>
        <w:fldChar w:fldCharType="separate"/>
      </w:r>
      <w:r>
        <w:rPr>
          <w:rFonts w:hint="eastAsia" w:ascii="仿宋" w:hAnsi="仿宋" w:eastAsia="仿宋"/>
          <w:szCs w:val="32"/>
        </w:rPr>
        <w:t>（四）预算绩效管理情况</w:t>
      </w:r>
      <w:r>
        <w:tab/>
      </w:r>
      <w:r>
        <w:fldChar w:fldCharType="begin"/>
      </w:r>
      <w:r>
        <w:instrText xml:space="preserve"> PAGEREF _Toc1322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_Toc2458 </w:instrText>
      </w:r>
      <w:r>
        <w:fldChar w:fldCharType="separate"/>
      </w:r>
      <w:r>
        <w:rPr>
          <w:rFonts w:hint="eastAsia" w:ascii="黑体" w:hAnsi="黑体" w:eastAsia="黑体" w:cs="黑体"/>
          <w:szCs w:val="44"/>
        </w:rPr>
        <w:t xml:space="preserve">第三部分 </w:t>
      </w:r>
      <w:r>
        <w:rPr>
          <w:rFonts w:hint="eastAsia" w:ascii="黑体" w:hAnsi="黑体" w:eastAsia="黑体"/>
          <w:szCs w:val="44"/>
        </w:rPr>
        <w:t>名</w:t>
      </w:r>
      <w:r>
        <w:rPr>
          <w:rFonts w:hint="eastAsia" w:ascii="黑体" w:hAnsi="黑体" w:eastAsia="黑体"/>
        </w:rPr>
        <w:t>词解释</w:t>
      </w:r>
      <w:r>
        <w:tab/>
      </w:r>
      <w:r>
        <w:fldChar w:fldCharType="begin"/>
      </w:r>
      <w:r>
        <w:instrText xml:space="preserve"> PAGEREF _Toc2458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_Toc31831 </w:instrText>
      </w:r>
      <w:r>
        <w:fldChar w:fldCharType="separate"/>
      </w:r>
      <w:r>
        <w:rPr>
          <w:rFonts w:hint="eastAsia" w:ascii="黑体" w:hAnsi="黑体" w:eastAsia="黑体"/>
          <w:szCs w:val="44"/>
        </w:rPr>
        <w:t>第</w:t>
      </w:r>
      <w:r>
        <w:rPr>
          <w:rFonts w:hint="eastAsia" w:ascii="黑体" w:hAnsi="黑体" w:eastAsia="黑体"/>
        </w:rPr>
        <w:t>四部分 附件</w:t>
      </w:r>
      <w:r>
        <w:tab/>
      </w:r>
      <w:r>
        <w:fldChar w:fldCharType="begin"/>
      </w:r>
      <w:r>
        <w:instrText xml:space="preserve"> PAGEREF _Toc31831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_Toc30886 </w:instrText>
      </w:r>
      <w:r>
        <w:fldChar w:fldCharType="separate"/>
      </w:r>
      <w:r>
        <w:rPr>
          <w:rFonts w:hint="eastAsia" w:ascii="黑体" w:hAnsi="黑体" w:eastAsia="黑体"/>
          <w:szCs w:val="44"/>
        </w:rPr>
        <w:t>第</w:t>
      </w:r>
      <w:r>
        <w:rPr>
          <w:rFonts w:hint="eastAsia" w:ascii="黑体" w:hAnsi="黑体" w:eastAsia="黑体"/>
        </w:rPr>
        <w:t>五部分 附表</w:t>
      </w:r>
      <w:r>
        <w:tab/>
      </w:r>
      <w:r>
        <w:fldChar w:fldCharType="begin"/>
      </w:r>
      <w:r>
        <w:instrText xml:space="preserve"> PAGEREF _Toc30886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_Toc18450 </w:instrText>
      </w:r>
      <w:r>
        <w:fldChar w:fldCharType="separate"/>
      </w:r>
      <w:r>
        <w:rPr>
          <w:rFonts w:hint="eastAsia" w:ascii="仿宋" w:hAnsi="仿宋" w:eastAsia="仿宋"/>
        </w:rPr>
        <w:t>一、收</w:t>
      </w:r>
      <w:r>
        <w:rPr>
          <w:rFonts w:hint="eastAsia" w:ascii="仿宋" w:hAnsi="仿宋" w:eastAsia="仿宋"/>
          <w:bCs w:val="0"/>
        </w:rPr>
        <w:t>入支出决算总表</w:t>
      </w:r>
      <w:r>
        <w:tab/>
      </w:r>
      <w:r>
        <w:fldChar w:fldCharType="begin"/>
      </w:r>
      <w:r>
        <w:instrText xml:space="preserve"> PAGEREF _Toc18450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_Toc1779 </w:instrText>
      </w:r>
      <w:r>
        <w:fldChar w:fldCharType="separate"/>
      </w:r>
      <w:r>
        <w:rPr>
          <w:rFonts w:hint="eastAsia" w:ascii="仿宋" w:hAnsi="仿宋" w:eastAsia="仿宋"/>
        </w:rPr>
        <w:t>二、收</w:t>
      </w:r>
      <w:r>
        <w:rPr>
          <w:rFonts w:hint="eastAsia" w:ascii="仿宋" w:hAnsi="仿宋" w:eastAsia="仿宋"/>
          <w:bCs w:val="0"/>
        </w:rPr>
        <w:t>入决算表</w:t>
      </w:r>
      <w:r>
        <w:tab/>
      </w:r>
      <w:r>
        <w:fldChar w:fldCharType="begin"/>
      </w:r>
      <w:r>
        <w:instrText xml:space="preserve"> PAGEREF _Toc1779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_Toc5201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三、</w:t>
      </w:r>
      <w:r>
        <w:rPr>
          <w:rFonts w:hint="eastAsia" w:ascii="仿宋" w:hAnsi="仿宋" w:eastAsia="仿宋"/>
        </w:rPr>
        <w:t>支</w:t>
      </w:r>
      <w:r>
        <w:rPr>
          <w:rFonts w:hint="eastAsia" w:ascii="仿宋" w:hAnsi="仿宋" w:eastAsia="仿宋"/>
          <w:bCs w:val="0"/>
        </w:rPr>
        <w:t>出决算表</w:t>
      </w:r>
      <w:r>
        <w:tab/>
      </w:r>
      <w:r>
        <w:fldChar w:fldCharType="begin"/>
      </w:r>
      <w:r>
        <w:instrText xml:space="preserve"> PAGEREF _Toc5201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_Toc23016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四、</w:t>
      </w:r>
      <w:r>
        <w:rPr>
          <w:rFonts w:hint="eastAsia" w:ascii="仿宋" w:hAnsi="仿宋" w:eastAsia="仿宋"/>
        </w:rPr>
        <w:t>财</w:t>
      </w:r>
      <w:r>
        <w:rPr>
          <w:rFonts w:hint="eastAsia" w:ascii="仿宋" w:hAnsi="仿宋" w:eastAsia="仿宋"/>
          <w:bCs w:val="0"/>
        </w:rPr>
        <w:t>政拨款收入支出决算总表</w:t>
      </w:r>
      <w:r>
        <w:tab/>
      </w:r>
      <w:r>
        <w:fldChar w:fldCharType="begin"/>
      </w:r>
      <w:r>
        <w:instrText xml:space="preserve"> PAGEREF _Toc23016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_Toc7419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五、</w:t>
      </w:r>
      <w:r>
        <w:rPr>
          <w:rFonts w:hint="eastAsia" w:ascii="仿宋" w:hAnsi="仿宋" w:eastAsia="仿宋"/>
        </w:rPr>
        <w:t>财</w:t>
      </w:r>
      <w:r>
        <w:rPr>
          <w:rFonts w:hint="eastAsia" w:ascii="仿宋" w:hAnsi="仿宋" w:eastAsia="仿宋"/>
          <w:bCs w:val="0"/>
        </w:rPr>
        <w:t>政拨款支出决算明细表</w:t>
      </w:r>
      <w:r>
        <w:tab/>
      </w:r>
      <w:r>
        <w:fldChar w:fldCharType="begin"/>
      </w:r>
      <w:r>
        <w:instrText xml:space="preserve"> PAGEREF _Toc7419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_Toc16744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六、</w:t>
      </w:r>
      <w:r>
        <w:rPr>
          <w:rFonts w:hint="eastAsia" w:ascii="仿宋" w:hAnsi="仿宋" w:eastAsia="仿宋"/>
        </w:rPr>
        <w:t>一</w:t>
      </w:r>
      <w:r>
        <w:rPr>
          <w:rFonts w:hint="eastAsia" w:ascii="仿宋" w:hAnsi="仿宋" w:eastAsia="仿宋"/>
          <w:bCs w:val="0"/>
        </w:rPr>
        <w:t>般公共预算财政拨款支出决算表</w:t>
      </w:r>
      <w:r>
        <w:tab/>
      </w:r>
      <w:r>
        <w:fldChar w:fldCharType="begin"/>
      </w:r>
      <w:r>
        <w:instrText xml:space="preserve"> PAGEREF _Toc16744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_Toc20382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七、</w:t>
      </w:r>
      <w:r>
        <w:rPr>
          <w:rFonts w:hint="eastAsia" w:ascii="仿宋" w:hAnsi="仿宋" w:eastAsia="仿宋"/>
        </w:rPr>
        <w:t>一</w:t>
      </w:r>
      <w:r>
        <w:rPr>
          <w:rFonts w:hint="eastAsia" w:ascii="仿宋" w:hAnsi="仿宋" w:eastAsia="仿宋"/>
          <w:bCs w:val="0"/>
        </w:rPr>
        <w:t>般公共预算财政拨款支出决算明细表</w:t>
      </w:r>
      <w:r>
        <w:tab/>
      </w:r>
      <w:r>
        <w:fldChar w:fldCharType="begin"/>
      </w:r>
      <w:r>
        <w:instrText xml:space="preserve"> PAGEREF _Toc20382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_Toc9526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八、</w:t>
      </w:r>
      <w:r>
        <w:rPr>
          <w:rFonts w:hint="eastAsia" w:ascii="仿宋" w:hAnsi="仿宋" w:eastAsia="仿宋"/>
        </w:rPr>
        <w:t>一</w:t>
      </w:r>
      <w:r>
        <w:rPr>
          <w:rFonts w:hint="eastAsia" w:ascii="仿宋" w:hAnsi="仿宋" w:eastAsia="仿宋"/>
          <w:bCs w:val="0"/>
        </w:rPr>
        <w:t>般公共预算财政拨款基本支出决算表</w:t>
      </w:r>
      <w:r>
        <w:tab/>
      </w:r>
      <w:r>
        <w:fldChar w:fldCharType="begin"/>
      </w:r>
      <w:r>
        <w:instrText xml:space="preserve"> PAGEREF _Toc9526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_Toc2995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九、</w:t>
      </w:r>
      <w:r>
        <w:rPr>
          <w:rFonts w:hint="eastAsia" w:ascii="仿宋" w:hAnsi="仿宋" w:eastAsia="仿宋"/>
        </w:rPr>
        <w:t>一</w:t>
      </w:r>
      <w:r>
        <w:rPr>
          <w:rFonts w:hint="eastAsia" w:ascii="仿宋" w:hAnsi="仿宋" w:eastAsia="仿宋"/>
          <w:bCs w:val="0"/>
        </w:rPr>
        <w:t>般公共预算财政拨款项目支出决算表</w:t>
      </w:r>
      <w:r>
        <w:tab/>
      </w:r>
      <w:r>
        <w:fldChar w:fldCharType="begin"/>
      </w:r>
      <w:r>
        <w:instrText xml:space="preserve"> PAGEREF _Toc2995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_Toc10910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十、</w:t>
      </w:r>
      <w:r>
        <w:rPr>
          <w:rFonts w:hint="eastAsia" w:ascii="仿宋" w:hAnsi="仿宋" w:eastAsia="仿宋"/>
        </w:rPr>
        <w:t>政</w:t>
      </w:r>
      <w:r>
        <w:rPr>
          <w:rFonts w:hint="eastAsia" w:ascii="仿宋" w:hAnsi="仿宋" w:eastAsia="仿宋"/>
          <w:bCs w:val="0"/>
        </w:rPr>
        <w:t>府性基金预算财政拨款收入支出决算表</w:t>
      </w:r>
      <w:r>
        <w:tab/>
      </w:r>
      <w:r>
        <w:fldChar w:fldCharType="begin"/>
      </w:r>
      <w:r>
        <w:instrText xml:space="preserve"> PAGEREF _Toc10910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_Toc32294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十一、</w:t>
      </w:r>
      <w:r>
        <w:rPr>
          <w:rFonts w:hint="eastAsia" w:ascii="仿宋" w:hAnsi="仿宋" w:eastAsia="仿宋"/>
        </w:rPr>
        <w:t>国</w:t>
      </w:r>
      <w:r>
        <w:rPr>
          <w:rFonts w:hint="eastAsia" w:ascii="仿宋" w:hAnsi="仿宋" w:eastAsia="仿宋"/>
          <w:bCs w:val="0"/>
        </w:rPr>
        <w:t>有资本经营预算财政拨款收入支出决算表</w:t>
      </w:r>
      <w:r>
        <w:tab/>
      </w:r>
      <w:r>
        <w:fldChar w:fldCharType="begin"/>
      </w:r>
      <w:r>
        <w:instrText xml:space="preserve"> PAGEREF _Toc32294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_Toc15465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十二、国有资本经营预算财政拨款支出决算表</w:t>
      </w:r>
      <w:r>
        <w:tab/>
      </w:r>
      <w:r>
        <w:fldChar w:fldCharType="begin"/>
      </w:r>
      <w:r>
        <w:instrText xml:space="preserve"> PAGEREF _Toc15465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8306"/>
          <w:tab w:val="clear" w:pos="8296"/>
        </w:tabs>
      </w:pPr>
      <w:r>
        <w:fldChar w:fldCharType="begin"/>
      </w:r>
      <w:r>
        <w:instrText xml:space="preserve"> HYPERLINK \l _Toc14843 </w:instrText>
      </w:r>
      <w:r>
        <w:fldChar w:fldCharType="separate"/>
      </w:r>
      <w:r>
        <w:rPr>
          <w:rFonts w:hint="eastAsia" w:ascii="仿宋" w:hAnsi="仿宋" w:eastAsia="仿宋"/>
          <w:bCs w:val="0"/>
        </w:rPr>
        <w:t>十三、财政拨款“三公”经费支出决算表</w:t>
      </w:r>
      <w:r>
        <w:tab/>
      </w:r>
      <w:r>
        <w:fldChar w:fldCharType="begin"/>
      </w:r>
      <w:r>
        <w:instrText xml:space="preserve"> PAGEREF _Toc14843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widowControl/>
        <w:spacing w:line="440" w:lineRule="exact"/>
        <w:jc w:val="left"/>
        <w:rPr>
          <w:rFonts w:ascii="仿宋" w:hAnsi="仿宋" w:eastAsia="仿宋"/>
          <w:bCs/>
          <w:kern w:val="44"/>
          <w:sz w:val="24"/>
        </w:rPr>
      </w:pPr>
      <w:bookmarkStart w:id="18" w:name="_Toc15377196"/>
      <w:bookmarkStart w:id="19" w:name="_Toc15396599"/>
      <w:r>
        <w:rPr>
          <w:rFonts w:ascii="仿宋" w:hAnsi="仿宋" w:eastAsia="仿宋"/>
          <w:b/>
          <w:sz w:val="24"/>
        </w:rPr>
        <w:br w:type="page"/>
      </w:r>
    </w:p>
    <w:p>
      <w:pPr>
        <w:pStyle w:val="4"/>
        <w:jc w:val="center"/>
        <w:rPr>
          <w:rStyle w:val="28"/>
          <w:rFonts w:ascii="黑体" w:hAnsi="黑体" w:eastAsia="黑体"/>
          <w:b/>
          <w:bCs w:val="0"/>
          <w:sz w:val="36"/>
          <w:szCs w:val="36"/>
        </w:rPr>
      </w:pPr>
      <w:bookmarkStart w:id="20" w:name="_Toc29618"/>
      <w:bookmarkStart w:id="21" w:name="_Toc22011"/>
      <w:r>
        <w:rPr>
          <w:rFonts w:hint="eastAsia" w:ascii="黑体" w:hAnsi="黑体" w:eastAsia="黑体"/>
          <w:b w:val="0"/>
          <w:sz w:val="36"/>
          <w:szCs w:val="36"/>
        </w:rPr>
        <w:t xml:space="preserve">第一部分 </w:t>
      </w: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剑阁县下寺镇中心卫生院</w:t>
      </w:r>
      <w:r>
        <w:rPr>
          <w:rFonts w:hint="eastAsia" w:ascii="黑体" w:hAnsi="黑体" w:eastAsia="黑体"/>
          <w:b w:val="0"/>
          <w:sz w:val="36"/>
          <w:szCs w:val="36"/>
        </w:rPr>
        <w:t>单位</w:t>
      </w:r>
      <w:r>
        <w:rPr>
          <w:rStyle w:val="28"/>
          <w:rFonts w:hint="eastAsia" w:ascii="黑体" w:hAnsi="黑体" w:eastAsia="黑体"/>
          <w:b w:val="0"/>
          <w:bCs w:val="0"/>
          <w:sz w:val="36"/>
          <w:szCs w:val="36"/>
        </w:rPr>
        <w:t>概况</w:t>
      </w:r>
      <w:bookmarkEnd w:id="18"/>
      <w:bookmarkEnd w:id="19"/>
      <w:bookmarkEnd w:id="20"/>
      <w:bookmarkEnd w:id="21"/>
    </w:p>
    <w:p>
      <w:pPr>
        <w:pStyle w:val="5"/>
        <w:numPr>
          <w:ilvl w:val="0"/>
          <w:numId w:val="1"/>
        </w:numPr>
        <w:rPr>
          <w:rStyle w:val="29"/>
          <w:rFonts w:ascii="黑体" w:hAnsi="黑体" w:eastAsia="黑体"/>
          <w:b w:val="0"/>
          <w:bCs w:val="0"/>
          <w:sz w:val="32"/>
          <w:szCs w:val="32"/>
        </w:rPr>
      </w:pPr>
      <w:bookmarkStart w:id="22" w:name="_Toc32170"/>
      <w:bookmarkStart w:id="23" w:name="_Toc29756"/>
      <w:bookmarkStart w:id="24" w:name="_Toc15377197"/>
      <w:bookmarkStart w:id="25" w:name="_Toc15396600"/>
      <w:r>
        <w:rPr>
          <w:rStyle w:val="29"/>
          <w:rFonts w:hint="eastAsia" w:ascii="黑体" w:hAnsi="黑体" w:eastAsia="黑体"/>
          <w:b w:val="0"/>
          <w:bCs w:val="0"/>
          <w:sz w:val="32"/>
          <w:szCs w:val="32"/>
        </w:rPr>
        <w:t>主要职责</w:t>
      </w:r>
      <w:bookmarkEnd w:id="22"/>
      <w:bookmarkEnd w:id="23"/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剑</w:t>
      </w:r>
      <w:r>
        <w:rPr>
          <w:rFonts w:hint="eastAsia" w:ascii="仿宋" w:hAnsi="仿宋" w:eastAsia="仿宋" w:cs="仿宋"/>
          <w:sz w:val="32"/>
          <w:szCs w:val="32"/>
        </w:rPr>
        <w:t>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下寺镇中心</w:t>
      </w:r>
      <w:r>
        <w:rPr>
          <w:rFonts w:hint="eastAsia" w:ascii="仿宋" w:hAnsi="仿宋" w:eastAsia="仿宋" w:cs="仿宋"/>
          <w:sz w:val="32"/>
          <w:szCs w:val="32"/>
        </w:rPr>
        <w:t>卫生院是由政府举办，不以营利为目的，具有公共卫生性质的公益性事业单位，是提供基本公共卫生和基本医疗服务的基层卫生院。坚持以群体保健工作为基础，面向基层、预防为主，为群众提供健康教育、预防保健等公共卫生服务。在切实履行公共卫生职责的同时，开展基本医疗服务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二、2022年重点工作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(一)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规范卫生院管理，提高服务质量，加强卫生行业作风建设，树立良好形象。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坚持以病人为中心，继续优化医疗服务环境，完善医院各项管理制度。我院将狠抓医疗服务质量，在院内开展医疗质量评比，加强“三基”“三严”培训；开展医疗文件书写规范的学习，提高医疗文件书写规范合格率；严格医院感染防控措施，杜绝院内感染事件，加强供应室管理，改善手术室条件。加强孕产妇系统化管理和儿童保健工作，提高住院自然分娩率，降低剖宫产率。加强《职业医师法》、</w:t>
      </w:r>
      <w:bookmarkStart w:id="157" w:name="_GoBack"/>
      <w:bookmarkEnd w:id="157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《医疗事故处理条例》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的学习，树立医务人员的责任感，不断地提高医疗技术，完善自我。加强作风建设，提高医务人员依法从业意识和职业素质。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auto"/>
          <w:lang w:val="en-US" w:eastAsia="zh-CN"/>
        </w:rPr>
        <w:t>(二)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积极推进中医药工作，进一步建立中医药适宜技术推广的有效途径和机制。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  <w:t>重视开展中医适宜技术培训，提升中医药业务收入的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比重。逐步开展中医康复治疗项目，依靠现有器材和人员，力争在中医康复上取得较好成绩，满足人民群众对中医药服务需求。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稳妥实施基本药物制度，要统一思想，转变观念，积极主动地转变用药习惯，自觉执行新政策、适应新规定，重新定位卫生院的主要职能。开展临床路径管理、基本药物用药指南、基本药物处方等方面的业务培训，促进合理用药，减少和避免药品的浪费与滥用，切实降低老百姓的医药费用负担。并通过医务人员的宣传，让群众认可基本药物，改变“贵药就是好药”的错误观点，树立“治病才是好药”的正确理念，在社会上营造实施基本药物制度的良好舆论氛围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创新内部绩效考核办法，促进基本医疗服务更好发展。为配合基本药物制度的实施，卫生院工作重心要向公共卫生服务和基本医疗转变，要结合我院实际情况，以服务数量和质量为重点，对各科、各人的考核要求细化成各项考核指标，考核过程做到公平公正公开，考核成绩与绩效工资挂钩 。通过绩效考核的杠杆作用，促进了卫生院的医疗服务在数量和质量上的提升。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疫情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防控制工作。加强公共卫生体系建设，提高突发公共卫生事件应急处置能力。切实加强传染病防治工作。培训督导好各级医生，做到对可疑病例及时发现及时报告，切实发挥发现疫情的“前哨关”的作用。加强预防接种管理制度，规范免疫接种门诊，提高计划免疫接种质量和接种率。开展健康教育，保持健康文明的生活方式。积极开展改厕改水工作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人才培训及继续医学教育。人才培养是卫生院发展的关键，我院将选派年青人员外出进修学习，培养医疗后备人才，并争取对外引进优秀人才，补充关键岗位缺口。积极招聘医学院校毕业生，壮大专业技术人员队伍。鼓励全院职工参加继续医学教育、成人高等教育，为卫生院的长远发展做好人才储备。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（七）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医疗制度建设。积极配合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医保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工作，加大宣传力度，继续做好参保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健康免费体检和健康体检档案建立工作，对体检结果及时进行反馈，对体检中发现的存在健康问题的人，主动跟踪随访，确保参保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就医方快捷。</w:t>
      </w:r>
    </w:p>
    <w:p>
      <w:pPr>
        <w:pStyle w:val="5"/>
        <w:numPr>
          <w:ilvl w:val="0"/>
          <w:numId w:val="1"/>
        </w:numPr>
        <w:ind w:left="0" w:leftChars="0" w:firstLine="0" w:firstLineChars="0"/>
        <w:rPr>
          <w:rFonts w:ascii="仿宋" w:hAnsi="仿宋" w:eastAsia="仿宋"/>
          <w:kern w:val="0"/>
          <w:sz w:val="32"/>
          <w:szCs w:val="32"/>
        </w:rPr>
      </w:pPr>
      <w:bookmarkStart w:id="26" w:name="_Toc31924"/>
      <w:bookmarkStart w:id="27" w:name="_Toc9165"/>
      <w:r>
        <w:rPr>
          <w:rFonts w:hint="eastAsia" w:ascii="黑体" w:hAnsi="黑体" w:eastAsia="黑体"/>
          <w:b w:val="0"/>
          <w:sz w:val="32"/>
          <w:szCs w:val="32"/>
        </w:rPr>
        <w:t>机构设置</w:t>
      </w:r>
      <w:bookmarkEnd w:id="26"/>
      <w:bookmarkEnd w:id="27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剑阁县下寺镇中心卫生院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无下属二级单位。下设综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合管理科室：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办公室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财务科、医务科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护理部、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公卫科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、门诊部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等科室；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fill="FFFFFF"/>
        </w:rPr>
        <w:t>临床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fill="FFFFFF"/>
          <w:lang w:val="en-US" w:eastAsia="zh-CN"/>
        </w:rPr>
        <w:t>科室：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内科、外科、妇产科、儿科、口腔科、预防保健科等科室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医技科室: 药剂科、检验科、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放射科、手术室、理疗科、消毒供应室、病案室等科室。</w:t>
      </w:r>
    </w:p>
    <w:bookmarkEnd w:id="24"/>
    <w:bookmarkEnd w:id="25"/>
    <w:p>
      <w:pPr>
        <w:pStyle w:val="4"/>
        <w:ind w:right="440"/>
        <w:jc w:val="center"/>
      </w:pPr>
      <w:bookmarkStart w:id="28" w:name="_Toc15396602"/>
      <w:bookmarkStart w:id="29" w:name="_Toc15377204"/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 xml:space="preserve"> </w:t>
      </w:r>
      <w:bookmarkStart w:id="30" w:name="_Toc12673"/>
      <w:bookmarkStart w:id="31" w:name="_Toc28153"/>
      <w:r>
        <w:rPr>
          <w:rFonts w:hint="eastAsia" w:ascii="黑体" w:hAnsi="黑体" w:eastAsia="黑体"/>
          <w:b w:val="0"/>
          <w:sz w:val="36"/>
          <w:szCs w:val="36"/>
        </w:rPr>
        <w:t xml:space="preserve">第二部分 </w:t>
      </w:r>
      <w:r>
        <w:rPr>
          <w:rFonts w:hint="eastAsia" w:ascii="黑体" w:hAnsi="黑体" w:eastAsia="黑体"/>
          <w:b w:val="0"/>
          <w:sz w:val="36"/>
          <w:szCs w:val="36"/>
          <w:lang w:val="en-US" w:eastAsia="zh-CN"/>
        </w:rPr>
        <w:t>剑阁县下寺镇中心卫生院</w:t>
      </w:r>
      <w:r>
        <w:rPr>
          <w:rFonts w:hint="eastAsia" w:ascii="黑体" w:hAnsi="黑体" w:eastAsia="黑体"/>
          <w:b w:val="0"/>
          <w:sz w:val="36"/>
          <w:szCs w:val="36"/>
        </w:rPr>
        <w:t>2022年度</w:t>
      </w:r>
      <w:r>
        <w:rPr>
          <w:rStyle w:val="28"/>
          <w:rFonts w:hint="eastAsia" w:ascii="黑体" w:hAnsi="黑体" w:eastAsia="黑体"/>
          <w:b w:val="0"/>
          <w:bCs/>
          <w:sz w:val="36"/>
          <w:szCs w:val="36"/>
        </w:rPr>
        <w:t>单位决算情况说明</w:t>
      </w:r>
      <w:bookmarkEnd w:id="28"/>
      <w:bookmarkEnd w:id="29"/>
      <w:bookmarkEnd w:id="30"/>
      <w:bookmarkEnd w:id="31"/>
    </w:p>
    <w:p>
      <w:pPr>
        <w:pStyle w:val="27"/>
        <w:numPr>
          <w:ilvl w:val="0"/>
          <w:numId w:val="2"/>
        </w:numPr>
        <w:spacing w:line="600" w:lineRule="exact"/>
        <w:ind w:firstLineChars="0"/>
        <w:outlineLvl w:val="1"/>
        <w:rPr>
          <w:rStyle w:val="29"/>
          <w:rFonts w:ascii="黑体" w:hAnsi="黑体" w:eastAsia="黑体"/>
          <w:b w:val="0"/>
        </w:rPr>
      </w:pPr>
      <w:bookmarkStart w:id="32" w:name="_Toc15377205"/>
      <w:bookmarkStart w:id="33" w:name="_Toc15396603"/>
      <w:bookmarkStart w:id="34" w:name="_Toc205"/>
      <w:bookmarkStart w:id="35" w:name="_Toc32648"/>
      <w:r>
        <w:rPr>
          <w:rFonts w:hint="eastAsia" w:ascii="黑体" w:hAnsi="黑体" w:eastAsia="黑体"/>
          <w:sz w:val="32"/>
          <w:szCs w:val="32"/>
        </w:rPr>
        <w:t>收</w:t>
      </w:r>
      <w:r>
        <w:rPr>
          <w:rStyle w:val="29"/>
          <w:rFonts w:hint="eastAsia" w:ascii="黑体" w:hAnsi="黑体" w:eastAsia="黑体"/>
          <w:b w:val="0"/>
        </w:rPr>
        <w:t>入支出决算总体情况说明</w:t>
      </w:r>
      <w:bookmarkEnd w:id="32"/>
      <w:bookmarkEnd w:id="33"/>
      <w:bookmarkEnd w:id="34"/>
      <w:bookmarkEnd w:id="35"/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2022年度收、支总计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2286.63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2021年本单位未单独填报决算，由系统统一填报部门决算，故无法对比。</w:t>
      </w:r>
    </w:p>
    <w:p>
      <w:pPr>
        <w:pStyle w:val="27"/>
        <w:numPr>
          <w:ilvl w:val="0"/>
          <w:numId w:val="2"/>
        </w:numPr>
        <w:spacing w:line="600" w:lineRule="exact"/>
        <w:ind w:firstLineChars="0"/>
        <w:outlineLvl w:val="1"/>
        <w:rPr>
          <w:rStyle w:val="29"/>
          <w:rFonts w:ascii="黑体" w:hAnsi="黑体" w:eastAsia="黑体"/>
          <w:b w:val="0"/>
        </w:rPr>
      </w:pPr>
      <w:bookmarkStart w:id="36" w:name="_Toc32644"/>
      <w:bookmarkStart w:id="37" w:name="_Toc19090"/>
      <w:bookmarkStart w:id="38" w:name="_Toc15396604"/>
      <w:bookmarkStart w:id="39" w:name="_Toc15377206"/>
      <w:r>
        <w:rPr>
          <w:rFonts w:hint="eastAsia" w:ascii="黑体" w:hAnsi="黑体" w:eastAsia="黑体"/>
          <w:sz w:val="32"/>
          <w:szCs w:val="32"/>
        </w:rPr>
        <w:t>收</w:t>
      </w:r>
      <w:r>
        <w:rPr>
          <w:rStyle w:val="29"/>
          <w:rFonts w:hint="eastAsia" w:ascii="黑体" w:hAnsi="黑体" w:eastAsia="黑体"/>
          <w:b w:val="0"/>
        </w:rPr>
        <w:t>入决算情况说明</w:t>
      </w:r>
      <w:bookmarkEnd w:id="36"/>
      <w:bookmarkEnd w:id="37"/>
      <w:bookmarkEnd w:id="38"/>
      <w:bookmarkEnd w:id="39"/>
    </w:p>
    <w:p>
      <w:pPr>
        <w:spacing w:line="600" w:lineRule="exact"/>
        <w:ind w:firstLine="640" w:firstLineChars="200"/>
        <w:outlineLvl w:val="1"/>
        <w:rPr>
          <w:rFonts w:hint="eastAsia"/>
        </w:rPr>
      </w:pPr>
      <w:bookmarkStart w:id="40" w:name="_Toc24288"/>
      <w:bookmarkStart w:id="41" w:name="_Toc23678"/>
      <w:bookmarkStart w:id="42" w:name="_Toc14979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22年本年收入合计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2286.63</w:t>
      </w:r>
      <w:r>
        <w:rPr>
          <w:rFonts w:hint="eastAsia" w:ascii="仿宋" w:hAnsi="仿宋" w:eastAsia="仿宋"/>
          <w:sz w:val="32"/>
          <w:szCs w:val="32"/>
        </w:rPr>
        <w:t>万元，其中：一般公共预算财政拨款收入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967.99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42.33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；政府性基金预算财政拨款收入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；国有资本经营预算财政拨款收入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；上级补助收入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；事业收入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1318.64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57.67</w:t>
      </w:r>
      <w:r>
        <w:rPr>
          <w:rFonts w:ascii="仿宋" w:hAnsi="仿宋" w:eastAsia="仿宋"/>
          <w:sz w:val="32"/>
          <w:szCs w:val="32"/>
        </w:rPr>
        <w:t>%</w:t>
      </w:r>
      <w:bookmarkEnd w:id="40"/>
      <w:bookmarkEnd w:id="41"/>
      <w:r>
        <w:rPr>
          <w:rFonts w:hint="eastAsia" w:ascii="仿宋" w:hAnsi="仿宋" w:eastAsia="仿宋"/>
          <w:sz w:val="32"/>
          <w:szCs w:val="32"/>
        </w:rPr>
        <w:t>；经营收入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；附属单位上缴收入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；其他收入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42"/>
    </w:p>
    <w:p>
      <w:pPr>
        <w:pStyle w:val="15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325620" cy="2743200"/>
            <wp:effectExtent l="4445" t="4445" r="13335" b="508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27"/>
        <w:numPr>
          <w:ilvl w:val="0"/>
          <w:numId w:val="2"/>
        </w:numPr>
        <w:spacing w:line="600" w:lineRule="exact"/>
        <w:ind w:firstLineChars="0"/>
        <w:outlineLvl w:val="1"/>
        <w:rPr>
          <w:rStyle w:val="29"/>
          <w:rFonts w:ascii="黑体" w:hAnsi="黑体" w:eastAsia="黑体"/>
          <w:b w:val="0"/>
        </w:rPr>
      </w:pPr>
      <w:bookmarkStart w:id="43" w:name="_Toc7521"/>
      <w:bookmarkStart w:id="44" w:name="_Toc18168"/>
      <w:bookmarkStart w:id="45" w:name="_Toc15377207"/>
      <w:bookmarkStart w:id="46" w:name="_Toc15396605"/>
      <w:r>
        <w:rPr>
          <w:rFonts w:hint="eastAsia" w:ascii="黑体" w:hAnsi="黑体" w:eastAsia="黑体"/>
          <w:sz w:val="32"/>
          <w:szCs w:val="32"/>
        </w:rPr>
        <w:t>支</w:t>
      </w:r>
      <w:r>
        <w:rPr>
          <w:rStyle w:val="29"/>
          <w:rFonts w:hint="eastAsia" w:ascii="黑体" w:hAnsi="黑体" w:eastAsia="黑体"/>
          <w:b w:val="0"/>
        </w:rPr>
        <w:t>出决算情况说明</w:t>
      </w:r>
      <w:bookmarkEnd w:id="43"/>
      <w:bookmarkEnd w:id="44"/>
      <w:bookmarkEnd w:id="45"/>
      <w:bookmarkEnd w:id="46"/>
    </w:p>
    <w:p>
      <w:pPr>
        <w:spacing w:line="600" w:lineRule="exact"/>
        <w:ind w:firstLine="640" w:firstLineChars="200"/>
        <w:outlineLvl w:val="1"/>
        <w:rPr>
          <w:rFonts w:hint="eastAsia"/>
        </w:rPr>
      </w:pPr>
      <w:bookmarkStart w:id="47" w:name="_Toc21149"/>
      <w:bookmarkStart w:id="48" w:name="_Toc27057"/>
      <w:bookmarkStart w:id="49" w:name="_Toc24175"/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22年本年支出合计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2286.22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2286.22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bookmarkEnd w:id="47"/>
      <w:bookmarkEnd w:id="48"/>
      <w:r>
        <w:rPr>
          <w:rFonts w:hint="eastAsia" w:ascii="仿宋" w:hAnsi="仿宋" w:eastAsia="仿宋"/>
          <w:sz w:val="32"/>
          <w:szCs w:val="32"/>
        </w:rPr>
        <w:t>；项目支出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；上缴上级支出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；经营支出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；对附属单位补助支出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bookmarkEnd w:id="49"/>
    </w:p>
    <w:p>
      <w:pPr>
        <w:pStyle w:val="2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4291965" cy="2743200"/>
            <wp:effectExtent l="4445" t="4445" r="8890" b="5080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600" w:lineRule="exact"/>
        <w:ind w:firstLine="640" w:firstLineChars="200"/>
        <w:outlineLvl w:val="1"/>
        <w:rPr>
          <w:rStyle w:val="29"/>
          <w:rFonts w:ascii="黑体" w:hAnsi="黑体" w:eastAsia="黑体"/>
          <w:b w:val="0"/>
        </w:rPr>
      </w:pPr>
      <w:bookmarkStart w:id="50" w:name="_Toc15377208"/>
      <w:bookmarkStart w:id="51" w:name="_Toc21644"/>
      <w:bookmarkStart w:id="52" w:name="_Toc11383"/>
      <w:bookmarkStart w:id="53" w:name="_Toc15396606"/>
      <w:r>
        <w:rPr>
          <w:rFonts w:hint="eastAsia" w:ascii="黑体" w:hAnsi="黑体" w:eastAsia="黑体"/>
          <w:sz w:val="32"/>
          <w:szCs w:val="32"/>
        </w:rPr>
        <w:t>四、财</w:t>
      </w:r>
      <w:r>
        <w:rPr>
          <w:rStyle w:val="29"/>
          <w:rFonts w:hint="eastAsia" w:ascii="黑体" w:hAnsi="黑体" w:eastAsia="黑体"/>
          <w:b w:val="0"/>
        </w:rPr>
        <w:t>政拨款收入支出决算总体情况说明</w:t>
      </w:r>
      <w:bookmarkEnd w:id="50"/>
      <w:bookmarkEnd w:id="51"/>
      <w:bookmarkEnd w:id="52"/>
      <w:bookmarkEnd w:id="53"/>
    </w:p>
    <w:p>
      <w:pPr>
        <w:spacing w:line="600" w:lineRule="exact"/>
        <w:ind w:firstLine="640"/>
        <w:rPr>
          <w:rFonts w:hint="eastAsia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22年财政拨款收、支总计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967.99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2021年本单位未单独填报决算，由系统统一填报部门决算，故无法对比。</w:t>
      </w:r>
    </w:p>
    <w:p>
      <w:pPr>
        <w:pStyle w:val="15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spacing w:line="600" w:lineRule="exact"/>
        <w:ind w:firstLine="640" w:firstLineChars="200"/>
        <w:outlineLvl w:val="1"/>
        <w:rPr>
          <w:rStyle w:val="29"/>
          <w:rFonts w:ascii="黑体" w:hAnsi="黑体" w:eastAsia="黑体"/>
          <w:b w:val="0"/>
        </w:rPr>
      </w:pPr>
      <w:bookmarkStart w:id="54" w:name="_Toc15377209"/>
      <w:bookmarkStart w:id="55" w:name="_Toc25669"/>
      <w:bookmarkStart w:id="56" w:name="_Toc28301"/>
      <w:bookmarkStart w:id="57" w:name="_Toc15396607"/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Style w:val="29"/>
          <w:rFonts w:hint="eastAsia" w:ascii="黑体" w:hAnsi="黑体" w:eastAsia="黑体"/>
          <w:b w:val="0"/>
        </w:rPr>
        <w:t>般公共预算财政拨款支出决算情况说明</w:t>
      </w:r>
      <w:bookmarkEnd w:id="54"/>
      <w:bookmarkEnd w:id="55"/>
      <w:bookmarkEnd w:id="56"/>
      <w:bookmarkEnd w:id="57"/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58" w:name="_Toc29440"/>
      <w:bookmarkStart w:id="59" w:name="_Toc31131"/>
      <w:bookmarkStart w:id="60" w:name="_Toc15377210"/>
      <w:r>
        <w:rPr>
          <w:rFonts w:hint="eastAsia" w:ascii="仿宋" w:hAnsi="仿宋" w:eastAsia="仿宋"/>
          <w:b/>
          <w:sz w:val="32"/>
          <w:szCs w:val="32"/>
        </w:rPr>
        <w:t>（一）一般公共预算财政拨款支出决算总体情况</w:t>
      </w:r>
      <w:bookmarkEnd w:id="58"/>
      <w:bookmarkEnd w:id="59"/>
      <w:bookmarkEnd w:id="60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22年一般公共预算财政拨款支出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967.99</w:t>
      </w:r>
      <w:r>
        <w:rPr>
          <w:rFonts w:hint="eastAsia" w:ascii="仿宋" w:hAnsi="仿宋" w:eastAsia="仿宋"/>
          <w:sz w:val="32"/>
          <w:szCs w:val="32"/>
        </w:rPr>
        <w:t>万元，占本年支出合计的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42.33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2021年本单位未单独填报决算，由系统统一填报部门决算，故无法对比。</w:t>
      </w:r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b/>
          <w:sz w:val="32"/>
          <w:szCs w:val="32"/>
        </w:rPr>
      </w:pPr>
      <w:bookmarkStart w:id="61" w:name="_Toc15377211"/>
      <w:bookmarkStart w:id="62" w:name="_Toc23565"/>
      <w:bookmarkStart w:id="63" w:name="_Toc1969"/>
      <w:r>
        <w:rPr>
          <w:rFonts w:hint="eastAsia" w:ascii="仿宋" w:hAnsi="仿宋" w:eastAsia="仿宋"/>
          <w:b/>
          <w:sz w:val="32"/>
          <w:szCs w:val="32"/>
        </w:rPr>
        <w:t>（二）一般公共预算财政拨款支出决算结构情况</w:t>
      </w:r>
      <w:bookmarkEnd w:id="61"/>
      <w:bookmarkEnd w:id="62"/>
      <w:bookmarkEnd w:id="63"/>
    </w:p>
    <w:p>
      <w:pPr>
        <w:spacing w:line="600" w:lineRule="exact"/>
        <w:ind w:firstLine="640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22年一般公共预算财政拨款支出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967.98</w:t>
      </w:r>
      <w:r>
        <w:rPr>
          <w:rFonts w:hint="eastAsia" w:ascii="仿宋" w:hAnsi="仿宋" w:eastAsia="仿宋"/>
          <w:sz w:val="32"/>
          <w:szCs w:val="32"/>
        </w:rPr>
        <w:t>万元，主要用于以下方面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一般公共服务支出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；教育支出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；科学技术支出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；文化旅游体育与传媒支出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；社会保障和就业支出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60.39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6.24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；卫生健康支出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862.53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89.11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；住房保障支出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45.06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万元，占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4.65</w:t>
      </w:r>
      <w:r>
        <w:rPr>
          <w:rFonts w:ascii="仿宋" w:hAnsi="仿宋" w:eastAsia="仿宋"/>
          <w:b w:val="0"/>
          <w:bCs/>
          <w:sz w:val="32"/>
          <w:szCs w:val="32"/>
        </w:rPr>
        <w:t>%</w:t>
      </w:r>
      <w:r>
        <w:rPr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4291965" cy="2743200"/>
            <wp:effectExtent l="4445" t="4445" r="8890" b="508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00" w:lineRule="exact"/>
        <w:ind w:firstLine="640" w:firstLineChars="200"/>
        <w:outlineLvl w:val="2"/>
        <w:rPr>
          <w:rFonts w:ascii="仿宋" w:hAnsi="仿宋" w:eastAsia="仿宋"/>
          <w:b w:val="0"/>
          <w:bCs/>
          <w:sz w:val="32"/>
          <w:szCs w:val="32"/>
        </w:rPr>
      </w:pPr>
      <w:bookmarkStart w:id="64" w:name="_Toc22322"/>
      <w:bookmarkStart w:id="65" w:name="_Toc841"/>
      <w:bookmarkStart w:id="66" w:name="_Toc15377212"/>
      <w:r>
        <w:rPr>
          <w:rFonts w:hint="eastAsia" w:ascii="仿宋" w:hAnsi="仿宋" w:eastAsia="仿宋"/>
          <w:b w:val="0"/>
          <w:bCs/>
          <w:sz w:val="32"/>
          <w:szCs w:val="32"/>
        </w:rPr>
        <w:t>（三）一般公共预算财政拨款支出决算具体情况</w:t>
      </w:r>
      <w:bookmarkEnd w:id="64"/>
      <w:bookmarkEnd w:id="65"/>
      <w:bookmarkEnd w:id="66"/>
    </w:p>
    <w:p>
      <w:pPr>
        <w:spacing w:line="600" w:lineRule="exact"/>
        <w:ind w:firstLine="640" w:firstLineChars="200"/>
        <w:outlineLvl w:val="2"/>
        <w:rPr>
          <w:rFonts w:ascii="仿宋" w:hAnsi="仿宋" w:eastAsia="仿宋"/>
          <w:b w:val="0"/>
          <w:bCs/>
          <w:sz w:val="32"/>
          <w:szCs w:val="32"/>
        </w:rPr>
      </w:pPr>
      <w:bookmarkStart w:id="67" w:name="_Toc15377213"/>
      <w:bookmarkStart w:id="68" w:name="_Toc20635"/>
      <w:bookmarkStart w:id="69" w:name="_Toc9441"/>
      <w:bookmarkStart w:id="70" w:name="_Toc15378460"/>
      <w:bookmarkStart w:id="71" w:name="_Toc16400"/>
      <w:bookmarkStart w:id="72" w:name="_Toc15377444"/>
      <w:r>
        <w:rPr>
          <w:rFonts w:hint="eastAsia" w:ascii="仿宋" w:hAnsi="仿宋" w:eastAsia="仿宋"/>
          <w:b w:val="0"/>
          <w:bCs/>
          <w:sz w:val="32"/>
          <w:szCs w:val="32"/>
        </w:rPr>
        <w:t>2022年一般公共预算支出决算数为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967.99万元</w:t>
      </w:r>
      <w:r>
        <w:rPr>
          <w:rFonts w:hint="eastAsia" w:ascii="仿宋" w:hAnsi="仿宋" w:eastAsia="仿宋"/>
          <w:b w:val="0"/>
          <w:bCs/>
          <w:sz w:val="32"/>
          <w:szCs w:val="32"/>
        </w:rPr>
        <w:t>，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。其中：</w:t>
      </w:r>
      <w:bookmarkEnd w:id="67"/>
      <w:bookmarkEnd w:id="68"/>
      <w:bookmarkEnd w:id="69"/>
      <w:bookmarkEnd w:id="70"/>
      <w:bookmarkEnd w:id="71"/>
      <w:bookmarkEnd w:id="72"/>
    </w:p>
    <w:p>
      <w:pPr>
        <w:spacing w:line="600" w:lineRule="exact"/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.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社会保障和就业（类）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行政事业单位养老支出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（款）机关事业单位基本养老保险缴费（项）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 xml:space="preserve">: 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支出决算为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60.39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万元，完成预算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8"/>
          <w:rFonts w:hint="eastAsia" w:ascii="仿宋" w:hAnsi="仿宋" w:eastAsia="仿宋"/>
          <w:b w:val="0"/>
          <w:bCs/>
          <w:sz w:val="32"/>
          <w:szCs w:val="32"/>
        </w:rPr>
      </w:pP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卫生健康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（类）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基层医疗机构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（款）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乡镇卫生院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（项）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: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支出决算为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434.34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万元，完成预算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Style w:val="18"/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 w:val="0"/>
          <w:bCs/>
          <w:sz w:val="32"/>
          <w:szCs w:val="32"/>
        </w:rPr>
        <w:t>卫生健康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（类）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eastAsia="zh-CN"/>
        </w:rPr>
        <w:t>基层医疗卫生机构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（款）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eastAsia="zh-CN"/>
        </w:rPr>
        <w:t>其他基层医疗卫生机构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（项）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: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eastAsia="zh-CN"/>
        </w:rPr>
        <w:t>支出决算为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41.67万元，完成预算100%。</w:t>
      </w:r>
    </w:p>
    <w:p>
      <w:pPr>
        <w:pStyle w:val="2"/>
        <w:ind w:left="0" w:leftChars="0" w:firstLine="640" w:firstLineChars="200"/>
        <w:rPr>
          <w:rFonts w:hint="eastAsia"/>
          <w:b w:val="0"/>
          <w:bCs/>
          <w:lang w:val="en-US" w:eastAsia="zh-CN"/>
        </w:rPr>
      </w:pP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4.卫生健康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（类）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公共卫生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（款）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基本公共卫生服务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（项）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eastAsia="zh-CN"/>
        </w:rPr>
        <w:t>：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支出决算为356.33万元，完成预算100%。</w:t>
      </w:r>
    </w:p>
    <w:p>
      <w:pPr>
        <w:pStyle w:val="15"/>
        <w:ind w:firstLine="640" w:firstLineChars="200"/>
        <w:rPr>
          <w:rStyle w:val="18"/>
          <w:rFonts w:hint="eastAsia" w:ascii="仿宋" w:hAnsi="仿宋" w:eastAsia="仿宋"/>
          <w:b w:val="0"/>
          <w:bCs/>
          <w:sz w:val="32"/>
          <w:szCs w:val="32"/>
        </w:rPr>
      </w:pP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卫生健康（类）行政事业单位医疗（款）事业单位医疗（项）：支出决算为30.20万元，完成预算100%。</w:t>
      </w:r>
    </w:p>
    <w:p>
      <w:pPr>
        <w:pStyle w:val="2"/>
        <w:ind w:left="0" w:leftChars="0" w:firstLine="640" w:firstLineChars="200"/>
        <w:rPr>
          <w:rFonts w:hint="default"/>
          <w:lang w:val="en-US"/>
        </w:rPr>
      </w:pP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住房保障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（类）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住房改革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（款）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住房公积金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（项）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: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支出决算为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45.06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万元，完成预算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right" w:pos="8306"/>
        </w:tabs>
        <w:spacing w:line="600" w:lineRule="exact"/>
        <w:ind w:firstLine="640"/>
        <w:outlineLvl w:val="1"/>
        <w:rPr>
          <w:rStyle w:val="29"/>
        </w:rPr>
      </w:pPr>
      <w:bookmarkStart w:id="73" w:name="_Toc15396608"/>
      <w:bookmarkStart w:id="74" w:name="_Toc15377214"/>
      <w:bookmarkStart w:id="75" w:name="_Toc22458"/>
      <w:bookmarkStart w:id="76" w:name="_Toc6254"/>
      <w:r>
        <w:rPr>
          <w:rFonts w:hint="eastAsia" w:ascii="黑体" w:eastAsia="黑体"/>
          <w:sz w:val="32"/>
          <w:szCs w:val="32"/>
        </w:rPr>
        <w:t>六</w:t>
      </w:r>
      <w:r>
        <w:rPr>
          <w:rFonts w:hint="eastAsia" w:asci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Style w:val="29"/>
          <w:rFonts w:hint="eastAsia" w:ascii="黑体" w:hAnsi="黑体" w:eastAsia="黑体"/>
          <w:b w:val="0"/>
        </w:rPr>
        <w:t>般公共预算财政拨款基本支出决算情况说明</w:t>
      </w:r>
      <w:bookmarkEnd w:id="73"/>
      <w:bookmarkEnd w:id="74"/>
      <w:bookmarkEnd w:id="75"/>
      <w:bookmarkEnd w:id="76"/>
      <w:r>
        <w:rPr>
          <w:rStyle w:val="29"/>
          <w:rFonts w:ascii="黑体" w:hAnsi="黑体" w:eastAsia="黑体"/>
          <w:b w:val="0"/>
        </w:rPr>
        <w:tab/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22年一般公共预算财政拨款基本支出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967.99</w:t>
      </w:r>
      <w:r>
        <w:rPr>
          <w:rFonts w:hint="eastAsia" w:ascii="仿宋" w:hAnsi="仿宋" w:eastAsia="仿宋"/>
          <w:sz w:val="32"/>
          <w:szCs w:val="32"/>
        </w:rPr>
        <w:t>万元，其中：</w:t>
      </w:r>
    </w:p>
    <w:p>
      <w:pPr>
        <w:spacing w:line="600" w:lineRule="exact"/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811.49万元，</w:t>
      </w:r>
      <w:r>
        <w:rPr>
          <w:rFonts w:hint="eastAsia" w:ascii="仿宋" w:hAnsi="仿宋" w:eastAsia="仿宋"/>
          <w:sz w:val="32"/>
          <w:szCs w:val="32"/>
        </w:rPr>
        <w:t>主要包括：基本工资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津贴补贴、绩效工资、机关事业单位基本养老保险缴费、职工基本医疗保险缴费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其他社会保障缴费、医疗费补助、住房公积金、医疗费补助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其他工资福利支出等。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　　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156.49万元，</w:t>
      </w:r>
      <w:r>
        <w:rPr>
          <w:rFonts w:hint="eastAsia" w:ascii="仿宋" w:hAnsi="仿宋" w:eastAsia="仿宋"/>
          <w:sz w:val="32"/>
          <w:szCs w:val="32"/>
        </w:rPr>
        <w:t>主要包括：办公费、印刷费、水费、电费、邮电费、差旅费、维修（护）费、公务接待费、专用材料费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劳务费、福利费、其他交通费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、其他商品和服务支出等。</w:t>
      </w:r>
    </w:p>
    <w:p>
      <w:pPr>
        <w:spacing w:line="600" w:lineRule="exact"/>
        <w:ind w:firstLine="640"/>
        <w:outlineLvl w:val="1"/>
        <w:rPr>
          <w:rStyle w:val="29"/>
          <w:rFonts w:ascii="黑体" w:hAnsi="黑体" w:eastAsia="黑体"/>
          <w:b w:val="0"/>
        </w:rPr>
      </w:pPr>
      <w:bookmarkStart w:id="77" w:name="_Toc13420"/>
      <w:bookmarkStart w:id="78" w:name="_Toc13931"/>
      <w:bookmarkStart w:id="79" w:name="_Toc15377215"/>
      <w:bookmarkStart w:id="80" w:name="_Toc15396609"/>
      <w:r>
        <w:rPr>
          <w:rFonts w:hint="eastAsia" w:ascii="黑体" w:eastAsia="黑体"/>
          <w:sz w:val="32"/>
          <w:szCs w:val="32"/>
        </w:rPr>
        <w:t>七、</w:t>
      </w:r>
      <w:r>
        <w:rPr>
          <w:rStyle w:val="29"/>
          <w:rFonts w:hint="eastAsia" w:ascii="黑体" w:hAnsi="黑体" w:eastAsia="黑体"/>
          <w:b w:val="0"/>
        </w:rPr>
        <w:t>财政拨款</w:t>
      </w:r>
      <w:r>
        <w:rPr>
          <w:rStyle w:val="29"/>
          <w:rFonts w:hint="eastAsia" w:ascii="黑体" w:hAnsi="黑体" w:eastAsia="黑体"/>
        </w:rPr>
        <w:t>“</w:t>
      </w:r>
      <w:r>
        <w:rPr>
          <w:rStyle w:val="29"/>
          <w:rFonts w:hint="eastAsia" w:ascii="黑体" w:hAnsi="黑体" w:eastAsia="黑体"/>
          <w:b w:val="0"/>
        </w:rPr>
        <w:t>三公”经费支出决算情况说明</w:t>
      </w:r>
      <w:bookmarkEnd w:id="77"/>
      <w:bookmarkEnd w:id="78"/>
      <w:bookmarkEnd w:id="79"/>
      <w:bookmarkEnd w:id="80"/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sz w:val="32"/>
          <w:szCs w:val="32"/>
        </w:rPr>
      </w:pPr>
      <w:bookmarkStart w:id="81" w:name="_Toc5934"/>
      <w:bookmarkStart w:id="82" w:name="_Toc14907"/>
      <w:bookmarkStart w:id="83" w:name="_Toc15377216"/>
      <w:r>
        <w:rPr>
          <w:rFonts w:hint="eastAsia" w:ascii="仿宋" w:hAnsi="仿宋" w:eastAsia="仿宋"/>
          <w:b/>
          <w:sz w:val="32"/>
          <w:szCs w:val="32"/>
        </w:rPr>
        <w:t>（一）“三公”经费财政拨款支出决算总体情况说明</w:t>
      </w:r>
      <w:bookmarkEnd w:id="81"/>
      <w:bookmarkEnd w:id="82"/>
      <w:bookmarkEnd w:id="83"/>
    </w:p>
    <w:p>
      <w:pPr>
        <w:spacing w:line="600" w:lineRule="exact"/>
        <w:ind w:firstLine="64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ascii="仿宋" w:hAnsi="仿宋" w:eastAsia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22年“三公”经费财政拨款支出决算为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0.96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万元，完成预算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b w:val="0"/>
          <w:bCs w:val="0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201年本单位未单独填报决算，由系统统一填报部门决算，故无法对比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/>
        <w:outlineLvl w:val="2"/>
        <w:rPr>
          <w:rFonts w:ascii="仿宋" w:hAnsi="仿宋" w:eastAsia="仿宋"/>
          <w:b/>
          <w:sz w:val="32"/>
          <w:szCs w:val="32"/>
        </w:rPr>
      </w:pPr>
      <w:bookmarkStart w:id="84" w:name="_Toc15013"/>
      <w:bookmarkStart w:id="85" w:name="_Toc23638"/>
      <w:bookmarkStart w:id="86" w:name="_Toc15377217"/>
      <w:r>
        <w:rPr>
          <w:rFonts w:hint="eastAsia" w:ascii="仿宋" w:hAnsi="仿宋" w:eastAsia="仿宋"/>
          <w:b/>
          <w:sz w:val="32"/>
          <w:szCs w:val="32"/>
        </w:rPr>
        <w:t>（二）“三公”经费财政拨款支出决算具体情况说明</w:t>
      </w:r>
      <w:bookmarkEnd w:id="84"/>
      <w:bookmarkEnd w:id="85"/>
      <w:bookmarkEnd w:id="86"/>
    </w:p>
    <w:p>
      <w:pPr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22年“三公”经费财政拨款支出决算中，因公出国（境）费支出决算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；公务用车购置及运行维护费支出决算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；公务接待费支出决算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0.96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。具体情况如下：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drawing>
          <wp:inline distT="0" distB="0" distL="114300" distR="114300">
            <wp:extent cx="4567555" cy="2695575"/>
            <wp:effectExtent l="4445" t="4445" r="9525" b="5080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因公出国（境）经费支出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全年安排因公出国（境）团组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次，出国（境）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人。因公出国（境）支出决算比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21年增加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公务用车购置及运行维护费支出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万元,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公务用车购置及运行维护费支出决算比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21年增加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b/>
          <w:sz w:val="32"/>
          <w:szCs w:val="32"/>
        </w:rPr>
        <w:t>公务用车购置支出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万元。全年按规定更新购置公务用车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辆，其中：轿车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万元，越野车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万元，载客汽车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万元，主要用于…。截至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月底，单位共有公务用车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辆，其中：轿车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辆、越野车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辆、载客汽车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公务用车运行维护费支出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万元。主要用于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hint="eastAsia" w:ascii="仿宋_GB2312" w:eastAsia="仿宋_GB2312"/>
          <w:sz w:val="32"/>
          <w:szCs w:val="32"/>
        </w:rPr>
        <w:t>（具体工作）等所需的公务用车燃料费、维修费、过路过桥费、保险费等支出。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Style w:val="18"/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公务接待费支出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完成预算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100</w:t>
      </w:r>
      <w:r>
        <w:rPr>
          <w:rStyle w:val="18"/>
          <w:rFonts w:ascii="仿宋" w:hAnsi="仿宋" w:eastAsia="仿宋"/>
          <w:b w:val="0"/>
          <w:bCs/>
          <w:sz w:val="32"/>
          <w:szCs w:val="32"/>
        </w:rPr>
        <w:t>%</w:t>
      </w:r>
      <w:r>
        <w:rPr>
          <w:rStyle w:val="18"/>
          <w:rFonts w:hint="eastAsia" w:ascii="仿宋" w:hAnsi="仿宋" w:eastAsia="仿宋"/>
          <w:b w:val="0"/>
          <w:bCs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b/>
          <w:sz w:val="32"/>
          <w:szCs w:val="32"/>
        </w:rPr>
        <w:t>国内公务接待支出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0.96</w:t>
      </w:r>
      <w:r>
        <w:rPr>
          <w:rFonts w:hint="eastAsia" w:ascii="仿宋_GB2312" w:eastAsia="仿宋_GB2312"/>
          <w:sz w:val="32"/>
          <w:szCs w:val="32"/>
        </w:rPr>
        <w:t>万元，主要用于开展业务活动开支的住宿费、用餐费等。国内公务接待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</w:t>
      </w:r>
      <w:r>
        <w:rPr>
          <w:rFonts w:hint="eastAsia" w:ascii="仿宋_GB2312" w:eastAsia="仿宋_GB2312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0.96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600" w:lineRule="exact"/>
        <w:ind w:firstLine="642" w:firstLineChars="200"/>
        <w:rPr>
          <w:rFonts w:asci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外事接待支出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万元。外事接待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  <w:bookmarkStart w:id="87" w:name="_Toc15396610"/>
      <w:bookmarkStart w:id="88" w:name="_Toc15377218"/>
    </w:p>
    <w:p>
      <w:pPr>
        <w:spacing w:line="600" w:lineRule="exact"/>
        <w:ind w:firstLine="640"/>
        <w:outlineLvl w:val="1"/>
        <w:rPr>
          <w:rStyle w:val="29"/>
          <w:rFonts w:ascii="黑体" w:hAnsi="黑体" w:eastAsia="黑体"/>
        </w:rPr>
      </w:pPr>
      <w:bookmarkStart w:id="89" w:name="_Toc23861"/>
      <w:bookmarkStart w:id="90" w:name="_Toc1489"/>
      <w:r>
        <w:rPr>
          <w:rFonts w:hint="eastAsia" w:ascii="黑体" w:eastAsia="黑体"/>
          <w:sz w:val="32"/>
          <w:szCs w:val="32"/>
        </w:rPr>
        <w:t>八、</w:t>
      </w:r>
      <w:r>
        <w:rPr>
          <w:rStyle w:val="29"/>
          <w:rFonts w:hint="eastAsia" w:ascii="黑体" w:hAnsi="黑体" w:eastAsia="黑体"/>
          <w:b w:val="0"/>
        </w:rPr>
        <w:t>政府性基金预算支出决算情况说明</w:t>
      </w:r>
      <w:bookmarkEnd w:id="87"/>
      <w:bookmarkEnd w:id="88"/>
      <w:bookmarkEnd w:id="89"/>
      <w:bookmarkEnd w:id="90"/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22年政府性基金预算财政拨款支出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600" w:lineRule="exact"/>
        <w:ind w:firstLine="640"/>
        <w:outlineLvl w:val="1"/>
        <w:rPr>
          <w:rStyle w:val="29"/>
          <w:rFonts w:ascii="黑体" w:hAnsi="黑体" w:eastAsia="黑体"/>
          <w:b w:val="0"/>
        </w:rPr>
      </w:pPr>
      <w:bookmarkStart w:id="91" w:name="_Toc15396611"/>
      <w:bookmarkStart w:id="92" w:name="_Toc15895"/>
      <w:bookmarkStart w:id="93" w:name="_Toc20648"/>
      <w:bookmarkStart w:id="94" w:name="_Toc15377219"/>
      <w:r>
        <w:rPr>
          <w:rStyle w:val="29"/>
          <w:rFonts w:hint="eastAsia" w:ascii="黑体" w:hAnsi="黑体" w:eastAsia="黑体"/>
          <w:b w:val="0"/>
        </w:rPr>
        <w:t>国有资本经营预算支出决算情况说明</w:t>
      </w:r>
      <w:bookmarkEnd w:id="91"/>
      <w:bookmarkEnd w:id="92"/>
      <w:bookmarkEnd w:id="93"/>
      <w:bookmarkEnd w:id="94"/>
    </w:p>
    <w:p>
      <w:pPr>
        <w:spacing w:line="600" w:lineRule="exact"/>
        <w:ind w:firstLine="64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22年国有资本经营预算财政拨款支出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spacing w:line="600" w:lineRule="exact"/>
        <w:ind w:firstLine="640"/>
        <w:outlineLvl w:val="1"/>
        <w:rPr>
          <w:rStyle w:val="29"/>
          <w:rFonts w:ascii="黑体" w:hAnsi="黑体" w:eastAsia="黑体"/>
          <w:b w:val="0"/>
        </w:rPr>
      </w:pPr>
      <w:bookmarkStart w:id="95" w:name="_Toc15396612"/>
      <w:bookmarkStart w:id="96" w:name="_Toc15377221"/>
      <w:bookmarkStart w:id="97" w:name="_Toc13168"/>
      <w:bookmarkStart w:id="98" w:name="_Toc30271"/>
      <w:r>
        <w:rPr>
          <w:rStyle w:val="29"/>
          <w:rFonts w:hint="eastAsia" w:ascii="黑体" w:hAnsi="黑体" w:eastAsia="黑体"/>
          <w:b w:val="0"/>
        </w:rPr>
        <w:t>其他重要事项的情况说明</w:t>
      </w:r>
      <w:bookmarkEnd w:id="95"/>
      <w:bookmarkEnd w:id="96"/>
      <w:bookmarkEnd w:id="97"/>
      <w:bookmarkEnd w:id="98"/>
    </w:p>
    <w:p>
      <w:pPr>
        <w:spacing w:line="600" w:lineRule="exact"/>
        <w:ind w:firstLine="642" w:firstLineChars="200"/>
        <w:outlineLvl w:val="2"/>
        <w:rPr>
          <w:rFonts w:ascii="仿宋" w:hAnsi="仿宋" w:eastAsia="仿宋"/>
          <w:sz w:val="32"/>
          <w:szCs w:val="32"/>
        </w:rPr>
      </w:pPr>
      <w:bookmarkStart w:id="99" w:name="_Toc8018"/>
      <w:bookmarkStart w:id="100" w:name="_Toc30298"/>
      <w:bookmarkStart w:id="101" w:name="_Toc15377222"/>
      <w:r>
        <w:rPr>
          <w:rFonts w:hint="eastAsia" w:ascii="仿宋" w:hAnsi="仿宋" w:eastAsia="仿宋"/>
          <w:b/>
          <w:sz w:val="32"/>
          <w:szCs w:val="32"/>
        </w:rPr>
        <w:t>（一）机关运行经费支出情况</w:t>
      </w:r>
      <w:bookmarkEnd w:id="99"/>
      <w:bookmarkEnd w:id="100"/>
      <w:bookmarkEnd w:id="101"/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剑阁县下寺镇中心卫生院</w:t>
      </w:r>
      <w:r>
        <w:rPr>
          <w:rFonts w:hint="eastAsia" w:ascii="仿宋_GB2312" w:eastAsia="仿宋_GB2312"/>
          <w:sz w:val="32"/>
          <w:szCs w:val="32"/>
        </w:rPr>
        <w:t>机关运行经费支出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21年增加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万元，增长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102" w:name="_Toc4609"/>
      <w:bookmarkStart w:id="103" w:name="_Toc17386"/>
      <w:bookmarkStart w:id="104" w:name="_Toc15377223"/>
      <w:r>
        <w:rPr>
          <w:rFonts w:hint="eastAsia" w:ascii="仿宋" w:hAnsi="仿宋" w:eastAsia="仿宋"/>
          <w:b/>
          <w:sz w:val="32"/>
          <w:szCs w:val="32"/>
        </w:rPr>
        <w:t>（二）政府采购支出情况</w:t>
      </w:r>
      <w:bookmarkEnd w:id="102"/>
      <w:bookmarkEnd w:id="103"/>
      <w:bookmarkEnd w:id="104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剑阁县下寺镇中心卫生院</w:t>
      </w:r>
      <w:r>
        <w:rPr>
          <w:rFonts w:hint="eastAsia" w:ascii="仿宋_GB2312" w:eastAsia="仿宋_GB2312"/>
          <w:sz w:val="32"/>
          <w:szCs w:val="32"/>
        </w:rPr>
        <w:t>政府采购支出总额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万元，其中：政府采购货物支出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万元、政府采购工程支出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万元。授予中小企业合同金额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，其中：授予小微企业合同金额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万元，占政府采购支出总额的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105" w:name="_Toc15377224"/>
      <w:bookmarkStart w:id="106" w:name="_Toc23234"/>
      <w:bookmarkStart w:id="107" w:name="_Toc32239"/>
      <w:r>
        <w:rPr>
          <w:rFonts w:hint="eastAsia" w:ascii="仿宋" w:hAnsi="仿宋" w:eastAsia="仿宋"/>
          <w:b/>
          <w:sz w:val="32"/>
          <w:szCs w:val="32"/>
        </w:rPr>
        <w:t>（三）国有资产占有使用情况</w:t>
      </w:r>
      <w:bookmarkEnd w:id="105"/>
      <w:bookmarkEnd w:id="106"/>
      <w:bookmarkEnd w:id="107"/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22年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剑阁县下寺镇中心卫生院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辆，其中：主要领导干部用车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辆、机要通信用车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辆、应急保障用车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辆，其他用车主要是用于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医疗救护，疫苗接种及公卫下乡体检</w:t>
      </w:r>
      <w:r>
        <w:rPr>
          <w:rFonts w:hint="eastAsia" w:ascii="仿宋_GB2312" w:eastAsia="仿宋_GB2312"/>
          <w:sz w:val="32"/>
          <w:szCs w:val="32"/>
        </w:rPr>
        <w:t>。单价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autoSpaceDE w:val="0"/>
        <w:autoSpaceDN w:val="0"/>
        <w:adjustRightInd w:val="0"/>
        <w:spacing w:line="600" w:lineRule="exact"/>
        <w:ind w:firstLine="642" w:firstLineChars="200"/>
        <w:jc w:val="left"/>
        <w:outlineLvl w:val="2"/>
        <w:rPr>
          <w:rFonts w:ascii="仿宋" w:hAnsi="仿宋" w:eastAsia="仿宋"/>
          <w:b/>
          <w:sz w:val="32"/>
          <w:szCs w:val="32"/>
        </w:rPr>
      </w:pPr>
      <w:bookmarkStart w:id="108" w:name="_Toc1322"/>
      <w:bookmarkStart w:id="109" w:name="_Toc4182"/>
      <w:r>
        <w:rPr>
          <w:rFonts w:hint="eastAsia" w:ascii="仿宋" w:hAnsi="仿宋" w:eastAsia="仿宋"/>
          <w:b/>
          <w:sz w:val="32"/>
          <w:szCs w:val="32"/>
        </w:rPr>
        <w:t>（四）预算绩效管理情况</w:t>
      </w:r>
      <w:bookmarkEnd w:id="108"/>
      <w:bookmarkEnd w:id="109"/>
    </w:p>
    <w:p>
      <w:pPr>
        <w:pStyle w:val="7"/>
        <w:spacing w:before="93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根据预算绩效管理要求，本单位在2022年度预算编制阶段，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hAnsi="仿宋_GB2312" w:cs="仿宋_GB2312"/>
          <w:sz w:val="32"/>
          <w:szCs w:val="32"/>
          <w:lang w:val="en-US" w:eastAsia="zh-CN"/>
        </w:rPr>
        <w:t>基本公卫服务、村卫生室补助、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医疗机构业务运</w:t>
      </w:r>
      <w:r>
        <w:rPr>
          <w:rFonts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行（运转）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“院对院”结对</w:t>
      </w:r>
      <w:r>
        <w:rPr>
          <w:rFonts w:hint="eastAsia" w:hAnsi="仿宋_GB2312" w:cs="仿宋_GB2312"/>
          <w:sz w:val="32"/>
          <w:szCs w:val="32"/>
        </w:rPr>
        <w:t>等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个项目开展了预算事前绩效评估，对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个项目编制了绩效目标，预算执行过程中，选取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个项目开展绩效监控，组织对</w:t>
      </w:r>
      <w:r>
        <w:rPr>
          <w:rFonts w:hint="eastAsia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hAnsi="仿宋_GB2312" w:cs="仿宋_GB2312"/>
          <w:sz w:val="32"/>
          <w:szCs w:val="32"/>
        </w:rPr>
        <w:t>个项目开展绩效自评，绩效自评表详见第四部分附件。</w:t>
      </w:r>
      <w:r>
        <w:rPr>
          <w:rFonts w:ascii="仿宋_GB2312" w:eastAsia="仿宋_GB2312"/>
          <w:b/>
          <w:sz w:val="32"/>
          <w:szCs w:val="32"/>
        </w:rPr>
        <w:br w:type="page"/>
      </w:r>
    </w:p>
    <w:p>
      <w:pPr>
        <w:numPr>
          <w:ilvl w:val="0"/>
          <w:numId w:val="4"/>
        </w:numPr>
        <w:spacing w:line="600" w:lineRule="exact"/>
        <w:ind w:firstLine="660" w:firstLineChars="150"/>
        <w:jc w:val="center"/>
        <w:outlineLvl w:val="0"/>
        <w:rPr>
          <w:rStyle w:val="28"/>
          <w:rFonts w:ascii="黑体" w:hAnsi="黑体" w:eastAsia="黑体"/>
          <w:b w:val="0"/>
        </w:rPr>
      </w:pPr>
      <w:bookmarkStart w:id="110" w:name="_Toc2561"/>
      <w:bookmarkStart w:id="111" w:name="_Toc15396613"/>
      <w:bookmarkStart w:id="112" w:name="_Toc2458"/>
      <w:bookmarkStart w:id="113" w:name="_Toc15377225"/>
      <w:r>
        <w:rPr>
          <w:rFonts w:hint="eastAsia" w:ascii="黑体" w:hAnsi="黑体" w:eastAsia="黑体"/>
          <w:sz w:val="44"/>
          <w:szCs w:val="44"/>
        </w:rPr>
        <w:t>名</w:t>
      </w:r>
      <w:r>
        <w:rPr>
          <w:rStyle w:val="28"/>
          <w:rFonts w:hint="eastAsia" w:ascii="黑体" w:hAnsi="黑体" w:eastAsia="黑体"/>
          <w:b w:val="0"/>
        </w:rPr>
        <w:t>词解释</w:t>
      </w:r>
      <w:bookmarkEnd w:id="110"/>
      <w:bookmarkEnd w:id="111"/>
      <w:bookmarkEnd w:id="112"/>
      <w:bookmarkEnd w:id="113"/>
    </w:p>
    <w:p>
      <w:pPr>
        <w:spacing w:line="600" w:lineRule="exact"/>
        <w:jc w:val="left"/>
        <w:rPr>
          <w:rFonts w:ascii="宋体"/>
          <w:b/>
          <w:sz w:val="44"/>
          <w:szCs w:val="44"/>
        </w:rPr>
      </w:pPr>
    </w:p>
    <w:p>
      <w:pPr>
        <w:pStyle w:val="26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财政拨款收入：指单位从同级财政部门取得的财政预算资金。</w:t>
      </w:r>
    </w:p>
    <w:p>
      <w:pPr>
        <w:pStyle w:val="26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事业收入：指事业单位开展专业业务活动及辅助活动取得的收入。</w:t>
      </w:r>
    </w:p>
    <w:p>
      <w:pPr>
        <w:pStyle w:val="26"/>
        <w:spacing w:line="560" w:lineRule="exact"/>
        <w:ind w:left="638" w:leftChars="304" w:firstLine="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其他收入：指单位取得的除上述收入以外的各项收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入。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社会保障和就业（类）行政事业单位离退休（款）机关事业单位基本养老保险缴费支出（项）：指部门实施养老保险制度由单位缴纳的养老保险费的支出。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卫生健康（类）行政事业单位医疗（款）事业单位医疗（项）：指事业单位用于缴纳单位基本医疗保险支出。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住房保障（类）住房改革支出（款）住房公积金（项）：指按照《住房公积金管理条例》的规定，由单位及其在职职工缴存的长期住房储金。</w:t>
      </w:r>
    </w:p>
    <w:p>
      <w:pPr>
        <w:pStyle w:val="1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卫生健康支出（类）公共卫生（款）基本公共卫生服务（项）：指基层医疗机构提供基本公共卫生服务支出。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卫生健康支出（类）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基层医疗机构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（款）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乡镇卫生院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（项）：指基层医疗机构提供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医疗服务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支出。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卫生健康支出（类）基层医疗卫生机构（款）其他基层医疗卫生机构支出（项）：指基层医疗机构村卫生室补助支出。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基本支出：指为保障机构正常运转、完成日常工作任务而发生的人员支出和公用支出。</w:t>
      </w:r>
    </w:p>
    <w:p>
      <w:pPr>
        <w:pStyle w:val="26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“三公”经费：指单位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6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00" w:lineRule="exact"/>
        <w:jc w:val="both"/>
        <w:outlineLvl w:val="0"/>
        <w:rPr>
          <w:rFonts w:hint="eastAsia" w:ascii="黑体" w:hAnsi="黑体" w:eastAsia="黑体"/>
          <w:sz w:val="44"/>
          <w:szCs w:val="44"/>
        </w:rPr>
      </w:pPr>
      <w:bookmarkStart w:id="114" w:name="_Toc15396618"/>
      <w:bookmarkStart w:id="115" w:name="_Toc15377226"/>
    </w:p>
    <w:p>
      <w:pPr>
        <w:spacing w:line="600" w:lineRule="exact"/>
        <w:jc w:val="both"/>
        <w:outlineLvl w:val="0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outlineLvl w:val="0"/>
        <w:rPr>
          <w:rFonts w:ascii="仿宋" w:hAnsi="仿宋" w:eastAsia="仿宋"/>
        </w:rPr>
      </w:pPr>
      <w:bookmarkStart w:id="116" w:name="_Toc15906"/>
      <w:bookmarkStart w:id="117" w:name="_Toc30886"/>
      <w:r>
        <w:rPr>
          <w:rFonts w:hint="eastAsia" w:ascii="黑体" w:hAnsi="黑体" w:eastAsia="黑体"/>
          <w:sz w:val="44"/>
          <w:szCs w:val="44"/>
        </w:rPr>
        <w:t>第</w:t>
      </w:r>
      <w:r>
        <w:rPr>
          <w:rStyle w:val="28"/>
          <w:rFonts w:hint="eastAsia" w:ascii="黑体" w:hAnsi="黑体" w:eastAsia="黑体"/>
          <w:b w:val="0"/>
        </w:rPr>
        <w:t>五部分 附表</w:t>
      </w:r>
      <w:bookmarkEnd w:id="114"/>
      <w:bookmarkEnd w:id="115"/>
      <w:bookmarkEnd w:id="116"/>
      <w:bookmarkEnd w:id="117"/>
      <w:bookmarkStart w:id="118" w:name="_Toc15396619"/>
    </w:p>
    <w:p>
      <w:pPr>
        <w:pStyle w:val="5"/>
        <w:rPr>
          <w:rFonts w:ascii="仿宋" w:hAnsi="仿宋" w:eastAsia="仿宋"/>
        </w:rPr>
      </w:pPr>
      <w:bookmarkStart w:id="119" w:name="_Toc18450"/>
      <w:bookmarkStart w:id="120" w:name="_Toc12730"/>
      <w:r>
        <w:rPr>
          <w:rFonts w:hint="eastAsia" w:ascii="仿宋" w:hAnsi="仿宋" w:eastAsia="仿宋"/>
          <w:b w:val="0"/>
        </w:rPr>
        <w:t>一、收</w:t>
      </w:r>
      <w:r>
        <w:rPr>
          <w:rStyle w:val="29"/>
          <w:rFonts w:hint="eastAsia" w:ascii="仿宋" w:hAnsi="仿宋" w:eastAsia="仿宋"/>
          <w:b w:val="0"/>
          <w:bCs w:val="0"/>
        </w:rPr>
        <w:t>入支出决算总表</w:t>
      </w:r>
      <w:bookmarkEnd w:id="118"/>
      <w:bookmarkEnd w:id="119"/>
      <w:bookmarkEnd w:id="120"/>
    </w:p>
    <w:p>
      <w:pPr>
        <w:pStyle w:val="5"/>
        <w:rPr>
          <w:rFonts w:ascii="仿宋" w:hAnsi="仿宋" w:eastAsia="仿宋"/>
        </w:rPr>
      </w:pPr>
      <w:bookmarkStart w:id="121" w:name="_Toc1779"/>
      <w:bookmarkStart w:id="122" w:name="_Toc15396620"/>
      <w:bookmarkStart w:id="123" w:name="_Toc25061"/>
      <w:r>
        <w:rPr>
          <w:rFonts w:hint="eastAsia" w:ascii="仿宋" w:hAnsi="仿宋" w:eastAsia="仿宋"/>
          <w:b w:val="0"/>
        </w:rPr>
        <w:t>二、收</w:t>
      </w:r>
      <w:r>
        <w:rPr>
          <w:rStyle w:val="29"/>
          <w:rFonts w:hint="eastAsia" w:ascii="仿宋" w:hAnsi="仿宋" w:eastAsia="仿宋"/>
          <w:b w:val="0"/>
          <w:bCs w:val="0"/>
        </w:rPr>
        <w:t>入决算表</w:t>
      </w:r>
      <w:bookmarkEnd w:id="121"/>
      <w:bookmarkEnd w:id="122"/>
      <w:bookmarkEnd w:id="123"/>
    </w:p>
    <w:p>
      <w:pPr>
        <w:pStyle w:val="5"/>
        <w:rPr>
          <w:rFonts w:ascii="仿宋" w:hAnsi="仿宋" w:eastAsia="仿宋"/>
        </w:rPr>
      </w:pPr>
      <w:bookmarkStart w:id="124" w:name="_Toc26874"/>
      <w:bookmarkStart w:id="125" w:name="_Toc5201"/>
      <w:bookmarkStart w:id="126" w:name="_Toc15396621"/>
      <w:r>
        <w:rPr>
          <w:rStyle w:val="29"/>
          <w:rFonts w:hint="eastAsia" w:ascii="仿宋" w:hAnsi="仿宋" w:eastAsia="仿宋"/>
          <w:b w:val="0"/>
          <w:bCs w:val="0"/>
        </w:rPr>
        <w:t>三、</w:t>
      </w:r>
      <w:r>
        <w:rPr>
          <w:rFonts w:hint="eastAsia" w:ascii="仿宋" w:hAnsi="仿宋" w:eastAsia="仿宋"/>
          <w:b w:val="0"/>
        </w:rPr>
        <w:t>支</w:t>
      </w:r>
      <w:r>
        <w:rPr>
          <w:rStyle w:val="29"/>
          <w:rFonts w:hint="eastAsia" w:ascii="仿宋" w:hAnsi="仿宋" w:eastAsia="仿宋"/>
          <w:b w:val="0"/>
          <w:bCs w:val="0"/>
        </w:rPr>
        <w:t>出决算表</w:t>
      </w:r>
      <w:bookmarkEnd w:id="124"/>
      <w:bookmarkEnd w:id="125"/>
      <w:bookmarkEnd w:id="126"/>
    </w:p>
    <w:p>
      <w:pPr>
        <w:pStyle w:val="5"/>
        <w:rPr>
          <w:rFonts w:ascii="仿宋" w:hAnsi="仿宋" w:eastAsia="仿宋"/>
          <w:b w:val="0"/>
        </w:rPr>
      </w:pPr>
      <w:bookmarkStart w:id="127" w:name="_Toc9131"/>
      <w:bookmarkStart w:id="128" w:name="_Toc15396622"/>
      <w:bookmarkStart w:id="129" w:name="_Toc23016"/>
      <w:r>
        <w:rPr>
          <w:rStyle w:val="29"/>
          <w:rFonts w:hint="eastAsia" w:ascii="仿宋" w:hAnsi="仿宋" w:eastAsia="仿宋"/>
          <w:b w:val="0"/>
          <w:bCs w:val="0"/>
        </w:rPr>
        <w:t>四、</w:t>
      </w:r>
      <w:r>
        <w:rPr>
          <w:rFonts w:hint="eastAsia" w:ascii="仿宋" w:hAnsi="仿宋" w:eastAsia="仿宋"/>
          <w:b w:val="0"/>
        </w:rPr>
        <w:t>财</w:t>
      </w:r>
      <w:r>
        <w:rPr>
          <w:rStyle w:val="29"/>
          <w:rFonts w:hint="eastAsia" w:ascii="仿宋" w:hAnsi="仿宋" w:eastAsia="仿宋"/>
          <w:b w:val="0"/>
          <w:bCs w:val="0"/>
        </w:rPr>
        <w:t>政拨款收入支出决算总表</w:t>
      </w:r>
      <w:bookmarkEnd w:id="127"/>
      <w:bookmarkEnd w:id="128"/>
      <w:bookmarkEnd w:id="129"/>
    </w:p>
    <w:p>
      <w:pPr>
        <w:pStyle w:val="5"/>
        <w:rPr>
          <w:rStyle w:val="29"/>
          <w:rFonts w:ascii="仿宋" w:hAnsi="仿宋" w:eastAsia="仿宋"/>
          <w:b w:val="0"/>
          <w:bCs w:val="0"/>
        </w:rPr>
      </w:pPr>
      <w:bookmarkStart w:id="130" w:name="_Toc7419"/>
      <w:bookmarkStart w:id="131" w:name="_Toc15396623"/>
      <w:bookmarkStart w:id="132" w:name="_Toc32700"/>
      <w:r>
        <w:rPr>
          <w:rStyle w:val="29"/>
          <w:rFonts w:hint="eastAsia" w:ascii="仿宋" w:hAnsi="仿宋" w:eastAsia="仿宋"/>
          <w:b w:val="0"/>
          <w:bCs w:val="0"/>
        </w:rPr>
        <w:t>五、</w:t>
      </w:r>
      <w:r>
        <w:rPr>
          <w:rFonts w:hint="eastAsia" w:ascii="仿宋" w:hAnsi="仿宋" w:eastAsia="仿宋"/>
          <w:b w:val="0"/>
        </w:rPr>
        <w:t>财</w:t>
      </w:r>
      <w:r>
        <w:rPr>
          <w:rStyle w:val="29"/>
          <w:rFonts w:hint="eastAsia" w:ascii="仿宋" w:hAnsi="仿宋" w:eastAsia="仿宋"/>
          <w:b w:val="0"/>
          <w:bCs w:val="0"/>
        </w:rPr>
        <w:t>政拨款支出决算明细表</w:t>
      </w:r>
      <w:bookmarkEnd w:id="130"/>
      <w:bookmarkEnd w:id="131"/>
      <w:bookmarkEnd w:id="132"/>
      <w:bookmarkStart w:id="133" w:name="_Toc15396624"/>
    </w:p>
    <w:p>
      <w:pPr>
        <w:pStyle w:val="5"/>
        <w:rPr>
          <w:rFonts w:ascii="仿宋" w:hAnsi="仿宋" w:eastAsia="仿宋"/>
        </w:rPr>
      </w:pPr>
      <w:bookmarkStart w:id="134" w:name="_Toc16744"/>
      <w:bookmarkStart w:id="135" w:name="_Toc4937"/>
      <w:r>
        <w:rPr>
          <w:rStyle w:val="29"/>
          <w:rFonts w:hint="eastAsia" w:ascii="仿宋" w:hAnsi="仿宋" w:eastAsia="仿宋"/>
          <w:b w:val="0"/>
          <w:bCs w:val="0"/>
        </w:rPr>
        <w:t>六、</w:t>
      </w:r>
      <w:r>
        <w:rPr>
          <w:rFonts w:hint="eastAsia" w:ascii="仿宋" w:hAnsi="仿宋" w:eastAsia="仿宋"/>
          <w:b w:val="0"/>
        </w:rPr>
        <w:t>一</w:t>
      </w:r>
      <w:r>
        <w:rPr>
          <w:rStyle w:val="29"/>
          <w:rFonts w:hint="eastAsia" w:ascii="仿宋" w:hAnsi="仿宋" w:eastAsia="仿宋"/>
          <w:b w:val="0"/>
          <w:bCs w:val="0"/>
        </w:rPr>
        <w:t>般公共预算财政拨款支出决算表</w:t>
      </w:r>
      <w:bookmarkEnd w:id="133"/>
      <w:bookmarkEnd w:id="134"/>
      <w:bookmarkEnd w:id="135"/>
    </w:p>
    <w:p>
      <w:pPr>
        <w:pStyle w:val="5"/>
        <w:rPr>
          <w:rFonts w:ascii="仿宋" w:hAnsi="仿宋" w:eastAsia="仿宋"/>
        </w:rPr>
      </w:pPr>
      <w:bookmarkStart w:id="136" w:name="_Toc15572"/>
      <w:bookmarkStart w:id="137" w:name="_Toc15396625"/>
      <w:bookmarkStart w:id="138" w:name="_Toc20382"/>
      <w:r>
        <w:rPr>
          <w:rStyle w:val="29"/>
          <w:rFonts w:hint="eastAsia" w:ascii="仿宋" w:hAnsi="仿宋" w:eastAsia="仿宋"/>
          <w:b w:val="0"/>
          <w:bCs w:val="0"/>
        </w:rPr>
        <w:t>七、</w:t>
      </w:r>
      <w:r>
        <w:rPr>
          <w:rFonts w:hint="eastAsia" w:ascii="仿宋" w:hAnsi="仿宋" w:eastAsia="仿宋"/>
          <w:b w:val="0"/>
        </w:rPr>
        <w:t>一</w:t>
      </w:r>
      <w:r>
        <w:rPr>
          <w:rStyle w:val="29"/>
          <w:rFonts w:hint="eastAsia" w:ascii="仿宋" w:hAnsi="仿宋" w:eastAsia="仿宋"/>
          <w:b w:val="0"/>
          <w:bCs w:val="0"/>
        </w:rPr>
        <w:t>般公共预算财政拨款支出决算明细表</w:t>
      </w:r>
      <w:bookmarkEnd w:id="136"/>
      <w:bookmarkEnd w:id="137"/>
      <w:bookmarkEnd w:id="138"/>
    </w:p>
    <w:p>
      <w:pPr>
        <w:pStyle w:val="5"/>
        <w:rPr>
          <w:rFonts w:ascii="仿宋" w:hAnsi="仿宋" w:eastAsia="仿宋"/>
        </w:rPr>
      </w:pPr>
      <w:bookmarkStart w:id="139" w:name="_Toc15396626"/>
      <w:bookmarkStart w:id="140" w:name="_Toc9526"/>
      <w:bookmarkStart w:id="141" w:name="_Toc16723"/>
      <w:r>
        <w:rPr>
          <w:rStyle w:val="29"/>
          <w:rFonts w:hint="eastAsia" w:ascii="仿宋" w:hAnsi="仿宋" w:eastAsia="仿宋"/>
          <w:b w:val="0"/>
          <w:bCs w:val="0"/>
        </w:rPr>
        <w:t>八、</w:t>
      </w:r>
      <w:r>
        <w:rPr>
          <w:rFonts w:hint="eastAsia" w:ascii="仿宋" w:hAnsi="仿宋" w:eastAsia="仿宋"/>
          <w:b w:val="0"/>
        </w:rPr>
        <w:t>一</w:t>
      </w:r>
      <w:r>
        <w:rPr>
          <w:rStyle w:val="29"/>
          <w:rFonts w:hint="eastAsia" w:ascii="仿宋" w:hAnsi="仿宋" w:eastAsia="仿宋"/>
          <w:b w:val="0"/>
          <w:bCs w:val="0"/>
        </w:rPr>
        <w:t>般公共预算财政拨款基本支出决算表</w:t>
      </w:r>
      <w:bookmarkEnd w:id="139"/>
      <w:bookmarkEnd w:id="140"/>
      <w:bookmarkEnd w:id="141"/>
    </w:p>
    <w:p>
      <w:pPr>
        <w:pStyle w:val="5"/>
        <w:rPr>
          <w:rFonts w:ascii="仿宋" w:hAnsi="仿宋" w:eastAsia="仿宋"/>
        </w:rPr>
      </w:pPr>
      <w:bookmarkStart w:id="142" w:name="_Toc2995"/>
      <w:bookmarkStart w:id="143" w:name="_Toc15396627"/>
      <w:bookmarkStart w:id="144" w:name="_Toc26468"/>
      <w:r>
        <w:rPr>
          <w:rStyle w:val="29"/>
          <w:rFonts w:hint="eastAsia" w:ascii="仿宋" w:hAnsi="仿宋" w:eastAsia="仿宋"/>
          <w:b w:val="0"/>
          <w:bCs w:val="0"/>
        </w:rPr>
        <w:t>九、</w:t>
      </w:r>
      <w:r>
        <w:rPr>
          <w:rFonts w:hint="eastAsia" w:ascii="仿宋" w:hAnsi="仿宋" w:eastAsia="仿宋"/>
          <w:b w:val="0"/>
        </w:rPr>
        <w:t>一</w:t>
      </w:r>
      <w:r>
        <w:rPr>
          <w:rStyle w:val="29"/>
          <w:rFonts w:hint="eastAsia" w:ascii="仿宋" w:hAnsi="仿宋" w:eastAsia="仿宋"/>
          <w:b w:val="0"/>
          <w:bCs w:val="0"/>
        </w:rPr>
        <w:t>般公共预算财政拨款项目支出决算表</w:t>
      </w:r>
      <w:bookmarkEnd w:id="142"/>
      <w:bookmarkEnd w:id="143"/>
      <w:bookmarkEnd w:id="144"/>
    </w:p>
    <w:p>
      <w:pPr>
        <w:pStyle w:val="5"/>
        <w:rPr>
          <w:rFonts w:ascii="仿宋" w:hAnsi="仿宋" w:eastAsia="仿宋"/>
        </w:rPr>
      </w:pPr>
      <w:bookmarkStart w:id="145" w:name="_Toc15396628"/>
      <w:bookmarkStart w:id="146" w:name="_Toc30136"/>
      <w:bookmarkStart w:id="147" w:name="_Toc10910"/>
      <w:r>
        <w:rPr>
          <w:rStyle w:val="29"/>
          <w:rFonts w:hint="eastAsia" w:ascii="仿宋" w:hAnsi="仿宋" w:eastAsia="仿宋"/>
          <w:b w:val="0"/>
          <w:bCs w:val="0"/>
        </w:rPr>
        <w:t>十、</w:t>
      </w:r>
      <w:bookmarkEnd w:id="145"/>
      <w:r>
        <w:rPr>
          <w:rFonts w:hint="eastAsia" w:ascii="仿宋" w:hAnsi="仿宋" w:eastAsia="仿宋"/>
          <w:b w:val="0"/>
        </w:rPr>
        <w:t>政</w:t>
      </w:r>
      <w:r>
        <w:rPr>
          <w:rStyle w:val="29"/>
          <w:rFonts w:hint="eastAsia" w:ascii="仿宋" w:hAnsi="仿宋" w:eastAsia="仿宋"/>
          <w:b w:val="0"/>
          <w:bCs w:val="0"/>
        </w:rPr>
        <w:t>府性基金预算财政拨款收入支出决算表</w:t>
      </w:r>
      <w:bookmarkEnd w:id="146"/>
      <w:bookmarkEnd w:id="147"/>
    </w:p>
    <w:p>
      <w:pPr>
        <w:pStyle w:val="5"/>
        <w:rPr>
          <w:rFonts w:ascii="仿宋" w:hAnsi="仿宋" w:eastAsia="仿宋"/>
        </w:rPr>
      </w:pPr>
      <w:bookmarkStart w:id="148" w:name="_Toc15396629"/>
      <w:bookmarkStart w:id="149" w:name="_Toc32294"/>
      <w:bookmarkStart w:id="150" w:name="_Toc14224"/>
      <w:r>
        <w:rPr>
          <w:rStyle w:val="29"/>
          <w:rFonts w:hint="eastAsia" w:ascii="仿宋" w:hAnsi="仿宋" w:eastAsia="仿宋"/>
          <w:b w:val="0"/>
          <w:bCs w:val="0"/>
        </w:rPr>
        <w:t>十一、</w:t>
      </w:r>
      <w:bookmarkEnd w:id="148"/>
      <w:r>
        <w:rPr>
          <w:rFonts w:hint="eastAsia" w:ascii="仿宋" w:hAnsi="仿宋" w:eastAsia="仿宋"/>
          <w:b w:val="0"/>
        </w:rPr>
        <w:t>国</w:t>
      </w:r>
      <w:r>
        <w:rPr>
          <w:rStyle w:val="29"/>
          <w:rFonts w:hint="eastAsia" w:ascii="仿宋" w:hAnsi="仿宋" w:eastAsia="仿宋"/>
          <w:b w:val="0"/>
          <w:bCs w:val="0"/>
        </w:rPr>
        <w:t>有资本经营预算财政拨款收入支出决算表</w:t>
      </w:r>
      <w:bookmarkEnd w:id="149"/>
      <w:bookmarkEnd w:id="150"/>
    </w:p>
    <w:p>
      <w:pPr>
        <w:pStyle w:val="5"/>
        <w:rPr>
          <w:rFonts w:ascii="仿宋" w:hAnsi="仿宋" w:eastAsia="仿宋"/>
        </w:rPr>
      </w:pPr>
      <w:bookmarkStart w:id="151" w:name="_Toc15396630"/>
      <w:bookmarkStart w:id="152" w:name="_Toc15465"/>
      <w:bookmarkStart w:id="153" w:name="_Toc8248"/>
      <w:r>
        <w:rPr>
          <w:rStyle w:val="29"/>
          <w:rFonts w:hint="eastAsia" w:ascii="仿宋" w:hAnsi="仿宋" w:eastAsia="仿宋"/>
          <w:b w:val="0"/>
          <w:bCs w:val="0"/>
        </w:rPr>
        <w:t>十二、</w:t>
      </w:r>
      <w:bookmarkEnd w:id="151"/>
      <w:r>
        <w:rPr>
          <w:rStyle w:val="29"/>
          <w:rFonts w:hint="eastAsia" w:ascii="仿宋" w:hAnsi="仿宋" w:eastAsia="仿宋"/>
          <w:b w:val="0"/>
          <w:bCs w:val="0"/>
        </w:rPr>
        <w:t>国有资本经营预算财政拨款支出决算表</w:t>
      </w:r>
      <w:bookmarkEnd w:id="152"/>
      <w:bookmarkEnd w:id="153"/>
    </w:p>
    <w:p>
      <w:pPr>
        <w:pStyle w:val="5"/>
        <w:rPr>
          <w:rFonts w:eastAsia="仿宋"/>
        </w:rPr>
      </w:pPr>
      <w:bookmarkStart w:id="154" w:name="_Toc15396631"/>
      <w:bookmarkStart w:id="155" w:name="_Toc15777"/>
      <w:bookmarkStart w:id="156" w:name="_Toc14843"/>
      <w:r>
        <w:rPr>
          <w:rStyle w:val="29"/>
          <w:rFonts w:hint="eastAsia" w:ascii="仿宋" w:hAnsi="仿宋" w:eastAsia="仿宋"/>
          <w:b w:val="0"/>
          <w:bCs w:val="0"/>
        </w:rPr>
        <w:t>十三、</w:t>
      </w:r>
      <w:bookmarkEnd w:id="154"/>
      <w:r>
        <w:rPr>
          <w:rStyle w:val="29"/>
          <w:rFonts w:hint="eastAsia" w:ascii="仿宋" w:hAnsi="仿宋" w:eastAsia="仿宋"/>
          <w:b w:val="0"/>
          <w:bCs w:val="0"/>
        </w:rPr>
        <w:t>财政拨款“三公”经费支出决算表</w:t>
      </w:r>
      <w:bookmarkEnd w:id="155"/>
      <w:bookmarkEnd w:id="156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52CEC"/>
    <w:multiLevelType w:val="singleLevel"/>
    <w:tmpl w:val="CF652CE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FA047D"/>
    <w:multiLevelType w:val="singleLevel"/>
    <w:tmpl w:val="E2FA047D"/>
    <w:lvl w:ilvl="0" w:tentative="0">
      <w:start w:val="3"/>
      <w:numFmt w:val="chineseCounting"/>
      <w:suff w:val="space"/>
      <w:lvlText w:val="第%1部分"/>
      <w:lvlJc w:val="left"/>
      <w:rPr>
        <w:rFonts w:hint="eastAsia" w:ascii="黑体" w:hAnsi="黑体" w:eastAsia="黑体" w:cs="黑体"/>
        <w:sz w:val="44"/>
        <w:szCs w:val="44"/>
      </w:rPr>
    </w:lvl>
  </w:abstractNum>
  <w:abstractNum w:abstractNumId="2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18A09A"/>
    <w:multiLevelType w:val="singleLevel"/>
    <w:tmpl w:val="3818A09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28"/>
        <w:szCs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jZhOThhOGZiYzQwNWYwZTFhMmI3MTU3Nzg2NjEifQ=="/>
  </w:docVars>
  <w:rsids>
    <w:rsidRoot w:val="00F1361C"/>
    <w:rsid w:val="000222C6"/>
    <w:rsid w:val="0002549F"/>
    <w:rsid w:val="000409D9"/>
    <w:rsid w:val="000468DB"/>
    <w:rsid w:val="0006487A"/>
    <w:rsid w:val="00065F8F"/>
    <w:rsid w:val="00070A43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A3C1B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C7CD4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541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D7BF4"/>
    <w:rsid w:val="004E0A2D"/>
    <w:rsid w:val="004E206B"/>
    <w:rsid w:val="004E6DF7"/>
    <w:rsid w:val="004F0FBD"/>
    <w:rsid w:val="00505A47"/>
    <w:rsid w:val="00512FDA"/>
    <w:rsid w:val="00520DA0"/>
    <w:rsid w:val="005664BB"/>
    <w:rsid w:val="00566FFA"/>
    <w:rsid w:val="0057481D"/>
    <w:rsid w:val="0058486E"/>
    <w:rsid w:val="00585B33"/>
    <w:rsid w:val="00587AA4"/>
    <w:rsid w:val="0059014D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0E31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575B9"/>
    <w:rsid w:val="0096294D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A4B"/>
    <w:rsid w:val="009C2E98"/>
    <w:rsid w:val="009D3447"/>
    <w:rsid w:val="009D4711"/>
    <w:rsid w:val="009F1185"/>
    <w:rsid w:val="009F18CD"/>
    <w:rsid w:val="009F2A13"/>
    <w:rsid w:val="009F7527"/>
    <w:rsid w:val="00A04EB0"/>
    <w:rsid w:val="00A13CC1"/>
    <w:rsid w:val="00A16847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EA6"/>
    <w:rsid w:val="00B81598"/>
    <w:rsid w:val="00B841F1"/>
    <w:rsid w:val="00B873A9"/>
    <w:rsid w:val="00B944D6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1671B"/>
    <w:rsid w:val="00C33E72"/>
    <w:rsid w:val="00C354B2"/>
    <w:rsid w:val="00C35554"/>
    <w:rsid w:val="00C42709"/>
    <w:rsid w:val="00C533CC"/>
    <w:rsid w:val="00C56F3A"/>
    <w:rsid w:val="00C5751C"/>
    <w:rsid w:val="00C61BFC"/>
    <w:rsid w:val="00C62B85"/>
    <w:rsid w:val="00C65438"/>
    <w:rsid w:val="00C87FD8"/>
    <w:rsid w:val="00C91381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0ABE"/>
    <w:rsid w:val="00E568DF"/>
    <w:rsid w:val="00E64269"/>
    <w:rsid w:val="00E82267"/>
    <w:rsid w:val="00E853CE"/>
    <w:rsid w:val="00E867B6"/>
    <w:rsid w:val="00EA010F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4A9357F"/>
    <w:rsid w:val="053A62B5"/>
    <w:rsid w:val="05F438D3"/>
    <w:rsid w:val="07035F04"/>
    <w:rsid w:val="07414C7E"/>
    <w:rsid w:val="07D35AAC"/>
    <w:rsid w:val="08331E81"/>
    <w:rsid w:val="0A2032A3"/>
    <w:rsid w:val="0ACE1EDC"/>
    <w:rsid w:val="0B8A37D8"/>
    <w:rsid w:val="0C0C0150"/>
    <w:rsid w:val="0C5D60B6"/>
    <w:rsid w:val="0ECF025D"/>
    <w:rsid w:val="10383F9B"/>
    <w:rsid w:val="10BC5375"/>
    <w:rsid w:val="10C055FF"/>
    <w:rsid w:val="118107EC"/>
    <w:rsid w:val="11DD6519"/>
    <w:rsid w:val="149F2FE4"/>
    <w:rsid w:val="14B52807"/>
    <w:rsid w:val="16A94687"/>
    <w:rsid w:val="16BB723D"/>
    <w:rsid w:val="18015F3F"/>
    <w:rsid w:val="19921E5F"/>
    <w:rsid w:val="1A1E0D0E"/>
    <w:rsid w:val="1A7E4673"/>
    <w:rsid w:val="1B9F0A33"/>
    <w:rsid w:val="1BE8440E"/>
    <w:rsid w:val="1C042B2C"/>
    <w:rsid w:val="1CEC0D90"/>
    <w:rsid w:val="1D155CEE"/>
    <w:rsid w:val="1EB4768C"/>
    <w:rsid w:val="20F57F95"/>
    <w:rsid w:val="212D10FE"/>
    <w:rsid w:val="219640D7"/>
    <w:rsid w:val="21DC1C49"/>
    <w:rsid w:val="240371BF"/>
    <w:rsid w:val="25506360"/>
    <w:rsid w:val="25711CC6"/>
    <w:rsid w:val="25C741E6"/>
    <w:rsid w:val="27351CB2"/>
    <w:rsid w:val="27655652"/>
    <w:rsid w:val="27842671"/>
    <w:rsid w:val="27C26BE0"/>
    <w:rsid w:val="283F3FE0"/>
    <w:rsid w:val="286D547B"/>
    <w:rsid w:val="287E4F92"/>
    <w:rsid w:val="290702B1"/>
    <w:rsid w:val="29DC3F65"/>
    <w:rsid w:val="29FD04D3"/>
    <w:rsid w:val="2ABE7A3E"/>
    <w:rsid w:val="2C59335D"/>
    <w:rsid w:val="2CA234A8"/>
    <w:rsid w:val="2E3511E0"/>
    <w:rsid w:val="2EFA178C"/>
    <w:rsid w:val="30B46D73"/>
    <w:rsid w:val="319F7F4E"/>
    <w:rsid w:val="31B45EC9"/>
    <w:rsid w:val="33CA7DFA"/>
    <w:rsid w:val="358E09E6"/>
    <w:rsid w:val="37A6111D"/>
    <w:rsid w:val="383D272C"/>
    <w:rsid w:val="39AE70AB"/>
    <w:rsid w:val="3B27770B"/>
    <w:rsid w:val="3C0C0783"/>
    <w:rsid w:val="3C9FBA09"/>
    <w:rsid w:val="3E723B83"/>
    <w:rsid w:val="3EE6168C"/>
    <w:rsid w:val="3F9F3A96"/>
    <w:rsid w:val="40934C22"/>
    <w:rsid w:val="40DC68A2"/>
    <w:rsid w:val="41E2613A"/>
    <w:rsid w:val="45886FF9"/>
    <w:rsid w:val="45E070DC"/>
    <w:rsid w:val="463E1CAD"/>
    <w:rsid w:val="48BF60AB"/>
    <w:rsid w:val="493C27E9"/>
    <w:rsid w:val="4959356A"/>
    <w:rsid w:val="496F39ED"/>
    <w:rsid w:val="49FF41D3"/>
    <w:rsid w:val="4BE068DB"/>
    <w:rsid w:val="4BF21670"/>
    <w:rsid w:val="4BF6002B"/>
    <w:rsid w:val="4DC219A6"/>
    <w:rsid w:val="4DD43C03"/>
    <w:rsid w:val="4ECE2238"/>
    <w:rsid w:val="4EF179BD"/>
    <w:rsid w:val="4EF37BD9"/>
    <w:rsid w:val="4F0C47F7"/>
    <w:rsid w:val="5175503B"/>
    <w:rsid w:val="51A65C77"/>
    <w:rsid w:val="51DB4B86"/>
    <w:rsid w:val="5475511D"/>
    <w:rsid w:val="55333C3E"/>
    <w:rsid w:val="55760700"/>
    <w:rsid w:val="55C51009"/>
    <w:rsid w:val="57C87729"/>
    <w:rsid w:val="59103135"/>
    <w:rsid w:val="591F781C"/>
    <w:rsid w:val="5A4C30A9"/>
    <w:rsid w:val="5B4D4671"/>
    <w:rsid w:val="5C1271C4"/>
    <w:rsid w:val="5DD0497D"/>
    <w:rsid w:val="5E145476"/>
    <w:rsid w:val="5EAC5F89"/>
    <w:rsid w:val="607B33B3"/>
    <w:rsid w:val="60C70EC5"/>
    <w:rsid w:val="61150FE4"/>
    <w:rsid w:val="614E0C9F"/>
    <w:rsid w:val="61B2122D"/>
    <w:rsid w:val="627666FF"/>
    <w:rsid w:val="62922E0D"/>
    <w:rsid w:val="64CA39A1"/>
    <w:rsid w:val="67F70B76"/>
    <w:rsid w:val="67FF7197"/>
    <w:rsid w:val="68792AA5"/>
    <w:rsid w:val="69630ADE"/>
    <w:rsid w:val="6B3E4042"/>
    <w:rsid w:val="6C4A05C8"/>
    <w:rsid w:val="6D2D3E5E"/>
    <w:rsid w:val="6D3B1A89"/>
    <w:rsid w:val="6E0E0133"/>
    <w:rsid w:val="6E4875EA"/>
    <w:rsid w:val="6EB80153"/>
    <w:rsid w:val="6F277490"/>
    <w:rsid w:val="6F5E29F5"/>
    <w:rsid w:val="70FA04FB"/>
    <w:rsid w:val="711E68DF"/>
    <w:rsid w:val="71BF4EC2"/>
    <w:rsid w:val="72734D90"/>
    <w:rsid w:val="735F7454"/>
    <w:rsid w:val="73BB6668"/>
    <w:rsid w:val="7412278C"/>
    <w:rsid w:val="74DC4AE7"/>
    <w:rsid w:val="77344821"/>
    <w:rsid w:val="77935205"/>
    <w:rsid w:val="78771D24"/>
    <w:rsid w:val="795A422D"/>
    <w:rsid w:val="79C63670"/>
    <w:rsid w:val="79E7B28D"/>
    <w:rsid w:val="79EF6825"/>
    <w:rsid w:val="7A326E6D"/>
    <w:rsid w:val="7A6F3D08"/>
    <w:rsid w:val="7C8A627E"/>
    <w:rsid w:val="7E1F77F3"/>
    <w:rsid w:val="7E3808B5"/>
    <w:rsid w:val="7F460DAF"/>
    <w:rsid w:val="7F9F20EE"/>
    <w:rsid w:val="9E3A10E2"/>
    <w:rsid w:val="F2E1F9D4"/>
    <w:rsid w:val="F78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Lines="0" w:afterAutospacing="0"/>
      <w:ind w:left="420" w:leftChars="200"/>
    </w:pPr>
  </w:style>
  <w:style w:type="paragraph" w:styleId="7">
    <w:name w:val="Body Text"/>
    <w:basedOn w:val="1"/>
    <w:link w:val="25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8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7"/>
    <w:qFormat/>
    <w:uiPriority w:val="0"/>
    <w:pPr>
      <w:ind w:firstLine="420" w:firstLineChars="100"/>
    </w:pPr>
  </w:style>
  <w:style w:type="character" w:styleId="18">
    <w:name w:val="Strong"/>
    <w:basedOn w:val="17"/>
    <w:qFormat/>
    <w:uiPriority w:val="99"/>
    <w:rPr>
      <w:b/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Header Char"/>
    <w:basedOn w:val="17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页眉 字符"/>
    <w:link w:val="11"/>
    <w:semiHidden/>
    <w:qFormat/>
    <w:locked/>
    <w:uiPriority w:val="99"/>
    <w:rPr>
      <w:sz w:val="18"/>
    </w:rPr>
  </w:style>
  <w:style w:type="character" w:customStyle="1" w:styleId="22">
    <w:name w:val="Footer Char"/>
    <w:basedOn w:val="17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3">
    <w:name w:val="页脚 字符"/>
    <w:link w:val="10"/>
    <w:qFormat/>
    <w:locked/>
    <w:uiPriority w:val="99"/>
    <w:rPr>
      <w:sz w:val="18"/>
    </w:rPr>
  </w:style>
  <w:style w:type="character" w:customStyle="1" w:styleId="24">
    <w:name w:val="Body Text Char"/>
    <w:basedOn w:val="17"/>
    <w:semiHidden/>
    <w:qFormat/>
    <w:uiPriority w:val="99"/>
    <w:rPr>
      <w:rFonts w:ascii="Times New Roman" w:hAnsi="Times New Roman"/>
      <w:szCs w:val="24"/>
    </w:rPr>
  </w:style>
  <w:style w:type="character" w:customStyle="1" w:styleId="25">
    <w:name w:val="正文文本 字符"/>
    <w:link w:val="7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字符"/>
    <w:basedOn w:val="17"/>
    <w:link w:val="4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9">
    <w:name w:val="标题 2 字符"/>
    <w:basedOn w:val="17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0">
    <w:name w:val="TOC 标题1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字符"/>
    <w:basedOn w:val="17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标题 3 字符"/>
    <w:basedOn w:val="17"/>
    <w:link w:val="6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33">
    <w:name w:val="TOC 标题2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font41"/>
    <w:basedOn w:val="1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uawei\Desktop\&#20915;&#31639;&#20844;&#24320;&#25554;&#22270;&#21046;&#20316;&#31034;&#20363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awei\Desktop\&#20915;&#31639;&#20844;&#24320;&#25554;&#22270;&#21046;&#20316;&#31034;&#20363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awei\Desktop\&#20915;&#31639;&#20844;&#24320;&#25554;&#22270;&#21046;&#20316;&#31034;&#20363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uawei\Desktop\&#20915;&#31639;&#20844;&#24320;&#25554;&#22270;&#21046;&#20316;&#31034;&#20363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</a:t>
            </a:r>
            <a:r>
              <a:rPr lang="en-US" altLang="zh-CN"/>
              <a:t>2:</a:t>
            </a:r>
            <a:r>
              <a:rPr altLang="en-US"/>
              <a:t>收入决算结构图</a:t>
            </a:r>
            <a:endParaRPr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342013888888889"/>
          <c:y val="0.176388888888889"/>
          <c:w val="0.324305555555556"/>
          <c:h val="0.540509259259259"/>
        </c:manualLayout>
      </c:layout>
      <c:pieChart>
        <c:varyColors val="true"/>
        <c:ser>
          <c:idx val="0"/>
          <c:order val="0"/>
          <c:spPr/>
          <c:explosion val="0"/>
          <c:dLbls>
            <c:delete val="true"/>
          </c:dLbls>
          <c:cat>
            <c:strRef>
              <c:f>[决算公开插图制作示例1.xlsx]图二!$A$1:$A$6</c:f>
              <c:strCache>
                <c:ptCount val="6"/>
                <c:pt idx="0">
                  <c:v>一、一般公共预算财政拨款收入</c:v>
                </c:pt>
                <c:pt idx="1">
                  <c:v>二、政府性基金预算财政拨款收入</c:v>
                </c:pt>
                <c:pt idx="2">
                  <c:v>三、国有资本经营预算财政拨款收入</c:v>
                </c:pt>
                <c:pt idx="3">
                  <c:v>四、事业收入</c:v>
                </c:pt>
                <c:pt idx="4">
                  <c:v>五、经营收入</c:v>
                </c:pt>
                <c:pt idx="5">
                  <c:v>六、其他收入</c:v>
                </c:pt>
              </c:strCache>
            </c:strRef>
          </c:cat>
          <c:val>
            <c:numRef>
              <c:f>[决算公开插图制作示例1.xlsx]图二!$B$1:$B$6</c:f>
            </c:numRef>
          </c:val>
        </c:ser>
        <c:ser>
          <c:idx val="1"/>
          <c:order val="1"/>
          <c:spPr/>
          <c:explosion val="0"/>
          <c:dPt>
            <c:idx val="0"/>
            <c:bubble3D val="false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false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false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false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false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false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0321654287916653"/>
                  <c:y val="-0.149790274585539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[决算公开插图制作示例1.xlsx]图二!$A$1:$A$6</c:f>
              <c:strCache>
                <c:ptCount val="6"/>
                <c:pt idx="0">
                  <c:v>一、一般公共预算财政拨款收入</c:v>
                </c:pt>
                <c:pt idx="1">
                  <c:v>二、政府性基金预算财政拨款收入</c:v>
                </c:pt>
                <c:pt idx="2">
                  <c:v>三、国有资本经营预算财政拨款收入</c:v>
                </c:pt>
                <c:pt idx="3">
                  <c:v>四、事业收入</c:v>
                </c:pt>
                <c:pt idx="4">
                  <c:v>五、经营收入</c:v>
                </c:pt>
                <c:pt idx="5">
                  <c:v>六、其他收入</c:v>
                </c:pt>
              </c:strCache>
            </c:strRef>
          </c:cat>
          <c:val>
            <c:numRef>
              <c:f>[决算公开插图制作示例1.xlsx]图二!$C$1:$C$6</c:f>
              <c:numCache>
                <c:formatCode>0.00%</c:formatCode>
                <c:ptCount val="6"/>
                <c:pt idx="0">
                  <c:v>0.4233</c:v>
                </c:pt>
                <c:pt idx="3">
                  <c:v>0.5767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  <c:showLeaderLines val="true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>
        <c:manualLayout>
          <c:layoutTarget val="inner"/>
          <c:xMode val="edge"/>
          <c:yMode val="edge"/>
          <c:x val="0.169224846894138"/>
          <c:y val="0.150462962962963"/>
          <c:w val="0.566371172353456"/>
          <c:h val="0.689814814814815"/>
        </c:manualLayout>
      </c:layout>
      <c:pieChart>
        <c:varyColors val="true"/>
        <c:ser>
          <c:idx val="0"/>
          <c:order val="0"/>
          <c:explosion val="0"/>
          <c:dPt>
            <c:idx val="0"/>
            <c:bubble3D val="false"/>
          </c:dPt>
          <c:dPt>
            <c:idx val="1"/>
            <c:bubble3D val="false"/>
            <c:spPr>
              <a:solidFill>
                <a:schemeClr val="accent2"/>
              </a:solidFill>
            </c:spPr>
          </c:dPt>
          <c:dLbls>
            <c:dLbl>
              <c:idx val="0"/>
              <c:layout>
                <c:manualLayout>
                  <c:x val="0.0848707349081365"/>
                  <c:y val="-0.171573344998542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86458880139982"/>
                  <c:y val="0.140147273257509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[决算公开插图制作示例1.xlsx]图三!$A$2:$B$2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[决算公开插图制作示例1.xlsx]图三!$A$3:$B$3</c:f>
              <c:numCache>
                <c:formatCode>0.00%</c:formatCode>
                <c:ptCount val="2"/>
                <c:pt idx="0">
                  <c:v>1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043088363955"/>
          <c:y val="0.434801326917469"/>
          <c:w val="0.186845800524934"/>
          <c:h val="0.1674343832021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explosion val="0"/>
          <c:dPt>
            <c:idx val="0"/>
            <c:bubble3D val="false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false"/>
          </c:dPt>
          <c:dPt>
            <c:idx val="2"/>
            <c:bubble3D val="false"/>
          </c:dPt>
          <c:dPt>
            <c:idx val="3"/>
            <c:bubble3D val="false"/>
          </c:dPt>
          <c:dLbls>
            <c:dLbl>
              <c:idx val="0"/>
              <c:layout>
                <c:manualLayout>
                  <c:x val="0.0483216316710411"/>
                  <c:y val="0.0977380431612715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546208442694663"/>
                  <c:y val="-0.0359631087780694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00951443569554"/>
                  <c:y val="-0.132278361038204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66543197725284"/>
                  <c:y val="-0.108673447069116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[决算公开插图制作示例1.xlsx]图6!$A$2:$A$5</c:f>
              <c:strCache>
                <c:ptCount val="4"/>
                <c:pt idx="0">
                  <c:v>一般公共服务（类）支出</c:v>
                </c:pt>
                <c:pt idx="1">
                  <c:v>社会保障和就业（类）支出</c:v>
                </c:pt>
                <c:pt idx="2">
                  <c:v>卫生健康(类)支出</c:v>
                </c:pt>
                <c:pt idx="3">
                  <c:v>住房保障（类）支出</c:v>
                </c:pt>
              </c:strCache>
            </c:strRef>
          </c:cat>
          <c:val>
            <c:numRef>
              <c:f>[决算公开插图制作示例1.xlsx]图6!$B$2:$B$5</c:f>
              <c:numCache>
                <c:formatCode>General</c:formatCode>
                <c:ptCount val="4"/>
                <c:pt idx="1">
                  <c:v>60.39</c:v>
                </c:pt>
                <c:pt idx="2">
                  <c:v>862.53</c:v>
                </c:pt>
                <c:pt idx="3">
                  <c:v>45.06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/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pieChart>
        <c:varyColors val="true"/>
        <c:ser>
          <c:idx val="0"/>
          <c:order val="0"/>
          <c:explosion val="0"/>
          <c:dPt>
            <c:idx val="0"/>
            <c:bubble3D val="false"/>
          </c:dPt>
          <c:dPt>
            <c:idx val="1"/>
            <c:bubble3D val="false"/>
          </c:dPt>
          <c:dPt>
            <c:idx val="2"/>
            <c:bubble3D val="false"/>
          </c:dPt>
          <c:dLbls>
            <c:dLbl>
              <c:idx val="0"/>
              <c:layout>
                <c:manualLayout>
                  <c:x val="-0.0677309711286089"/>
                  <c:y val="-0.0625896762904637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2130139982502"/>
                  <c:y val="-0.0498581948089822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79491251093613"/>
                  <c:y val="0.0549697433654127"/>
                </c:manualLayout>
              </c:layout>
              <c:dLblPos val="bestFi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true"/>
            <c:extLst>
              <c:ext xmlns:c15="http://schemas.microsoft.com/office/drawing/2012/chart" uri="{CE6537A1-D6FC-4f65-9D91-7224C49458BB}">
                <c15:layout/>
                <c15:showLeaderLines val="true"/>
                <c15:leaderLines/>
              </c:ext>
            </c:extLst>
          </c:dLbls>
          <c:cat>
            <c:strRef>
              <c:f>[决算公开插图制作示例1.xlsx]图7!$A$2:$A$4</c:f>
              <c:strCache>
                <c:ptCount val="3"/>
                <c:pt idx="0">
                  <c:v>因公出国（境）费支出</c:v>
                </c:pt>
                <c:pt idx="1">
                  <c:v>公务用车购置及运行维护费支出</c:v>
                </c:pt>
                <c:pt idx="2">
                  <c:v>公务接待费支出</c:v>
                </c:pt>
              </c:strCache>
            </c:strRef>
          </c:cat>
          <c:val>
            <c:numRef>
              <c:f>[决算公开插图制作示例1.xlsx]图7!$B$2:$B$4</c:f>
              <c:numCache>
                <c:formatCode>General</c:formatCode>
                <c:ptCount val="3"/>
                <c:pt idx="2">
                  <c:v>0.96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  <c:showLeaderLines val="true"/>
        </c:dLbls>
        <c:firstSliceAng val="15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4920094314907"/>
          <c:y val="0.341517389739563"/>
        </c:manualLayout>
      </c:layout>
      <c:overlay val="false"/>
      <c:txPr>
        <a:bodyPr rot="0" spcFirstLastPara="0" vertOverflow="ellipsis" vert="horz" wrap="square" anchor="ctr" anchorCtr="true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17</Pages>
  <Words>5274</Words>
  <Characters>626</Characters>
  <Lines>5</Lines>
  <Paragraphs>11</Paragraphs>
  <TotalTime>5</TotalTime>
  <ScaleCrop>false</ScaleCrop>
  <LinksUpToDate>false</LinksUpToDate>
  <CharactersWithSpaces>5889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2020-08-05T09:49:00Z</dcterms:created>
  <dc:creator>曹颖</dc:creator>
  <cp:lastModifiedBy>user</cp:lastModifiedBy>
  <cp:lastPrinted>2023-07-31T10:35:00Z</cp:lastPrinted>
  <dcterms:modified xsi:type="dcterms:W3CDTF">2024-08-09T11:19:30Z</dcterms:modified>
  <dc:title>四川省***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712C9EA534F945D780563D53E7679248_12</vt:lpwstr>
  </property>
</Properties>
</file>