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9AFED9">
      <w:pPr>
        <w:adjustRightInd w:val="0"/>
        <w:spacing w:line="600" w:lineRule="exact"/>
        <w:rPr>
          <w:rStyle w:val="7"/>
          <w:rFonts w:hint="eastAsia" w:ascii="Times New Roman" w:hAnsi="Times New Roman" w:eastAsia="黑体" w:cs="Times New Roman"/>
          <w:b w:val="0"/>
          <w:bCs w:val="0"/>
          <w:sz w:val="32"/>
          <w:szCs w:val="32"/>
          <w:lang w:val="en-US"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4</w:t>
      </w:r>
    </w:p>
    <w:p w14:paraId="05773FFA">
      <w:pPr>
        <w:keepNext w:val="0"/>
        <w:keepLines w:val="0"/>
        <w:pageBreakBefore w:val="0"/>
        <w:kinsoku/>
        <w:wordWrap/>
        <w:overflowPunct/>
        <w:topLinePunct w:val="0"/>
        <w:autoSpaceDE/>
        <w:autoSpaceDN/>
        <w:bidi w:val="0"/>
        <w:adjustRightInd/>
        <w:snapToGrid/>
        <w:spacing w:line="560" w:lineRule="exact"/>
        <w:jc w:val="center"/>
        <w:textAlignment w:val="auto"/>
        <w:rPr>
          <w:rStyle w:val="7"/>
          <w:rFonts w:ascii="Times New Roman" w:hAnsi="Times New Roman" w:eastAsia="方正小标宋简体" w:cs="Times New Roman"/>
          <w:b w:val="0"/>
          <w:sz w:val="44"/>
          <w:szCs w:val="44"/>
        </w:rPr>
      </w:pPr>
      <w:r>
        <w:rPr>
          <w:rStyle w:val="7"/>
          <w:rFonts w:ascii="Times New Roman" w:hAnsi="Times New Roman" w:eastAsia="方正小标宋简体" w:cs="Times New Roman"/>
          <w:b w:val="0"/>
          <w:sz w:val="44"/>
          <w:szCs w:val="44"/>
        </w:rPr>
        <w:t>不合格项目解读</w:t>
      </w:r>
    </w:p>
    <w:p w14:paraId="4D43DADC">
      <w:pPr>
        <w:pStyle w:val="2"/>
        <w:keepNext w:val="0"/>
        <w:keepLines w:val="0"/>
        <w:pageBreakBefore w:val="0"/>
        <w:kinsoku/>
        <w:wordWrap/>
        <w:overflowPunct/>
        <w:topLinePunct w:val="0"/>
        <w:autoSpaceDE/>
        <w:autoSpaceDN/>
        <w:bidi w:val="0"/>
        <w:adjustRightInd/>
        <w:snapToGrid/>
        <w:spacing w:line="560" w:lineRule="exact"/>
        <w:textAlignment w:val="auto"/>
      </w:pPr>
    </w:p>
    <w:p w14:paraId="5E198769">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val="0"/>
          <w:kern w:val="0"/>
          <w:sz w:val="32"/>
          <w:szCs w:val="32"/>
          <w:highlight w:val="none"/>
          <w:lang w:val="en-US" w:eastAsia="zh-CN" w:bidi="ar-SA"/>
        </w:rPr>
      </w:pPr>
      <w:r>
        <w:rPr>
          <w:rFonts w:hint="eastAsia" w:ascii="仿宋" w:hAnsi="仿宋" w:eastAsia="仿宋" w:cs="仿宋"/>
          <w:b/>
          <w:bCs w:val="0"/>
          <w:kern w:val="0"/>
          <w:sz w:val="32"/>
          <w:szCs w:val="32"/>
          <w:highlight w:val="none"/>
          <w:lang w:val="en-US" w:eastAsia="zh-CN" w:bidi="ar-SA"/>
        </w:rPr>
        <w:t>一、二氧化硫残留量</w:t>
      </w:r>
    </w:p>
    <w:p w14:paraId="3AB470A3">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sz w:val="32"/>
          <w:szCs w:val="32"/>
          <w:lang w:val="en-US" w:eastAsia="zh-CN"/>
        </w:rPr>
      </w:pPr>
      <w:r>
        <w:rPr>
          <w:rFonts w:hint="eastAsia" w:ascii="仿宋" w:hAnsi="仿宋" w:eastAsia="仿宋" w:cs="仿宋"/>
          <w:sz w:val="32"/>
          <w:szCs w:val="32"/>
          <w:lang w:val="en-US" w:eastAsia="zh-CN"/>
        </w:rPr>
        <w:t>二氧化硫是食品加工中常用的漂白剂和防腐剂，遇水以后形成亚硫酸。二氧化硫被氧化时可使食品的着色物质还原褪色，亚硫酸对食品的褐变有抑制作用，对细菌、真菌、酵母菌也有抑制作用，因此既是漂白剂又是防腐剂。二氧化硫进入人体内后最终转化为硫酸盐并随尿液排出体外。《食品安全国家标准食品添加剂使用标准》（GB 2760-2014）中规定调味品中其他香辛料调味品及食用农产品中生姜不得检出</w:t>
      </w:r>
      <w:r>
        <w:rPr>
          <w:rFonts w:hint="eastAsia" w:ascii="仿宋" w:hAnsi="仿宋" w:eastAsia="仿宋" w:cs="仿宋"/>
          <w:b w:val="0"/>
          <w:bCs/>
          <w:kern w:val="0"/>
          <w:sz w:val="32"/>
          <w:szCs w:val="32"/>
          <w:highlight w:val="none"/>
          <w:lang w:val="en-US" w:eastAsia="zh-CN" w:bidi="ar-SA"/>
        </w:rPr>
        <w:t>二氧化硫残留量，</w:t>
      </w:r>
      <w:r>
        <w:rPr>
          <w:rFonts w:hint="eastAsia" w:ascii="仿宋" w:hAnsi="仿宋" w:eastAsia="仿宋" w:cs="仿宋"/>
          <w:sz w:val="32"/>
          <w:szCs w:val="32"/>
          <w:lang w:val="en-US" w:eastAsia="zh-CN"/>
        </w:rPr>
        <w:t>少量二氧化硫进入人体不会对身体带来健康危害，但若过量食用会引起如恶心、呕吐等胃肠道反应。二氧化硫残留量不符合标准的原因可能是个别生产经营企业使用劣质原料以降低成本，其后为了提高产品色泽超量使用二氧化硫；也有可能是使用时不计量或计量不准确；还有可能是由于使用硫磺熏蒸漂白这种传统工艺所造成。</w:t>
      </w:r>
    </w:p>
    <w:p w14:paraId="087BC2B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二、咪鲜胺和咪鲜胺锰盐</w:t>
      </w:r>
    </w:p>
    <w:p w14:paraId="47F35460">
      <w:pPr>
        <w:pStyle w:val="2"/>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咪鲜胺和咪鲜胺锰盐，是一种广谱高效杀菌剂。</w:t>
      </w:r>
      <w:r>
        <w:rPr>
          <w:rFonts w:hint="eastAsia" w:ascii="仿宋" w:hAnsi="仿宋" w:eastAsia="仿宋" w:cs="仿宋"/>
          <w:i w:val="0"/>
          <w:iCs w:val="0"/>
          <w:caps w:val="0"/>
          <w:color w:val="auto"/>
          <w:spacing w:val="0"/>
          <w:sz w:val="32"/>
          <w:szCs w:val="32"/>
          <w:shd w:val="clear" w:fill="FFFFFF"/>
        </w:rPr>
        <w:t>对多种作物由子囊菌和半知菌引起的病害具有明显的防效，也可以与大多数杀菌剂、杀虫剂、除草剂混用，均有较好的防治效果。</w:t>
      </w:r>
      <w:r>
        <w:rPr>
          <w:rFonts w:hint="eastAsia" w:ascii="仿宋" w:hAnsi="仿宋" w:eastAsia="仿宋" w:cs="仿宋"/>
          <w:sz w:val="32"/>
          <w:szCs w:val="32"/>
          <w:lang w:val="en-US" w:eastAsia="zh-CN"/>
        </w:rPr>
        <w:t>《食品安全国家标准食品中农药最大残留限量》（GB 2763-2021）中的规定，山药中</w:t>
      </w:r>
      <w:r>
        <w:rPr>
          <w:rFonts w:hint="eastAsia" w:ascii="仿宋" w:hAnsi="仿宋" w:eastAsia="仿宋" w:cs="仿宋"/>
          <w:color w:val="auto"/>
          <w:sz w:val="32"/>
          <w:szCs w:val="32"/>
          <w:lang w:val="en-US" w:eastAsia="zh-CN"/>
        </w:rPr>
        <w:t>咪鲜胺和咪鲜胺锰盐</w:t>
      </w:r>
      <w:r>
        <w:rPr>
          <w:rFonts w:hint="eastAsia" w:ascii="仿宋" w:hAnsi="仿宋" w:eastAsia="仿宋" w:cs="仿宋"/>
          <w:sz w:val="32"/>
          <w:szCs w:val="32"/>
          <w:lang w:val="en-US" w:eastAsia="zh-CN"/>
        </w:rPr>
        <w:t>最大残留限量为0.3mg/kg。不合格的原因可能是种植者在使用含</w:t>
      </w:r>
      <w:r>
        <w:rPr>
          <w:rFonts w:hint="eastAsia" w:ascii="仿宋" w:hAnsi="仿宋" w:eastAsia="仿宋" w:cs="仿宋"/>
          <w:color w:val="auto"/>
          <w:sz w:val="32"/>
          <w:szCs w:val="32"/>
          <w:lang w:val="en-US" w:eastAsia="zh-CN"/>
        </w:rPr>
        <w:t>咪鲜胺和咪鲜胺锰盐</w:t>
      </w:r>
      <w:r>
        <w:rPr>
          <w:rFonts w:hint="eastAsia" w:ascii="仿宋" w:hAnsi="仿宋" w:eastAsia="仿宋" w:cs="仿宋"/>
          <w:sz w:val="32"/>
          <w:szCs w:val="32"/>
          <w:lang w:val="en-US" w:eastAsia="zh-CN"/>
        </w:rPr>
        <w:t>的农药时配制的浓度过高、喷洒不均匀或未遵守采摘间隔期规定直接上市销售等。</w:t>
      </w:r>
    </w:p>
    <w:p w14:paraId="543C696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三、糖精钠(以糖精计)</w:t>
      </w:r>
    </w:p>
    <w:p w14:paraId="365B0BB0">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kern w:val="2"/>
          <w:sz w:val="32"/>
          <w:szCs w:val="32"/>
          <w:lang w:val="en-US" w:eastAsia="zh-CN" w:bidi="zh-CN"/>
        </w:rPr>
      </w:pPr>
      <w:r>
        <w:rPr>
          <w:rFonts w:hint="eastAsia" w:ascii="仿宋" w:hAnsi="仿宋" w:eastAsia="仿宋" w:cs="仿宋"/>
          <w:color w:val="auto"/>
          <w:kern w:val="2"/>
          <w:sz w:val="32"/>
          <w:szCs w:val="32"/>
          <w:lang w:val="en-US" w:eastAsia="zh-CN" w:bidi="zh-CN"/>
        </w:rPr>
        <w:t>糖精钠是一种无色结晶或稍带白色的结晶性粉末，无臭或微有香气，甜度为蔗糖的 200~700 倍。糖精钠是普遍使用的人工合成甜味剂。《食品安全国家标准 食品添加剂使用标准》（GB 2760-2014）中规定馒头不得检出糖精钠，糖精钠在人体内不被吸收，不产生热量，大部分经肾排出而不损害肾功能，不改变体内酶系统的活性。但食用较多的糖精钠，会影响肠胃消化酶的正常分泌，降低小肠的吸收能力，使食欲减退；使用量过大时有金属苦味。造成食品中糖精钠不合格的主要原因有：生产经营企业为增加产品甜味，超限量、超范围使用或者未准确计量。</w:t>
      </w:r>
    </w:p>
    <w:p w14:paraId="123FC1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四、镉(以Cd计)</w:t>
      </w:r>
    </w:p>
    <w:p w14:paraId="5A557778">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kern w:val="2"/>
          <w:sz w:val="32"/>
          <w:szCs w:val="32"/>
          <w:lang w:val="en-US" w:eastAsia="zh-CN" w:bidi="zh-CN"/>
        </w:rPr>
      </w:pPr>
      <w:r>
        <w:rPr>
          <w:rFonts w:hint="eastAsia" w:ascii="仿宋" w:hAnsi="仿宋" w:eastAsia="仿宋" w:cs="仿宋"/>
          <w:color w:val="auto"/>
          <w:kern w:val="2"/>
          <w:sz w:val="32"/>
          <w:szCs w:val="32"/>
          <w:lang w:val="en-US" w:eastAsia="zh-CN" w:bidi="zh-CN"/>
        </w:rPr>
        <w:t>镉是一种蓄积性的重金属元素，主要损害肾脏、骨骼和消化系统。由于镉排泄缓慢，可对肾脏和肝脏造成巨大伤害，还可以造成骨质疏松和软化，此外，镉干扰膳食中铁的吸收和加速红细胞破坏，可引起贫血；甚至会侵害到免疫系统，继而引发肿瘤。儿童对镉暴露更敏感，长期低剂量镉暴露，不仅影响肾脏和骨骼的正常发育，还会影响免疫系统的正常功能与发育，并对高级神经活动如学习、记忆有损害作用。根据《食品安全国家标准 食品中污染物限量》（</w:t>
      </w:r>
      <w:r>
        <w:rPr>
          <w:rFonts w:hint="default" w:ascii="仿宋" w:hAnsi="仿宋" w:eastAsia="仿宋" w:cs="仿宋"/>
          <w:color w:val="auto"/>
          <w:kern w:val="2"/>
          <w:sz w:val="32"/>
          <w:szCs w:val="32"/>
          <w:lang w:val="en-US" w:eastAsia="zh-CN" w:bidi="zh-CN"/>
        </w:rPr>
        <w:t>GB 2762-20</w:t>
      </w:r>
      <w:r>
        <w:rPr>
          <w:rFonts w:hint="eastAsia" w:ascii="仿宋" w:hAnsi="仿宋" w:eastAsia="仿宋" w:cs="仿宋"/>
          <w:color w:val="auto"/>
          <w:kern w:val="2"/>
          <w:sz w:val="32"/>
          <w:szCs w:val="32"/>
          <w:lang w:val="en-US" w:eastAsia="zh-CN" w:bidi="zh-CN"/>
        </w:rPr>
        <w:t>22）中的规定二荆条（辣椒）中镉的残留量不得高于0.05mg/kg。而辣椒中镉残留量超标的原因可能是含镉的废水等污染农田或是土壤中镉含量过高。</w:t>
      </w:r>
    </w:p>
    <w:p w14:paraId="2F3ECC0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 w:hAnsi="仿宋" w:eastAsia="仿宋" w:cs="仿宋"/>
          <w:b/>
          <w:bCs/>
          <w:sz w:val="32"/>
          <w:szCs w:val="32"/>
          <w:lang w:val="en-US" w:eastAsia="zh-CN"/>
        </w:rPr>
      </w:pPr>
      <w:bookmarkStart w:id="0" w:name="_GoBack"/>
      <w:bookmarkEnd w:id="0"/>
      <w:r>
        <w:rPr>
          <w:rFonts w:hint="eastAsia" w:ascii="仿宋" w:hAnsi="仿宋" w:eastAsia="仿宋" w:cs="仿宋"/>
          <w:b/>
          <w:bCs/>
          <w:sz w:val="32"/>
          <w:szCs w:val="32"/>
          <w:lang w:val="en-US" w:eastAsia="zh-CN"/>
        </w:rPr>
        <w:t>五、恩诺沙星</w:t>
      </w:r>
    </w:p>
    <w:p w14:paraId="46919EBE">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kern w:val="2"/>
          <w:sz w:val="32"/>
          <w:szCs w:val="32"/>
          <w:lang w:val="en-US" w:eastAsia="zh-CN" w:bidi="zh-CN"/>
        </w:rPr>
      </w:pPr>
      <w:r>
        <w:rPr>
          <w:rFonts w:hint="eastAsia" w:ascii="仿宋" w:hAnsi="仿宋" w:eastAsia="仿宋" w:cs="仿宋"/>
          <w:color w:val="auto"/>
          <w:kern w:val="2"/>
          <w:sz w:val="32"/>
          <w:szCs w:val="32"/>
          <w:lang w:val="en-US" w:eastAsia="zh-CN" w:bidi="zh-CN"/>
        </w:rPr>
        <w:t>恩诺沙星属第三代喹诺酮类药。是一类人工合成的广谱抗菌药，用于治疗动物的皮肤感染、呼吸道感染等，是动物专属用药。《食品安全国家标准 食品中兽药最大残留限量》（</w:t>
      </w:r>
      <w:r>
        <w:rPr>
          <w:rFonts w:hint="default" w:ascii="仿宋" w:hAnsi="仿宋" w:eastAsia="仿宋" w:cs="仿宋"/>
          <w:color w:val="auto"/>
          <w:kern w:val="2"/>
          <w:sz w:val="32"/>
          <w:szCs w:val="32"/>
          <w:lang w:val="en-US" w:eastAsia="zh-CN" w:bidi="zh-CN"/>
        </w:rPr>
        <w:t>GB 31650-2019</w:t>
      </w:r>
      <w:r>
        <w:rPr>
          <w:rFonts w:hint="eastAsia" w:ascii="仿宋" w:hAnsi="仿宋" w:eastAsia="仿宋" w:cs="仿宋"/>
          <w:color w:val="auto"/>
          <w:kern w:val="2"/>
          <w:sz w:val="32"/>
          <w:szCs w:val="32"/>
          <w:lang w:val="en-US" w:eastAsia="zh-CN" w:bidi="zh-CN"/>
        </w:rPr>
        <w:t>）规定，鱼类产品中恩诺沙星最大残留量为100ug/kg。长期使用或者过度使用可能导致在人体中蓄积，进而对人体机能产生危害，还可能使人体产生耐药性菌株。鱼类产品中恩诺沙星超标的原因可能是在养殖过程中为快速控制疫病，违规加大用药量或不遵守休药期规定，致使产品上市销售时的药物残留量超标。</w:t>
      </w:r>
    </w:p>
    <w:p w14:paraId="6F7A3629">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8CD774B-8CC7-4A96-9594-CB22495BEF7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embedRegular r:id="rId2" w:fontKey="{B862982E-A3B5-4B49-BCC3-AE7F221DE9B9}"/>
  </w:font>
  <w:font w:name="仿宋">
    <w:panose1 w:val="02010609060101010101"/>
    <w:charset w:val="86"/>
    <w:family w:val="auto"/>
    <w:pitch w:val="default"/>
    <w:sig w:usb0="800002BF" w:usb1="38CF7CFA" w:usb2="00000016" w:usb3="00000000" w:csb0="00040001" w:csb1="00000000"/>
    <w:embedRegular r:id="rId3" w:fontKey="{4417CCE2-3432-4D15-92E6-EDDC94926FD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hYzBmY2Y2YjBjMDQ3ZTdiZDAyOTM5ZWMyMzIyMjEifQ=="/>
  </w:docVars>
  <w:rsids>
    <w:rsidRoot w:val="00000000"/>
    <w:rsid w:val="001E2DC1"/>
    <w:rsid w:val="517B2C2C"/>
    <w:rsid w:val="606F72DB"/>
    <w:rsid w:val="610857DC"/>
    <w:rsid w:val="67746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宋体" w:hAnsi="宋体" w:cs="宋体"/>
      <w:lang w:val="zh-CN" w:bidi="zh-CN"/>
    </w:rPr>
  </w:style>
  <w:style w:type="paragraph" w:styleId="3">
    <w:name w:val="footer"/>
    <w:basedOn w:val="1"/>
    <w:unhideWhenUsed/>
    <w:qFormat/>
    <w:uiPriority w:val="99"/>
    <w:pPr>
      <w:tabs>
        <w:tab w:val="center" w:pos="4153"/>
        <w:tab w:val="right" w:pos="8306"/>
      </w:tabs>
      <w:snapToGrid w:val="0"/>
      <w:spacing w:line="240" w:lineRule="atLeast"/>
      <w:ind w:firstLine="200" w:firstLineChars="200"/>
      <w:jc w:val="left"/>
    </w:pPr>
    <w:rPr>
      <w:rFonts w:ascii="Times New Roman" w:hAnsi="Times New Roman" w:eastAsia="仿宋_GB2312"/>
      <w:sz w:val="18"/>
      <w:szCs w:val="18"/>
    </w:rPr>
  </w:style>
  <w:style w:type="paragraph" w:styleId="4">
    <w:name w:val="Subtitle"/>
    <w:basedOn w:val="1"/>
    <w:next w:val="1"/>
    <w:qFormat/>
    <w:uiPriority w:val="0"/>
    <w:pPr>
      <w:spacing w:before="240" w:beforeLines="0" w:beforeAutospacing="0" w:after="60" w:afterLines="0" w:afterAutospacing="0" w:line="312" w:lineRule="auto"/>
      <w:jc w:val="center"/>
      <w:outlineLvl w:val="1"/>
    </w:pPr>
    <w:rPr>
      <w:rFonts w:ascii="Arial" w:hAnsi="Arial"/>
      <w:b/>
      <w:kern w:val="28"/>
      <w:sz w:val="32"/>
    </w:rPr>
  </w:style>
  <w:style w:type="character" w:styleId="7">
    <w:name w:val="Strong"/>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1279</Words>
  <Characters>1354</Characters>
  <Lines>0</Lines>
  <Paragraphs>0</Paragraphs>
  <TotalTime>27</TotalTime>
  <ScaleCrop>false</ScaleCrop>
  <LinksUpToDate>false</LinksUpToDate>
  <CharactersWithSpaces>1364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2024-08-26T13:07:00Z</dcterms:created>
  <dc:creator>外勤支持</dc:creator>
  <cp:lastModifiedBy></cp:lastModifiedBy>
  <dcterms:modified xsi:type="dcterms:W3CDTF">2024-08-28T07:14:25Z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182DDABB7C174CA185A37F7BC558D0C8_12</vt:lpwstr>
  </property>
</Properties>
</file>