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before="166" w:line="179" w:lineRule="auto"/>
        <w:ind w:left="4762"/>
        <w:jc w:val="left"/>
        <w:textAlignment w:val="baseline"/>
        <w:rPr>
          <w:rFonts w:ascii="方正小标宋简体" w:hAnsi="方正小标宋简体" w:eastAsia="方正小标宋简体" w:cs="方正小标宋简体"/>
          <w:snapToGrid w:val="0"/>
          <w:color w:val="000000"/>
          <w:kern w:val="0"/>
          <w:sz w:val="43"/>
          <w:szCs w:val="43"/>
          <w:lang w:eastAsia="en-US"/>
        </w:rPr>
      </w:pPr>
      <w:r>
        <w:rPr>
          <w:rFonts w:ascii="方正小标宋简体" w:hAnsi="方正小标宋简体" w:eastAsia="方正小标宋简体" w:cs="方正小标宋简体"/>
          <w:snapToGrid w:val="0"/>
          <w:color w:val="000000"/>
          <w:spacing w:val="8"/>
          <w:kern w:val="0"/>
          <w:sz w:val="43"/>
          <w:szCs w:val="43"/>
          <w:lang w:eastAsia="en-US"/>
        </w:rPr>
        <w:t>行政执法事项目录清单</w:t>
      </w:r>
      <w:bookmarkStart w:id="0" w:name="_GoBack"/>
      <w:bookmarkEnd w:id="0"/>
    </w:p>
    <w:tbl>
      <w:tblPr>
        <w:tblStyle w:val="9"/>
        <w:tblW w:w="144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4"/>
        <w:gridCol w:w="6342"/>
        <w:gridCol w:w="1779"/>
        <w:gridCol w:w="2464"/>
        <w:gridCol w:w="1050"/>
        <w:gridCol w:w="986"/>
        <w:gridCol w:w="12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blHeader/>
        </w:trPr>
        <w:tc>
          <w:tcPr>
            <w:tcW w:w="604" w:type="dxa"/>
            <w:vAlign w:val="center"/>
          </w:tcPr>
          <w:p>
            <w:pPr>
              <w:keepNext w:val="0"/>
              <w:keepLines w:val="0"/>
              <w:pageBreakBefore w:val="0"/>
              <w:widowControl/>
              <w:kinsoku/>
              <w:wordWrap/>
              <w:overflowPunct/>
              <w:topLinePunct w:val="0"/>
              <w:autoSpaceDE w:val="0"/>
              <w:autoSpaceDN w:val="0"/>
              <w:bidi w:val="0"/>
              <w:adjustRightInd w:val="0"/>
              <w:snapToGrid w:val="0"/>
              <w:spacing w:line="241" w:lineRule="auto"/>
              <w:ind w:left="0"/>
              <w:jc w:val="center"/>
              <w:textAlignment w:val="baseline"/>
              <w:rPr>
                <w:rFonts w:hint="eastAsia" w:ascii="宋体" w:hAnsi="宋体" w:eastAsia="宋体" w:cs="宋体"/>
                <w:b/>
                <w:bCs/>
                <w:snapToGrid w:val="0"/>
                <w:color w:val="000000"/>
                <w:kern w:val="0"/>
                <w:sz w:val="24"/>
                <w:szCs w:val="24"/>
                <w:lang w:eastAsia="en-US"/>
              </w:rPr>
            </w:pPr>
            <w:r>
              <w:rPr>
                <w:rFonts w:hint="eastAsia" w:ascii="宋体" w:hAnsi="宋体" w:eastAsia="宋体" w:cs="宋体"/>
                <w:b/>
                <w:bCs/>
                <w:snapToGrid w:val="0"/>
                <w:color w:val="000000"/>
                <w:spacing w:val="-5"/>
                <w:kern w:val="0"/>
                <w:sz w:val="24"/>
                <w:szCs w:val="24"/>
                <w:lang w:eastAsia="en-US"/>
              </w:rPr>
              <w:t>序号</w:t>
            </w:r>
          </w:p>
        </w:tc>
        <w:tc>
          <w:tcPr>
            <w:tcW w:w="6342" w:type="dxa"/>
            <w:vAlign w:val="center"/>
          </w:tcPr>
          <w:p>
            <w:pPr>
              <w:keepNext w:val="0"/>
              <w:keepLines w:val="0"/>
              <w:pageBreakBefore w:val="0"/>
              <w:widowControl/>
              <w:kinsoku/>
              <w:wordWrap/>
              <w:overflowPunct/>
              <w:topLinePunct w:val="0"/>
              <w:autoSpaceDE w:val="0"/>
              <w:autoSpaceDN w:val="0"/>
              <w:bidi w:val="0"/>
              <w:adjustRightInd w:val="0"/>
              <w:snapToGrid w:val="0"/>
              <w:spacing w:line="239" w:lineRule="auto"/>
              <w:ind w:left="0"/>
              <w:jc w:val="center"/>
              <w:textAlignment w:val="baseline"/>
              <w:rPr>
                <w:rFonts w:hint="eastAsia" w:ascii="宋体" w:hAnsi="宋体" w:eastAsia="宋体" w:cs="宋体"/>
                <w:b/>
                <w:bCs/>
                <w:snapToGrid w:val="0"/>
                <w:color w:val="000000"/>
                <w:kern w:val="0"/>
                <w:sz w:val="24"/>
                <w:szCs w:val="24"/>
                <w:lang w:eastAsia="en-US"/>
              </w:rPr>
            </w:pPr>
            <w:r>
              <w:rPr>
                <w:rFonts w:hint="eastAsia" w:ascii="宋体" w:hAnsi="宋体" w:eastAsia="宋体" w:cs="宋体"/>
                <w:b/>
                <w:bCs/>
                <w:snapToGrid w:val="0"/>
                <w:color w:val="000000"/>
                <w:spacing w:val="-3"/>
                <w:kern w:val="0"/>
                <w:sz w:val="24"/>
                <w:szCs w:val="24"/>
                <w:lang w:eastAsia="en-US"/>
              </w:rPr>
              <w:t>事项名称</w:t>
            </w:r>
          </w:p>
        </w:tc>
        <w:tc>
          <w:tcPr>
            <w:tcW w:w="1779" w:type="dxa"/>
            <w:vAlign w:val="center"/>
          </w:tcPr>
          <w:p>
            <w:pPr>
              <w:keepNext w:val="0"/>
              <w:keepLines w:val="0"/>
              <w:pageBreakBefore w:val="0"/>
              <w:widowControl/>
              <w:kinsoku/>
              <w:wordWrap/>
              <w:overflowPunct/>
              <w:topLinePunct w:val="0"/>
              <w:autoSpaceDE w:val="0"/>
              <w:autoSpaceDN w:val="0"/>
              <w:bidi w:val="0"/>
              <w:adjustRightInd w:val="0"/>
              <w:snapToGrid w:val="0"/>
              <w:spacing w:line="239" w:lineRule="auto"/>
              <w:ind w:left="0"/>
              <w:jc w:val="center"/>
              <w:textAlignment w:val="baseline"/>
              <w:rPr>
                <w:rFonts w:hint="eastAsia" w:ascii="宋体" w:hAnsi="宋体" w:eastAsia="宋体" w:cs="宋体"/>
                <w:b/>
                <w:bCs/>
                <w:snapToGrid w:val="0"/>
                <w:color w:val="000000"/>
                <w:kern w:val="0"/>
                <w:sz w:val="24"/>
                <w:szCs w:val="24"/>
                <w:lang w:eastAsia="en-US"/>
              </w:rPr>
            </w:pPr>
            <w:r>
              <w:rPr>
                <w:rFonts w:hint="eastAsia" w:ascii="宋体" w:hAnsi="宋体" w:eastAsia="宋体" w:cs="宋体"/>
                <w:b/>
                <w:bCs/>
                <w:snapToGrid w:val="0"/>
                <w:color w:val="000000"/>
                <w:spacing w:val="-3"/>
                <w:kern w:val="0"/>
                <w:sz w:val="24"/>
                <w:szCs w:val="24"/>
                <w:lang w:eastAsia="en-US"/>
              </w:rPr>
              <w:t>事项类型</w:t>
            </w:r>
          </w:p>
        </w:tc>
        <w:tc>
          <w:tcPr>
            <w:tcW w:w="2464" w:type="dxa"/>
            <w:vAlign w:val="center"/>
          </w:tcPr>
          <w:p>
            <w:pPr>
              <w:keepNext w:val="0"/>
              <w:keepLines w:val="0"/>
              <w:pageBreakBefore w:val="0"/>
              <w:widowControl/>
              <w:kinsoku/>
              <w:wordWrap/>
              <w:overflowPunct/>
              <w:topLinePunct w:val="0"/>
              <w:autoSpaceDE w:val="0"/>
              <w:autoSpaceDN w:val="0"/>
              <w:bidi w:val="0"/>
              <w:adjustRightInd w:val="0"/>
              <w:snapToGrid w:val="0"/>
              <w:spacing w:line="237" w:lineRule="auto"/>
              <w:ind w:left="0"/>
              <w:jc w:val="center"/>
              <w:textAlignment w:val="baseline"/>
              <w:rPr>
                <w:rFonts w:hint="eastAsia" w:ascii="宋体" w:hAnsi="宋体" w:eastAsia="宋体" w:cs="宋体"/>
                <w:b/>
                <w:bCs/>
                <w:snapToGrid w:val="0"/>
                <w:color w:val="000000"/>
                <w:kern w:val="0"/>
                <w:sz w:val="24"/>
                <w:szCs w:val="24"/>
                <w:lang w:eastAsia="en-US"/>
              </w:rPr>
            </w:pPr>
            <w:r>
              <w:rPr>
                <w:rFonts w:hint="eastAsia" w:ascii="宋体" w:hAnsi="宋体" w:eastAsia="宋体" w:cs="宋体"/>
                <w:b/>
                <w:bCs/>
                <w:snapToGrid w:val="0"/>
                <w:color w:val="000000"/>
                <w:spacing w:val="-3"/>
                <w:kern w:val="0"/>
                <w:sz w:val="24"/>
                <w:szCs w:val="24"/>
                <w:lang w:eastAsia="en-US"/>
              </w:rPr>
              <w:t>执法依据</w:t>
            </w:r>
          </w:p>
        </w:tc>
        <w:tc>
          <w:tcPr>
            <w:tcW w:w="1050" w:type="dxa"/>
            <w:vAlign w:val="center"/>
          </w:tcPr>
          <w:p>
            <w:pPr>
              <w:keepNext w:val="0"/>
              <w:keepLines w:val="0"/>
              <w:pageBreakBefore w:val="0"/>
              <w:widowControl/>
              <w:kinsoku/>
              <w:wordWrap/>
              <w:overflowPunct/>
              <w:topLinePunct w:val="0"/>
              <w:autoSpaceDE w:val="0"/>
              <w:autoSpaceDN w:val="0"/>
              <w:bidi w:val="0"/>
              <w:adjustRightInd w:val="0"/>
              <w:snapToGrid w:val="0"/>
              <w:spacing w:line="239" w:lineRule="auto"/>
              <w:ind w:left="0"/>
              <w:jc w:val="center"/>
              <w:textAlignment w:val="baseline"/>
              <w:rPr>
                <w:rFonts w:hint="eastAsia" w:ascii="宋体" w:hAnsi="宋体" w:eastAsia="宋体" w:cs="宋体"/>
                <w:b/>
                <w:bCs/>
                <w:snapToGrid w:val="0"/>
                <w:color w:val="000000"/>
                <w:kern w:val="0"/>
                <w:sz w:val="24"/>
                <w:szCs w:val="24"/>
                <w:lang w:eastAsia="en-US"/>
              </w:rPr>
            </w:pPr>
            <w:r>
              <w:rPr>
                <w:rFonts w:hint="eastAsia" w:ascii="宋体" w:hAnsi="宋体" w:eastAsia="宋体" w:cs="宋体"/>
                <w:b/>
                <w:bCs/>
                <w:snapToGrid w:val="0"/>
                <w:color w:val="000000"/>
                <w:spacing w:val="-5"/>
                <w:kern w:val="0"/>
                <w:sz w:val="24"/>
                <w:szCs w:val="24"/>
                <w:lang w:eastAsia="en-US"/>
              </w:rPr>
              <w:t>责任主体</w:t>
            </w:r>
          </w:p>
        </w:tc>
        <w:tc>
          <w:tcPr>
            <w:tcW w:w="986" w:type="dxa"/>
            <w:vAlign w:val="center"/>
          </w:tcPr>
          <w:p>
            <w:pPr>
              <w:keepNext w:val="0"/>
              <w:keepLines w:val="0"/>
              <w:pageBreakBefore w:val="0"/>
              <w:widowControl/>
              <w:kinsoku/>
              <w:wordWrap/>
              <w:overflowPunct/>
              <w:topLinePunct w:val="0"/>
              <w:autoSpaceDE w:val="0"/>
              <w:autoSpaceDN w:val="0"/>
              <w:bidi w:val="0"/>
              <w:adjustRightInd w:val="0"/>
              <w:snapToGrid w:val="0"/>
              <w:spacing w:line="239" w:lineRule="auto"/>
              <w:ind w:left="0"/>
              <w:jc w:val="center"/>
              <w:textAlignment w:val="baseline"/>
              <w:rPr>
                <w:rFonts w:hint="eastAsia" w:ascii="宋体" w:hAnsi="宋体" w:eastAsia="宋体" w:cs="宋体"/>
                <w:b/>
                <w:bCs/>
                <w:snapToGrid w:val="0"/>
                <w:color w:val="000000"/>
                <w:kern w:val="0"/>
                <w:sz w:val="24"/>
                <w:szCs w:val="24"/>
                <w:lang w:eastAsia="en-US"/>
              </w:rPr>
            </w:pPr>
            <w:r>
              <w:rPr>
                <w:rFonts w:hint="eastAsia" w:ascii="宋体" w:hAnsi="宋体" w:eastAsia="宋体" w:cs="宋体"/>
                <w:b/>
                <w:bCs/>
                <w:snapToGrid w:val="0"/>
                <w:color w:val="000000"/>
                <w:spacing w:val="-4"/>
                <w:kern w:val="0"/>
                <w:sz w:val="24"/>
                <w:szCs w:val="24"/>
                <w:lang w:eastAsia="en-US"/>
              </w:rPr>
              <w:t>实施主体</w:t>
            </w:r>
          </w:p>
        </w:tc>
        <w:tc>
          <w:tcPr>
            <w:tcW w:w="1221" w:type="dxa"/>
            <w:vAlign w:val="center"/>
          </w:tcPr>
          <w:p>
            <w:pPr>
              <w:keepNext w:val="0"/>
              <w:keepLines w:val="0"/>
              <w:pageBreakBefore w:val="0"/>
              <w:widowControl/>
              <w:kinsoku/>
              <w:wordWrap/>
              <w:overflowPunct/>
              <w:topLinePunct w:val="0"/>
              <w:autoSpaceDE w:val="0"/>
              <w:autoSpaceDN w:val="0"/>
              <w:bidi w:val="0"/>
              <w:adjustRightInd w:val="0"/>
              <w:snapToGrid w:val="0"/>
              <w:spacing w:line="239" w:lineRule="auto"/>
              <w:ind w:left="0"/>
              <w:jc w:val="center"/>
              <w:textAlignment w:val="baseline"/>
              <w:rPr>
                <w:rFonts w:hint="eastAsia" w:ascii="宋体" w:hAnsi="宋体" w:eastAsia="宋体" w:cs="宋体"/>
                <w:b/>
                <w:bCs/>
                <w:snapToGrid w:val="0"/>
                <w:color w:val="000000"/>
                <w:kern w:val="0"/>
                <w:sz w:val="24"/>
                <w:szCs w:val="24"/>
                <w:lang w:eastAsia="en-US"/>
              </w:rPr>
            </w:pPr>
            <w:r>
              <w:rPr>
                <w:rFonts w:hint="eastAsia" w:ascii="宋体" w:hAnsi="宋体" w:eastAsia="宋体" w:cs="宋体"/>
                <w:b/>
                <w:bCs/>
                <w:snapToGrid w:val="0"/>
                <w:color w:val="000000"/>
                <w:spacing w:val="-7"/>
                <w:kern w:val="0"/>
                <w:sz w:val="24"/>
                <w:szCs w:val="24"/>
                <w:lang w:eastAsia="en-US"/>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604"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w:t>
            </w:r>
          </w:p>
        </w:tc>
        <w:tc>
          <w:tcPr>
            <w:tcW w:w="6342"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对被审计单位拒绝、拖延提供与审计事项有关资料，或者提供的资料不真实、不完整的，或者拖延、拒绝、阻碍检查,调査、核实有关情况，拒不改正的处罚。</w:t>
            </w:r>
          </w:p>
        </w:tc>
        <w:tc>
          <w:tcPr>
            <w:tcW w:w="1779"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行政处罚</w:t>
            </w:r>
          </w:p>
        </w:tc>
        <w:tc>
          <w:tcPr>
            <w:tcW w:w="2464"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《四川省行政权力指导清单（2021年本）》</w:t>
            </w:r>
          </w:p>
        </w:tc>
        <w:tc>
          <w:tcPr>
            <w:tcW w:w="1050"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剑阁县审计局</w:t>
            </w:r>
          </w:p>
        </w:tc>
        <w:tc>
          <w:tcPr>
            <w:tcW w:w="986"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剑阁县审计局</w:t>
            </w:r>
          </w:p>
        </w:tc>
        <w:tc>
          <w:tcPr>
            <w:tcW w:w="1221"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604"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w:t>
            </w:r>
          </w:p>
        </w:tc>
        <w:tc>
          <w:tcPr>
            <w:tcW w:w="6342"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对被审计单位违反国家规定的财务收支行为的处罚</w:t>
            </w:r>
          </w:p>
        </w:tc>
        <w:tc>
          <w:tcPr>
            <w:tcW w:w="1779"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行政处罚</w:t>
            </w:r>
          </w:p>
        </w:tc>
        <w:tc>
          <w:tcPr>
            <w:tcW w:w="2464"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《四川省行政权力指导清单（2021年本）》</w:t>
            </w:r>
          </w:p>
        </w:tc>
        <w:tc>
          <w:tcPr>
            <w:tcW w:w="1050" w:type="dxa"/>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剑阁县审计局</w:t>
            </w:r>
          </w:p>
        </w:tc>
        <w:tc>
          <w:tcPr>
            <w:tcW w:w="986" w:type="dxa"/>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剑阁县审计局</w:t>
            </w:r>
          </w:p>
        </w:tc>
        <w:tc>
          <w:tcPr>
            <w:tcW w:w="1221"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604"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w:t>
            </w:r>
          </w:p>
        </w:tc>
        <w:tc>
          <w:tcPr>
            <w:tcW w:w="6342"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对单位和个人截留、挪用、骗取国家建设资金”，违反国家投资建设项目有关规定行为的处罚</w:t>
            </w:r>
          </w:p>
        </w:tc>
        <w:tc>
          <w:tcPr>
            <w:tcW w:w="1779"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行政处罚</w:t>
            </w:r>
          </w:p>
        </w:tc>
        <w:tc>
          <w:tcPr>
            <w:tcW w:w="2464"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《四川省行政权力指导清单（2021年本）》</w:t>
            </w:r>
          </w:p>
        </w:tc>
        <w:tc>
          <w:tcPr>
            <w:tcW w:w="1050" w:type="dxa"/>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剑阁县审计局</w:t>
            </w:r>
          </w:p>
        </w:tc>
        <w:tc>
          <w:tcPr>
            <w:tcW w:w="986" w:type="dxa"/>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剑阁县审计局</w:t>
            </w:r>
          </w:p>
        </w:tc>
        <w:tc>
          <w:tcPr>
            <w:tcW w:w="1221"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604"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w:t>
            </w:r>
          </w:p>
        </w:tc>
        <w:tc>
          <w:tcPr>
            <w:tcW w:w="6342"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对企业与个人骗取、挪用财政资金以及政府承贷或者担保的外国政府贷款、国际金融组织贷款从无偿使用的财政资金以及政府承贷或者担保的外国政府贷款，国际金融组织贷款中非法获益,及其他违反规定使用、骗取财政资金以及其他政府承贷或者担保的外国政府贷款、国际金融组织贷款行为的处罚。</w:t>
            </w:r>
          </w:p>
        </w:tc>
        <w:tc>
          <w:tcPr>
            <w:tcW w:w="1779"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行政处罚</w:t>
            </w:r>
          </w:p>
        </w:tc>
        <w:tc>
          <w:tcPr>
            <w:tcW w:w="2464"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《四川省行政权力指导清单（2021年本）》</w:t>
            </w:r>
          </w:p>
        </w:tc>
        <w:tc>
          <w:tcPr>
            <w:tcW w:w="1050" w:type="dxa"/>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剑阁县审计局</w:t>
            </w:r>
          </w:p>
        </w:tc>
        <w:tc>
          <w:tcPr>
            <w:tcW w:w="986" w:type="dxa"/>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剑阁县审计局</w:t>
            </w:r>
          </w:p>
        </w:tc>
        <w:tc>
          <w:tcPr>
            <w:tcW w:w="1221"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604"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w:t>
            </w:r>
          </w:p>
        </w:tc>
        <w:tc>
          <w:tcPr>
            <w:tcW w:w="6342"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对企业和个人隐瞒应当上缴的财政收入，截留代收的财政收入，及其他不缴或者少缴财政收入行为的处罚。</w:t>
            </w:r>
          </w:p>
        </w:tc>
        <w:tc>
          <w:tcPr>
            <w:tcW w:w="1779"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行政处罚</w:t>
            </w:r>
          </w:p>
        </w:tc>
        <w:tc>
          <w:tcPr>
            <w:tcW w:w="2464"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《四川省行政权力指导清单（2021年本）》</w:t>
            </w:r>
          </w:p>
        </w:tc>
        <w:tc>
          <w:tcPr>
            <w:tcW w:w="1050" w:type="dxa"/>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剑阁县审计局</w:t>
            </w:r>
          </w:p>
        </w:tc>
        <w:tc>
          <w:tcPr>
            <w:tcW w:w="986" w:type="dxa"/>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剑阁县审计局</w:t>
            </w:r>
          </w:p>
        </w:tc>
        <w:tc>
          <w:tcPr>
            <w:tcW w:w="1221"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604"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6</w:t>
            </w:r>
          </w:p>
        </w:tc>
        <w:tc>
          <w:tcPr>
            <w:tcW w:w="6342"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对单位和个人违反规定印制财政收入票据</w:t>
            </w:r>
            <w:r>
              <w:rPr>
                <w:rFonts w:hint="eastAsia" w:ascii="宋体" w:hAnsi="宋体" w:eastAsia="宋体"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转借、串用、代开财政收入票据，伪造、变造、买卖、擅自销毁财政收入票据，伪造、使用伪造的财政收入票据监</w:t>
            </w:r>
            <w:r>
              <w:rPr>
                <w:rFonts w:hint="eastAsia" w:ascii="宋体" w:hAnsi="宋体" w:eastAsia="宋体"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印</w:t>
            </w:r>
            <w:r>
              <w:rPr>
                <w:rFonts w:hint="eastAsia" w:ascii="宋体" w:hAnsi="宋体" w:eastAsia="宋体"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制章的处罚。</w:t>
            </w:r>
          </w:p>
        </w:tc>
        <w:tc>
          <w:tcPr>
            <w:tcW w:w="1779"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行政处罚</w:t>
            </w:r>
          </w:p>
        </w:tc>
        <w:tc>
          <w:tcPr>
            <w:tcW w:w="2464"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《四川省行政权力指导清单（2021年本）》</w:t>
            </w:r>
          </w:p>
        </w:tc>
        <w:tc>
          <w:tcPr>
            <w:tcW w:w="1050" w:type="dxa"/>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剑阁县审计局</w:t>
            </w:r>
          </w:p>
        </w:tc>
        <w:tc>
          <w:tcPr>
            <w:tcW w:w="986" w:type="dxa"/>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剑阁县审计局</w:t>
            </w:r>
          </w:p>
        </w:tc>
        <w:tc>
          <w:tcPr>
            <w:tcW w:w="1221"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604"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7</w:t>
            </w:r>
          </w:p>
        </w:tc>
        <w:tc>
          <w:tcPr>
            <w:tcW w:w="6342"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对建设单位或者代建单位未按规定提请办理竣工决</w:t>
            </w:r>
            <w:r>
              <w:rPr>
                <w:rFonts w:hint="eastAsia" w:ascii="宋体" w:hAnsi="宋体" w:eastAsia="宋体"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结</w:t>
            </w:r>
            <w:r>
              <w:rPr>
                <w:rFonts w:hint="eastAsia" w:ascii="宋体" w:hAnsi="宋体" w:eastAsia="宋体"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算审计的处罚。</w:t>
            </w:r>
          </w:p>
        </w:tc>
        <w:tc>
          <w:tcPr>
            <w:tcW w:w="1779"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行政处罚</w:t>
            </w:r>
          </w:p>
        </w:tc>
        <w:tc>
          <w:tcPr>
            <w:tcW w:w="2464"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《四川省行政权力指导清单（2021年本）》</w:t>
            </w:r>
          </w:p>
        </w:tc>
        <w:tc>
          <w:tcPr>
            <w:tcW w:w="1050" w:type="dxa"/>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剑阁县审计局</w:t>
            </w:r>
          </w:p>
        </w:tc>
        <w:tc>
          <w:tcPr>
            <w:tcW w:w="986" w:type="dxa"/>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剑阁县审计局</w:t>
            </w:r>
          </w:p>
        </w:tc>
        <w:tc>
          <w:tcPr>
            <w:tcW w:w="1221"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604"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8</w:t>
            </w:r>
          </w:p>
        </w:tc>
        <w:tc>
          <w:tcPr>
            <w:tcW w:w="6342"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封存有关资料和违反国家规定取得的资产</w:t>
            </w:r>
          </w:p>
        </w:tc>
        <w:tc>
          <w:tcPr>
            <w:tcW w:w="1779"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行政强制</w:t>
            </w:r>
          </w:p>
        </w:tc>
        <w:tc>
          <w:tcPr>
            <w:tcW w:w="2464"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《四川省行政权力指导清单（2021年本）》</w:t>
            </w:r>
          </w:p>
        </w:tc>
        <w:tc>
          <w:tcPr>
            <w:tcW w:w="1050" w:type="dxa"/>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剑阁县审计局</w:t>
            </w:r>
          </w:p>
        </w:tc>
        <w:tc>
          <w:tcPr>
            <w:tcW w:w="986" w:type="dxa"/>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剑阁县审计局</w:t>
            </w:r>
          </w:p>
        </w:tc>
        <w:tc>
          <w:tcPr>
            <w:tcW w:w="1221"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604"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9</w:t>
            </w:r>
          </w:p>
        </w:tc>
        <w:tc>
          <w:tcPr>
            <w:tcW w:w="6342"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通知财政部门暂停拨付与财政违法行为直接有关的款项</w:t>
            </w:r>
          </w:p>
        </w:tc>
        <w:tc>
          <w:tcPr>
            <w:tcW w:w="1779"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其他行政权力</w:t>
            </w:r>
          </w:p>
        </w:tc>
        <w:tc>
          <w:tcPr>
            <w:tcW w:w="2464"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《四川省行政权力指导清单（2021年本）》</w:t>
            </w:r>
          </w:p>
        </w:tc>
        <w:tc>
          <w:tcPr>
            <w:tcW w:w="1050" w:type="dxa"/>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剑阁县审计局</w:t>
            </w:r>
          </w:p>
        </w:tc>
        <w:tc>
          <w:tcPr>
            <w:tcW w:w="986" w:type="dxa"/>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剑阁县审计局</w:t>
            </w:r>
          </w:p>
        </w:tc>
        <w:tc>
          <w:tcPr>
            <w:tcW w:w="1221"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napToGrid w:val="0"/>
                <w:color w:val="000000"/>
                <w:kern w:val="0"/>
                <w:sz w:val="24"/>
                <w:szCs w:val="24"/>
                <w:lang w:val="en-US" w:eastAsia="en-US" w:bidi="ar-SA"/>
              </w:rPr>
            </w:pPr>
          </w:p>
        </w:tc>
      </w:tr>
    </w:tbl>
    <w:p>
      <w:pPr>
        <w:keepNext w:val="0"/>
        <w:keepLines w:val="0"/>
        <w:pageBreakBefore w:val="0"/>
        <w:widowControl/>
        <w:kinsoku/>
        <w:wordWrap/>
        <w:overflowPunct/>
        <w:topLinePunct w:val="0"/>
        <w:autoSpaceDE w:val="0"/>
        <w:autoSpaceDN w:val="0"/>
        <w:bidi w:val="0"/>
        <w:adjustRightInd w:val="0"/>
        <w:snapToGrid w:val="0"/>
        <w:spacing w:before="193" w:line="360" w:lineRule="atLeast"/>
        <w:ind w:right="6757"/>
        <w:jc w:val="center"/>
        <w:textAlignment w:val="baseline"/>
        <w:rPr>
          <w:rFonts w:ascii="仿宋" w:hAnsi="仿宋" w:eastAsia="仿宋" w:cs="仿宋"/>
          <w:snapToGrid w:val="0"/>
          <w:color w:val="000000"/>
          <w:spacing w:val="-19"/>
          <w:kern w:val="0"/>
          <w:sz w:val="24"/>
          <w:szCs w:val="24"/>
          <w:lang w:eastAsia="en-US"/>
        </w:rPr>
      </w:pPr>
    </w:p>
    <w:sectPr>
      <w:footerReference r:id="rId3" w:type="default"/>
      <w:pgSz w:w="16838" w:h="11905" w:orient="landscape"/>
      <w:pgMar w:top="1984" w:right="1417" w:bottom="1417" w:left="1417" w:header="0" w:footer="1417" w:gutter="0"/>
      <w:paperSrc/>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embedRegular r:id="rId1" w:fontKey="{0689A16B-A91E-4A91-B628-CE5A13E69D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79" w:lineRule="auto"/>
      <w:ind w:left="8031"/>
      <w:jc w:val="left"/>
      <w:textAlignment w:val="baseline"/>
      <w:rPr>
        <w:rFonts w:ascii="宋体" w:hAnsi="宋体" w:eastAsia="宋体" w:cs="宋体"/>
        <w:snapToGrid w:val="0"/>
        <w:color w:val="000000"/>
        <w:kern w:val="0"/>
        <w:sz w:val="31"/>
        <w:szCs w:val="31"/>
        <w:lang w:eastAsia="en-US"/>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iNmM1ODIwOWVmODU3MWIwMDhkODc1MDNlYTUyZDcifQ=="/>
  </w:docVars>
  <w:rsids>
    <w:rsidRoot w:val="2DDF584D"/>
    <w:rsid w:val="005574FC"/>
    <w:rsid w:val="06846D8D"/>
    <w:rsid w:val="06FC2DC7"/>
    <w:rsid w:val="07EA70C4"/>
    <w:rsid w:val="09304CDA"/>
    <w:rsid w:val="095C5D9F"/>
    <w:rsid w:val="0C0D15D3"/>
    <w:rsid w:val="0D335069"/>
    <w:rsid w:val="0DE70BA4"/>
    <w:rsid w:val="0F9C5147"/>
    <w:rsid w:val="11001706"/>
    <w:rsid w:val="11AE4CBE"/>
    <w:rsid w:val="136C3083"/>
    <w:rsid w:val="167E55A7"/>
    <w:rsid w:val="18874D72"/>
    <w:rsid w:val="19102702"/>
    <w:rsid w:val="1F9E0E74"/>
    <w:rsid w:val="24920CB1"/>
    <w:rsid w:val="284D1F6A"/>
    <w:rsid w:val="286A22CA"/>
    <w:rsid w:val="29A808AE"/>
    <w:rsid w:val="2BD1187D"/>
    <w:rsid w:val="2DDF584D"/>
    <w:rsid w:val="2E0C4DEE"/>
    <w:rsid w:val="2E314855"/>
    <w:rsid w:val="2F5B050E"/>
    <w:rsid w:val="31201483"/>
    <w:rsid w:val="32DE61E4"/>
    <w:rsid w:val="33977850"/>
    <w:rsid w:val="34E31C10"/>
    <w:rsid w:val="3BFC5A50"/>
    <w:rsid w:val="3CE55188"/>
    <w:rsid w:val="44F763A1"/>
    <w:rsid w:val="463B050F"/>
    <w:rsid w:val="473952DC"/>
    <w:rsid w:val="474156B1"/>
    <w:rsid w:val="48194880"/>
    <w:rsid w:val="4C6065D9"/>
    <w:rsid w:val="4E5A7AF9"/>
    <w:rsid w:val="4E9B1B4B"/>
    <w:rsid w:val="4EEE25C2"/>
    <w:rsid w:val="50B82E88"/>
    <w:rsid w:val="518E1E3B"/>
    <w:rsid w:val="52F061DD"/>
    <w:rsid w:val="570F30D6"/>
    <w:rsid w:val="57853398"/>
    <w:rsid w:val="5C245875"/>
    <w:rsid w:val="5ED510A9"/>
    <w:rsid w:val="60C413D5"/>
    <w:rsid w:val="625D3909"/>
    <w:rsid w:val="632443AD"/>
    <w:rsid w:val="64D67929"/>
    <w:rsid w:val="65875B1F"/>
    <w:rsid w:val="69872FA0"/>
    <w:rsid w:val="69ED1F43"/>
    <w:rsid w:val="6AB37DC4"/>
    <w:rsid w:val="7075647E"/>
    <w:rsid w:val="70BC0FD8"/>
    <w:rsid w:val="71D15BC9"/>
    <w:rsid w:val="76C23869"/>
    <w:rsid w:val="790243F1"/>
    <w:rsid w:val="79226841"/>
    <w:rsid w:val="795F1319"/>
    <w:rsid w:val="7E8F2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Body Text"/>
    <w:basedOn w:val="1"/>
    <w:qFormat/>
    <w:uiPriority w:val="0"/>
    <w:pPr>
      <w:ind w:leftChars="100" w:rightChars="1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1441</Words>
  <Characters>1459</Characters>
  <Lines>0</Lines>
  <Paragraphs>0</Paragraphs>
  <TotalTime>270</TotalTime>
  <ScaleCrop>false</ScaleCrop>
  <LinksUpToDate>false</LinksUpToDate>
  <CharactersWithSpaces>1546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2024-09-23T01:25:00Z</dcterms:created>
  <dc:creator>未泊信液轮</dc:creator>
  <cp:lastModifiedBy>心情驿站</cp:lastModifiedBy>
  <cp:lastPrinted>2024-12-13T07:53:00Z</cp:lastPrinted>
  <dcterms:modified xsi:type="dcterms:W3CDTF">2024-12-18T09:11:10Z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F9E4D1D1CD11430081C6B174BC704606_13</vt:lpwstr>
  </property>
</Properties>
</file>