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rPr>
      </w:pPr>
      <w:bookmarkStart w:id="0" w:name="_Toc15306267"/>
      <w:bookmarkStart w:id="29" w:name="_GoBack"/>
      <w:bookmarkEnd w:id="29"/>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hint="eastAsia" w:ascii="方正小标宋简体" w:hAnsi="方正小标宋简体" w:eastAsia="方正小标宋简体" w:cs="方正小标宋简体"/>
          <w:sz w:val="72"/>
          <w:szCs w:val="72"/>
        </w:rPr>
      </w:pPr>
      <w:bookmarkStart w:id="1" w:name="_Toc15396597"/>
      <w:bookmarkStart w:id="2" w:name="_Toc15377193"/>
      <w:bookmarkStart w:id="3" w:name="_Toc15378441"/>
      <w:bookmarkStart w:id="4" w:name="_Toc15396475"/>
      <w:bookmarkStart w:id="5" w:name="_Toc15377425"/>
    </w:p>
    <w:p>
      <w:pPr>
        <w:adjustRightInd w:val="0"/>
        <w:snapToGrid w:val="0"/>
        <w:spacing w:line="360" w:lineRule="auto"/>
        <w:jc w:val="center"/>
        <w:outlineLvl w:val="0"/>
        <w:rPr>
          <w:rFonts w:hint="eastAsia" w:ascii="方正小标宋简体" w:hAnsi="方正小标宋简体" w:eastAsia="方正小标宋简体" w:cs="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2022年度</w:t>
      </w:r>
      <w:bookmarkEnd w:id="1"/>
      <w:bookmarkEnd w:id="2"/>
      <w:bookmarkEnd w:id="3"/>
      <w:bookmarkEnd w:id="4"/>
      <w:bookmarkEnd w:id="5"/>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78442"/>
      <w:bookmarkStart w:id="7" w:name="_Toc15396598"/>
      <w:bookmarkStart w:id="8" w:name="_Toc15377194"/>
      <w:bookmarkStart w:id="9" w:name="_Toc15396476"/>
      <w:bookmarkStart w:id="10" w:name="_Toc15377426"/>
      <w:r>
        <w:rPr>
          <w:rFonts w:hint="eastAsia" w:ascii="方正小标宋简体" w:hAnsi="方正小标宋简体" w:eastAsia="方正小标宋简体" w:cs="方正小标宋简体"/>
          <w:sz w:val="72"/>
          <w:szCs w:val="72"/>
        </w:rPr>
        <w:t>剑阁县</w:t>
      </w:r>
      <w:bookmarkEnd w:id="0"/>
      <w:bookmarkStart w:id="11" w:name="_Toc15306268"/>
      <w:r>
        <w:rPr>
          <w:rFonts w:hint="eastAsia" w:ascii="方正小标宋简体" w:hAnsi="方正小标宋简体" w:eastAsia="方正小标宋简体" w:cs="方正小标宋简体"/>
          <w:sz w:val="72"/>
          <w:szCs w:val="72"/>
          <w:lang w:eastAsia="zh-CN"/>
        </w:rPr>
        <w:t>民政局部门</w:t>
      </w:r>
      <w:r>
        <w:rPr>
          <w:rFonts w:hint="eastAsia" w:ascii="方正小标宋简体" w:hAnsi="方正小标宋简体" w:eastAsia="方正小标宋简体" w:cs="方正小标宋简体"/>
          <w:sz w:val="72"/>
          <w:szCs w:val="72"/>
        </w:rPr>
        <w:t>决算</w:t>
      </w:r>
      <w:bookmarkEnd w:id="6"/>
      <w:bookmarkEnd w:id="7"/>
      <w:bookmarkEnd w:id="8"/>
      <w:bookmarkEnd w:id="9"/>
      <w:bookmarkEnd w:id="10"/>
      <w:bookmarkEnd w:id="11"/>
    </w:p>
    <w:p>
      <w:pPr>
        <w:widowControl/>
        <w:jc w:val="center"/>
        <w:rPr>
          <w:rFonts w:ascii="方正小标宋简体" w:hAnsi="宋体" w:eastAsia="方正小标宋简体"/>
          <w:sz w:val="36"/>
          <w:szCs w:val="36"/>
        </w:rPr>
      </w:pPr>
      <w:r>
        <w:rPr>
          <w:rFonts w:ascii="方正小标宋简体" w:hAnsi="宋体" w:eastAsia="方正小标宋简体"/>
          <w:sz w:val="36"/>
          <w:szCs w:val="36"/>
        </w:rPr>
        <w:br w:type="page"/>
      </w:r>
    </w:p>
    <w:p>
      <w:pPr>
        <w:widowControl/>
        <w:jc w:val="center"/>
        <w:rPr>
          <w:rFonts w:cs="仿宋_GB2312" w:asciiTheme="minorEastAsia" w:hAnsiTheme="minorEastAsia" w:eastAsiaTheme="minorEastAsia"/>
          <w:b/>
          <w:bCs/>
          <w:color w:val="000000"/>
          <w:kern w:val="0"/>
          <w:sz w:val="52"/>
          <w:szCs w:val="52"/>
          <w:lang w:bidi="ar"/>
        </w:rPr>
      </w:pPr>
      <w:r>
        <w:rPr>
          <w:rFonts w:hint="eastAsia" w:cs="仿宋_GB2312" w:asciiTheme="minorEastAsia" w:hAnsiTheme="minorEastAsia" w:eastAsiaTheme="minorEastAsia"/>
          <w:b/>
          <w:bCs/>
          <w:color w:val="000000"/>
          <w:kern w:val="0"/>
          <w:sz w:val="52"/>
          <w:szCs w:val="52"/>
          <w:lang w:bidi="ar"/>
        </w:rPr>
        <w:t>目 录</w:t>
      </w:r>
    </w:p>
    <w:p>
      <w:pPr>
        <w:widowControl/>
        <w:jc w:val="center"/>
        <w:rPr>
          <w:rFonts w:hint="eastAsia" w:cs="楷体_GB2312" w:asciiTheme="minorEastAsia" w:hAnsiTheme="minorEastAsia" w:eastAsiaTheme="minorEastAsia"/>
          <w:color w:val="000000"/>
          <w:kern w:val="0"/>
          <w:sz w:val="28"/>
          <w:szCs w:val="28"/>
          <w:lang w:eastAsia="zh-CN" w:bidi="ar"/>
        </w:rPr>
      </w:pPr>
    </w:p>
    <w:p>
      <w:pPr>
        <w:widowControl/>
        <w:jc w:val="center"/>
        <w:rPr>
          <w:rFonts w:hint="default" w:ascii="仿宋" w:hAnsi="仿宋" w:eastAsia="仿宋" w:cs="Times New Roman"/>
          <w:color w:val="000000" w:themeColor="text1"/>
          <w:sz w:val="32"/>
          <w:szCs w:val="32"/>
          <w:lang w:val="en-US" w:eastAsia="zh-CN"/>
          <w14:textFill>
            <w14:solidFill>
              <w14:schemeClr w14:val="tx1"/>
            </w14:solidFill>
          </w14:textFill>
        </w:rPr>
      </w:pPr>
      <w:r>
        <w:rPr>
          <w:rFonts w:hint="eastAsia" w:ascii="仿宋" w:hAnsi="仿宋" w:eastAsia="仿宋" w:cs="Times New Roman"/>
          <w:color w:val="000000" w:themeColor="text1"/>
          <w:sz w:val="32"/>
          <w:szCs w:val="32"/>
          <w:lang w:val="en-US" w:eastAsia="zh-CN"/>
          <w14:textFill>
            <w14:solidFill>
              <w14:schemeClr w14:val="tx1"/>
            </w14:solidFill>
          </w14:textFill>
        </w:rPr>
        <w:t>公开时间：2023年10月25日</w:t>
      </w:r>
    </w:p>
    <w:p>
      <w:pPr>
        <w:widowControl/>
        <w:jc w:val="left"/>
        <w:rPr>
          <w:rFonts w:hint="eastAsia" w:cs="仿宋_GB2312" w:asciiTheme="minorEastAsia" w:hAnsiTheme="minorEastAsia" w:eastAsiaTheme="minorEastAsia"/>
          <w:b/>
          <w:bCs/>
          <w:color w:val="000000"/>
          <w:kern w:val="0"/>
          <w:sz w:val="18"/>
          <w:szCs w:val="18"/>
          <w:lang w:bidi="ar"/>
        </w:rPr>
      </w:pPr>
    </w:p>
    <w:p>
      <w:pPr>
        <w:widowControl/>
        <w:jc w:val="left"/>
        <w:rPr>
          <w:rFonts w:cs="仿宋_GB2312" w:asciiTheme="minorEastAsia" w:hAnsiTheme="minorEastAsia" w:eastAsiaTheme="minorEastAsia"/>
          <w:color w:val="000000"/>
          <w:kern w:val="0"/>
          <w:sz w:val="32"/>
          <w:szCs w:val="32"/>
          <w:lang w:bidi="ar"/>
        </w:rPr>
      </w:pPr>
      <w:r>
        <w:rPr>
          <w:rFonts w:hint="eastAsia" w:ascii="黑体" w:hAnsi="黑体" w:eastAsia="黑体" w:cs="黑体"/>
          <w:b/>
          <w:bCs/>
          <w:color w:val="000000"/>
          <w:kern w:val="0"/>
          <w:sz w:val="32"/>
          <w:szCs w:val="32"/>
          <w:lang w:bidi="ar"/>
        </w:rPr>
        <w:t>第一部分 部门概况</w:t>
      </w:r>
      <w:r>
        <w:rPr>
          <w:rFonts w:hint="eastAsia" w:ascii="黑体" w:hAnsi="黑体" w:eastAsia="黑体" w:cs="黑体"/>
          <w:color w:val="000000"/>
          <w:kern w:val="0"/>
          <w:sz w:val="32"/>
          <w:szCs w:val="32"/>
          <w:lang w:bidi="ar"/>
        </w:rPr>
        <w:t xml:space="preserve"> .</w:t>
      </w:r>
      <w:r>
        <w:rPr>
          <w:rFonts w:hint="eastAsia" w:cs="仿宋_GB2312" w:asciiTheme="minorEastAsia" w:hAnsiTheme="minorEastAsia" w:eastAsiaTheme="minorEastAsia"/>
          <w:color w:val="000000"/>
          <w:kern w:val="0"/>
          <w:sz w:val="32"/>
          <w:szCs w:val="32"/>
          <w:lang w:bidi="ar"/>
        </w:rPr>
        <w:t xml:space="preserve"> ............................</w:t>
      </w:r>
      <w:r>
        <w:rPr>
          <w:rFonts w:hint="eastAsia" w:cs="仿宋_GB2312" w:asciiTheme="minorEastAsia" w:hAnsiTheme="minorEastAsia" w:eastAsiaTheme="minorEastAsia"/>
          <w:color w:val="000000"/>
          <w:kern w:val="0"/>
          <w:sz w:val="32"/>
          <w:szCs w:val="32"/>
          <w:lang w:val="en-US" w:eastAsia="zh-CN" w:bidi="ar"/>
        </w:rPr>
        <w:t>.</w:t>
      </w:r>
      <w:r>
        <w:rPr>
          <w:rFonts w:hint="eastAsia" w:cs="仿宋_GB2312" w:asciiTheme="minorEastAsia" w:hAnsiTheme="minorEastAsia" w:eastAsiaTheme="minorEastAsia"/>
          <w:color w:val="000000"/>
          <w:kern w:val="0"/>
          <w:sz w:val="32"/>
          <w:szCs w:val="32"/>
          <w:lang w:bidi="ar"/>
        </w:rPr>
        <w:t xml:space="preserve">4 </w:t>
      </w:r>
    </w:p>
    <w:p>
      <w:pPr>
        <w:widowControl/>
        <w:jc w:val="left"/>
        <w:rPr>
          <w:rFonts w:hint="eastAsia" w:cs="仿宋_GB2312" w:asciiTheme="minorEastAsia" w:hAnsiTheme="minorEastAsia" w:eastAsiaTheme="minorEastAsia"/>
          <w:color w:val="000000"/>
          <w:kern w:val="0"/>
          <w:sz w:val="32"/>
          <w:szCs w:val="32"/>
          <w:lang w:bidi="ar"/>
        </w:rPr>
      </w:pPr>
      <w:r>
        <w:rPr>
          <w:rFonts w:hint="eastAsia" w:ascii="仿宋" w:hAnsi="仿宋" w:eastAsia="仿宋" w:cs="Times New Roman"/>
          <w:sz w:val="32"/>
          <w:szCs w:val="32"/>
          <w:lang w:val="en-US" w:eastAsia="zh-CN"/>
        </w:rPr>
        <w:t>一、主要</w:t>
      </w:r>
      <w:r>
        <w:rPr>
          <w:rFonts w:hint="eastAsia" w:ascii="仿宋" w:hAnsi="仿宋" w:eastAsia="仿宋" w:cs="Times New Roman"/>
          <w:b w:val="0"/>
          <w:bCs w:val="0"/>
          <w:sz w:val="32"/>
          <w:szCs w:val="32"/>
          <w:lang w:val="en-US" w:eastAsia="zh-CN"/>
        </w:rPr>
        <w:t>职责及重点</w:t>
      </w:r>
      <w:r>
        <w:rPr>
          <w:rFonts w:hint="eastAsia" w:ascii="仿宋" w:hAnsi="仿宋" w:eastAsia="仿宋" w:cs="Times New Roman"/>
          <w:sz w:val="32"/>
          <w:szCs w:val="32"/>
          <w:lang w:val="en-US" w:eastAsia="zh-CN"/>
        </w:rPr>
        <w:t>工作</w:t>
      </w:r>
      <w:r>
        <w:rPr>
          <w:rFonts w:hint="eastAsia" w:cs="仿宋_GB2312" w:asciiTheme="minorEastAsia" w:hAnsiTheme="minorEastAsia" w:eastAsiaTheme="minorEastAsia"/>
          <w:color w:val="000000"/>
          <w:kern w:val="0"/>
          <w:sz w:val="32"/>
          <w:szCs w:val="32"/>
          <w:lang w:bidi="ar"/>
        </w:rPr>
        <w:t xml:space="preserve"> ........................</w:t>
      </w:r>
      <w:r>
        <w:rPr>
          <w:rFonts w:hint="eastAsia" w:cs="仿宋_GB2312" w:asciiTheme="minorEastAsia" w:hAnsiTheme="minorEastAsia" w:eastAsiaTheme="minorEastAsia"/>
          <w:color w:val="000000"/>
          <w:kern w:val="0"/>
          <w:sz w:val="32"/>
          <w:szCs w:val="32"/>
          <w:lang w:val="en-US" w:eastAsia="zh-CN" w:bidi="ar"/>
        </w:rPr>
        <w:t>.</w:t>
      </w:r>
      <w:r>
        <w:rPr>
          <w:rFonts w:hint="eastAsia" w:cs="仿宋_GB2312" w:asciiTheme="minorEastAsia" w:hAnsiTheme="minorEastAsia" w:eastAsiaTheme="minorEastAsia"/>
          <w:color w:val="000000"/>
          <w:kern w:val="0"/>
          <w:sz w:val="32"/>
          <w:szCs w:val="32"/>
          <w:lang w:bidi="ar"/>
        </w:rPr>
        <w:t xml:space="preserve">.4 </w:t>
      </w:r>
    </w:p>
    <w:p>
      <w:pPr>
        <w:widowControl/>
        <w:jc w:val="left"/>
        <w:rPr>
          <w:rFonts w:hint="default" w:cs="仿宋_GB2312" w:asciiTheme="minorEastAsia" w:hAnsiTheme="minorEastAsia" w:eastAsiaTheme="minorEastAsia"/>
          <w:color w:val="000000"/>
          <w:kern w:val="0"/>
          <w:sz w:val="32"/>
          <w:szCs w:val="32"/>
          <w:lang w:val="en-US" w:eastAsia="zh-CN" w:bidi="ar"/>
        </w:rPr>
      </w:pPr>
      <w:r>
        <w:rPr>
          <w:rFonts w:hint="eastAsia" w:ascii="仿宋" w:hAnsi="仿宋" w:eastAsia="仿宋"/>
          <w:sz w:val="32"/>
          <w:szCs w:val="32"/>
          <w:lang w:val="en-US" w:eastAsia="zh-CN"/>
        </w:rPr>
        <w:t>（一）部门职责.</w:t>
      </w:r>
      <w:r>
        <w:rPr>
          <w:rFonts w:hint="eastAsia" w:cs="仿宋_GB2312" w:asciiTheme="minorEastAsia" w:hAnsiTheme="minorEastAsia" w:eastAsiaTheme="minorEastAsia"/>
          <w:color w:val="000000"/>
          <w:kern w:val="0"/>
          <w:sz w:val="32"/>
          <w:szCs w:val="32"/>
          <w:lang w:val="en-US" w:eastAsia="zh-CN" w:bidi="ar"/>
        </w:rPr>
        <w:t>...................................4</w:t>
      </w:r>
    </w:p>
    <w:p>
      <w:pPr>
        <w:widowControl/>
        <w:jc w:val="left"/>
        <w:rPr>
          <w:rFonts w:hint="default" w:cs="仿宋_GB2312" w:asciiTheme="minorEastAsia" w:hAnsiTheme="minorEastAsia" w:eastAsiaTheme="minorEastAsia"/>
          <w:color w:val="000000"/>
          <w:kern w:val="0"/>
          <w:sz w:val="32"/>
          <w:szCs w:val="32"/>
          <w:lang w:val="en-US" w:eastAsia="zh-CN" w:bidi="ar"/>
        </w:rPr>
      </w:pPr>
      <w:r>
        <w:rPr>
          <w:rFonts w:hint="eastAsia" w:ascii="仿宋" w:hAnsi="仿宋" w:eastAsia="仿宋" w:cs="Times New Roman"/>
          <w:sz w:val="32"/>
          <w:szCs w:val="32"/>
          <w:lang w:val="en-US" w:eastAsia="zh-CN"/>
        </w:rPr>
        <w:t>（二）2022年重点工作完成情况.</w:t>
      </w:r>
      <w:r>
        <w:rPr>
          <w:rFonts w:hint="eastAsia" w:cs="仿宋_GB2312" w:asciiTheme="minorEastAsia" w:hAnsiTheme="minorEastAsia" w:eastAsiaTheme="minorEastAsia"/>
          <w:color w:val="000000"/>
          <w:kern w:val="0"/>
          <w:sz w:val="32"/>
          <w:szCs w:val="32"/>
          <w:lang w:val="en-US" w:eastAsia="zh-CN" w:bidi="ar"/>
        </w:rPr>
        <w:t>....................6</w:t>
      </w:r>
    </w:p>
    <w:p>
      <w:pPr>
        <w:widowControl/>
        <w:jc w:val="left"/>
        <w:rPr>
          <w:rFonts w:hint="default" w:cs="仿宋_GB2312" w:asciiTheme="minorEastAsia" w:hAnsiTheme="minorEastAsia" w:eastAsiaTheme="minorEastAsia"/>
          <w:color w:val="000000"/>
          <w:kern w:val="0"/>
          <w:sz w:val="32"/>
          <w:szCs w:val="32"/>
          <w:lang w:val="en-US" w:bidi="ar"/>
        </w:rPr>
      </w:pPr>
      <w:r>
        <w:rPr>
          <w:rFonts w:hint="eastAsia" w:ascii="仿宋" w:hAnsi="仿宋" w:eastAsia="仿宋" w:cs="Times New Roman"/>
          <w:sz w:val="32"/>
          <w:szCs w:val="32"/>
          <w:lang w:val="en-US" w:eastAsia="zh-CN"/>
        </w:rPr>
        <w:t>二、机构设置</w:t>
      </w:r>
      <w:r>
        <w:rPr>
          <w:rFonts w:hint="eastAsia" w:cs="仿宋_GB2312" w:asciiTheme="minorEastAsia" w:hAnsiTheme="minorEastAsia" w:eastAsiaTheme="minorEastAsia"/>
          <w:color w:val="000000"/>
          <w:kern w:val="0"/>
          <w:sz w:val="32"/>
          <w:szCs w:val="32"/>
          <w:lang w:bidi="ar"/>
        </w:rPr>
        <w:t xml:space="preserve"> ...................................</w:t>
      </w:r>
      <w:r>
        <w:rPr>
          <w:rFonts w:hint="eastAsia" w:cs="仿宋_GB2312" w:asciiTheme="minorEastAsia" w:hAnsiTheme="minorEastAsia" w:eastAsiaTheme="minorEastAsia"/>
          <w:color w:val="000000"/>
          <w:kern w:val="0"/>
          <w:sz w:val="32"/>
          <w:szCs w:val="32"/>
          <w:lang w:val="en-US" w:eastAsia="zh-CN" w:bidi="ar"/>
        </w:rPr>
        <w:t>.11</w:t>
      </w:r>
      <w:r>
        <w:rPr>
          <w:rFonts w:hint="eastAsia" w:ascii="黑体" w:hAnsi="黑体" w:eastAsia="黑体" w:cs="黑体"/>
          <w:b/>
          <w:bCs/>
          <w:color w:val="000000"/>
          <w:kern w:val="0"/>
          <w:sz w:val="32"/>
          <w:szCs w:val="32"/>
          <w:lang w:bidi="ar"/>
        </w:rPr>
        <w:t>第二部分 202</w:t>
      </w:r>
      <w:r>
        <w:rPr>
          <w:rFonts w:hint="eastAsia" w:ascii="黑体" w:hAnsi="黑体" w:eastAsia="黑体" w:cs="黑体"/>
          <w:b/>
          <w:bCs/>
          <w:color w:val="000000"/>
          <w:kern w:val="0"/>
          <w:sz w:val="32"/>
          <w:szCs w:val="32"/>
          <w:lang w:val="en-US" w:eastAsia="zh-CN" w:bidi="ar"/>
        </w:rPr>
        <w:t>2</w:t>
      </w:r>
      <w:r>
        <w:rPr>
          <w:rFonts w:hint="eastAsia" w:ascii="黑体" w:hAnsi="黑体" w:eastAsia="黑体" w:cs="黑体"/>
          <w:b/>
          <w:bCs/>
          <w:color w:val="000000"/>
          <w:kern w:val="0"/>
          <w:sz w:val="32"/>
          <w:szCs w:val="32"/>
          <w:lang w:bidi="ar"/>
        </w:rPr>
        <w:t xml:space="preserve"> 年度</w:t>
      </w:r>
      <w:r>
        <w:rPr>
          <w:rFonts w:hint="eastAsia" w:ascii="黑体" w:hAnsi="黑体" w:eastAsia="黑体" w:cs="黑体"/>
          <w:b/>
          <w:bCs/>
          <w:color w:val="000000"/>
          <w:kern w:val="0"/>
          <w:sz w:val="32"/>
          <w:szCs w:val="32"/>
          <w:lang w:eastAsia="zh-CN" w:bidi="ar"/>
        </w:rPr>
        <w:t>单位</w:t>
      </w:r>
      <w:r>
        <w:rPr>
          <w:rFonts w:hint="eastAsia" w:ascii="黑体" w:hAnsi="黑体" w:eastAsia="黑体" w:cs="黑体"/>
          <w:b/>
          <w:bCs/>
          <w:color w:val="000000"/>
          <w:kern w:val="0"/>
          <w:sz w:val="32"/>
          <w:szCs w:val="32"/>
          <w:lang w:bidi="ar"/>
        </w:rPr>
        <w:t>决算情况说明</w:t>
      </w:r>
      <w:r>
        <w:rPr>
          <w:rFonts w:hint="eastAsia" w:cs="仿宋_GB2312" w:asciiTheme="minorEastAsia" w:hAnsiTheme="minorEastAsia" w:eastAsiaTheme="minorEastAsia"/>
          <w:color w:val="000000"/>
          <w:kern w:val="0"/>
          <w:sz w:val="32"/>
          <w:szCs w:val="32"/>
          <w:lang w:bidi="ar"/>
        </w:rPr>
        <w:t xml:space="preserve"> .............</w:t>
      </w:r>
      <w:r>
        <w:rPr>
          <w:rFonts w:hint="eastAsia" w:cs="仿宋_GB2312" w:asciiTheme="minorEastAsia" w:hAnsiTheme="minorEastAsia" w:eastAsiaTheme="minorEastAsia"/>
          <w:color w:val="000000"/>
          <w:kern w:val="0"/>
          <w:sz w:val="32"/>
          <w:szCs w:val="32"/>
          <w:lang w:val="en-US" w:eastAsia="zh-CN" w:bidi="ar"/>
        </w:rPr>
        <w:t>.12</w:t>
      </w:r>
      <w:r>
        <w:rPr>
          <w:rFonts w:hint="eastAsia" w:ascii="仿宋" w:hAnsi="仿宋" w:eastAsia="仿宋" w:cs="Times New Roman"/>
          <w:sz w:val="32"/>
          <w:szCs w:val="32"/>
          <w:lang w:val="en-US" w:eastAsia="zh-CN"/>
        </w:rPr>
        <w:t xml:space="preserve">一、收入支出决算总体情况明 </w:t>
      </w:r>
      <w:r>
        <w:rPr>
          <w:rFonts w:hint="eastAsia" w:cs="仿宋_GB2312" w:asciiTheme="minorEastAsia" w:hAnsiTheme="minorEastAsia" w:eastAsiaTheme="minorEastAsia"/>
          <w:color w:val="000000"/>
          <w:kern w:val="0"/>
          <w:sz w:val="32"/>
          <w:szCs w:val="32"/>
          <w:lang w:bidi="ar"/>
        </w:rPr>
        <w:t>.....................</w:t>
      </w:r>
      <w:r>
        <w:rPr>
          <w:rFonts w:cs="仿宋_GB2312" w:asciiTheme="minorEastAsia" w:hAnsiTheme="minorEastAsia" w:eastAsiaTheme="minorEastAsia"/>
          <w:color w:val="000000"/>
          <w:kern w:val="0"/>
          <w:sz w:val="32"/>
          <w:szCs w:val="32"/>
          <w:lang w:bidi="ar"/>
        </w:rPr>
        <w:t>.</w:t>
      </w:r>
      <w:r>
        <w:rPr>
          <w:rFonts w:hint="eastAsia" w:cs="仿宋_GB2312" w:asciiTheme="minorEastAsia" w:hAnsiTheme="minorEastAsia" w:eastAsiaTheme="minorEastAsia"/>
          <w:color w:val="000000"/>
          <w:kern w:val="0"/>
          <w:sz w:val="32"/>
          <w:szCs w:val="32"/>
          <w:lang w:val="en-US" w:eastAsia="zh-CN" w:bidi="ar"/>
        </w:rPr>
        <w:t>12</w:t>
      </w:r>
      <w:r>
        <w:rPr>
          <w:rFonts w:hint="eastAsia" w:ascii="仿宋" w:hAnsi="仿宋" w:eastAsia="仿宋" w:cs="Times New Roman"/>
          <w:sz w:val="32"/>
          <w:szCs w:val="32"/>
          <w:lang w:val="en-US" w:eastAsia="zh-CN"/>
        </w:rPr>
        <w:t>二、收入决算情况明</w:t>
      </w:r>
      <w:r>
        <w:rPr>
          <w:rFonts w:hint="eastAsia" w:cs="仿宋_GB2312" w:asciiTheme="minorEastAsia" w:hAnsiTheme="minorEastAsia" w:eastAsiaTheme="minorEastAsia"/>
          <w:color w:val="000000"/>
          <w:kern w:val="0"/>
          <w:sz w:val="32"/>
          <w:szCs w:val="32"/>
          <w:lang w:bidi="ar"/>
        </w:rPr>
        <w:t xml:space="preserve"> .............................</w:t>
      </w:r>
      <w:r>
        <w:rPr>
          <w:rFonts w:cs="仿宋_GB2312" w:asciiTheme="minorEastAsia" w:hAnsiTheme="minorEastAsia" w:eastAsiaTheme="minorEastAsia"/>
          <w:color w:val="000000"/>
          <w:kern w:val="0"/>
          <w:sz w:val="32"/>
          <w:szCs w:val="32"/>
          <w:lang w:bidi="ar"/>
        </w:rPr>
        <w:t>.</w:t>
      </w:r>
      <w:r>
        <w:rPr>
          <w:rFonts w:hint="eastAsia" w:cs="仿宋_GB2312" w:asciiTheme="minorEastAsia" w:hAnsiTheme="minorEastAsia" w:eastAsiaTheme="minorEastAsia"/>
          <w:color w:val="000000"/>
          <w:kern w:val="0"/>
          <w:sz w:val="32"/>
          <w:szCs w:val="32"/>
          <w:lang w:val="en-US" w:eastAsia="zh-CN" w:bidi="ar"/>
        </w:rPr>
        <w:t>12</w:t>
      </w:r>
      <w:r>
        <w:rPr>
          <w:rFonts w:hint="eastAsia" w:ascii="仿宋" w:hAnsi="仿宋" w:eastAsia="仿宋" w:cs="Times New Roman"/>
          <w:sz w:val="32"/>
          <w:szCs w:val="32"/>
          <w:lang w:val="en-US" w:eastAsia="zh-CN"/>
        </w:rPr>
        <w:t>三、支出决算情况明</w:t>
      </w:r>
      <w:r>
        <w:rPr>
          <w:rFonts w:hint="eastAsia" w:cs="仿宋_GB2312" w:asciiTheme="minorEastAsia" w:hAnsiTheme="minorEastAsia" w:eastAsiaTheme="minorEastAsia"/>
          <w:color w:val="000000"/>
          <w:kern w:val="0"/>
          <w:sz w:val="32"/>
          <w:szCs w:val="32"/>
          <w:lang w:bidi="ar"/>
        </w:rPr>
        <w:t xml:space="preserve"> .............................</w:t>
      </w:r>
      <w:r>
        <w:rPr>
          <w:rFonts w:cs="仿宋_GB2312" w:asciiTheme="minorEastAsia" w:hAnsiTheme="minorEastAsia" w:eastAsiaTheme="minorEastAsia"/>
          <w:color w:val="000000"/>
          <w:kern w:val="0"/>
          <w:sz w:val="32"/>
          <w:szCs w:val="32"/>
          <w:lang w:bidi="ar"/>
        </w:rPr>
        <w:t>.</w:t>
      </w:r>
      <w:r>
        <w:rPr>
          <w:rFonts w:hint="eastAsia" w:cs="仿宋_GB2312" w:asciiTheme="minorEastAsia" w:hAnsiTheme="minorEastAsia" w:eastAsiaTheme="minorEastAsia"/>
          <w:color w:val="000000"/>
          <w:kern w:val="0"/>
          <w:sz w:val="32"/>
          <w:szCs w:val="32"/>
          <w:lang w:val="en-US" w:eastAsia="zh-CN" w:bidi="ar"/>
        </w:rPr>
        <w:t>13</w:t>
      </w:r>
      <w:r>
        <w:rPr>
          <w:rFonts w:hint="eastAsia" w:ascii="仿宋" w:hAnsi="仿宋" w:eastAsia="仿宋" w:cs="Times New Roman"/>
          <w:sz w:val="32"/>
          <w:szCs w:val="32"/>
          <w:lang w:val="en-US" w:eastAsia="zh-CN"/>
        </w:rPr>
        <w:t>四、财政拨款收入支出决算总体情况明</w:t>
      </w:r>
      <w:r>
        <w:rPr>
          <w:rFonts w:hint="eastAsia" w:cs="仿宋_GB2312" w:asciiTheme="minorEastAsia" w:hAnsiTheme="minorEastAsia" w:eastAsiaTheme="minorEastAsia"/>
          <w:color w:val="000000"/>
          <w:kern w:val="0"/>
          <w:sz w:val="32"/>
          <w:szCs w:val="32"/>
          <w:lang w:bidi="ar"/>
        </w:rPr>
        <w:t xml:space="preserve"> .............</w:t>
      </w:r>
      <w:r>
        <w:rPr>
          <w:rFonts w:cs="仿宋_GB2312" w:asciiTheme="minorEastAsia" w:hAnsiTheme="minorEastAsia" w:eastAsiaTheme="minorEastAsia"/>
          <w:color w:val="000000"/>
          <w:kern w:val="0"/>
          <w:sz w:val="32"/>
          <w:szCs w:val="32"/>
          <w:lang w:bidi="ar"/>
        </w:rPr>
        <w:t>.</w:t>
      </w:r>
      <w:r>
        <w:rPr>
          <w:rFonts w:hint="eastAsia" w:cs="仿宋_GB2312" w:asciiTheme="minorEastAsia" w:hAnsiTheme="minorEastAsia" w:eastAsiaTheme="minorEastAsia"/>
          <w:color w:val="000000"/>
          <w:kern w:val="0"/>
          <w:sz w:val="32"/>
          <w:szCs w:val="32"/>
          <w:lang w:val="en-US" w:eastAsia="zh-CN" w:bidi="ar"/>
        </w:rPr>
        <w:t>14</w:t>
      </w:r>
      <w:r>
        <w:rPr>
          <w:rFonts w:hint="eastAsia" w:ascii="仿宋" w:hAnsi="仿宋" w:eastAsia="仿宋" w:cs="Times New Roman"/>
          <w:sz w:val="32"/>
          <w:szCs w:val="32"/>
          <w:lang w:val="en-US" w:eastAsia="zh-CN"/>
        </w:rPr>
        <w:t>五、一般公共预算财政拨款支出决算情况明</w:t>
      </w:r>
      <w:r>
        <w:rPr>
          <w:rFonts w:hint="eastAsia" w:cs="仿宋_GB2312" w:asciiTheme="minorEastAsia" w:hAnsiTheme="minorEastAsia" w:eastAsiaTheme="minorEastAsia"/>
          <w:color w:val="000000"/>
          <w:kern w:val="0"/>
          <w:sz w:val="32"/>
          <w:szCs w:val="32"/>
          <w:lang w:bidi="ar"/>
        </w:rPr>
        <w:t xml:space="preserve"> .........</w:t>
      </w:r>
      <w:r>
        <w:rPr>
          <w:rFonts w:cs="仿宋_GB2312" w:asciiTheme="minorEastAsia" w:hAnsiTheme="minorEastAsia" w:eastAsiaTheme="minorEastAsia"/>
          <w:color w:val="000000"/>
          <w:kern w:val="0"/>
          <w:sz w:val="32"/>
          <w:szCs w:val="32"/>
          <w:lang w:bidi="ar"/>
        </w:rPr>
        <w:t>.</w:t>
      </w:r>
      <w:r>
        <w:rPr>
          <w:rFonts w:hint="eastAsia" w:cs="仿宋_GB2312" w:asciiTheme="minorEastAsia" w:hAnsiTheme="minorEastAsia" w:eastAsiaTheme="minorEastAsia"/>
          <w:color w:val="000000"/>
          <w:kern w:val="0"/>
          <w:sz w:val="32"/>
          <w:szCs w:val="32"/>
          <w:lang w:val="en-US" w:eastAsia="zh-CN" w:bidi="ar"/>
        </w:rPr>
        <w:t>14</w:t>
      </w:r>
      <w:r>
        <w:rPr>
          <w:rFonts w:hint="eastAsia" w:ascii="仿宋" w:hAnsi="仿宋" w:eastAsia="仿宋" w:cs="Times New Roman"/>
          <w:sz w:val="32"/>
          <w:szCs w:val="32"/>
          <w:lang w:val="en-US" w:eastAsia="zh-CN"/>
        </w:rPr>
        <w:t xml:space="preserve">六、一般公共预算财政拨款基本支出决算情况说明 </w:t>
      </w:r>
      <w:r>
        <w:rPr>
          <w:rFonts w:hint="eastAsia" w:cs="仿宋_GB2312" w:asciiTheme="minorEastAsia" w:hAnsiTheme="minorEastAsia" w:eastAsiaTheme="minorEastAsia"/>
          <w:color w:val="000000"/>
          <w:kern w:val="0"/>
          <w:sz w:val="32"/>
          <w:szCs w:val="32"/>
          <w:lang w:bidi="ar"/>
        </w:rPr>
        <w:t>....</w:t>
      </w:r>
      <w:r>
        <w:rPr>
          <w:rFonts w:hint="eastAsia" w:cs="仿宋_GB2312" w:asciiTheme="minorEastAsia" w:hAnsiTheme="minorEastAsia" w:eastAsiaTheme="minorEastAsia"/>
          <w:color w:val="000000"/>
          <w:kern w:val="0"/>
          <w:sz w:val="32"/>
          <w:szCs w:val="32"/>
          <w:lang w:val="en-US" w:eastAsia="zh-CN" w:bidi="ar"/>
        </w:rPr>
        <w:t>18</w:t>
      </w:r>
      <w:r>
        <w:rPr>
          <w:rFonts w:hint="eastAsia" w:ascii="仿宋" w:hAnsi="仿宋" w:eastAsia="仿宋" w:cs="Times New Roman"/>
          <w:sz w:val="32"/>
          <w:szCs w:val="32"/>
          <w:lang w:val="en-US" w:eastAsia="zh-CN"/>
        </w:rPr>
        <w:t>七、财政拨款“三公”经费支出决算情况说明</w:t>
      </w:r>
      <w:r>
        <w:rPr>
          <w:rFonts w:hint="eastAsia" w:cs="仿宋_GB2312" w:asciiTheme="minorEastAsia" w:hAnsiTheme="minorEastAsia" w:eastAsiaTheme="minorEastAsia"/>
          <w:color w:val="000000"/>
          <w:kern w:val="0"/>
          <w:sz w:val="32"/>
          <w:szCs w:val="32"/>
          <w:lang w:bidi="ar"/>
        </w:rPr>
        <w:t xml:space="preserve"> ........</w:t>
      </w:r>
      <w:r>
        <w:rPr>
          <w:rFonts w:hint="eastAsia" w:cs="仿宋_GB2312" w:asciiTheme="minorEastAsia" w:hAnsiTheme="minorEastAsia" w:eastAsiaTheme="minorEastAsia"/>
          <w:color w:val="000000"/>
          <w:kern w:val="0"/>
          <w:sz w:val="32"/>
          <w:szCs w:val="32"/>
          <w:lang w:val="en-US" w:eastAsia="zh-CN" w:bidi="ar"/>
        </w:rPr>
        <w:t>18</w:t>
      </w:r>
      <w:r>
        <w:rPr>
          <w:rFonts w:hint="eastAsia" w:ascii="仿宋" w:hAnsi="仿宋" w:eastAsia="仿宋" w:cs="Times New Roman"/>
          <w:sz w:val="32"/>
          <w:szCs w:val="32"/>
          <w:lang w:val="en-US" w:eastAsia="zh-CN"/>
        </w:rPr>
        <w:t xml:space="preserve">八、政府性基金预算支出决算情况说明 </w:t>
      </w:r>
      <w:r>
        <w:rPr>
          <w:rFonts w:hint="eastAsia" w:cs="仿宋_GB2312" w:asciiTheme="minorEastAsia" w:hAnsiTheme="minorEastAsia" w:eastAsiaTheme="minorEastAsia"/>
          <w:color w:val="000000"/>
          <w:kern w:val="0"/>
          <w:sz w:val="32"/>
          <w:szCs w:val="32"/>
          <w:lang w:bidi="ar"/>
        </w:rPr>
        <w:t>..............</w:t>
      </w:r>
      <w:r>
        <w:rPr>
          <w:rFonts w:hint="eastAsia" w:cs="仿宋_GB2312" w:asciiTheme="minorEastAsia" w:hAnsiTheme="minorEastAsia" w:eastAsiaTheme="minorEastAsia"/>
          <w:color w:val="000000"/>
          <w:kern w:val="0"/>
          <w:sz w:val="32"/>
          <w:szCs w:val="32"/>
          <w:lang w:val="en-US" w:eastAsia="zh-CN" w:bidi="ar"/>
        </w:rPr>
        <w:t>20</w:t>
      </w:r>
      <w:r>
        <w:rPr>
          <w:rFonts w:hint="eastAsia" w:ascii="仿宋" w:hAnsi="仿宋" w:eastAsia="仿宋" w:cs="Times New Roman"/>
          <w:sz w:val="32"/>
          <w:szCs w:val="32"/>
          <w:lang w:val="en-US" w:eastAsia="zh-CN"/>
        </w:rPr>
        <w:t xml:space="preserve">九、国有资本经营预算支出决算情况说明 </w:t>
      </w:r>
      <w:r>
        <w:rPr>
          <w:rFonts w:hint="eastAsia" w:cs="仿宋_GB2312" w:asciiTheme="minorEastAsia" w:hAnsiTheme="minorEastAsia" w:eastAsiaTheme="minorEastAsia"/>
          <w:color w:val="000000"/>
          <w:kern w:val="0"/>
          <w:sz w:val="32"/>
          <w:szCs w:val="32"/>
          <w:lang w:bidi="ar"/>
        </w:rPr>
        <w:t>............</w:t>
      </w:r>
      <w:r>
        <w:rPr>
          <w:rFonts w:hint="eastAsia" w:cs="仿宋_GB2312" w:asciiTheme="minorEastAsia" w:hAnsiTheme="minorEastAsia" w:eastAsiaTheme="minorEastAsia"/>
          <w:color w:val="000000"/>
          <w:kern w:val="0"/>
          <w:sz w:val="32"/>
          <w:szCs w:val="32"/>
          <w:lang w:val="en-US" w:eastAsia="zh-CN" w:bidi="ar"/>
        </w:rPr>
        <w:t>20</w:t>
      </w:r>
      <w:r>
        <w:rPr>
          <w:rFonts w:hint="eastAsia" w:ascii="仿宋" w:hAnsi="仿宋" w:eastAsia="仿宋" w:cs="Times New Roman"/>
          <w:sz w:val="32"/>
          <w:szCs w:val="32"/>
          <w:lang w:val="en-US" w:eastAsia="zh-CN"/>
        </w:rPr>
        <w:t xml:space="preserve">十、其他重要事项的情况明 </w:t>
      </w:r>
      <w:r>
        <w:rPr>
          <w:rFonts w:hint="eastAsia" w:cs="仿宋_GB2312" w:asciiTheme="minorEastAsia" w:hAnsiTheme="minorEastAsia" w:eastAsiaTheme="minorEastAsia"/>
          <w:color w:val="000000"/>
          <w:kern w:val="0"/>
          <w:sz w:val="32"/>
          <w:szCs w:val="32"/>
          <w:lang w:bidi="ar"/>
        </w:rPr>
        <w:t>.......................</w:t>
      </w:r>
      <w:r>
        <w:rPr>
          <w:rFonts w:hint="eastAsia" w:cs="仿宋_GB2312" w:asciiTheme="minorEastAsia" w:hAnsiTheme="minorEastAsia" w:eastAsiaTheme="minorEastAsia"/>
          <w:color w:val="000000"/>
          <w:kern w:val="0"/>
          <w:sz w:val="32"/>
          <w:szCs w:val="32"/>
          <w:lang w:val="en-US" w:eastAsia="zh-CN" w:bidi="ar"/>
        </w:rPr>
        <w:t>.20</w:t>
      </w:r>
      <w:r>
        <w:rPr>
          <w:rFonts w:hint="eastAsia" w:ascii="黑体" w:hAnsi="黑体" w:eastAsia="黑体" w:cs="黑体"/>
          <w:b/>
          <w:bCs/>
          <w:color w:val="000000"/>
          <w:kern w:val="0"/>
          <w:sz w:val="32"/>
          <w:szCs w:val="32"/>
          <w:lang w:bidi="ar"/>
        </w:rPr>
        <w:t>第三部分 名词</w:t>
      </w:r>
      <w:r>
        <w:rPr>
          <w:rFonts w:hint="eastAsia" w:ascii="黑体" w:hAnsi="黑体" w:eastAsia="黑体" w:cs="黑体"/>
          <w:b/>
          <w:bCs/>
          <w:color w:val="000000"/>
          <w:kern w:val="0"/>
          <w:sz w:val="32"/>
          <w:szCs w:val="32"/>
          <w:lang w:eastAsia="zh-CN" w:bidi="ar"/>
        </w:rPr>
        <w:t>解</w:t>
      </w:r>
      <w:r>
        <w:rPr>
          <w:rFonts w:hint="eastAsia" w:ascii="黑体" w:hAnsi="黑体" w:eastAsia="黑体" w:cs="黑体"/>
          <w:b/>
          <w:bCs/>
          <w:color w:val="000000"/>
          <w:kern w:val="0"/>
          <w:sz w:val="32"/>
          <w:szCs w:val="32"/>
          <w:lang w:bidi="ar"/>
        </w:rPr>
        <w:t>释</w:t>
      </w:r>
      <w:r>
        <w:rPr>
          <w:rFonts w:hint="eastAsia" w:ascii="黑体" w:hAnsi="黑体" w:eastAsia="黑体" w:cs="黑体"/>
          <w:color w:val="000000"/>
          <w:kern w:val="0"/>
          <w:sz w:val="32"/>
          <w:szCs w:val="32"/>
          <w:lang w:bidi="ar"/>
        </w:rPr>
        <w:t xml:space="preserve"> </w:t>
      </w:r>
      <w:r>
        <w:rPr>
          <w:rFonts w:hint="eastAsia" w:cs="仿宋_GB2312" w:asciiTheme="minorEastAsia" w:hAnsiTheme="minorEastAsia" w:eastAsiaTheme="minorEastAsia"/>
          <w:color w:val="000000"/>
          <w:kern w:val="0"/>
          <w:sz w:val="32"/>
          <w:szCs w:val="32"/>
          <w:lang w:bidi="ar"/>
        </w:rPr>
        <w:t>..............................</w:t>
      </w:r>
      <w:r>
        <w:rPr>
          <w:rFonts w:cs="仿宋_GB2312" w:asciiTheme="minorEastAsia" w:hAnsiTheme="minorEastAsia" w:eastAsiaTheme="minorEastAsia"/>
          <w:color w:val="000000"/>
          <w:kern w:val="0"/>
          <w:sz w:val="32"/>
          <w:szCs w:val="32"/>
          <w:lang w:bidi="ar"/>
        </w:rPr>
        <w:t>.</w:t>
      </w:r>
      <w:r>
        <w:rPr>
          <w:rFonts w:hint="eastAsia" w:cs="仿宋_GB2312" w:asciiTheme="minorEastAsia" w:hAnsiTheme="minorEastAsia" w:eastAsiaTheme="minorEastAsia"/>
          <w:color w:val="000000"/>
          <w:kern w:val="0"/>
          <w:sz w:val="32"/>
          <w:szCs w:val="32"/>
          <w:lang w:val="en-US" w:eastAsia="zh-CN" w:bidi="ar"/>
        </w:rPr>
        <w:t>22</w:t>
      </w:r>
      <w:r>
        <w:rPr>
          <w:rFonts w:hint="eastAsia" w:ascii="黑体" w:hAnsi="黑体" w:eastAsia="黑体" w:cs="黑体"/>
          <w:b/>
          <w:bCs/>
          <w:color w:val="000000"/>
          <w:kern w:val="0"/>
          <w:sz w:val="32"/>
          <w:szCs w:val="32"/>
          <w:lang w:bidi="ar"/>
        </w:rPr>
        <w:t xml:space="preserve">第四部分 </w:t>
      </w:r>
      <w:r>
        <w:rPr>
          <w:rFonts w:hint="eastAsia" w:ascii="黑体" w:hAnsi="黑体" w:eastAsia="黑体" w:cs="黑体"/>
          <w:b/>
          <w:bCs/>
          <w:color w:val="000000"/>
          <w:kern w:val="0"/>
          <w:sz w:val="32"/>
          <w:szCs w:val="32"/>
          <w:lang w:eastAsia="zh-CN" w:bidi="ar"/>
        </w:rPr>
        <w:t>附</w:t>
      </w:r>
      <w:r>
        <w:rPr>
          <w:rFonts w:hint="eastAsia" w:ascii="黑体" w:hAnsi="黑体" w:eastAsia="黑体" w:cs="黑体"/>
          <w:b/>
          <w:bCs/>
          <w:color w:val="000000"/>
          <w:kern w:val="0"/>
          <w:sz w:val="32"/>
          <w:szCs w:val="32"/>
          <w:lang w:bidi="ar"/>
        </w:rPr>
        <w:t>件</w:t>
      </w:r>
      <w:r>
        <w:rPr>
          <w:rFonts w:hint="eastAsia" w:cs="仿宋_GB2312" w:asciiTheme="minorEastAsia" w:hAnsiTheme="minorEastAsia" w:eastAsiaTheme="minorEastAsia"/>
          <w:color w:val="000000"/>
          <w:kern w:val="0"/>
          <w:sz w:val="32"/>
          <w:szCs w:val="32"/>
          <w:lang w:bidi="ar"/>
        </w:rPr>
        <w:t>....................................</w:t>
      </w:r>
      <w:r>
        <w:rPr>
          <w:rFonts w:hint="eastAsia" w:cs="仿宋_GB2312" w:asciiTheme="minorEastAsia" w:hAnsiTheme="minorEastAsia" w:eastAsiaTheme="minorEastAsia"/>
          <w:color w:val="000000"/>
          <w:kern w:val="0"/>
          <w:sz w:val="32"/>
          <w:szCs w:val="32"/>
          <w:lang w:val="en-US" w:eastAsia="zh-CN" w:bidi="ar"/>
        </w:rPr>
        <w:t>27</w:t>
      </w:r>
      <w:r>
        <w:rPr>
          <w:rFonts w:hint="eastAsia" w:ascii="黑体" w:hAnsi="黑体" w:eastAsia="黑体" w:cs="黑体"/>
          <w:b/>
          <w:bCs/>
          <w:color w:val="000000"/>
          <w:kern w:val="0"/>
          <w:sz w:val="32"/>
          <w:szCs w:val="32"/>
          <w:lang w:bidi="ar"/>
        </w:rPr>
        <w:t>第五部分 附表</w:t>
      </w:r>
      <w:r>
        <w:rPr>
          <w:rFonts w:hint="eastAsia" w:cs="仿宋_GB2312" w:asciiTheme="minorEastAsia" w:hAnsiTheme="minorEastAsia" w:eastAsiaTheme="minorEastAsia"/>
          <w:color w:val="000000"/>
          <w:kern w:val="0"/>
          <w:sz w:val="32"/>
          <w:szCs w:val="32"/>
          <w:lang w:bidi="ar"/>
        </w:rPr>
        <w:t xml:space="preserve"> ................................... </w:t>
      </w:r>
      <w:r>
        <w:rPr>
          <w:rFonts w:hint="eastAsia" w:cs="仿宋_GB2312" w:asciiTheme="minorEastAsia" w:hAnsiTheme="minorEastAsia" w:eastAsiaTheme="minorEastAsia"/>
          <w:color w:val="000000"/>
          <w:kern w:val="0"/>
          <w:sz w:val="32"/>
          <w:szCs w:val="32"/>
          <w:lang w:val="en-US" w:eastAsia="zh-CN" w:bidi="ar"/>
        </w:rPr>
        <w:t>38</w:t>
      </w:r>
      <w:r>
        <w:rPr>
          <w:rFonts w:hint="eastAsia" w:ascii="仿宋" w:hAnsi="仿宋" w:eastAsia="仿宋" w:cs="Times New Roman"/>
          <w:sz w:val="32"/>
          <w:szCs w:val="32"/>
          <w:lang w:val="en-US" w:eastAsia="zh-CN"/>
        </w:rPr>
        <w:t>一、收入支出决算总表</w:t>
      </w:r>
      <w:r>
        <w:rPr>
          <w:rFonts w:hint="eastAsia" w:cs="仿宋_GB2312" w:asciiTheme="minorEastAsia" w:hAnsiTheme="minorEastAsia" w:eastAsiaTheme="minorEastAsia"/>
          <w:color w:val="000000"/>
          <w:kern w:val="0"/>
          <w:sz w:val="32"/>
          <w:szCs w:val="32"/>
          <w:lang w:bidi="ar"/>
        </w:rPr>
        <w:t xml:space="preserve"> ............................</w:t>
      </w:r>
      <w:r>
        <w:rPr>
          <w:rFonts w:cs="仿宋_GB2312" w:asciiTheme="minorEastAsia" w:hAnsiTheme="minorEastAsia" w:eastAsiaTheme="minorEastAsia"/>
          <w:color w:val="000000"/>
          <w:kern w:val="0"/>
          <w:sz w:val="32"/>
          <w:szCs w:val="32"/>
          <w:lang w:bidi="ar"/>
        </w:rPr>
        <w:t>.</w:t>
      </w:r>
      <w:r>
        <w:rPr>
          <w:rFonts w:hint="eastAsia" w:cs="仿宋_GB2312" w:asciiTheme="minorEastAsia" w:hAnsiTheme="minorEastAsia" w:eastAsiaTheme="minorEastAsia"/>
          <w:color w:val="000000"/>
          <w:kern w:val="0"/>
          <w:sz w:val="32"/>
          <w:szCs w:val="32"/>
          <w:lang w:val="en-US" w:eastAsia="zh-CN" w:bidi="ar"/>
        </w:rPr>
        <w:t>38</w:t>
      </w:r>
      <w:r>
        <w:rPr>
          <w:rFonts w:hint="eastAsia" w:ascii="仿宋" w:hAnsi="仿宋" w:eastAsia="仿宋" w:cs="Times New Roman"/>
          <w:sz w:val="32"/>
          <w:szCs w:val="32"/>
          <w:lang w:val="en-US" w:eastAsia="zh-CN"/>
        </w:rPr>
        <w:t xml:space="preserve">二、收入决算表 </w:t>
      </w:r>
      <w:r>
        <w:rPr>
          <w:rFonts w:hint="eastAsia" w:cs="仿宋_GB2312" w:asciiTheme="minorEastAsia" w:hAnsiTheme="minorEastAsia" w:eastAsiaTheme="minorEastAsia"/>
          <w:color w:val="000000"/>
          <w:kern w:val="0"/>
          <w:sz w:val="32"/>
          <w:szCs w:val="32"/>
          <w:lang w:bidi="ar"/>
        </w:rPr>
        <w:t xml:space="preserve">.................................. </w:t>
      </w:r>
      <w:r>
        <w:rPr>
          <w:rFonts w:hint="eastAsia" w:cs="仿宋_GB2312" w:asciiTheme="minorEastAsia" w:hAnsiTheme="minorEastAsia" w:eastAsiaTheme="minorEastAsia"/>
          <w:color w:val="000000"/>
          <w:kern w:val="0"/>
          <w:sz w:val="32"/>
          <w:szCs w:val="32"/>
          <w:lang w:val="en-US" w:eastAsia="zh-CN" w:bidi="ar"/>
        </w:rPr>
        <w:t>38</w:t>
      </w:r>
      <w:r>
        <w:rPr>
          <w:rFonts w:hint="eastAsia" w:ascii="仿宋" w:hAnsi="仿宋" w:eastAsia="仿宋" w:cs="Times New Roman"/>
          <w:sz w:val="32"/>
          <w:szCs w:val="32"/>
          <w:lang w:val="en-US" w:eastAsia="zh-CN"/>
        </w:rPr>
        <w:t xml:space="preserve">三、支出决算表 </w:t>
      </w:r>
      <w:r>
        <w:rPr>
          <w:rFonts w:hint="eastAsia" w:cs="仿宋_GB2312" w:asciiTheme="minorEastAsia" w:hAnsiTheme="minorEastAsia" w:eastAsiaTheme="minorEastAsia"/>
          <w:color w:val="000000"/>
          <w:kern w:val="0"/>
          <w:sz w:val="32"/>
          <w:szCs w:val="32"/>
          <w:lang w:bidi="ar"/>
        </w:rPr>
        <w:t>...................................</w:t>
      </w:r>
      <w:r>
        <w:rPr>
          <w:rFonts w:hint="eastAsia" w:cs="仿宋_GB2312" w:asciiTheme="minorEastAsia" w:hAnsiTheme="minorEastAsia" w:eastAsiaTheme="minorEastAsia"/>
          <w:color w:val="000000"/>
          <w:kern w:val="0"/>
          <w:sz w:val="32"/>
          <w:szCs w:val="32"/>
          <w:lang w:val="en-US" w:eastAsia="zh-CN" w:bidi="ar"/>
        </w:rPr>
        <w:t>38</w:t>
      </w:r>
      <w:r>
        <w:rPr>
          <w:rFonts w:hint="eastAsia" w:ascii="仿宋" w:hAnsi="仿宋" w:eastAsia="仿宋" w:cs="Times New Roman"/>
          <w:sz w:val="32"/>
          <w:szCs w:val="32"/>
          <w:lang w:val="en-US" w:eastAsia="zh-CN"/>
        </w:rPr>
        <w:t>四、财政拨款收入支出决算总表</w:t>
      </w:r>
      <w:r>
        <w:rPr>
          <w:rFonts w:hint="eastAsia" w:cs="仿宋_GB2312" w:asciiTheme="minorEastAsia" w:hAnsiTheme="minorEastAsia" w:eastAsiaTheme="minorEastAsia"/>
          <w:color w:val="000000"/>
          <w:kern w:val="0"/>
          <w:sz w:val="32"/>
          <w:szCs w:val="32"/>
          <w:lang w:bidi="ar"/>
        </w:rPr>
        <w:t xml:space="preserve"> .....................</w:t>
      </w:r>
      <w:r>
        <w:rPr>
          <w:rFonts w:hint="eastAsia" w:cs="仿宋_GB2312" w:asciiTheme="minorEastAsia" w:hAnsiTheme="minorEastAsia" w:eastAsiaTheme="minorEastAsia"/>
          <w:color w:val="000000"/>
          <w:kern w:val="0"/>
          <w:sz w:val="32"/>
          <w:szCs w:val="32"/>
          <w:lang w:val="en-US" w:eastAsia="zh-CN" w:bidi="ar"/>
        </w:rPr>
        <w:t>38</w:t>
      </w:r>
      <w:r>
        <w:rPr>
          <w:rFonts w:hint="eastAsia" w:ascii="仿宋" w:hAnsi="仿宋" w:eastAsia="仿宋" w:cs="Times New Roman"/>
          <w:sz w:val="32"/>
          <w:szCs w:val="32"/>
          <w:lang w:val="en-US" w:eastAsia="zh-CN"/>
        </w:rPr>
        <w:t xml:space="preserve">五、财政拨款支出决算明细表 </w:t>
      </w:r>
      <w:r>
        <w:rPr>
          <w:rFonts w:hint="eastAsia" w:cs="仿宋_GB2312" w:asciiTheme="minorEastAsia" w:hAnsiTheme="minorEastAsia" w:eastAsiaTheme="minorEastAsia"/>
          <w:color w:val="000000"/>
          <w:kern w:val="0"/>
          <w:sz w:val="32"/>
          <w:szCs w:val="32"/>
          <w:lang w:bidi="ar"/>
        </w:rPr>
        <w:t>......................</w:t>
      </w:r>
      <w:r>
        <w:rPr>
          <w:rFonts w:hint="eastAsia" w:cs="仿宋_GB2312" w:asciiTheme="minorEastAsia" w:hAnsiTheme="minorEastAsia" w:eastAsiaTheme="minorEastAsia"/>
          <w:color w:val="000000"/>
          <w:kern w:val="0"/>
          <w:sz w:val="32"/>
          <w:szCs w:val="32"/>
          <w:lang w:val="en-US" w:eastAsia="zh-CN" w:bidi="ar"/>
        </w:rPr>
        <w:t>.38</w:t>
      </w:r>
      <w:r>
        <w:rPr>
          <w:rFonts w:hint="eastAsia" w:ascii="仿宋" w:hAnsi="仿宋" w:eastAsia="仿宋" w:cs="Times New Roman"/>
          <w:sz w:val="32"/>
          <w:szCs w:val="32"/>
          <w:lang w:val="en-US" w:eastAsia="zh-CN"/>
        </w:rPr>
        <w:t>六、一般公共预算财政拨款支出决算表</w:t>
      </w:r>
      <w:r>
        <w:rPr>
          <w:rFonts w:hint="eastAsia" w:cs="仿宋_GB2312" w:asciiTheme="minorEastAsia" w:hAnsiTheme="minorEastAsia" w:eastAsiaTheme="minorEastAsia"/>
          <w:color w:val="000000"/>
          <w:kern w:val="0"/>
          <w:sz w:val="32"/>
          <w:szCs w:val="32"/>
          <w:lang w:bidi="ar"/>
        </w:rPr>
        <w:t xml:space="preserve"> ...............</w:t>
      </w:r>
      <w:r>
        <w:rPr>
          <w:rFonts w:hint="eastAsia" w:cs="仿宋_GB2312" w:asciiTheme="minorEastAsia" w:hAnsiTheme="minorEastAsia" w:eastAsiaTheme="minorEastAsia"/>
          <w:color w:val="000000"/>
          <w:kern w:val="0"/>
          <w:sz w:val="32"/>
          <w:szCs w:val="32"/>
          <w:lang w:val="en-US" w:eastAsia="zh-CN" w:bidi="ar"/>
        </w:rPr>
        <w:t>38</w:t>
      </w:r>
      <w:r>
        <w:rPr>
          <w:rFonts w:hint="eastAsia" w:ascii="仿宋" w:hAnsi="仿宋" w:eastAsia="仿宋" w:cs="Times New Roman"/>
          <w:sz w:val="32"/>
          <w:szCs w:val="32"/>
          <w:lang w:val="en-US" w:eastAsia="zh-CN"/>
        </w:rPr>
        <w:t xml:space="preserve">七、一般公共预算财政拨款支出决算明细表 </w:t>
      </w:r>
      <w:r>
        <w:rPr>
          <w:rFonts w:hint="eastAsia" w:cs="仿宋_GB2312" w:asciiTheme="minorEastAsia" w:hAnsiTheme="minorEastAsia" w:eastAsiaTheme="minorEastAsia"/>
          <w:color w:val="000000"/>
          <w:kern w:val="0"/>
          <w:sz w:val="32"/>
          <w:szCs w:val="32"/>
          <w:lang w:bidi="ar"/>
        </w:rPr>
        <w:t xml:space="preserve">.......... </w:t>
      </w:r>
      <w:r>
        <w:rPr>
          <w:rFonts w:hint="eastAsia" w:cs="仿宋_GB2312" w:asciiTheme="minorEastAsia" w:hAnsiTheme="minorEastAsia" w:eastAsiaTheme="minorEastAsia"/>
          <w:color w:val="000000"/>
          <w:kern w:val="0"/>
          <w:sz w:val="32"/>
          <w:szCs w:val="32"/>
          <w:lang w:val="en-US" w:eastAsia="zh-CN" w:bidi="ar"/>
        </w:rPr>
        <w:t>38</w:t>
      </w:r>
      <w:r>
        <w:rPr>
          <w:rFonts w:hint="eastAsia" w:ascii="仿宋" w:hAnsi="仿宋" w:eastAsia="仿宋" w:cs="Times New Roman"/>
          <w:sz w:val="32"/>
          <w:szCs w:val="32"/>
          <w:lang w:val="en-US" w:eastAsia="zh-CN"/>
        </w:rPr>
        <w:t>八、一般公共预算财政拨款基本支出决算明细表</w:t>
      </w:r>
      <w:r>
        <w:rPr>
          <w:rFonts w:hint="eastAsia" w:cs="仿宋_GB2312" w:asciiTheme="minorEastAsia" w:hAnsiTheme="minorEastAsia" w:eastAsiaTheme="minorEastAsia"/>
          <w:color w:val="000000"/>
          <w:kern w:val="0"/>
          <w:sz w:val="32"/>
          <w:szCs w:val="32"/>
          <w:lang w:bidi="ar"/>
        </w:rPr>
        <w:t xml:space="preserve"> .......</w:t>
      </w:r>
      <w:r>
        <w:rPr>
          <w:rFonts w:hint="eastAsia" w:cs="仿宋_GB2312" w:asciiTheme="minorEastAsia" w:hAnsiTheme="minorEastAsia" w:eastAsiaTheme="minorEastAsia"/>
          <w:color w:val="000000"/>
          <w:kern w:val="0"/>
          <w:sz w:val="32"/>
          <w:szCs w:val="32"/>
          <w:lang w:val="en-US" w:eastAsia="zh-CN" w:bidi="ar"/>
        </w:rPr>
        <w:t>38</w:t>
      </w:r>
      <w:r>
        <w:rPr>
          <w:rFonts w:hint="eastAsia" w:ascii="仿宋" w:hAnsi="仿宋" w:eastAsia="仿宋" w:cs="Times New Roman"/>
          <w:sz w:val="32"/>
          <w:szCs w:val="32"/>
          <w:lang w:val="en-US" w:eastAsia="zh-CN"/>
        </w:rPr>
        <w:t xml:space="preserve">九、一般公共预算财政拨款项目支出决算表 </w:t>
      </w:r>
      <w:r>
        <w:rPr>
          <w:rFonts w:hint="eastAsia" w:cs="仿宋_GB2312" w:asciiTheme="minorEastAsia" w:hAnsiTheme="minorEastAsia" w:eastAsiaTheme="minorEastAsia"/>
          <w:color w:val="000000"/>
          <w:kern w:val="0"/>
          <w:sz w:val="32"/>
          <w:szCs w:val="32"/>
          <w:lang w:bidi="ar"/>
        </w:rPr>
        <w:t>...........</w:t>
      </w:r>
      <w:r>
        <w:rPr>
          <w:rFonts w:hint="eastAsia" w:cs="仿宋_GB2312" w:asciiTheme="minorEastAsia" w:hAnsiTheme="minorEastAsia" w:eastAsiaTheme="minorEastAsia"/>
          <w:color w:val="000000"/>
          <w:kern w:val="0"/>
          <w:sz w:val="32"/>
          <w:szCs w:val="32"/>
          <w:lang w:val="en-US" w:eastAsia="zh-CN" w:bidi="ar"/>
        </w:rPr>
        <w:t>38</w:t>
      </w:r>
      <w:r>
        <w:rPr>
          <w:rFonts w:hint="eastAsia" w:ascii="仿宋" w:hAnsi="仿宋" w:eastAsia="仿宋" w:cs="Times New Roman"/>
          <w:sz w:val="32"/>
          <w:szCs w:val="32"/>
          <w:lang w:val="en-US" w:eastAsia="zh-CN"/>
        </w:rPr>
        <w:t>十、政府性基金预算财政拨款收入支出决算表</w:t>
      </w:r>
      <w:r>
        <w:rPr>
          <w:rFonts w:hint="eastAsia" w:cs="仿宋_GB2312" w:asciiTheme="minorEastAsia" w:hAnsiTheme="minorEastAsia" w:eastAsiaTheme="minorEastAsia"/>
          <w:color w:val="000000"/>
          <w:kern w:val="0"/>
          <w:sz w:val="32"/>
          <w:szCs w:val="32"/>
          <w:lang w:bidi="ar"/>
        </w:rPr>
        <w:t xml:space="preserve"> .. </w:t>
      </w:r>
      <w:r>
        <w:rPr>
          <w:rFonts w:hint="eastAsia" w:cs="仿宋_GB2312" w:asciiTheme="minorEastAsia" w:hAnsiTheme="minorEastAsia" w:eastAsiaTheme="minorEastAsia"/>
          <w:color w:val="000000"/>
          <w:kern w:val="0"/>
          <w:sz w:val="32"/>
          <w:szCs w:val="32"/>
          <w:lang w:val="en-US" w:eastAsia="zh-CN" w:bidi="ar"/>
        </w:rPr>
        <w:t>......38</w:t>
      </w:r>
      <w:r>
        <w:rPr>
          <w:rFonts w:hint="eastAsia" w:ascii="仿宋" w:hAnsi="仿宋" w:eastAsia="仿宋" w:cs="Times New Roman"/>
          <w:sz w:val="32"/>
          <w:szCs w:val="32"/>
          <w:lang w:val="en-US" w:eastAsia="zh-CN"/>
        </w:rPr>
        <w:t>十一、国有资本经营预算财政拨款收入支出决算表</w:t>
      </w:r>
      <w:r>
        <w:rPr>
          <w:rFonts w:hint="eastAsia" w:cs="仿宋_GB2312" w:asciiTheme="minorEastAsia" w:hAnsiTheme="minorEastAsia" w:eastAsiaTheme="minorEastAsia"/>
          <w:color w:val="000000"/>
          <w:kern w:val="0"/>
          <w:sz w:val="32"/>
          <w:szCs w:val="32"/>
          <w:lang w:val="en-US" w:eastAsia="zh-CN" w:bidi="ar"/>
        </w:rPr>
        <w:t>......38</w:t>
      </w:r>
      <w:r>
        <w:rPr>
          <w:rFonts w:hint="eastAsia" w:ascii="仿宋" w:hAnsi="仿宋" w:eastAsia="仿宋" w:cs="Times New Roman"/>
          <w:sz w:val="32"/>
          <w:szCs w:val="32"/>
          <w:lang w:val="en-US" w:eastAsia="zh-CN"/>
        </w:rPr>
        <w:t>十二、国有资本经营预算财政拨款支出决算表</w:t>
      </w:r>
      <w:r>
        <w:rPr>
          <w:rFonts w:hint="eastAsia" w:cs="仿宋_GB2312" w:asciiTheme="minorEastAsia" w:hAnsiTheme="minorEastAsia" w:eastAsiaTheme="minorEastAsia"/>
          <w:color w:val="000000"/>
          <w:kern w:val="0"/>
          <w:sz w:val="32"/>
          <w:szCs w:val="32"/>
          <w:lang w:val="en-US" w:eastAsia="zh-CN" w:bidi="ar"/>
        </w:rPr>
        <w:t>..........38</w:t>
      </w:r>
      <w:r>
        <w:rPr>
          <w:rFonts w:hint="eastAsia" w:ascii="仿宋" w:hAnsi="仿宋" w:eastAsia="仿宋" w:cs="Times New Roman"/>
          <w:sz w:val="32"/>
          <w:szCs w:val="32"/>
          <w:lang w:val="en-US" w:eastAsia="zh-CN"/>
        </w:rPr>
        <w:t>十三、财政拨款“三公”经费支出决算表</w:t>
      </w:r>
      <w:r>
        <w:rPr>
          <w:rFonts w:hint="eastAsia" w:cs="仿宋_GB2312" w:asciiTheme="minorEastAsia" w:hAnsiTheme="minorEastAsia" w:eastAsiaTheme="minorEastAsia"/>
          <w:color w:val="000000"/>
          <w:kern w:val="0"/>
          <w:sz w:val="32"/>
          <w:szCs w:val="32"/>
          <w:lang w:val="en-US" w:eastAsia="zh-CN" w:bidi="ar"/>
        </w:rPr>
        <w:t>..............38</w:t>
      </w:r>
    </w:p>
    <w:p>
      <w:pPr>
        <w:snapToGrid w:val="0"/>
        <w:jc w:val="center"/>
        <w:rPr>
          <w:rFonts w:asciiTheme="minorEastAsia" w:hAnsiTheme="minorEastAsia" w:eastAsiaTheme="minorEastAsia"/>
          <w:sz w:val="72"/>
          <w:szCs w:val="72"/>
        </w:rPr>
      </w:pPr>
    </w:p>
    <w:p>
      <w:pPr>
        <w:pStyle w:val="4"/>
        <w:jc w:val="center"/>
        <w:rPr>
          <w:rFonts w:hint="eastAsia" w:ascii="黑体" w:hAnsi="黑体" w:eastAsia="黑体"/>
          <w:b w:val="0"/>
        </w:rPr>
      </w:pPr>
      <w:bookmarkStart w:id="12" w:name="_Toc15396599"/>
      <w:bookmarkStart w:id="13" w:name="_Toc15377196"/>
    </w:p>
    <w:p>
      <w:pPr>
        <w:pStyle w:val="4"/>
        <w:jc w:val="center"/>
        <w:rPr>
          <w:rFonts w:hint="eastAsia" w:ascii="黑体" w:hAnsi="黑体" w:eastAsia="黑体"/>
          <w:b w:val="0"/>
        </w:rPr>
      </w:pPr>
    </w:p>
    <w:p>
      <w:pPr>
        <w:pStyle w:val="4"/>
        <w:jc w:val="center"/>
        <w:rPr>
          <w:rFonts w:hint="eastAsia" w:ascii="黑体" w:hAnsi="黑体" w:eastAsia="黑体"/>
          <w:b w:val="0"/>
        </w:rPr>
      </w:pPr>
    </w:p>
    <w:p>
      <w:pPr>
        <w:rPr>
          <w:rFonts w:hint="eastAsia"/>
        </w:rPr>
      </w:pPr>
    </w:p>
    <w:p>
      <w:pPr>
        <w:rPr>
          <w:rFonts w:hint="eastAsia"/>
        </w:rPr>
      </w:pPr>
    </w:p>
    <w:p>
      <w:pPr>
        <w:pStyle w:val="4"/>
        <w:jc w:val="center"/>
        <w:rPr>
          <w:rFonts w:hint="eastAsia" w:ascii="黑体" w:hAnsi="黑体" w:eastAsia="黑体"/>
          <w:b w:val="0"/>
          <w:lang w:val="en-US" w:eastAsia="zh-CN"/>
        </w:rPr>
      </w:pPr>
      <w:r>
        <w:rPr>
          <w:rFonts w:hint="eastAsia" w:ascii="黑体" w:hAnsi="黑体" w:eastAsia="黑体"/>
          <w:b w:val="0"/>
          <w:lang w:val="en-US" w:eastAsia="zh-CN"/>
        </w:rPr>
        <w:t>第一部分 部门概况</w:t>
      </w:r>
      <w:bookmarkEnd w:id="12"/>
      <w:bookmarkEnd w:id="13"/>
    </w:p>
    <w:p>
      <w:pPr>
        <w:pStyle w:val="27"/>
        <w:numPr>
          <w:ilvl w:val="0"/>
          <w:numId w:val="0"/>
        </w:numPr>
        <w:spacing w:line="600" w:lineRule="exact"/>
        <w:ind w:firstLine="640" w:firstLineChars="200"/>
        <w:outlineLvl w:val="1"/>
        <w:rPr>
          <w:rFonts w:hint="eastAsia" w:ascii="黑体" w:hAnsi="黑体" w:eastAsia="黑体"/>
          <w:sz w:val="32"/>
          <w:szCs w:val="32"/>
        </w:rPr>
      </w:pPr>
      <w:bookmarkStart w:id="14" w:name="_Toc15396602"/>
      <w:bookmarkStart w:id="15" w:name="_Toc15377204"/>
      <w:r>
        <w:rPr>
          <w:rFonts w:hint="eastAsia" w:ascii="黑体" w:hAnsi="黑体" w:eastAsia="黑体"/>
          <w:sz w:val="32"/>
          <w:szCs w:val="32"/>
        </w:rPr>
        <w:t>一</w:t>
      </w:r>
      <w:r>
        <w:rPr>
          <w:rFonts w:hint="eastAsia" w:ascii="黑体" w:hAnsi="黑体" w:eastAsia="黑体"/>
          <w:sz w:val="32"/>
          <w:szCs w:val="32"/>
          <w:lang w:val="en-US" w:eastAsia="zh-CN"/>
        </w:rPr>
        <w:t>、主</w:t>
      </w:r>
      <w:r>
        <w:rPr>
          <w:rFonts w:hint="eastAsia" w:ascii="黑体" w:hAnsi="黑体" w:eastAsia="黑体"/>
          <w:sz w:val="32"/>
          <w:szCs w:val="32"/>
          <w:lang w:eastAsia="zh-CN"/>
        </w:rPr>
        <w:t>要职责</w:t>
      </w:r>
      <w:r>
        <w:rPr>
          <w:rFonts w:hint="eastAsia" w:ascii="黑体" w:hAnsi="黑体" w:eastAsia="黑体"/>
          <w:sz w:val="32"/>
          <w:szCs w:val="32"/>
        </w:rPr>
        <w:t>及</w:t>
      </w:r>
      <w:r>
        <w:rPr>
          <w:rFonts w:hint="eastAsia" w:ascii="黑体" w:hAnsi="黑体" w:eastAsia="黑体"/>
          <w:sz w:val="32"/>
          <w:szCs w:val="32"/>
          <w:lang w:eastAsia="zh-CN"/>
        </w:rPr>
        <w:t>重点</w:t>
      </w:r>
      <w:r>
        <w:rPr>
          <w:rFonts w:hint="eastAsia" w:ascii="黑体" w:hAnsi="黑体" w:eastAsia="黑体"/>
          <w:sz w:val="32"/>
          <w:szCs w:val="32"/>
        </w:rPr>
        <w:t xml:space="preserve">工作 </w:t>
      </w:r>
    </w:p>
    <w:p>
      <w:pPr>
        <w:pStyle w:val="27"/>
        <w:numPr>
          <w:ilvl w:val="0"/>
          <w:numId w:val="0"/>
        </w:numPr>
        <w:spacing w:line="600" w:lineRule="exact"/>
        <w:ind w:left="640" w:leftChars="0"/>
        <w:outlineLvl w:val="1"/>
        <w:rPr>
          <w:rFonts w:hint="eastAsia" w:ascii="黑体" w:hAnsi="黑体" w:eastAsia="黑体"/>
          <w:sz w:val="32"/>
          <w:szCs w:val="32"/>
          <w:lang w:val="en-US" w:eastAsia="zh-CN"/>
        </w:rPr>
      </w:pPr>
      <w:r>
        <w:rPr>
          <w:rFonts w:hint="eastAsia" w:ascii="黑体" w:hAnsi="黑体" w:eastAsia="黑体"/>
          <w:sz w:val="32"/>
          <w:szCs w:val="32"/>
          <w:lang w:val="en-US" w:eastAsia="zh-CN"/>
        </w:rPr>
        <w:t>（一）部门职责</w:t>
      </w:r>
    </w:p>
    <w:p>
      <w:pPr>
        <w:widowControl/>
        <w:ind w:firstLine="640" w:firstLineChars="200"/>
        <w:jc w:val="left"/>
        <w:rPr>
          <w:rFonts w:hint="eastAsia" w:ascii="仿宋" w:hAnsi="仿宋" w:eastAsia="仿宋" w:cs="Times New Roman"/>
          <w:sz w:val="32"/>
          <w:szCs w:val="32"/>
          <w:lang w:val="en-US" w:eastAsia="zh-CN"/>
        </w:rPr>
      </w:pPr>
      <w:r>
        <w:rPr>
          <w:rFonts w:hint="eastAsia" w:ascii="仿宋" w:hAnsi="仿宋" w:eastAsia="仿宋"/>
          <w:sz w:val="32"/>
          <w:szCs w:val="32"/>
          <w:lang w:val="en-US" w:eastAsia="zh-CN"/>
        </w:rPr>
        <w:t>1.贯彻执行国家、四川省和广元市民政工作的法律、法规和各项方针、政策；拟定民政工作地方规章和政策，并组织实施和监督检查；编制全县民政事业发展规划；指导全县民政队伍法制建设。</w:t>
      </w:r>
      <w:r>
        <w:rPr>
          <w:rFonts w:hint="eastAsia" w:ascii="仿宋" w:hAnsi="仿宋" w:eastAsia="仿宋"/>
          <w:sz w:val="32"/>
          <w:szCs w:val="32"/>
          <w:lang w:val="en-US" w:eastAsia="zh-CN"/>
        </w:rPr>
        <w:br w:type="textWrapping"/>
      </w:r>
      <w:r>
        <w:rPr>
          <w:rFonts w:hint="eastAsia" w:ascii="仿宋" w:hAnsi="仿宋" w:eastAsia="仿宋" w:cs="Times New Roman"/>
          <w:sz w:val="32"/>
          <w:szCs w:val="32"/>
          <w:lang w:val="en-US" w:eastAsia="zh-CN"/>
        </w:rPr>
        <w:t xml:space="preserve">    2.负责管理全县性社团和民办非企业单位的登记管理和年度检查工作，监督社团和民办非企业单位活动，查处社团和民办非企业单位的违法行为，查处未经登记而以社团和民办非企业单位名义开展活动的非法组织；对境外人员成立社团的审核报批；负责全县社团和民办非企业单位的登记管理和年度检查工作；负责社团和民办非企业单位的行政复议工作。</w:t>
      </w:r>
    </w:p>
    <w:p>
      <w:pPr>
        <w:widowControl/>
        <w:ind w:firstLine="640" w:firstLineChars="200"/>
        <w:jc w:val="left"/>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3.建立和实施城乡居（村）民最低生活保障制度；负责全县城乡社会困难户临时救济、定期救济以及其他特殊救济对象的救济工作；指导、检查五保和敬老院工作；负责社会麻风病人的管理、中转和管理指导社会“三无”对象的收养以及优抚对象精神病人收治工作；组织、指导扶贫济困等社会扶助活动；审批全县性社会福利募捐义演、义卖活动。</w:t>
      </w:r>
      <w:r>
        <w:rPr>
          <w:rFonts w:hint="eastAsia" w:ascii="仿宋" w:hAnsi="仿宋" w:eastAsia="仿宋" w:cs="Times New Roman"/>
          <w:sz w:val="32"/>
          <w:szCs w:val="32"/>
          <w:lang w:val="en-US" w:eastAsia="zh-CN"/>
        </w:rPr>
        <w:br w:type="textWrapping"/>
      </w:r>
      <w:r>
        <w:rPr>
          <w:rFonts w:hint="eastAsia" w:ascii="仿宋" w:hAnsi="仿宋" w:eastAsia="仿宋" w:cs="Times New Roman"/>
          <w:sz w:val="32"/>
          <w:szCs w:val="32"/>
          <w:lang w:val="en-US" w:eastAsia="zh-CN"/>
        </w:rPr>
        <w:t xml:space="preserve">   4.导和检查乡镇及村（居）委会政务和村务公开工作；贯彻实施村（居）民委员会组织法，指导村民委员会民主选举、民主决策、民主管理和民主监督工作，推动村务公开和基层民主政治建设；指导城市居民委员会建设；负责指导村（居）民委员会主任和委员培训。</w:t>
      </w:r>
      <w:r>
        <w:rPr>
          <w:rFonts w:hint="eastAsia" w:ascii="仿宋" w:hAnsi="仿宋" w:eastAsia="仿宋" w:cs="Times New Roman"/>
          <w:sz w:val="32"/>
          <w:szCs w:val="32"/>
          <w:lang w:val="en-US" w:eastAsia="zh-CN"/>
        </w:rPr>
        <w:br w:type="textWrapping"/>
      </w:r>
      <w:r>
        <w:rPr>
          <w:rFonts w:hint="eastAsia" w:ascii="仿宋" w:hAnsi="仿宋" w:eastAsia="仿宋" w:cs="Times New Roman"/>
          <w:sz w:val="32"/>
          <w:szCs w:val="32"/>
          <w:lang w:val="en-US" w:eastAsia="zh-CN"/>
        </w:rPr>
        <w:t xml:space="preserve">    5.负责《婚姻法》、《收养法》的贯彻落实，指导检查婚姻登记工作，查处违法婚姻；负责全县儿童收养工作。</w:t>
      </w:r>
      <w:r>
        <w:rPr>
          <w:rFonts w:hint="eastAsia" w:ascii="仿宋" w:hAnsi="仿宋" w:eastAsia="仿宋" w:cs="Times New Roman"/>
          <w:sz w:val="32"/>
          <w:szCs w:val="32"/>
          <w:lang w:val="en-US" w:eastAsia="zh-CN"/>
        </w:rPr>
        <w:br w:type="textWrapping"/>
      </w:r>
      <w:r>
        <w:rPr>
          <w:rFonts w:hint="eastAsia" w:ascii="仿宋" w:hAnsi="仿宋" w:eastAsia="仿宋" w:cs="Times New Roman"/>
          <w:sz w:val="32"/>
          <w:szCs w:val="32"/>
          <w:lang w:val="en-US" w:eastAsia="zh-CN"/>
        </w:rPr>
        <w:t xml:space="preserve">    6.承办行政区划工作，负责县及乡（镇）的设立、撤销、调整更名、界线变更及政府驻地迁移的审核报批。</w:t>
      </w:r>
      <w:r>
        <w:rPr>
          <w:rFonts w:hint="eastAsia" w:ascii="仿宋" w:hAnsi="仿宋" w:eastAsia="仿宋" w:cs="Times New Roman"/>
          <w:sz w:val="32"/>
          <w:szCs w:val="32"/>
          <w:lang w:val="en-US" w:eastAsia="zh-CN"/>
        </w:rPr>
        <w:br w:type="textWrapping"/>
      </w:r>
      <w:r>
        <w:rPr>
          <w:rFonts w:hint="eastAsia" w:ascii="仿宋" w:hAnsi="仿宋" w:eastAsia="仿宋" w:cs="Times New Roman"/>
          <w:sz w:val="32"/>
          <w:szCs w:val="32"/>
          <w:lang w:val="en-US" w:eastAsia="zh-CN"/>
        </w:rPr>
        <w:t xml:space="preserve">    7.主管地名工作，负责村（居）委会以上区划名称及其它地名的命名、更名的审核报批；发布标准地名；规范全县地名标志（即：街、路、巷、楼、门）的设置和管理；负责标准地名图书资料的审定。</w:t>
      </w:r>
    </w:p>
    <w:p>
      <w:pPr>
        <w:widowControl/>
        <w:ind w:firstLine="640" w:firstLineChars="200"/>
        <w:jc w:val="left"/>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8.负责我县与毗邻县行政区域边界的勘定和管理工作；负责乡（镇）边界的调查和调处；承办勘界资料的验收、报批、档案管理以及行政区域界线详图集的资料准备工作。</w:t>
      </w:r>
      <w:r>
        <w:rPr>
          <w:rFonts w:hint="eastAsia" w:ascii="仿宋" w:hAnsi="仿宋" w:eastAsia="仿宋" w:cs="Times New Roman"/>
          <w:sz w:val="32"/>
          <w:szCs w:val="32"/>
          <w:lang w:val="en-US" w:eastAsia="zh-CN"/>
        </w:rPr>
        <w:br w:type="textWrapping"/>
      </w:r>
      <w:r>
        <w:rPr>
          <w:rFonts w:hint="eastAsia" w:ascii="仿宋" w:hAnsi="仿宋" w:eastAsia="仿宋" w:cs="Times New Roman"/>
          <w:sz w:val="32"/>
          <w:szCs w:val="32"/>
          <w:lang w:val="en-US" w:eastAsia="zh-CN"/>
        </w:rPr>
        <w:t xml:space="preserve">    9.承担老龄工作管理职能和孤儿、残疾人、五保户等特殊困难群体权益保护的行政管理工作；拟定并实施我县社会福利事业发展规划，指导城市社会福利事业单位的管理；审核、报批民政社会福利机构和社会福利企业；对城乡社会福利企业进行宏观管理；负责社会福利有奖募捐和福利资金的管理使用工作。</w:t>
      </w:r>
      <w:r>
        <w:rPr>
          <w:rFonts w:hint="eastAsia" w:ascii="仿宋" w:hAnsi="仿宋" w:eastAsia="仿宋" w:cs="Times New Roman"/>
          <w:sz w:val="32"/>
          <w:szCs w:val="32"/>
          <w:lang w:val="en-US" w:eastAsia="zh-CN"/>
        </w:rPr>
        <w:br w:type="textWrapping"/>
      </w:r>
      <w:r>
        <w:rPr>
          <w:rFonts w:hint="eastAsia" w:ascii="仿宋" w:hAnsi="仿宋" w:eastAsia="仿宋" w:cs="Times New Roman"/>
          <w:sz w:val="32"/>
          <w:szCs w:val="32"/>
          <w:lang w:val="en-US" w:eastAsia="zh-CN"/>
        </w:rPr>
        <w:t xml:space="preserve">    10.负责公墓的审核报批；推行殡葬改革，负责殡葬管理工作。</w:t>
      </w:r>
      <w:r>
        <w:rPr>
          <w:rFonts w:hint="eastAsia" w:ascii="仿宋" w:hAnsi="仿宋" w:eastAsia="仿宋" w:cs="Times New Roman"/>
          <w:sz w:val="32"/>
          <w:szCs w:val="32"/>
          <w:lang w:val="en-US" w:eastAsia="zh-CN"/>
        </w:rPr>
        <w:br w:type="textWrapping"/>
      </w:r>
      <w:r>
        <w:rPr>
          <w:rFonts w:hint="eastAsia" w:ascii="仿宋" w:hAnsi="仿宋" w:eastAsia="仿宋" w:cs="Times New Roman"/>
          <w:sz w:val="32"/>
          <w:szCs w:val="32"/>
          <w:lang w:val="en-US" w:eastAsia="zh-CN"/>
        </w:rPr>
        <w:t xml:space="preserve">    11.主管流浪乞讨人员的救助管理工作，指导、协调县救助管理站工作。</w:t>
      </w:r>
      <w:r>
        <w:rPr>
          <w:rFonts w:hint="eastAsia" w:ascii="仿宋" w:hAnsi="仿宋" w:eastAsia="仿宋" w:cs="Times New Roman"/>
          <w:sz w:val="32"/>
          <w:szCs w:val="32"/>
          <w:lang w:val="en-US" w:eastAsia="zh-CN"/>
        </w:rPr>
        <w:br w:type="textWrapping"/>
      </w:r>
      <w:r>
        <w:rPr>
          <w:rFonts w:hint="eastAsia" w:ascii="仿宋" w:hAnsi="仿宋" w:eastAsia="仿宋" w:cs="Times New Roman"/>
          <w:sz w:val="32"/>
          <w:szCs w:val="32"/>
          <w:lang w:val="en-US" w:eastAsia="zh-CN"/>
        </w:rPr>
        <w:t xml:space="preserve">    12.负责指导、协调社区建设工作。</w:t>
      </w:r>
    </w:p>
    <w:p>
      <w:pPr>
        <w:widowControl/>
        <w:ind w:firstLine="640" w:firstLineChars="200"/>
        <w:jc w:val="left"/>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13.负责民政事业计划财务和统计工作，负责民政事业费的管理、使用和监督。</w:t>
      </w:r>
      <w:r>
        <w:rPr>
          <w:rFonts w:hint="eastAsia" w:ascii="仿宋" w:hAnsi="仿宋" w:eastAsia="仿宋" w:cs="Times New Roman"/>
          <w:sz w:val="32"/>
          <w:szCs w:val="32"/>
          <w:lang w:val="en-US" w:eastAsia="zh-CN"/>
        </w:rPr>
        <w:br w:type="textWrapping"/>
      </w:r>
      <w:r>
        <w:rPr>
          <w:rFonts w:hint="eastAsia" w:ascii="仿宋" w:hAnsi="仿宋" w:eastAsia="仿宋" w:cs="Times New Roman"/>
          <w:sz w:val="32"/>
          <w:szCs w:val="32"/>
          <w:lang w:val="en-US" w:eastAsia="zh-CN"/>
        </w:rPr>
        <w:t xml:space="preserve">    14.负责全县民政系统干部、工人的培训教育工作。</w:t>
      </w:r>
    </w:p>
    <w:p>
      <w:pPr>
        <w:widowControl/>
        <w:ind w:firstLine="640" w:firstLineChars="200"/>
        <w:jc w:val="left"/>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15.承办县政府交办的其他事项。</w:t>
      </w:r>
    </w:p>
    <w:p>
      <w:pPr>
        <w:widowControl/>
        <w:ind w:firstLine="642" w:firstLineChars="200"/>
        <w:jc w:val="left"/>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（二）2022年重点工作完成情况</w:t>
      </w:r>
    </w:p>
    <w:p>
      <w:pPr>
        <w:numPr>
          <w:ilvl w:val="0"/>
          <w:numId w:val="1"/>
        </w:numPr>
        <w:ind w:firstLine="642" w:firstLineChars="200"/>
        <w:rPr>
          <w:rFonts w:hint="eastAsia" w:ascii="宋体" w:hAnsi="宋体" w:eastAsia="宋体" w:cs="宋体"/>
          <w:b/>
          <w:bCs/>
          <w:color w:val="000000" w:themeColor="text1"/>
          <w:sz w:val="32"/>
          <w:szCs w:val="32"/>
          <w:lang w:val="en-US" w:eastAsia="zh-CN"/>
          <w14:textFill>
            <w14:solidFill>
              <w14:schemeClr w14:val="tx1"/>
            </w14:solidFill>
          </w14:textFill>
        </w:rPr>
      </w:pPr>
      <w:r>
        <w:rPr>
          <w:rFonts w:hint="eastAsia" w:ascii="宋体" w:hAnsi="宋体" w:eastAsia="宋体" w:cs="宋体"/>
          <w:b/>
          <w:bCs/>
          <w:i w:val="0"/>
          <w:iCs w:val="0"/>
          <w:caps w:val="0"/>
          <w:color w:val="313131"/>
          <w:spacing w:val="0"/>
          <w:kern w:val="0"/>
          <w:sz w:val="32"/>
          <w:szCs w:val="32"/>
          <w:lang w:val="en-US" w:eastAsia="zh-CN" w:bidi="ar"/>
        </w:rPr>
        <w:t>社会救助政策全面落实</w:t>
      </w:r>
    </w:p>
    <w:p>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一是足额发放各类救助资金。从2022年1月起，全县城市低保低限不低于680元∕月；农村低保标准不低于5760元/年，即实行分档救助，A类480元/月、B类350元/月、C类190元/月；城市特困人员救助供养标准不低于884元/月；农村特困人员救助供养标准不低于624元/年。城市低保对象3317户4151人，发放资金1678.06万元；农村低保29411户42453人，发放资金8837.8万元，脱贫对象11053户17212人，发放资金4170.74万元；城乡特困供养人员2242人、发放资金1362.68万元。二是突出临时救助救急难作用。通过“先行救助、后续完善手续”“一事一议”方式，开展临时救助1612人，发放临时救助资金408.6万元；及时核算下拨乡镇临时救助备用金，用于处理辖区内各类急难型事件，确保遇有突发情况资金保障。三是精准落实残疾人“两项补贴”。完成残疾人“两项补贴”提标工作，重度残疾人一二级护理补贴标准分别提至90元/月、60元/月，共发放残疾人护理补贴505.66万元。</w:t>
      </w:r>
    </w:p>
    <w:p>
      <w:pPr>
        <w:spacing w:line="600" w:lineRule="exact"/>
        <w:ind w:firstLine="642" w:firstLineChars="200"/>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（二）“一老一小”服务扎实推进</w:t>
      </w:r>
    </w:p>
    <w:p>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1.养老服务水平不断提高。一是全面推进农村困难老人集中供养工作。抓好供需摸排“主线”，推动服务精准化，守好兜底保障“底线”，树好服务关怀“高线”，实现供养特色化，建立“三线三化”工作机制，高质高效推进农村困难老人集中供养。全力优化完善服务管理体系，着力解决农村困难老人养老难题，确保农村困难老人老有所养、住有所居、病有所医。完成新增入住农村困难老人323人，较市下达任务250人，完成目标比例129.2%；较县下达任务300人，完成目标比例 107.7%。二是加强区域性养老服务中心改造提升。对普安、木马、鹤龄、白龙、武连五个区域养老服务中心实施明厨亮灶项目，同时对所有区域性养老服务中心及元山敬老院开展能力提升。三是推进居家养老购买服务试点工作。在下寺、普安、开封、白龙四个片区推进居家养老购买服务试点工作，并招聘第三方评估机构，落实居家养老项目有序运行的监管与评估。四是加快养老服务设施项目建设进度。启动剑阁县养老照护服务中心设施建设项目，总投资4500万元，新建建筑总面积13500平方米，设置床位300张。启动下寺镇雷鸣社区养老服务综合体项目的前期工作。新建城乡社区日间照料中心15个。五是落实高龄补贴发放工作。按照80-89周岁每人每月30元、90-99周岁每人每月100元、100周岁以上每人每月300元的标准认真做好高龄津贴发放工作，为全县15110位80周岁以上老年人发放高龄津贴629.65万元。 </w:t>
      </w:r>
    </w:p>
    <w:p>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2.儿童关爱体系不断健全。一是贯彻落实孤儿、事实无人抚养儿童保障制度。落实孤儿、事实无人抚养儿童基本生活费配套经费，确保基本生活费及时足额发放到位，为全县45名孤儿发放养育金72.6万元，保障了孤儿的基本生活；为92名事实无人抚养儿童认定并补差发放基本生活费 96.7223万元。二是多举措落实儿童关爱政策。落实全县事实无人抚养儿童基本生活保障，加强医疗、教育资助政策；加强组织领导，强化监管，政策的宣传，督促落实监护责任、优化关爱服务机制，加强乡镇（街道）的儿童督导员和村（社区）儿童主任管理，提升基层儿童工作人员的业务水平，联合社会组织开展孤儿和事实无人抚养儿童走访关爱活动，帮助困境儿童解决实际困难。依托福彩、慈善等公益项目资金，助力困难儿童教育，实施助学工程为52名儿童发放助学补助30.4万元，为28名孤儿办理2.24万元健康体验卡，将10名家庭困难的儿童纳入特困救助，351名残疾儿童纳入残疾“两项补贴”，2359名家庭困难儿童纳入低保救助，对紧急需要的特别困难儿童进行临时救助，儿童福利保障体系初步形成。三是扎实推进未成年人关爱保护工作。成立剑阁县未成年人保护工作领导小组，全面完成儿童福利院向未成年人保护中心转型，建成29个未成年人保护站，完善儿童关爱保护工作领导协调机制，织密“六位一体”未成年人保护网。召开全县未成年人保护工作领导小组第一次全体会议及全县未成年保护工作推进会，印发《剑阁县未成年人保护工作领导小组工作规则》等5个文件。开展“未成年人保护</w:t>
      </w:r>
      <w:r>
        <w:rPr>
          <w:rFonts w:hint="eastAsia" w:ascii="仿宋" w:hAnsi="仿宋" w:eastAsia="仿宋"/>
          <w:sz w:val="32"/>
          <w:szCs w:val="32"/>
          <w:lang w:val="en-US" w:eastAsia="zh-CN"/>
        </w:rPr>
        <w:fldChar w:fldCharType="begin"/>
      </w:r>
      <w:r>
        <w:rPr>
          <w:rFonts w:hint="eastAsia" w:ascii="仿宋" w:hAnsi="仿宋" w:eastAsia="仿宋"/>
          <w:sz w:val="32"/>
          <w:szCs w:val="32"/>
          <w:lang w:val="en-US" w:eastAsia="zh-CN"/>
        </w:rPr>
        <w:instrText xml:space="preserve"> HYPERLINK "http://www.mswk.cn/Article/List/List_87.html" \t "http://www.mswk.cn/Article/_blank" </w:instrText>
      </w:r>
      <w:r>
        <w:rPr>
          <w:rFonts w:hint="eastAsia" w:ascii="仿宋" w:hAnsi="仿宋" w:eastAsia="仿宋"/>
          <w:sz w:val="32"/>
          <w:szCs w:val="32"/>
          <w:lang w:val="en-US" w:eastAsia="zh-CN"/>
        </w:rPr>
        <w:fldChar w:fldCharType="separate"/>
      </w:r>
      <w:r>
        <w:rPr>
          <w:rFonts w:hint="eastAsia" w:ascii="仿宋" w:hAnsi="仿宋" w:eastAsia="仿宋"/>
          <w:sz w:val="32"/>
          <w:szCs w:val="32"/>
          <w:lang w:val="en-US" w:eastAsia="zh-CN"/>
        </w:rPr>
        <w:t>宣传</w:t>
      </w:r>
      <w:r>
        <w:rPr>
          <w:rFonts w:hint="eastAsia" w:ascii="仿宋" w:hAnsi="仿宋" w:eastAsia="仿宋"/>
          <w:sz w:val="32"/>
          <w:szCs w:val="32"/>
          <w:lang w:val="en-US" w:eastAsia="zh-CN"/>
        </w:rPr>
        <w:fldChar w:fldCharType="end"/>
      </w:r>
      <w:r>
        <w:rPr>
          <w:rFonts w:hint="eastAsia" w:ascii="仿宋" w:hAnsi="仿宋" w:eastAsia="仿宋"/>
          <w:sz w:val="32"/>
          <w:szCs w:val="32"/>
          <w:lang w:val="en-US" w:eastAsia="zh-CN"/>
        </w:rPr>
        <w:t>月活动”。</w:t>
      </w:r>
    </w:p>
    <w:p>
      <w:pPr>
        <w:spacing w:line="600" w:lineRule="exact"/>
        <w:ind w:firstLine="642" w:firstLineChars="200"/>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（三）基层治理水平持续加强</w:t>
      </w:r>
    </w:p>
    <w:p>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一是健全议事协商制度。指导各村（社区）修订完善村（居）民自治章程，规范“四议两公开”决策事项和工作程序，建立议事决策社会评价制度，制定《加强基层群众议事协商的实施意见》。</w:t>
      </w:r>
    </w:p>
    <w:p>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二是完善村规民约（居民公约）。指导村（社区）规范完善村规民约、居民公约，建立村规民约、居民公约“红黑榜”制度，发挥红白理事会、村（居）民理事会、村（居）民议事会、道德评议会等基层自治组织作用；积极开展红白理事会建立工作，推动农村移风易俗和乡风文明建设。</w:t>
      </w:r>
    </w:p>
    <w:p>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三是加大村（社区）村（居）务公开监督力度。制定印发《剑阁县关于持续加强村（居）务公开工作的通知》，坚持问题导向，开展问题排查，强化问题整改，深化和规范全县村务公开和民主管理工作，切实保障了基层群众对村级事务的知情权、决策权、参与权和民主监督的权利。</w:t>
      </w:r>
    </w:p>
    <w:p>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四是积极推进省级“民主法治示范村”建设。完成普安镇光荣村、下寺镇双旗村的民主法治示范村的申报工作。</w:t>
      </w:r>
    </w:p>
    <w:p>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五是抓实村（社区）补短板项目。2022年省级城乡社区综合服务设施“补短板”项目争取资金40万，用于王河镇南华村综合服务设施“补短板”建设。加强村综合服务设施改造提升，不断提升村民的获得感、幸福感、安全感。</w:t>
      </w:r>
    </w:p>
    <w:p>
      <w:pPr>
        <w:spacing w:line="600" w:lineRule="exact"/>
        <w:ind w:firstLine="642" w:firstLineChars="200"/>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w:t>
      </w:r>
      <w:r>
        <w:rPr>
          <w:rFonts w:hint="eastAsia" w:ascii="宋体" w:hAnsi="宋体" w:cs="宋体"/>
          <w:b/>
          <w:bCs/>
          <w:sz w:val="32"/>
          <w:szCs w:val="32"/>
          <w:lang w:val="en-US" w:eastAsia="zh-CN"/>
        </w:rPr>
        <w:t>四</w:t>
      </w:r>
      <w:r>
        <w:rPr>
          <w:rFonts w:hint="eastAsia" w:ascii="宋体" w:hAnsi="宋体" w:eastAsia="宋体" w:cs="宋体"/>
          <w:b/>
          <w:bCs/>
          <w:sz w:val="32"/>
          <w:szCs w:val="32"/>
          <w:lang w:val="en-US" w:eastAsia="zh-CN"/>
        </w:rPr>
        <w:t>）社会事务工作持续规范</w:t>
      </w:r>
    </w:p>
    <w:p>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继续深化殡葬改革。制定《剑阁县火化区调整方案》，全面完成我县火葬区和土葬改革区调整划定工作；推进移风易俗，弘扬厚养薄葬、慎终追远优秀思想文化；开展殡葬行业价格秩序专项整治，开展违规墓地专项整治；落实绿色惠民殡葬政策，全年补助418人次，共计37.08万元；积极推进剑阁县殡仪馆、公墓迁建项目，完成元山镇农村公益性公墓建设任务。</w:t>
      </w:r>
    </w:p>
    <w:p>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2.加强社会组织管理。加强社会组织管理。2022年，全县新成立社会组织5家，办理变更社会组织3家，清理僵尸型社会组织3家，现有89家社会组织；全面开展社会组织年检工作，开展打击整治非法社会组织专项行动摸底排查工作，清理整顿19家行业协会商会乱收费问题，规范和引导行业协会商会合法合理运行，促进行业协会商会健康有序发展。进一步厘清党建工作管理体系，推动“功能性”党组织建设，完善社会组织综合党委工作相关机制。落实“双随机、一公开”，细化“两库一单”，动态调整检查对象名录库和行政执法检查人员名录库，持续抓好执法人员的业务素质和能力培训，确保执法工作的严格性、规范性。</w:t>
      </w:r>
    </w:p>
    <w:p>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3.推进区划地名管理。规范地名管理，挖掘地名文化，巩固地名普查成果转化，完成2022年“梓剑线”联检工作，妥善处置边界纠纷隐患，更好维护平安边界稳定；开展地名信息数据库建设工作，完成省下达数据审核入库修改工作。</w:t>
      </w:r>
    </w:p>
    <w:p>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4.搞好婚姻登记服务。2022年，共办理结婚登记2196对，离婚登记632对，补领结婚登记1463对，补领离婚登记76对，无一例违反《民法典婚姻家庭编》、《婚姻登记条例》、《婚姻登记工作规范》等法律法规登记行为，登记合格率为100%。</w:t>
      </w:r>
    </w:p>
    <w:p>
      <w:pPr>
        <w:widowControl/>
        <w:numPr>
          <w:ilvl w:val="0"/>
          <w:numId w:val="0"/>
        </w:numPr>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二、机构设置</w:t>
      </w:r>
    </w:p>
    <w:p>
      <w:pPr>
        <w:ind w:firstLine="640" w:firstLineChars="200"/>
        <w:rPr>
          <w:rFonts w:cs="仿宋_GB2312" w:asciiTheme="minorEastAsia" w:hAnsiTheme="minorEastAsia" w:eastAsiaTheme="minorEastAsia"/>
          <w:sz w:val="32"/>
          <w:szCs w:val="32"/>
        </w:rPr>
      </w:pPr>
      <w:r>
        <w:rPr>
          <w:rFonts w:hint="eastAsia" w:ascii="仿宋" w:hAnsi="仿宋" w:eastAsia="仿宋" w:cs="Times New Roman"/>
          <w:sz w:val="32"/>
          <w:szCs w:val="32"/>
        </w:rPr>
        <w:t>剑阁县民政局</w:t>
      </w:r>
      <w:r>
        <w:rPr>
          <w:rFonts w:hint="eastAsia" w:ascii="仿宋" w:hAnsi="仿宋" w:eastAsia="仿宋" w:cs="Times New Roman"/>
          <w:sz w:val="32"/>
          <w:szCs w:val="32"/>
          <w:lang w:eastAsia="zh-CN"/>
        </w:rPr>
        <w:t>部门</w:t>
      </w:r>
      <w:r>
        <w:rPr>
          <w:rFonts w:hint="eastAsia" w:ascii="仿宋" w:hAnsi="仿宋" w:eastAsia="仿宋" w:cs="Times New Roman"/>
          <w:sz w:val="32"/>
          <w:szCs w:val="32"/>
        </w:rPr>
        <w:t>下设</w:t>
      </w:r>
      <w:r>
        <w:rPr>
          <w:rFonts w:hint="eastAsia" w:ascii="仿宋" w:hAnsi="仿宋" w:eastAsia="仿宋" w:cs="Times New Roman"/>
          <w:sz w:val="32"/>
          <w:szCs w:val="32"/>
          <w:lang w:val="en-US" w:eastAsia="zh-CN"/>
        </w:rPr>
        <w:t>8</w:t>
      </w:r>
      <w:r>
        <w:rPr>
          <w:rFonts w:hint="eastAsia" w:ascii="仿宋" w:hAnsi="仿宋" w:eastAsia="仿宋" w:cs="Times New Roman"/>
          <w:sz w:val="32"/>
          <w:szCs w:val="32"/>
        </w:rPr>
        <w:t>个二级单位，其中行政单位1个，事业单位</w:t>
      </w:r>
      <w:r>
        <w:rPr>
          <w:rFonts w:hint="eastAsia" w:ascii="仿宋" w:hAnsi="仿宋" w:eastAsia="仿宋" w:cs="Times New Roman"/>
          <w:sz w:val="32"/>
          <w:szCs w:val="32"/>
          <w:lang w:val="en-US" w:eastAsia="zh-CN"/>
        </w:rPr>
        <w:t>7</w:t>
      </w:r>
      <w:r>
        <w:rPr>
          <w:rFonts w:hint="eastAsia" w:ascii="仿宋" w:hAnsi="仿宋" w:eastAsia="仿宋" w:cs="Times New Roman"/>
          <w:sz w:val="32"/>
          <w:szCs w:val="32"/>
        </w:rPr>
        <w:t>个，主要包括：民政局机关、 康复院、慈善总会办公室、农村敬老院管理中心、社会（儿童）福利院、婚姻登记处、社会救助管理服务中心</w:t>
      </w:r>
      <w:r>
        <w:rPr>
          <w:rFonts w:hint="eastAsia" w:ascii="仿宋" w:hAnsi="仿宋" w:eastAsia="仿宋" w:cs="Times New Roman"/>
          <w:sz w:val="32"/>
          <w:szCs w:val="32"/>
          <w:lang w:eastAsia="zh-CN"/>
        </w:rPr>
        <w:t>、殡仪馆</w:t>
      </w:r>
      <w:r>
        <w:rPr>
          <w:rFonts w:hint="eastAsia" w:ascii="仿宋" w:hAnsi="仿宋" w:eastAsia="仿宋" w:cs="Times New Roman"/>
          <w:sz w:val="32"/>
          <w:szCs w:val="32"/>
        </w:rPr>
        <w:t>。</w:t>
      </w:r>
    </w:p>
    <w:p>
      <w:pPr>
        <w:spacing w:line="60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纳入剑阁县民政局2022年度部门决算编制范围的一级预算单位1个，即民政局机关；二级预算单位1个，即剑阁县殡仪馆。</w:t>
      </w:r>
    </w:p>
    <w:p>
      <w:pPr>
        <w:spacing w:line="600" w:lineRule="exact"/>
        <w:ind w:firstLine="640" w:firstLineChars="200"/>
        <w:rPr>
          <w:rFonts w:hint="eastAsia" w:ascii="仿宋" w:hAnsi="仿宋" w:eastAsia="仿宋" w:cs="Times New Roman"/>
          <w:sz w:val="32"/>
          <w:szCs w:val="32"/>
          <w:lang w:val="en-US" w:eastAsia="zh-CN"/>
        </w:rPr>
      </w:pPr>
    </w:p>
    <w:p>
      <w:pPr>
        <w:rPr>
          <w:rFonts w:hint="eastAsia" w:ascii="仿宋" w:hAnsi="仿宋" w:eastAsia="仿宋" w:cs="Times New Roman"/>
          <w:sz w:val="32"/>
          <w:szCs w:val="32"/>
        </w:rPr>
      </w:pPr>
    </w:p>
    <w:p>
      <w:pPr>
        <w:pStyle w:val="2"/>
        <w:rPr>
          <w:rFonts w:hint="eastAsia" w:ascii="仿宋" w:hAnsi="仿宋" w:eastAsia="仿宋" w:cs="Times New Roman"/>
          <w:sz w:val="32"/>
          <w:szCs w:val="32"/>
        </w:rPr>
      </w:pPr>
    </w:p>
    <w:p>
      <w:pPr>
        <w:rPr>
          <w:rFonts w:hint="eastAsia"/>
        </w:rPr>
      </w:pPr>
    </w:p>
    <w:bookmarkEnd w:id="14"/>
    <w:bookmarkEnd w:id="15"/>
    <w:p>
      <w:pPr>
        <w:pStyle w:val="4"/>
        <w:ind w:right="440"/>
        <w:jc w:val="center"/>
        <w:rPr>
          <w:rFonts w:hint="eastAsia" w:ascii="黑体" w:hAnsi="黑体" w:eastAsia="黑体"/>
          <w:b w:val="0"/>
        </w:rPr>
      </w:pPr>
      <w:r>
        <w:rPr>
          <w:rFonts w:hint="eastAsia" w:ascii="黑体" w:hAnsi="黑体" w:eastAsia="黑体"/>
          <w:b w:val="0"/>
        </w:rPr>
        <w:t>第二部分 202</w:t>
      </w:r>
      <w:r>
        <w:rPr>
          <w:rFonts w:hint="eastAsia" w:ascii="黑体" w:hAnsi="黑体" w:eastAsia="黑体"/>
          <w:b w:val="0"/>
          <w:lang w:val="en-US" w:eastAsia="zh-CN"/>
        </w:rPr>
        <w:t>2</w:t>
      </w:r>
      <w:r>
        <w:rPr>
          <w:rFonts w:hint="eastAsia" w:ascii="黑体" w:hAnsi="黑体" w:eastAsia="黑体"/>
          <w:b w:val="0"/>
        </w:rPr>
        <w:t>年度</w:t>
      </w:r>
      <w:r>
        <w:rPr>
          <w:rFonts w:hint="eastAsia" w:ascii="黑体" w:hAnsi="黑体" w:eastAsia="黑体"/>
          <w:b w:val="0"/>
          <w:lang w:eastAsia="zh-CN"/>
        </w:rPr>
        <w:t>部门</w:t>
      </w:r>
      <w:r>
        <w:rPr>
          <w:rFonts w:hint="eastAsia" w:ascii="黑体" w:hAnsi="黑体" w:eastAsia="黑体"/>
          <w:b w:val="0"/>
        </w:rPr>
        <w:t>决算情况说明</w:t>
      </w:r>
    </w:p>
    <w:p>
      <w:pPr>
        <w:snapToGrid w:val="0"/>
        <w:spacing w:line="520" w:lineRule="exact"/>
        <w:ind w:firstLine="560" w:firstLineChars="200"/>
        <w:rPr>
          <w:rFonts w:asciiTheme="minorEastAsia" w:hAnsiTheme="minorEastAsia" w:eastAsiaTheme="minorEastAsia"/>
          <w:sz w:val="28"/>
          <w:szCs w:val="28"/>
        </w:rPr>
      </w:pPr>
    </w:p>
    <w:p>
      <w:pPr>
        <w:snapToGrid w:val="0"/>
        <w:spacing w:line="52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一、收入支出决算总体情况说明</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lang w:eastAsia="zh-CN"/>
        </w:rPr>
        <w:t>2022年</w:t>
      </w:r>
      <w:r>
        <w:rPr>
          <w:rFonts w:hint="eastAsia" w:ascii="仿宋" w:hAnsi="仿宋" w:eastAsia="仿宋"/>
          <w:sz w:val="32"/>
          <w:szCs w:val="32"/>
        </w:rPr>
        <w:t>度收、支总计</w:t>
      </w:r>
      <w:r>
        <w:rPr>
          <w:rFonts w:hint="eastAsia" w:ascii="仿宋" w:hAnsi="仿宋" w:eastAsia="仿宋"/>
          <w:sz w:val="32"/>
          <w:szCs w:val="32"/>
          <w:lang w:val="en-US" w:eastAsia="zh-CN"/>
        </w:rPr>
        <w:t>21720.44</w:t>
      </w:r>
      <w:r>
        <w:rPr>
          <w:rFonts w:hint="eastAsia" w:ascii="仿宋" w:hAnsi="仿宋" w:eastAsia="仿宋"/>
          <w:sz w:val="32"/>
          <w:szCs w:val="32"/>
        </w:rPr>
        <w:t>万元，与</w:t>
      </w:r>
      <w:r>
        <w:rPr>
          <w:rFonts w:hint="eastAsia" w:ascii="仿宋" w:hAnsi="仿宋" w:eastAsia="仿宋"/>
          <w:sz w:val="32"/>
          <w:szCs w:val="32"/>
          <w:lang w:eastAsia="zh-CN"/>
        </w:rPr>
        <w:t>2021年</w:t>
      </w:r>
      <w:r>
        <w:rPr>
          <w:rFonts w:hint="eastAsia" w:ascii="仿宋" w:hAnsi="仿宋" w:eastAsia="仿宋"/>
          <w:sz w:val="32"/>
          <w:szCs w:val="32"/>
        </w:rPr>
        <w:t>度相比，收、支总计增加</w:t>
      </w:r>
      <w:r>
        <w:rPr>
          <w:rFonts w:hint="eastAsia" w:ascii="仿宋" w:hAnsi="仿宋" w:eastAsia="仿宋"/>
          <w:sz w:val="32"/>
          <w:szCs w:val="32"/>
          <w:lang w:val="en-US" w:eastAsia="zh-CN"/>
        </w:rPr>
        <w:t>2975.88</w:t>
      </w:r>
      <w:r>
        <w:rPr>
          <w:rFonts w:hint="eastAsia" w:ascii="仿宋" w:hAnsi="仿宋" w:eastAsia="仿宋"/>
          <w:sz w:val="32"/>
          <w:szCs w:val="32"/>
        </w:rPr>
        <w:t xml:space="preserve">万元，增长 </w:t>
      </w:r>
      <w:r>
        <w:rPr>
          <w:rFonts w:hint="eastAsia" w:ascii="仿宋" w:hAnsi="仿宋" w:eastAsia="仿宋"/>
          <w:sz w:val="32"/>
          <w:szCs w:val="32"/>
          <w:lang w:val="en-US" w:eastAsia="zh-CN"/>
        </w:rPr>
        <w:t>15.88</w:t>
      </w:r>
      <w:r>
        <w:rPr>
          <w:rFonts w:hint="eastAsia" w:ascii="仿宋" w:hAnsi="仿宋" w:eastAsia="仿宋"/>
          <w:sz w:val="32"/>
          <w:szCs w:val="32"/>
        </w:rPr>
        <w:t>%。主要变动原因是项目支出增加。</w:t>
      </w:r>
    </w:p>
    <w:p>
      <w:pPr>
        <w:pStyle w:val="2"/>
        <w:rPr>
          <w:rFonts w:hint="eastAsia"/>
        </w:rPr>
      </w:pPr>
    </w:p>
    <w:p>
      <w:pPr>
        <w:pStyle w:val="2"/>
        <w:rPr>
          <w:rFonts w:hint="eastAsia" w:ascii="仿宋" w:hAnsi="仿宋" w:eastAsia="仿宋"/>
          <w:sz w:val="32"/>
          <w:szCs w:val="32"/>
        </w:rPr>
      </w:pPr>
      <w: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ind w:firstLine="1920" w:firstLineChars="600"/>
        <w:rPr>
          <w:rFonts w:hint="eastAsia"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pPr>
        <w:rPr>
          <w:rFonts w:hint="eastAsia"/>
        </w:rPr>
      </w:pPr>
    </w:p>
    <w:p>
      <w:pPr>
        <w:snapToGrid w:val="0"/>
        <w:spacing w:line="52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收入决算情况说明</w:t>
      </w:r>
    </w:p>
    <w:p>
      <w:pPr>
        <w:spacing w:line="600" w:lineRule="exact"/>
        <w:ind w:firstLine="640" w:firstLineChars="200"/>
        <w:rPr>
          <w:rFonts w:hint="eastAsia" w:ascii="仿宋" w:hAnsi="仿宋" w:eastAsia="仿宋" w:cs="Times New Roman"/>
          <w:sz w:val="32"/>
          <w:szCs w:val="32"/>
          <w:lang w:eastAsia="zh-CN"/>
        </w:rPr>
      </w:pPr>
      <w:r>
        <w:rPr>
          <w:rFonts w:hint="eastAsia" w:ascii="仿宋" w:hAnsi="仿宋" w:eastAsia="仿宋" w:cs="Times New Roman"/>
          <w:sz w:val="32"/>
          <w:szCs w:val="32"/>
          <w:lang w:eastAsia="zh-CN"/>
        </w:rPr>
        <w:t>2022年度本年收入合计</w:t>
      </w:r>
      <w:r>
        <w:rPr>
          <w:rFonts w:hint="eastAsia" w:ascii="仿宋" w:hAnsi="仿宋" w:eastAsia="仿宋" w:cs="Times New Roman"/>
          <w:sz w:val="32"/>
          <w:szCs w:val="32"/>
          <w:lang w:val="en-US" w:eastAsia="zh-CN"/>
        </w:rPr>
        <w:t>21191.62</w:t>
      </w:r>
      <w:r>
        <w:rPr>
          <w:rFonts w:hint="eastAsia" w:ascii="仿宋" w:hAnsi="仿宋" w:eastAsia="仿宋" w:cs="Times New Roman"/>
          <w:sz w:val="32"/>
          <w:szCs w:val="32"/>
          <w:lang w:eastAsia="zh-CN"/>
        </w:rPr>
        <w:t>万元，其中：一般公共预算财政拨款收入</w:t>
      </w:r>
      <w:r>
        <w:rPr>
          <w:rFonts w:hint="eastAsia" w:ascii="仿宋" w:hAnsi="仿宋" w:eastAsia="仿宋" w:cs="Times New Roman"/>
          <w:sz w:val="32"/>
          <w:szCs w:val="32"/>
          <w:lang w:val="en-US" w:eastAsia="zh-CN"/>
        </w:rPr>
        <w:t>16409.75</w:t>
      </w:r>
      <w:r>
        <w:rPr>
          <w:rFonts w:hint="eastAsia" w:ascii="仿宋" w:hAnsi="仿宋" w:eastAsia="仿宋" w:cs="Times New Roman"/>
          <w:sz w:val="32"/>
          <w:szCs w:val="32"/>
          <w:lang w:eastAsia="zh-CN"/>
        </w:rPr>
        <w:t>万元，占</w:t>
      </w:r>
      <w:r>
        <w:rPr>
          <w:rFonts w:hint="eastAsia" w:ascii="仿宋" w:hAnsi="仿宋" w:eastAsia="仿宋" w:cs="Times New Roman"/>
          <w:sz w:val="32"/>
          <w:szCs w:val="32"/>
          <w:lang w:val="en-US" w:eastAsia="zh-CN"/>
        </w:rPr>
        <w:t>77.44</w:t>
      </w:r>
      <w:r>
        <w:rPr>
          <w:rFonts w:hint="eastAsia" w:ascii="仿宋" w:hAnsi="仿宋" w:eastAsia="仿宋" w:cs="Times New Roman"/>
          <w:sz w:val="32"/>
          <w:szCs w:val="32"/>
          <w:lang w:eastAsia="zh-CN"/>
        </w:rPr>
        <w:t>%；政府性基金预算财政拨款收入</w:t>
      </w:r>
      <w:r>
        <w:rPr>
          <w:rFonts w:hint="eastAsia" w:ascii="仿宋" w:hAnsi="仿宋" w:eastAsia="仿宋" w:cs="Times New Roman"/>
          <w:sz w:val="32"/>
          <w:szCs w:val="32"/>
          <w:lang w:val="en-US" w:eastAsia="zh-CN"/>
        </w:rPr>
        <w:t>368.96</w:t>
      </w:r>
      <w:r>
        <w:rPr>
          <w:rFonts w:hint="eastAsia" w:ascii="仿宋" w:hAnsi="仿宋" w:eastAsia="仿宋" w:cs="Times New Roman"/>
          <w:sz w:val="32"/>
          <w:szCs w:val="32"/>
          <w:lang w:eastAsia="zh-CN"/>
        </w:rPr>
        <w:t>万元，占</w:t>
      </w:r>
      <w:r>
        <w:rPr>
          <w:rFonts w:hint="eastAsia" w:ascii="仿宋" w:hAnsi="仿宋" w:eastAsia="仿宋" w:cs="Times New Roman"/>
          <w:sz w:val="32"/>
          <w:szCs w:val="32"/>
          <w:lang w:val="en-US" w:eastAsia="zh-CN"/>
        </w:rPr>
        <w:t>1.74</w:t>
      </w:r>
      <w:r>
        <w:rPr>
          <w:rFonts w:hint="eastAsia" w:ascii="仿宋" w:hAnsi="仿宋" w:eastAsia="仿宋" w:cs="Times New Roman"/>
          <w:sz w:val="32"/>
          <w:szCs w:val="32"/>
          <w:lang w:eastAsia="zh-CN"/>
        </w:rPr>
        <w:t>%；上级补助收入0万元；事业收入0万元；经营收入0万元；附属单位上缴收入0万元；其他收入</w:t>
      </w:r>
      <w:r>
        <w:rPr>
          <w:rFonts w:hint="eastAsia" w:ascii="仿宋" w:hAnsi="仿宋" w:eastAsia="仿宋" w:cs="Times New Roman"/>
          <w:sz w:val="32"/>
          <w:szCs w:val="32"/>
          <w:lang w:val="en-US" w:eastAsia="zh-CN"/>
        </w:rPr>
        <w:t>4412.91</w:t>
      </w:r>
      <w:r>
        <w:rPr>
          <w:rFonts w:hint="eastAsia" w:ascii="仿宋" w:hAnsi="仿宋" w:eastAsia="仿宋" w:cs="Times New Roman"/>
          <w:sz w:val="32"/>
          <w:szCs w:val="32"/>
          <w:lang w:eastAsia="zh-CN"/>
        </w:rPr>
        <w:t>万元，占</w:t>
      </w:r>
      <w:r>
        <w:rPr>
          <w:rFonts w:hint="eastAsia" w:ascii="仿宋" w:hAnsi="仿宋" w:eastAsia="仿宋" w:cs="Times New Roman"/>
          <w:sz w:val="32"/>
          <w:szCs w:val="32"/>
          <w:lang w:val="en-US" w:eastAsia="zh-CN"/>
        </w:rPr>
        <w:t>20.82</w:t>
      </w:r>
      <w:r>
        <w:rPr>
          <w:rFonts w:hint="eastAsia" w:ascii="仿宋" w:hAnsi="仿宋" w:eastAsia="仿宋" w:cs="Times New Roman"/>
          <w:sz w:val="32"/>
          <w:szCs w:val="32"/>
          <w:lang w:eastAsia="zh-CN"/>
        </w:rPr>
        <w:t>%。</w:t>
      </w:r>
    </w:p>
    <w:p>
      <w:pPr>
        <w:pStyle w:val="2"/>
        <w:rPr>
          <w:rFonts w:hint="eastAsia" w:ascii="仿宋" w:hAnsi="仿宋" w:eastAsia="仿宋" w:cs="Times New Roman"/>
          <w:sz w:val="32"/>
          <w:szCs w:val="32"/>
          <w:lang w:eastAsia="zh-CN"/>
        </w:rPr>
      </w:pPr>
    </w:p>
    <w:p>
      <w:pPr>
        <w:rPr>
          <w:rFonts w:hint="eastAsia" w:ascii="仿宋" w:hAnsi="仿宋" w:eastAsia="仿宋" w:cs="Times New Roman"/>
          <w:sz w:val="32"/>
          <w:szCs w:val="32"/>
          <w:lang w:eastAsia="zh-CN"/>
        </w:rPr>
      </w:pPr>
      <w:r>
        <w:drawing>
          <wp:anchor distT="0" distB="0" distL="114300" distR="114300" simplePos="0" relativeHeight="251664384" behindDoc="0" locked="0" layoutInCell="1" allowOverlap="1">
            <wp:simplePos x="0" y="0"/>
            <wp:positionH relativeFrom="column">
              <wp:posOffset>321945</wp:posOffset>
            </wp:positionH>
            <wp:positionV relativeFrom="paragraph">
              <wp:posOffset>221615</wp:posOffset>
            </wp:positionV>
            <wp:extent cx="4572000" cy="2743200"/>
            <wp:effectExtent l="4445" t="4445" r="14605" b="14605"/>
            <wp:wrapNone/>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pStyle w:val="2"/>
        <w:rPr>
          <w:rFonts w:hint="eastAsia" w:ascii="仿宋" w:hAnsi="仿宋" w:eastAsia="仿宋" w:cs="Times New Roman"/>
          <w:sz w:val="32"/>
          <w:szCs w:val="32"/>
          <w:lang w:eastAsia="zh-CN"/>
        </w:rPr>
      </w:pPr>
    </w:p>
    <w:p>
      <w:pPr>
        <w:rPr>
          <w:rFonts w:hint="eastAsia"/>
          <w:lang w:eastAsia="zh-CN"/>
        </w:rPr>
      </w:pPr>
    </w:p>
    <w:p>
      <w:pPr>
        <w:pStyle w:val="2"/>
        <w:ind w:firstLine="1920" w:firstLineChars="600"/>
        <w:rPr>
          <w:rFonts w:hint="eastAsia" w:ascii="仿宋" w:hAnsi="仿宋" w:eastAsia="仿宋"/>
          <w:sz w:val="32"/>
          <w:szCs w:val="32"/>
        </w:rPr>
      </w:pPr>
    </w:p>
    <w:p>
      <w:pPr>
        <w:pStyle w:val="2"/>
        <w:ind w:firstLine="1920" w:firstLineChars="600"/>
        <w:rPr>
          <w:rFonts w:hint="eastAsia" w:ascii="仿宋" w:hAnsi="仿宋" w:eastAsia="仿宋"/>
          <w:sz w:val="32"/>
          <w:szCs w:val="32"/>
        </w:rPr>
      </w:pPr>
    </w:p>
    <w:p>
      <w:pPr>
        <w:pStyle w:val="2"/>
        <w:ind w:firstLine="1920" w:firstLineChars="600"/>
        <w:rPr>
          <w:rFonts w:hint="eastAsia" w:ascii="仿宋" w:hAnsi="仿宋" w:eastAsia="仿宋"/>
          <w:sz w:val="32"/>
          <w:szCs w:val="32"/>
        </w:rPr>
      </w:pPr>
    </w:p>
    <w:p>
      <w:pPr>
        <w:pStyle w:val="2"/>
        <w:ind w:firstLine="1920" w:firstLineChars="600"/>
        <w:rPr>
          <w:rFonts w:hint="eastAsia" w:ascii="仿宋" w:hAnsi="仿宋" w:eastAsia="仿宋"/>
          <w:sz w:val="32"/>
          <w:szCs w:val="32"/>
        </w:rPr>
      </w:pPr>
    </w:p>
    <w:p>
      <w:pPr>
        <w:pStyle w:val="2"/>
        <w:ind w:firstLine="1920" w:firstLineChars="600"/>
        <w:rPr>
          <w:rFonts w:hint="eastAsia" w:ascii="仿宋" w:hAnsi="仿宋" w:eastAsia="仿宋"/>
          <w:sz w:val="32"/>
          <w:szCs w:val="32"/>
        </w:rPr>
      </w:pPr>
      <w:r>
        <w:rPr>
          <w:rFonts w:hint="eastAsia" w:ascii="仿宋" w:hAnsi="仿宋" w:eastAsia="仿宋"/>
          <w:sz w:val="32"/>
          <w:szCs w:val="32"/>
        </w:rPr>
        <w:t>图2：收入决算结构图</w:t>
      </w:r>
    </w:p>
    <w:p>
      <w:pPr>
        <w:snapToGrid w:val="0"/>
        <w:spacing w:line="52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三、支出决算情况说明</w:t>
      </w:r>
    </w:p>
    <w:p>
      <w:pPr>
        <w:spacing w:line="600" w:lineRule="exact"/>
        <w:ind w:firstLine="640" w:firstLineChars="200"/>
        <w:rPr>
          <w:rFonts w:hint="eastAsia" w:ascii="仿宋" w:hAnsi="仿宋" w:eastAsia="仿宋" w:cs="Times New Roman"/>
          <w:sz w:val="32"/>
          <w:szCs w:val="32"/>
          <w:lang w:eastAsia="zh-CN"/>
        </w:rPr>
      </w:pPr>
      <w:r>
        <w:rPr>
          <w:rFonts w:hint="eastAsia" w:ascii="仿宋" w:hAnsi="仿宋" w:eastAsia="仿宋" w:cs="Times New Roman"/>
          <w:sz w:val="32"/>
          <w:szCs w:val="32"/>
          <w:lang w:eastAsia="zh-CN"/>
        </w:rPr>
        <w:t xml:space="preserve">2022年度本年支出合计 </w:t>
      </w:r>
      <w:r>
        <w:rPr>
          <w:rFonts w:hint="eastAsia" w:ascii="仿宋" w:hAnsi="仿宋" w:eastAsia="仿宋" w:cs="Times New Roman"/>
          <w:sz w:val="32"/>
          <w:szCs w:val="32"/>
          <w:lang w:val="en-US" w:eastAsia="zh-CN"/>
        </w:rPr>
        <w:t>21720.44</w:t>
      </w:r>
      <w:r>
        <w:rPr>
          <w:rFonts w:hint="eastAsia" w:ascii="仿宋" w:hAnsi="仿宋" w:eastAsia="仿宋" w:cs="Times New Roman"/>
          <w:sz w:val="32"/>
          <w:szCs w:val="32"/>
          <w:lang w:eastAsia="zh-CN"/>
        </w:rPr>
        <w:t xml:space="preserve">万元，其中：基本支出 </w:t>
      </w:r>
      <w:r>
        <w:rPr>
          <w:rFonts w:hint="eastAsia" w:ascii="仿宋" w:hAnsi="仿宋" w:eastAsia="仿宋" w:cs="Times New Roman"/>
          <w:sz w:val="32"/>
          <w:szCs w:val="32"/>
          <w:lang w:val="en-US" w:eastAsia="zh-CN"/>
        </w:rPr>
        <w:t>680.02</w:t>
      </w:r>
      <w:r>
        <w:rPr>
          <w:rFonts w:hint="eastAsia" w:ascii="仿宋" w:hAnsi="仿宋" w:eastAsia="仿宋" w:cs="Times New Roman"/>
          <w:sz w:val="32"/>
          <w:szCs w:val="32"/>
          <w:lang w:eastAsia="zh-CN"/>
        </w:rPr>
        <w:t>万元，占</w:t>
      </w:r>
      <w:r>
        <w:rPr>
          <w:rFonts w:hint="eastAsia" w:ascii="仿宋" w:hAnsi="仿宋" w:eastAsia="仿宋" w:cs="Times New Roman"/>
          <w:sz w:val="32"/>
          <w:szCs w:val="32"/>
          <w:lang w:val="en-US" w:eastAsia="zh-CN"/>
        </w:rPr>
        <w:t>3.13</w:t>
      </w:r>
      <w:r>
        <w:rPr>
          <w:rFonts w:hint="eastAsia" w:ascii="仿宋" w:hAnsi="仿宋" w:eastAsia="仿宋" w:cs="Times New Roman"/>
          <w:sz w:val="32"/>
          <w:szCs w:val="32"/>
          <w:lang w:eastAsia="zh-CN"/>
        </w:rPr>
        <w:t>%；项目支出</w:t>
      </w:r>
      <w:r>
        <w:rPr>
          <w:rFonts w:hint="eastAsia" w:ascii="仿宋" w:hAnsi="仿宋" w:eastAsia="仿宋" w:cs="Times New Roman"/>
          <w:sz w:val="32"/>
          <w:szCs w:val="32"/>
          <w:lang w:val="en-US" w:eastAsia="zh-CN"/>
        </w:rPr>
        <w:t>21040.42</w:t>
      </w:r>
      <w:r>
        <w:rPr>
          <w:rFonts w:hint="eastAsia" w:ascii="仿宋" w:hAnsi="仿宋" w:eastAsia="仿宋" w:cs="Times New Roman"/>
          <w:sz w:val="32"/>
          <w:szCs w:val="32"/>
          <w:lang w:eastAsia="zh-CN"/>
        </w:rPr>
        <w:t>万元，占</w:t>
      </w:r>
      <w:r>
        <w:rPr>
          <w:rFonts w:hint="eastAsia" w:ascii="仿宋" w:hAnsi="仿宋" w:eastAsia="仿宋" w:cs="Times New Roman"/>
          <w:sz w:val="32"/>
          <w:szCs w:val="32"/>
          <w:lang w:val="en-US" w:eastAsia="zh-CN"/>
        </w:rPr>
        <w:t>96.87</w:t>
      </w:r>
      <w:r>
        <w:rPr>
          <w:rFonts w:hint="eastAsia" w:ascii="仿宋" w:hAnsi="仿宋" w:eastAsia="仿宋" w:cs="Times New Roman"/>
          <w:sz w:val="32"/>
          <w:szCs w:val="32"/>
          <w:lang w:eastAsia="zh-CN"/>
        </w:rPr>
        <w:t xml:space="preserve"> %；上缴上级支出0万元；经营支出0万元；对附属单位补助支出0万元。</w:t>
      </w:r>
    </w:p>
    <w:p>
      <w:pPr>
        <w:spacing w:line="600" w:lineRule="exact"/>
        <w:ind w:firstLine="640"/>
        <w:rPr>
          <w:rFonts w:ascii="仿宋" w:hAnsi="仿宋" w:eastAsia="仿宋"/>
          <w:sz w:val="32"/>
          <w:szCs w:val="32"/>
          <w:shd w:val="pct10" w:color="auto" w:fill="FFFFFF"/>
        </w:rPr>
      </w:pPr>
      <w:r>
        <w:drawing>
          <wp:anchor distT="0" distB="0" distL="114300" distR="114300" simplePos="0" relativeHeight="251665408" behindDoc="0" locked="0" layoutInCell="1" allowOverlap="1">
            <wp:simplePos x="0" y="0"/>
            <wp:positionH relativeFrom="column">
              <wp:posOffset>315595</wp:posOffset>
            </wp:positionH>
            <wp:positionV relativeFrom="paragraph">
              <wp:posOffset>171450</wp:posOffset>
            </wp:positionV>
            <wp:extent cx="4572000" cy="2743200"/>
            <wp:effectExtent l="4445" t="4445" r="14605" b="14605"/>
            <wp:wrapNone/>
            <wp:docPr id="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pStyle w:val="7"/>
        <w:rPr>
          <w:rFonts w:ascii="仿宋" w:hAnsi="仿宋" w:eastAsia="仿宋"/>
          <w:sz w:val="32"/>
          <w:szCs w:val="32"/>
          <w:shd w:val="pct10" w:color="auto" w:fill="FFFFFF"/>
        </w:rPr>
      </w:pPr>
    </w:p>
    <w:p>
      <w:pPr>
        <w:pStyle w:val="7"/>
        <w:rPr>
          <w:rFonts w:ascii="仿宋" w:hAnsi="仿宋" w:eastAsia="仿宋"/>
          <w:sz w:val="32"/>
          <w:szCs w:val="32"/>
          <w:shd w:val="pct10" w:color="auto" w:fill="FFFFFF"/>
        </w:rPr>
      </w:pPr>
    </w:p>
    <w:p>
      <w:pPr>
        <w:pStyle w:val="7"/>
        <w:rPr>
          <w:rFonts w:ascii="仿宋" w:hAnsi="仿宋" w:eastAsia="仿宋"/>
          <w:sz w:val="32"/>
          <w:szCs w:val="32"/>
          <w:shd w:val="pct10" w:color="auto" w:fill="FFFFFF"/>
        </w:rPr>
      </w:pPr>
    </w:p>
    <w:p>
      <w:pPr>
        <w:pStyle w:val="7"/>
        <w:rPr>
          <w:rFonts w:ascii="仿宋" w:hAnsi="仿宋" w:eastAsia="仿宋"/>
          <w:sz w:val="32"/>
          <w:szCs w:val="32"/>
          <w:shd w:val="pct10" w:color="auto" w:fill="FFFFFF"/>
        </w:rPr>
      </w:pPr>
    </w:p>
    <w:p>
      <w:pPr>
        <w:pStyle w:val="7"/>
        <w:rPr>
          <w:rFonts w:ascii="仿宋" w:hAnsi="仿宋" w:eastAsia="仿宋"/>
          <w:sz w:val="32"/>
          <w:szCs w:val="32"/>
          <w:shd w:val="pct10" w:color="auto" w:fill="FFFFFF"/>
        </w:rPr>
      </w:pPr>
    </w:p>
    <w:p>
      <w:pPr>
        <w:spacing w:line="600" w:lineRule="exact"/>
        <w:rPr>
          <w:rFonts w:hint="eastAsia" w:ascii="仿宋" w:hAnsi="仿宋" w:eastAsia="仿宋"/>
          <w:sz w:val="32"/>
          <w:szCs w:val="32"/>
        </w:rPr>
      </w:pPr>
    </w:p>
    <w:p>
      <w:pPr>
        <w:spacing w:line="600" w:lineRule="exact"/>
        <w:ind w:firstLine="2560" w:firstLineChars="800"/>
        <w:rPr>
          <w:rFonts w:ascii="仿宋" w:hAnsi="仿宋" w:eastAsia="仿宋"/>
          <w:sz w:val="32"/>
          <w:szCs w:val="32"/>
        </w:rPr>
      </w:pPr>
      <w:r>
        <w:rPr>
          <w:rFonts w:hint="eastAsia" w:ascii="仿宋" w:hAnsi="仿宋" w:eastAsia="仿宋"/>
          <w:sz w:val="32"/>
          <w:szCs w:val="32"/>
        </w:rPr>
        <w:t>图3：支出决算结构图</w:t>
      </w:r>
    </w:p>
    <w:p>
      <w:pPr>
        <w:spacing w:line="600" w:lineRule="exact"/>
        <w:ind w:firstLine="640" w:firstLineChars="200"/>
        <w:rPr>
          <w:rFonts w:cs="黑体" w:asciiTheme="minorEastAsia" w:hAnsiTheme="minorEastAsia" w:eastAsiaTheme="minorEastAsia"/>
          <w:color w:val="000000"/>
          <w:sz w:val="32"/>
          <w:szCs w:val="32"/>
        </w:rPr>
      </w:pPr>
      <w:r>
        <w:rPr>
          <w:rFonts w:hint="eastAsia" w:ascii="黑体" w:hAnsi="黑体" w:eastAsia="黑体" w:cs="黑体"/>
          <w:sz w:val="32"/>
          <w:szCs w:val="32"/>
          <w:lang w:eastAsia="zh-CN"/>
        </w:rPr>
        <w:t>四、财政拨款收入支出决算总体情况说明</w:t>
      </w:r>
    </w:p>
    <w:p>
      <w:pPr>
        <w:spacing w:line="600" w:lineRule="exact"/>
        <w:ind w:firstLine="640" w:firstLineChars="200"/>
        <w:rPr>
          <w:rFonts w:cs="仿宋_GB2312" w:asciiTheme="minorEastAsia" w:hAnsiTheme="minorEastAsia" w:eastAsiaTheme="minorEastAsia"/>
          <w:color w:val="000000"/>
          <w:sz w:val="32"/>
          <w:szCs w:val="32"/>
        </w:rPr>
      </w:pPr>
      <w:r>
        <w:rPr>
          <w:rFonts w:hint="eastAsia" w:ascii="仿宋" w:hAnsi="仿宋" w:eastAsia="仿宋" w:cs="Times New Roman"/>
          <w:sz w:val="32"/>
          <w:szCs w:val="32"/>
          <w:lang w:eastAsia="zh-CN"/>
        </w:rPr>
        <w:t>2022年</w:t>
      </w:r>
      <w:r>
        <w:rPr>
          <w:rFonts w:hint="eastAsia" w:ascii="仿宋" w:hAnsi="仿宋" w:eastAsia="仿宋"/>
          <w:sz w:val="32"/>
          <w:szCs w:val="32"/>
        </w:rPr>
        <w:t>财政拨款</w:t>
      </w:r>
      <w:r>
        <w:rPr>
          <w:rFonts w:hint="eastAsia" w:ascii="仿宋" w:hAnsi="仿宋" w:eastAsia="仿宋" w:cs="Times New Roman"/>
          <w:sz w:val="32"/>
          <w:szCs w:val="32"/>
          <w:lang w:eastAsia="zh-CN"/>
        </w:rPr>
        <w:t>收、支总计</w:t>
      </w:r>
      <w:r>
        <w:rPr>
          <w:rFonts w:hint="eastAsia" w:ascii="仿宋" w:hAnsi="仿宋" w:eastAsia="仿宋" w:cs="Times New Roman"/>
          <w:sz w:val="32"/>
          <w:szCs w:val="32"/>
          <w:lang w:val="en-US" w:eastAsia="zh-CN"/>
        </w:rPr>
        <w:t>17307.53</w:t>
      </w:r>
      <w:r>
        <w:rPr>
          <w:rFonts w:hint="eastAsia" w:ascii="仿宋" w:hAnsi="仿宋" w:eastAsia="仿宋" w:cs="Times New Roman"/>
          <w:sz w:val="32"/>
          <w:szCs w:val="32"/>
          <w:lang w:eastAsia="zh-CN"/>
        </w:rPr>
        <w:t>万元，与2021年度相比，</w:t>
      </w:r>
      <w:r>
        <w:rPr>
          <w:rFonts w:hint="eastAsia" w:ascii="仿宋" w:hAnsi="仿宋" w:eastAsia="仿宋"/>
          <w:sz w:val="32"/>
          <w:szCs w:val="32"/>
        </w:rPr>
        <w:t>财政拨款</w:t>
      </w:r>
      <w:r>
        <w:rPr>
          <w:rFonts w:hint="eastAsia" w:ascii="仿宋" w:hAnsi="仿宋" w:eastAsia="仿宋" w:cs="Times New Roman"/>
          <w:sz w:val="32"/>
          <w:szCs w:val="32"/>
          <w:lang w:eastAsia="zh-CN"/>
        </w:rPr>
        <w:t>收、支总计减少</w:t>
      </w:r>
      <w:r>
        <w:rPr>
          <w:rFonts w:hint="eastAsia" w:ascii="仿宋" w:hAnsi="仿宋" w:eastAsia="仿宋"/>
          <w:sz w:val="32"/>
          <w:szCs w:val="32"/>
          <w:lang w:val="en-US" w:eastAsia="zh-CN"/>
        </w:rPr>
        <w:t>740.79</w:t>
      </w:r>
      <w:r>
        <w:rPr>
          <w:rFonts w:hint="eastAsia" w:ascii="仿宋" w:hAnsi="仿宋" w:eastAsia="仿宋" w:cs="Times New Roman"/>
          <w:sz w:val="32"/>
          <w:szCs w:val="32"/>
          <w:lang w:eastAsia="zh-CN"/>
        </w:rPr>
        <w:t>万元，下降</w:t>
      </w:r>
      <w:r>
        <w:rPr>
          <w:rFonts w:hint="eastAsia" w:ascii="仿宋" w:hAnsi="仿宋" w:eastAsia="仿宋"/>
          <w:sz w:val="32"/>
          <w:szCs w:val="32"/>
          <w:lang w:val="en-US" w:eastAsia="zh-CN"/>
        </w:rPr>
        <w:t>4.1</w:t>
      </w:r>
      <w:r>
        <w:rPr>
          <w:rFonts w:hint="eastAsia" w:ascii="仿宋" w:hAnsi="仿宋" w:eastAsia="仿宋" w:cs="Times New Roman"/>
          <w:sz w:val="32"/>
          <w:szCs w:val="32"/>
          <w:lang w:eastAsia="zh-CN"/>
        </w:rPr>
        <w:t>%。主要变动原因是</w:t>
      </w:r>
      <w:r>
        <w:rPr>
          <w:rFonts w:hint="eastAsia" w:ascii="仿宋" w:hAnsi="仿宋" w:eastAsia="仿宋"/>
          <w:sz w:val="32"/>
          <w:szCs w:val="32"/>
          <w:lang w:eastAsia="zh-CN"/>
        </w:rPr>
        <w:t>其他收入安排</w:t>
      </w:r>
      <w:r>
        <w:rPr>
          <w:rFonts w:hint="eastAsia" w:ascii="仿宋" w:hAnsi="仿宋" w:eastAsia="仿宋" w:cs="Times New Roman"/>
          <w:sz w:val="32"/>
          <w:szCs w:val="32"/>
          <w:lang w:eastAsia="zh-CN"/>
        </w:rPr>
        <w:t>项目支出增加。</w:t>
      </w:r>
    </w:p>
    <w:p>
      <w:pPr>
        <w:spacing w:line="600" w:lineRule="exact"/>
        <w:ind w:firstLine="420" w:firstLineChars="200"/>
        <w:outlineLvl w:val="1"/>
        <w:rPr>
          <w:rFonts w:hint="eastAsia" w:ascii="黑体" w:hAnsi="黑体" w:eastAsia="黑体"/>
          <w:sz w:val="32"/>
          <w:szCs w:val="32"/>
        </w:rPr>
      </w:pPr>
      <w:r>
        <w:drawing>
          <wp:anchor distT="0" distB="0" distL="114300" distR="114300" simplePos="0" relativeHeight="251666432" behindDoc="0" locked="0" layoutInCell="1" allowOverlap="1">
            <wp:simplePos x="0" y="0"/>
            <wp:positionH relativeFrom="column">
              <wp:posOffset>355600</wp:posOffset>
            </wp:positionH>
            <wp:positionV relativeFrom="paragraph">
              <wp:posOffset>203200</wp:posOffset>
            </wp:positionV>
            <wp:extent cx="4572000" cy="2743200"/>
            <wp:effectExtent l="4445" t="4445" r="14605" b="14605"/>
            <wp:wrapNone/>
            <wp:docPr id="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pStyle w:val="7"/>
        <w:rPr>
          <w:rFonts w:hint="eastAsia" w:ascii="黑体" w:hAnsi="黑体" w:eastAsia="黑体"/>
          <w:sz w:val="32"/>
          <w:szCs w:val="32"/>
        </w:rPr>
      </w:pPr>
    </w:p>
    <w:p>
      <w:pPr>
        <w:pStyle w:val="7"/>
        <w:rPr>
          <w:rFonts w:hint="eastAsia" w:ascii="黑体" w:hAnsi="黑体" w:eastAsia="黑体"/>
          <w:sz w:val="32"/>
          <w:szCs w:val="32"/>
        </w:rPr>
      </w:pPr>
    </w:p>
    <w:p>
      <w:pPr>
        <w:pStyle w:val="7"/>
        <w:rPr>
          <w:rFonts w:hint="eastAsia" w:ascii="黑体" w:hAnsi="黑体" w:eastAsia="黑体"/>
          <w:sz w:val="32"/>
          <w:szCs w:val="32"/>
        </w:rPr>
      </w:pPr>
    </w:p>
    <w:p>
      <w:pPr>
        <w:pStyle w:val="7"/>
        <w:rPr>
          <w:rFonts w:hint="eastAsia" w:ascii="黑体" w:hAnsi="黑体" w:eastAsia="黑体"/>
          <w:sz w:val="32"/>
          <w:szCs w:val="32"/>
        </w:rPr>
      </w:pPr>
    </w:p>
    <w:p>
      <w:pPr>
        <w:pStyle w:val="7"/>
        <w:rPr>
          <w:rFonts w:hint="eastAsia" w:ascii="黑体" w:hAnsi="黑体" w:eastAsia="黑体"/>
          <w:sz w:val="32"/>
          <w:szCs w:val="32"/>
        </w:rPr>
      </w:pPr>
    </w:p>
    <w:p>
      <w:pPr>
        <w:spacing w:line="600" w:lineRule="exact"/>
        <w:ind w:firstLine="640" w:firstLineChars="200"/>
        <w:outlineLvl w:val="1"/>
        <w:rPr>
          <w:rFonts w:hint="eastAsia" w:ascii="黑体" w:hAnsi="黑体" w:eastAsia="黑体"/>
          <w:sz w:val="32"/>
          <w:szCs w:val="32"/>
        </w:rPr>
      </w:pPr>
    </w:p>
    <w:p>
      <w:pPr>
        <w:spacing w:line="600" w:lineRule="exact"/>
        <w:ind w:firstLine="1280" w:firstLineChars="400"/>
        <w:outlineLvl w:val="1"/>
        <w:rPr>
          <w:rFonts w:hint="eastAsia" w:ascii="黑体" w:hAnsi="黑体" w:eastAsia="黑体"/>
          <w:sz w:val="32"/>
          <w:szCs w:val="32"/>
        </w:rPr>
      </w:pPr>
      <w:r>
        <w:rPr>
          <w:rFonts w:hint="eastAsia" w:ascii="仿宋" w:hAnsi="仿宋" w:eastAsia="仿宋"/>
          <w:sz w:val="32"/>
          <w:szCs w:val="32"/>
        </w:rPr>
        <w:t>图4：财政拨款收、支决算总计变动情况</w:t>
      </w:r>
    </w:p>
    <w:p>
      <w:pPr>
        <w:spacing w:line="600" w:lineRule="exact"/>
        <w:ind w:firstLine="640" w:firstLineChars="200"/>
        <w:outlineLvl w:val="1"/>
        <w:rPr>
          <w:rFonts w:hint="eastAsia" w:ascii="黑体" w:hAnsi="黑体" w:eastAsia="黑体"/>
          <w:sz w:val="32"/>
          <w:szCs w:val="32"/>
        </w:rPr>
      </w:pPr>
      <w:r>
        <w:rPr>
          <w:rFonts w:hint="eastAsia" w:ascii="黑体" w:hAnsi="黑体" w:eastAsia="黑体"/>
          <w:sz w:val="32"/>
          <w:szCs w:val="32"/>
        </w:rPr>
        <w:t>五、一般公共预算财政拨款支出决算情况说明</w:t>
      </w:r>
    </w:p>
    <w:p>
      <w:pPr>
        <w:spacing w:line="600" w:lineRule="exact"/>
        <w:ind w:firstLine="642" w:firstLineChars="200"/>
        <w:outlineLvl w:val="2"/>
        <w:rPr>
          <w:rFonts w:hint="eastAsia" w:ascii="仿宋" w:hAnsi="仿宋" w:eastAsia="仿宋"/>
          <w:b/>
          <w:sz w:val="32"/>
          <w:szCs w:val="32"/>
        </w:rPr>
      </w:pPr>
      <w:r>
        <w:rPr>
          <w:rFonts w:hint="eastAsia" w:ascii="仿宋" w:hAnsi="仿宋" w:eastAsia="仿宋"/>
          <w:b/>
          <w:sz w:val="32"/>
          <w:szCs w:val="32"/>
        </w:rPr>
        <w:t>（一）一般公共预算财政拨款支出决算总体情况</w:t>
      </w:r>
    </w:p>
    <w:p>
      <w:pPr>
        <w:spacing w:line="600" w:lineRule="exact"/>
        <w:ind w:firstLine="640" w:firstLineChars="200"/>
        <w:rPr>
          <w:rFonts w:cs="仿宋_GB2312" w:asciiTheme="minorEastAsia" w:hAnsiTheme="minorEastAsia" w:eastAsiaTheme="minorEastAsia"/>
          <w:color w:val="000000"/>
          <w:sz w:val="32"/>
          <w:szCs w:val="32"/>
        </w:rPr>
      </w:pPr>
      <w:r>
        <w:rPr>
          <w:rFonts w:hint="eastAsia" w:ascii="仿宋" w:hAnsi="仿宋" w:eastAsia="仿宋"/>
          <w:sz w:val="32"/>
          <w:szCs w:val="32"/>
          <w:lang w:eastAsia="zh-CN"/>
        </w:rPr>
        <w:t>2022年</w:t>
      </w:r>
      <w:r>
        <w:rPr>
          <w:rFonts w:hint="eastAsia" w:ascii="仿宋" w:hAnsi="仿宋" w:eastAsia="仿宋"/>
          <w:sz w:val="32"/>
          <w:szCs w:val="32"/>
        </w:rPr>
        <w:t>度一般公共预算财政拨款支出</w:t>
      </w:r>
      <w:r>
        <w:rPr>
          <w:rFonts w:hint="eastAsia" w:ascii="仿宋" w:hAnsi="仿宋" w:eastAsia="仿宋"/>
          <w:sz w:val="32"/>
          <w:szCs w:val="32"/>
          <w:lang w:val="en-US" w:eastAsia="zh-CN"/>
        </w:rPr>
        <w:t>16813.57</w:t>
      </w:r>
      <w:r>
        <w:rPr>
          <w:rFonts w:hint="eastAsia" w:ascii="仿宋" w:hAnsi="仿宋" w:eastAsia="仿宋"/>
          <w:sz w:val="32"/>
          <w:szCs w:val="32"/>
        </w:rPr>
        <w:t>万元，占本年支出合计的</w:t>
      </w:r>
      <w:r>
        <w:rPr>
          <w:rFonts w:hint="eastAsia" w:ascii="仿宋" w:hAnsi="仿宋" w:eastAsia="仿宋"/>
          <w:sz w:val="32"/>
          <w:szCs w:val="32"/>
          <w:lang w:val="en-US" w:eastAsia="zh-CN"/>
        </w:rPr>
        <w:t>77.41</w:t>
      </w:r>
      <w:r>
        <w:rPr>
          <w:rFonts w:hint="eastAsia" w:ascii="仿宋" w:hAnsi="仿宋" w:eastAsia="仿宋"/>
          <w:sz w:val="32"/>
          <w:szCs w:val="32"/>
        </w:rPr>
        <w:t>%。与</w:t>
      </w:r>
      <w:r>
        <w:rPr>
          <w:rFonts w:hint="eastAsia" w:ascii="仿宋" w:hAnsi="仿宋" w:eastAsia="仿宋"/>
          <w:sz w:val="32"/>
          <w:szCs w:val="32"/>
          <w:lang w:eastAsia="zh-CN"/>
        </w:rPr>
        <w:t>2021年</w:t>
      </w:r>
      <w:r>
        <w:rPr>
          <w:rFonts w:hint="eastAsia" w:ascii="仿宋" w:hAnsi="仿宋" w:eastAsia="仿宋"/>
          <w:sz w:val="32"/>
          <w:szCs w:val="32"/>
        </w:rPr>
        <w:t>度相比，一般公共预算财政拨款支出减少</w:t>
      </w:r>
      <w:r>
        <w:rPr>
          <w:rFonts w:hint="eastAsia" w:ascii="仿宋" w:hAnsi="仿宋" w:eastAsia="仿宋"/>
          <w:sz w:val="32"/>
          <w:szCs w:val="32"/>
          <w:lang w:val="en-US" w:eastAsia="zh-CN"/>
        </w:rPr>
        <w:t>455.94</w:t>
      </w:r>
      <w:r>
        <w:rPr>
          <w:rFonts w:hint="eastAsia" w:ascii="仿宋" w:hAnsi="仿宋" w:eastAsia="仿宋"/>
          <w:sz w:val="32"/>
          <w:szCs w:val="32"/>
        </w:rPr>
        <w:t>万元，下降</w:t>
      </w:r>
      <w:r>
        <w:rPr>
          <w:rFonts w:hint="eastAsia" w:ascii="仿宋" w:hAnsi="仿宋" w:eastAsia="仿宋"/>
          <w:sz w:val="32"/>
          <w:szCs w:val="32"/>
          <w:lang w:val="en-US" w:eastAsia="zh-CN"/>
        </w:rPr>
        <w:t>2.64</w:t>
      </w:r>
      <w:r>
        <w:rPr>
          <w:rFonts w:hint="eastAsia" w:ascii="仿宋" w:hAnsi="仿宋" w:eastAsia="仿宋"/>
          <w:sz w:val="32"/>
          <w:szCs w:val="32"/>
        </w:rPr>
        <w:t>%。主要变动原因是</w:t>
      </w:r>
      <w:r>
        <w:rPr>
          <w:rFonts w:hint="eastAsia" w:ascii="仿宋" w:hAnsi="仿宋" w:eastAsia="仿宋"/>
          <w:sz w:val="32"/>
          <w:szCs w:val="32"/>
          <w:lang w:eastAsia="zh-CN"/>
        </w:rPr>
        <w:t>2022年</w:t>
      </w:r>
      <w:r>
        <w:rPr>
          <w:rFonts w:hint="eastAsia" w:ascii="仿宋" w:hAnsi="仿宋" w:eastAsia="仿宋"/>
          <w:sz w:val="32"/>
          <w:szCs w:val="32"/>
        </w:rPr>
        <w:t>财政拨款</w:t>
      </w:r>
      <w:r>
        <w:rPr>
          <w:rFonts w:hint="eastAsia" w:ascii="仿宋" w:hAnsi="仿宋" w:eastAsia="仿宋"/>
          <w:sz w:val="32"/>
          <w:szCs w:val="32"/>
          <w:lang w:eastAsia="zh-CN"/>
        </w:rPr>
        <w:t>安排的</w:t>
      </w:r>
      <w:r>
        <w:rPr>
          <w:rFonts w:hint="eastAsia" w:ascii="仿宋" w:hAnsi="仿宋" w:eastAsia="仿宋"/>
          <w:sz w:val="32"/>
          <w:szCs w:val="32"/>
        </w:rPr>
        <w:t>项目</w:t>
      </w:r>
      <w:r>
        <w:rPr>
          <w:rFonts w:hint="eastAsia" w:ascii="仿宋" w:hAnsi="仿宋" w:eastAsia="仿宋"/>
          <w:sz w:val="32"/>
          <w:szCs w:val="32"/>
          <w:lang w:eastAsia="zh-CN"/>
        </w:rPr>
        <w:t>收入减少</w:t>
      </w:r>
      <w:r>
        <w:rPr>
          <w:rFonts w:hint="eastAsia" w:ascii="仿宋" w:hAnsi="仿宋" w:eastAsia="仿宋"/>
          <w:sz w:val="32"/>
          <w:szCs w:val="32"/>
        </w:rPr>
        <w:t xml:space="preserve">。  </w:t>
      </w:r>
      <w:r>
        <w:rPr>
          <w:rFonts w:hint="eastAsia" w:cs="仿宋_GB2312" w:asciiTheme="minorEastAsia" w:hAnsiTheme="minorEastAsia" w:eastAsiaTheme="minorEastAsia"/>
          <w:color w:val="000000"/>
          <w:sz w:val="32"/>
          <w:szCs w:val="32"/>
        </w:rPr>
        <w:t xml:space="preserve"> </w:t>
      </w:r>
    </w:p>
    <w:p>
      <w:pPr>
        <w:spacing w:line="600" w:lineRule="exact"/>
        <w:ind w:firstLine="642" w:firstLineChars="200"/>
        <w:rPr>
          <w:rFonts w:hint="eastAsia" w:cs="楷体_GB2312" w:asciiTheme="minorEastAsia" w:hAnsiTheme="minorEastAsia" w:eastAsiaTheme="minorEastAsia"/>
          <w:b/>
          <w:bCs/>
          <w:color w:val="000000"/>
          <w:sz w:val="32"/>
          <w:szCs w:val="32"/>
        </w:rPr>
      </w:pPr>
    </w:p>
    <w:p>
      <w:pPr>
        <w:pStyle w:val="7"/>
        <w:rPr>
          <w:rFonts w:hint="eastAsia" w:cs="楷体_GB2312" w:asciiTheme="minorEastAsia" w:hAnsiTheme="minorEastAsia" w:eastAsiaTheme="minorEastAsia"/>
          <w:b/>
          <w:bCs/>
          <w:color w:val="000000"/>
          <w:sz w:val="32"/>
          <w:szCs w:val="32"/>
        </w:rPr>
      </w:pPr>
    </w:p>
    <w:p>
      <w:pPr>
        <w:pStyle w:val="7"/>
        <w:rPr>
          <w:rFonts w:hint="eastAsia" w:cs="楷体_GB2312" w:asciiTheme="minorEastAsia" w:hAnsiTheme="minorEastAsia" w:eastAsiaTheme="minorEastAsia"/>
          <w:b/>
          <w:bCs/>
          <w:color w:val="000000"/>
          <w:sz w:val="32"/>
          <w:szCs w:val="32"/>
        </w:rPr>
      </w:pPr>
    </w:p>
    <w:p>
      <w:pPr>
        <w:pStyle w:val="7"/>
        <w:rPr>
          <w:rFonts w:hint="eastAsia" w:cs="楷体_GB2312" w:asciiTheme="minorEastAsia" w:hAnsiTheme="minorEastAsia" w:eastAsiaTheme="minorEastAsia"/>
          <w:b/>
          <w:bCs/>
          <w:color w:val="000000"/>
          <w:sz w:val="32"/>
          <w:szCs w:val="32"/>
        </w:rPr>
      </w:pPr>
      <w:r>
        <w:drawing>
          <wp:anchor distT="0" distB="0" distL="114300" distR="114300" simplePos="0" relativeHeight="251667456" behindDoc="0" locked="0" layoutInCell="1" allowOverlap="1">
            <wp:simplePos x="0" y="0"/>
            <wp:positionH relativeFrom="column">
              <wp:posOffset>332105</wp:posOffset>
            </wp:positionH>
            <wp:positionV relativeFrom="paragraph">
              <wp:posOffset>127000</wp:posOffset>
            </wp:positionV>
            <wp:extent cx="4572000" cy="2743200"/>
            <wp:effectExtent l="4445" t="4445" r="14605" b="14605"/>
            <wp:wrapNone/>
            <wp:docPr id="10"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pStyle w:val="7"/>
        <w:rPr>
          <w:rFonts w:hint="eastAsia" w:cs="楷体_GB2312" w:asciiTheme="minorEastAsia" w:hAnsiTheme="minorEastAsia" w:eastAsiaTheme="minorEastAsia"/>
          <w:b/>
          <w:bCs/>
          <w:color w:val="000000"/>
          <w:sz w:val="32"/>
          <w:szCs w:val="32"/>
        </w:rPr>
      </w:pPr>
    </w:p>
    <w:p>
      <w:pPr>
        <w:pStyle w:val="7"/>
        <w:rPr>
          <w:rFonts w:hint="eastAsia" w:cs="楷体_GB2312" w:asciiTheme="minorEastAsia" w:hAnsiTheme="minorEastAsia" w:eastAsiaTheme="minorEastAsia"/>
          <w:b/>
          <w:bCs/>
          <w:color w:val="000000"/>
          <w:sz w:val="32"/>
          <w:szCs w:val="32"/>
        </w:rPr>
      </w:pPr>
    </w:p>
    <w:p>
      <w:pPr>
        <w:pStyle w:val="7"/>
        <w:rPr>
          <w:rFonts w:hint="eastAsia" w:cs="楷体_GB2312" w:asciiTheme="minorEastAsia" w:hAnsiTheme="minorEastAsia" w:eastAsiaTheme="minorEastAsia"/>
          <w:b/>
          <w:bCs/>
          <w:color w:val="000000"/>
          <w:sz w:val="32"/>
          <w:szCs w:val="32"/>
        </w:rPr>
      </w:pPr>
    </w:p>
    <w:p>
      <w:pPr>
        <w:pStyle w:val="7"/>
        <w:rPr>
          <w:rFonts w:hint="eastAsia" w:cs="楷体_GB2312" w:asciiTheme="minorEastAsia" w:hAnsiTheme="minorEastAsia" w:eastAsiaTheme="minorEastAsia"/>
          <w:b/>
          <w:bCs/>
          <w:color w:val="000000"/>
          <w:sz w:val="32"/>
          <w:szCs w:val="32"/>
        </w:rPr>
      </w:pPr>
    </w:p>
    <w:p>
      <w:pPr>
        <w:pStyle w:val="7"/>
        <w:rPr>
          <w:rFonts w:hint="eastAsia" w:cs="楷体_GB2312" w:asciiTheme="minorEastAsia" w:hAnsiTheme="minorEastAsia" w:eastAsiaTheme="minorEastAsia"/>
          <w:b/>
          <w:bCs/>
          <w:color w:val="000000"/>
          <w:sz w:val="32"/>
          <w:szCs w:val="32"/>
        </w:rPr>
      </w:pPr>
    </w:p>
    <w:p>
      <w:pPr>
        <w:spacing w:line="600" w:lineRule="exact"/>
        <w:ind w:firstLine="640" w:firstLineChars="200"/>
        <w:rPr>
          <w:rFonts w:hint="eastAsia" w:ascii="仿宋" w:hAnsi="仿宋" w:eastAsia="仿宋"/>
          <w:sz w:val="32"/>
          <w:szCs w:val="32"/>
        </w:rPr>
      </w:pPr>
    </w:p>
    <w:p>
      <w:pPr>
        <w:spacing w:line="600" w:lineRule="exact"/>
        <w:ind w:firstLine="960" w:firstLineChars="300"/>
        <w:rPr>
          <w:rFonts w:ascii="仿宋" w:hAnsi="仿宋" w:eastAsia="仿宋"/>
          <w:sz w:val="32"/>
          <w:szCs w:val="32"/>
        </w:rPr>
      </w:pPr>
      <w:r>
        <w:rPr>
          <w:rFonts w:hint="eastAsia" w:ascii="仿宋" w:hAnsi="仿宋" w:eastAsia="仿宋"/>
          <w:sz w:val="32"/>
          <w:szCs w:val="32"/>
        </w:rPr>
        <w:t>图5：一般公共预算财政拨款支出决算变动情况</w:t>
      </w:r>
    </w:p>
    <w:p>
      <w:pPr>
        <w:spacing w:line="600" w:lineRule="exact"/>
        <w:ind w:firstLine="642" w:firstLineChars="200"/>
        <w:outlineLvl w:val="2"/>
        <w:rPr>
          <w:rFonts w:hint="eastAsia" w:ascii="仿宋" w:hAnsi="仿宋" w:eastAsia="仿宋"/>
          <w:b/>
          <w:sz w:val="32"/>
          <w:szCs w:val="32"/>
        </w:rPr>
      </w:pPr>
      <w:r>
        <w:rPr>
          <w:rFonts w:hint="eastAsia" w:ascii="仿宋" w:hAnsi="仿宋" w:eastAsia="仿宋"/>
          <w:b/>
          <w:sz w:val="32"/>
          <w:szCs w:val="32"/>
        </w:rPr>
        <w:t>（二）一般公共预算财政拨款支出决算结构情况</w:t>
      </w:r>
    </w:p>
    <w:p>
      <w:pPr>
        <w:spacing w:line="600" w:lineRule="exact"/>
        <w:ind w:firstLine="640"/>
        <w:rPr>
          <w:rFonts w:hint="eastAsia" w:ascii="仿宋" w:hAnsi="仿宋" w:eastAsia="仿宋"/>
          <w:sz w:val="32"/>
          <w:szCs w:val="32"/>
        </w:rPr>
      </w:pPr>
      <w:r>
        <w:rPr>
          <w:rFonts w:hint="eastAsia" w:ascii="仿宋" w:hAnsi="仿宋" w:eastAsia="仿宋"/>
          <w:sz w:val="32"/>
          <w:szCs w:val="32"/>
          <w:lang w:eastAsia="zh-CN"/>
        </w:rPr>
        <w:t>2022年</w:t>
      </w:r>
      <w:r>
        <w:rPr>
          <w:rFonts w:hint="eastAsia" w:ascii="仿宋" w:hAnsi="仿宋" w:eastAsia="仿宋"/>
          <w:sz w:val="32"/>
          <w:szCs w:val="32"/>
        </w:rPr>
        <w:t>度一般公共预算财政拨款支出</w:t>
      </w:r>
      <w:r>
        <w:rPr>
          <w:rFonts w:hint="eastAsia" w:ascii="仿宋" w:hAnsi="仿宋" w:eastAsia="仿宋"/>
          <w:sz w:val="32"/>
          <w:szCs w:val="32"/>
          <w:lang w:val="en-US" w:eastAsia="zh-CN"/>
        </w:rPr>
        <w:t>16813.57</w:t>
      </w:r>
      <w:r>
        <w:rPr>
          <w:rFonts w:hint="eastAsia" w:ascii="仿宋" w:hAnsi="仿宋" w:eastAsia="仿宋"/>
          <w:sz w:val="32"/>
          <w:szCs w:val="32"/>
        </w:rPr>
        <w:t>万元，主要用于以下项目：</w:t>
      </w:r>
      <w:r>
        <w:rPr>
          <w:rFonts w:hint="eastAsia" w:ascii="仿宋" w:hAnsi="仿宋" w:eastAsia="仿宋"/>
          <w:b/>
          <w:bCs/>
          <w:sz w:val="32"/>
          <w:szCs w:val="32"/>
        </w:rPr>
        <w:t>社会保障和就业支出</w:t>
      </w:r>
      <w:r>
        <w:rPr>
          <w:rFonts w:hint="eastAsia" w:ascii="仿宋" w:hAnsi="仿宋" w:eastAsia="仿宋"/>
          <w:sz w:val="32"/>
          <w:szCs w:val="32"/>
          <w:lang w:val="en-US" w:eastAsia="zh-CN"/>
        </w:rPr>
        <w:t>16755.63</w:t>
      </w:r>
      <w:r>
        <w:rPr>
          <w:rFonts w:hint="eastAsia" w:ascii="仿宋" w:hAnsi="仿宋" w:eastAsia="仿宋"/>
          <w:sz w:val="32"/>
          <w:szCs w:val="32"/>
        </w:rPr>
        <w:t>万元，占</w:t>
      </w:r>
      <w:r>
        <w:rPr>
          <w:rFonts w:hint="eastAsia" w:ascii="仿宋" w:hAnsi="仿宋" w:eastAsia="仿宋"/>
          <w:sz w:val="32"/>
          <w:szCs w:val="32"/>
          <w:lang w:val="en-US" w:eastAsia="zh-CN"/>
        </w:rPr>
        <w:t>99.66</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23.18</w:t>
      </w:r>
      <w:r>
        <w:rPr>
          <w:rFonts w:hint="eastAsia" w:ascii="仿宋" w:hAnsi="仿宋" w:eastAsia="仿宋"/>
          <w:sz w:val="32"/>
          <w:szCs w:val="32"/>
        </w:rPr>
        <w:t>万元，占</w:t>
      </w:r>
      <w:r>
        <w:rPr>
          <w:rFonts w:hint="eastAsia" w:ascii="仿宋" w:hAnsi="仿宋" w:eastAsia="仿宋"/>
          <w:sz w:val="32"/>
          <w:szCs w:val="32"/>
          <w:lang w:val="en-US" w:eastAsia="zh-CN"/>
        </w:rPr>
        <w:t>0.14</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34.77</w:t>
      </w:r>
      <w:r>
        <w:rPr>
          <w:rFonts w:hint="eastAsia" w:ascii="仿宋" w:hAnsi="仿宋" w:eastAsia="仿宋"/>
          <w:sz w:val="32"/>
          <w:szCs w:val="32"/>
        </w:rPr>
        <w:t>万元，占</w:t>
      </w:r>
      <w:r>
        <w:rPr>
          <w:rFonts w:hint="eastAsia" w:ascii="仿宋" w:hAnsi="仿宋" w:eastAsia="仿宋"/>
          <w:sz w:val="32"/>
          <w:szCs w:val="32"/>
          <w:lang w:val="en-US" w:eastAsia="zh-CN"/>
        </w:rPr>
        <w:t>0.2</w:t>
      </w:r>
      <w:r>
        <w:rPr>
          <w:rFonts w:hint="eastAsia" w:ascii="仿宋" w:hAnsi="仿宋" w:eastAsia="仿宋"/>
          <w:sz w:val="32"/>
          <w:szCs w:val="32"/>
        </w:rPr>
        <w:t>%。</w:t>
      </w:r>
    </w:p>
    <w:p>
      <w:pPr>
        <w:spacing w:line="600" w:lineRule="exact"/>
        <w:ind w:firstLine="640"/>
        <w:rPr>
          <w:rFonts w:ascii="仿宋" w:hAnsi="仿宋" w:eastAsia="仿宋"/>
          <w:sz w:val="32"/>
          <w:szCs w:val="32"/>
        </w:rPr>
      </w:pPr>
      <w:r>
        <w:drawing>
          <wp:anchor distT="0" distB="0" distL="114300" distR="114300" simplePos="0" relativeHeight="251668480" behindDoc="0" locked="0" layoutInCell="1" allowOverlap="1">
            <wp:simplePos x="0" y="0"/>
            <wp:positionH relativeFrom="column">
              <wp:posOffset>432435</wp:posOffset>
            </wp:positionH>
            <wp:positionV relativeFrom="paragraph">
              <wp:posOffset>182245</wp:posOffset>
            </wp:positionV>
            <wp:extent cx="4572000" cy="2743200"/>
            <wp:effectExtent l="4445" t="4445" r="14605" b="14605"/>
            <wp:wrapNone/>
            <wp:docPr id="1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pStyle w:val="7"/>
        <w:rPr>
          <w:rFonts w:ascii="仿宋" w:hAnsi="仿宋" w:eastAsia="仿宋"/>
          <w:sz w:val="32"/>
          <w:szCs w:val="32"/>
        </w:rPr>
      </w:pPr>
    </w:p>
    <w:p>
      <w:pPr>
        <w:pStyle w:val="7"/>
        <w:rPr>
          <w:rFonts w:ascii="仿宋" w:hAnsi="仿宋" w:eastAsia="仿宋"/>
          <w:sz w:val="32"/>
          <w:szCs w:val="32"/>
        </w:rPr>
      </w:pPr>
    </w:p>
    <w:p>
      <w:pPr>
        <w:pStyle w:val="7"/>
        <w:rPr>
          <w:rFonts w:ascii="仿宋" w:hAnsi="仿宋" w:eastAsia="仿宋"/>
          <w:sz w:val="32"/>
          <w:szCs w:val="32"/>
        </w:rPr>
      </w:pPr>
    </w:p>
    <w:p>
      <w:pPr>
        <w:pStyle w:val="7"/>
        <w:rPr>
          <w:rFonts w:ascii="仿宋" w:hAnsi="仿宋" w:eastAsia="仿宋"/>
          <w:sz w:val="32"/>
          <w:szCs w:val="32"/>
        </w:rPr>
      </w:pPr>
    </w:p>
    <w:p>
      <w:pPr>
        <w:pStyle w:val="7"/>
        <w:rPr>
          <w:rFonts w:ascii="仿宋" w:hAnsi="仿宋" w:eastAsia="仿宋"/>
          <w:sz w:val="32"/>
          <w:szCs w:val="32"/>
        </w:rPr>
      </w:pPr>
    </w:p>
    <w:p>
      <w:pPr>
        <w:pStyle w:val="7"/>
        <w:rPr>
          <w:rFonts w:ascii="仿宋" w:hAnsi="仿宋" w:eastAsia="仿宋"/>
          <w:sz w:val="32"/>
          <w:szCs w:val="32"/>
        </w:rPr>
      </w:pPr>
    </w:p>
    <w:p>
      <w:pPr>
        <w:spacing w:line="600" w:lineRule="exact"/>
        <w:ind w:firstLine="1280" w:firstLineChars="400"/>
        <w:rPr>
          <w:rFonts w:ascii="仿宋" w:hAnsi="仿宋" w:eastAsia="仿宋"/>
          <w:sz w:val="32"/>
          <w:szCs w:val="32"/>
        </w:rPr>
      </w:pPr>
      <w:r>
        <w:rPr>
          <w:rFonts w:hint="eastAsia" w:ascii="仿宋" w:hAnsi="仿宋" w:eastAsia="仿宋"/>
          <w:sz w:val="32"/>
          <w:szCs w:val="32"/>
        </w:rPr>
        <w:t>图6：一般公共预算财政拨款支出决算结构</w:t>
      </w:r>
    </w:p>
    <w:p>
      <w:pPr>
        <w:spacing w:line="600" w:lineRule="exact"/>
        <w:ind w:firstLine="642" w:firstLineChars="200"/>
        <w:outlineLvl w:val="2"/>
        <w:rPr>
          <w:rFonts w:hint="eastAsia" w:ascii="仿宋" w:hAnsi="仿宋" w:eastAsia="仿宋" w:cs="Times New Roman"/>
          <w:b/>
          <w:sz w:val="32"/>
          <w:szCs w:val="32"/>
        </w:rPr>
      </w:pPr>
      <w:r>
        <w:rPr>
          <w:rFonts w:hint="eastAsia" w:ascii="仿宋" w:hAnsi="仿宋" w:eastAsia="仿宋" w:cs="Times New Roman"/>
          <w:b/>
          <w:sz w:val="32"/>
          <w:szCs w:val="32"/>
        </w:rPr>
        <w:t>（三）一般公共预算财政拨款支出决算具体情况</w:t>
      </w:r>
    </w:p>
    <w:p>
      <w:pPr>
        <w:spacing w:line="600" w:lineRule="exact"/>
        <w:ind w:firstLine="642" w:firstLineChars="200"/>
        <w:outlineLvl w:val="2"/>
        <w:rPr>
          <w:rFonts w:hint="eastAsia" w:ascii="仿宋" w:hAnsi="仿宋" w:eastAsia="仿宋" w:cs="Times New Roman"/>
          <w:b/>
          <w:sz w:val="32"/>
          <w:szCs w:val="32"/>
        </w:rPr>
      </w:pPr>
      <w:r>
        <w:rPr>
          <w:rFonts w:hint="eastAsia" w:ascii="仿宋" w:hAnsi="仿宋" w:eastAsia="仿宋" w:cs="Times New Roman"/>
          <w:b/>
          <w:sz w:val="32"/>
          <w:szCs w:val="32"/>
          <w:lang w:eastAsia="zh-CN"/>
        </w:rPr>
        <w:t>2022年</w:t>
      </w:r>
      <w:r>
        <w:rPr>
          <w:rFonts w:hint="eastAsia" w:ascii="仿宋" w:hAnsi="仿宋" w:eastAsia="仿宋" w:cs="Times New Roman"/>
          <w:b/>
          <w:sz w:val="32"/>
          <w:szCs w:val="32"/>
        </w:rPr>
        <w:t>度一般公共预算财政拨款支出</w:t>
      </w:r>
      <w:r>
        <w:rPr>
          <w:rFonts w:hint="eastAsia" w:ascii="仿宋" w:hAnsi="仿宋" w:eastAsia="仿宋"/>
          <w:sz w:val="32"/>
          <w:szCs w:val="32"/>
          <w:lang w:val="en-US" w:eastAsia="zh-CN"/>
        </w:rPr>
        <w:t>16813.57</w:t>
      </w:r>
      <w:r>
        <w:rPr>
          <w:rFonts w:hint="eastAsia" w:ascii="仿宋" w:hAnsi="仿宋" w:eastAsia="仿宋" w:cs="Times New Roman"/>
          <w:b/>
          <w:sz w:val="32"/>
          <w:szCs w:val="32"/>
        </w:rPr>
        <w:t>万元，完成预算数的</w:t>
      </w:r>
      <w:r>
        <w:rPr>
          <w:rFonts w:hint="eastAsia" w:ascii="仿宋" w:hAnsi="仿宋" w:eastAsia="仿宋" w:cs="Times New Roman"/>
          <w:b/>
          <w:sz w:val="32"/>
          <w:szCs w:val="32"/>
          <w:lang w:val="en-US" w:eastAsia="zh-CN"/>
        </w:rPr>
        <w:t>100</w:t>
      </w:r>
      <w:r>
        <w:rPr>
          <w:rFonts w:hint="eastAsia" w:ascii="仿宋" w:hAnsi="仿宋" w:eastAsia="仿宋" w:cs="Times New Roman"/>
          <w:b/>
          <w:sz w:val="32"/>
          <w:szCs w:val="32"/>
        </w:rPr>
        <w:t>%。其中:</w:t>
      </w:r>
    </w:p>
    <w:p>
      <w:pPr>
        <w:spacing w:line="600" w:lineRule="exact"/>
        <w:ind w:firstLine="642" w:firstLineChars="200"/>
        <w:rPr>
          <w:rFonts w:cs="仿宋_GB2312" w:asciiTheme="minorEastAsia" w:hAnsiTheme="minorEastAsia" w:eastAsiaTheme="minorEastAsia"/>
          <w:color w:val="000000"/>
          <w:sz w:val="32"/>
          <w:szCs w:val="32"/>
        </w:rPr>
      </w:pPr>
      <w:r>
        <w:rPr>
          <w:rStyle w:val="17"/>
          <w:rFonts w:hint="eastAsia" w:ascii="仿宋" w:hAnsi="仿宋" w:eastAsia="仿宋"/>
          <w:bCs/>
          <w:sz w:val="32"/>
          <w:szCs w:val="32"/>
        </w:rPr>
        <w:t>1.社会保障和就业（类）民政管理事务（款）行政运行（项）:</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196.85</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hint="eastAsia" w:ascii="仿宋" w:hAnsi="仿宋" w:eastAsia="仿宋"/>
          <w:b w:val="0"/>
          <w:bCs/>
          <w:sz w:val="32"/>
          <w:szCs w:val="32"/>
        </w:rPr>
        <w:t xml:space="preserve"> %。</w:t>
      </w:r>
    </w:p>
    <w:p>
      <w:pPr>
        <w:spacing w:line="600" w:lineRule="exact"/>
        <w:ind w:firstLine="642" w:firstLineChars="200"/>
        <w:rPr>
          <w:rStyle w:val="17"/>
          <w:rFonts w:hint="eastAsia" w:ascii="仿宋" w:hAnsi="仿宋" w:eastAsia="仿宋"/>
          <w:b w:val="0"/>
          <w:bCs/>
          <w:sz w:val="32"/>
          <w:szCs w:val="32"/>
        </w:rPr>
      </w:pPr>
      <w:r>
        <w:rPr>
          <w:rStyle w:val="17"/>
          <w:rFonts w:hint="eastAsia" w:ascii="仿宋" w:hAnsi="仿宋" w:eastAsia="仿宋"/>
          <w:bCs/>
          <w:sz w:val="32"/>
          <w:szCs w:val="32"/>
        </w:rPr>
        <w:t>2.社会保障和就业（类）民政管理事务（款）一般行政管理事务（项）:</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44.29</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hint="eastAsia" w:ascii="仿宋" w:hAnsi="仿宋" w:eastAsia="仿宋"/>
          <w:b w:val="0"/>
          <w:bCs/>
          <w:sz w:val="32"/>
          <w:szCs w:val="32"/>
        </w:rPr>
        <w:t>%。</w:t>
      </w:r>
    </w:p>
    <w:p>
      <w:pPr>
        <w:spacing w:line="600" w:lineRule="exact"/>
        <w:ind w:firstLine="642" w:firstLineChars="200"/>
        <w:rPr>
          <w:rStyle w:val="17"/>
          <w:rFonts w:hint="eastAsia" w:ascii="仿宋" w:hAnsi="仿宋" w:eastAsia="仿宋"/>
          <w:b w:val="0"/>
          <w:bCs/>
          <w:sz w:val="32"/>
          <w:szCs w:val="32"/>
        </w:rPr>
      </w:pPr>
      <w:r>
        <w:rPr>
          <w:rStyle w:val="17"/>
          <w:rFonts w:hint="eastAsia" w:ascii="仿宋" w:hAnsi="仿宋" w:eastAsia="仿宋"/>
          <w:bCs/>
          <w:sz w:val="32"/>
          <w:szCs w:val="32"/>
        </w:rPr>
        <w:t>3.社会保障和就业（类）民政管理事务（款）行政区划和地名管理（项）:</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204.92</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hint="eastAsia" w:ascii="仿宋" w:hAnsi="仿宋" w:eastAsia="仿宋"/>
          <w:b w:val="0"/>
          <w:bCs/>
          <w:sz w:val="32"/>
          <w:szCs w:val="32"/>
        </w:rPr>
        <w:t>%。</w:t>
      </w:r>
    </w:p>
    <w:p>
      <w:pPr>
        <w:spacing w:line="600" w:lineRule="exact"/>
        <w:ind w:firstLine="642" w:firstLineChars="200"/>
        <w:rPr>
          <w:rStyle w:val="17"/>
          <w:rFonts w:hint="eastAsia" w:ascii="仿宋" w:hAnsi="仿宋" w:eastAsia="仿宋"/>
          <w:b w:val="0"/>
          <w:bCs/>
          <w:sz w:val="32"/>
          <w:szCs w:val="32"/>
        </w:rPr>
      </w:pPr>
      <w:r>
        <w:rPr>
          <w:rStyle w:val="17"/>
          <w:rFonts w:hint="eastAsia" w:ascii="仿宋" w:hAnsi="仿宋" w:eastAsia="仿宋"/>
          <w:bCs/>
          <w:sz w:val="32"/>
          <w:szCs w:val="32"/>
        </w:rPr>
        <w:t>4.社会保障和就业（类）民政管理事务（款）其他民政管理事务支出（项）:</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199.83</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hint="eastAsia" w:ascii="仿宋" w:hAnsi="仿宋" w:eastAsia="仿宋"/>
          <w:b w:val="0"/>
          <w:bCs/>
          <w:sz w:val="32"/>
          <w:szCs w:val="32"/>
        </w:rPr>
        <w:t xml:space="preserve"> %。</w:t>
      </w:r>
    </w:p>
    <w:p>
      <w:pPr>
        <w:spacing w:line="600" w:lineRule="exact"/>
        <w:ind w:firstLine="642" w:firstLineChars="200"/>
        <w:rPr>
          <w:rStyle w:val="17"/>
          <w:rFonts w:hint="eastAsia" w:ascii="仿宋" w:hAnsi="仿宋" w:eastAsia="仿宋"/>
          <w:b w:val="0"/>
          <w:bCs/>
          <w:sz w:val="32"/>
          <w:szCs w:val="32"/>
        </w:rPr>
      </w:pPr>
      <w:r>
        <w:rPr>
          <w:rStyle w:val="17"/>
          <w:rFonts w:hint="eastAsia" w:ascii="仿宋" w:hAnsi="仿宋" w:eastAsia="仿宋"/>
          <w:bCs/>
          <w:sz w:val="32"/>
          <w:szCs w:val="32"/>
          <w:lang w:val="en-US" w:eastAsia="zh-CN"/>
        </w:rPr>
        <w:t>5</w:t>
      </w:r>
      <w:r>
        <w:rPr>
          <w:rStyle w:val="17"/>
          <w:rFonts w:hint="eastAsia" w:ascii="仿宋" w:hAnsi="仿宋" w:eastAsia="仿宋"/>
          <w:bCs/>
          <w:sz w:val="32"/>
          <w:szCs w:val="32"/>
        </w:rPr>
        <w:t>.社会保障和就业（类）行政事业单位养老支出（款）机关事业单位基本养老保险缴费支出（项）:</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59.74</w:t>
      </w:r>
      <w:r>
        <w:rPr>
          <w:rStyle w:val="17"/>
          <w:rFonts w:hint="eastAsia" w:ascii="仿宋" w:hAnsi="仿宋" w:eastAsia="仿宋"/>
          <w:b w:val="0"/>
          <w:bCs/>
          <w:sz w:val="32"/>
          <w:szCs w:val="32"/>
        </w:rPr>
        <w:t>万元，完成预算100%。</w:t>
      </w:r>
    </w:p>
    <w:p>
      <w:pPr>
        <w:spacing w:line="600" w:lineRule="exact"/>
        <w:ind w:firstLine="642" w:firstLineChars="200"/>
        <w:rPr>
          <w:rStyle w:val="17"/>
          <w:rFonts w:hint="eastAsia" w:ascii="仿宋" w:hAnsi="仿宋" w:eastAsia="仿宋"/>
          <w:b w:val="0"/>
          <w:bCs/>
          <w:sz w:val="32"/>
          <w:szCs w:val="32"/>
        </w:rPr>
      </w:pPr>
      <w:r>
        <w:rPr>
          <w:rStyle w:val="17"/>
          <w:rFonts w:hint="eastAsia" w:ascii="仿宋" w:hAnsi="仿宋" w:eastAsia="仿宋"/>
          <w:bCs/>
          <w:sz w:val="32"/>
          <w:szCs w:val="32"/>
          <w:lang w:val="en-US" w:eastAsia="zh-CN"/>
        </w:rPr>
        <w:t>6</w:t>
      </w:r>
      <w:r>
        <w:rPr>
          <w:rStyle w:val="17"/>
          <w:rFonts w:hint="eastAsia" w:ascii="仿宋" w:hAnsi="仿宋" w:eastAsia="仿宋"/>
          <w:bCs/>
          <w:sz w:val="32"/>
          <w:szCs w:val="32"/>
        </w:rPr>
        <w:t>.社会保障和就业（类）社会福利（款）儿童福利（项）:</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72.96</w:t>
      </w:r>
      <w:r>
        <w:rPr>
          <w:rStyle w:val="17"/>
          <w:rFonts w:hint="eastAsia" w:ascii="仿宋" w:hAnsi="仿宋" w:eastAsia="仿宋"/>
          <w:b w:val="0"/>
          <w:bCs/>
          <w:sz w:val="32"/>
          <w:szCs w:val="32"/>
        </w:rPr>
        <w:t>万元，完成预算100%。</w:t>
      </w:r>
    </w:p>
    <w:p>
      <w:pPr>
        <w:spacing w:line="600" w:lineRule="exact"/>
        <w:ind w:firstLine="642" w:firstLineChars="200"/>
        <w:rPr>
          <w:rStyle w:val="17"/>
          <w:rFonts w:hint="eastAsia" w:ascii="仿宋" w:hAnsi="仿宋" w:eastAsia="仿宋"/>
          <w:b w:val="0"/>
          <w:bCs/>
          <w:sz w:val="32"/>
          <w:szCs w:val="32"/>
        </w:rPr>
      </w:pPr>
      <w:r>
        <w:rPr>
          <w:rStyle w:val="17"/>
          <w:rFonts w:hint="eastAsia" w:ascii="仿宋" w:hAnsi="仿宋" w:eastAsia="仿宋"/>
          <w:bCs/>
          <w:sz w:val="32"/>
          <w:szCs w:val="32"/>
          <w:lang w:val="en-US" w:eastAsia="zh-CN"/>
        </w:rPr>
        <w:t>7</w:t>
      </w:r>
      <w:r>
        <w:rPr>
          <w:rStyle w:val="17"/>
          <w:rFonts w:hint="eastAsia" w:ascii="仿宋" w:hAnsi="仿宋" w:eastAsia="仿宋"/>
          <w:bCs/>
          <w:sz w:val="32"/>
          <w:szCs w:val="32"/>
        </w:rPr>
        <w:t>.社会保障和就业（类）社会福利（款）老年福利（项）:</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500</w:t>
      </w:r>
      <w:r>
        <w:rPr>
          <w:rStyle w:val="17"/>
          <w:rFonts w:hint="eastAsia" w:ascii="仿宋" w:hAnsi="仿宋" w:eastAsia="仿宋"/>
          <w:b w:val="0"/>
          <w:bCs/>
          <w:sz w:val="32"/>
          <w:szCs w:val="32"/>
        </w:rPr>
        <w:t>万元，完成预算100%。</w:t>
      </w:r>
    </w:p>
    <w:p>
      <w:pPr>
        <w:spacing w:line="600" w:lineRule="exact"/>
        <w:ind w:firstLine="642" w:firstLineChars="200"/>
        <w:rPr>
          <w:rStyle w:val="17"/>
          <w:rFonts w:hint="eastAsia" w:ascii="仿宋" w:hAnsi="仿宋" w:eastAsia="仿宋"/>
          <w:b w:val="0"/>
          <w:bCs/>
          <w:sz w:val="32"/>
          <w:szCs w:val="32"/>
        </w:rPr>
      </w:pPr>
      <w:r>
        <w:rPr>
          <w:rStyle w:val="17"/>
          <w:rFonts w:hint="eastAsia" w:ascii="仿宋" w:hAnsi="仿宋" w:eastAsia="仿宋"/>
          <w:bCs/>
          <w:sz w:val="32"/>
          <w:szCs w:val="32"/>
          <w:lang w:val="en-US" w:eastAsia="zh-CN"/>
        </w:rPr>
        <w:t>8</w:t>
      </w:r>
      <w:r>
        <w:rPr>
          <w:rStyle w:val="17"/>
          <w:rFonts w:hint="eastAsia" w:ascii="仿宋" w:hAnsi="仿宋" w:eastAsia="仿宋"/>
          <w:bCs/>
          <w:sz w:val="32"/>
          <w:szCs w:val="32"/>
        </w:rPr>
        <w:t>.社会保障和就业（类）社会福利（款）殡葬（项）:</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215.56</w:t>
      </w:r>
      <w:r>
        <w:rPr>
          <w:rStyle w:val="17"/>
          <w:rFonts w:hint="eastAsia" w:ascii="仿宋" w:hAnsi="仿宋" w:eastAsia="仿宋"/>
          <w:b w:val="0"/>
          <w:bCs/>
          <w:sz w:val="32"/>
          <w:szCs w:val="32"/>
        </w:rPr>
        <w:t>万元，完成预算100%。</w:t>
      </w:r>
    </w:p>
    <w:p>
      <w:pPr>
        <w:spacing w:line="600" w:lineRule="exact"/>
        <w:ind w:firstLine="642" w:firstLineChars="200"/>
        <w:rPr>
          <w:rStyle w:val="17"/>
          <w:rFonts w:hint="eastAsia" w:ascii="仿宋" w:hAnsi="仿宋" w:eastAsia="仿宋"/>
          <w:b w:val="0"/>
          <w:bCs/>
          <w:sz w:val="32"/>
          <w:szCs w:val="32"/>
        </w:rPr>
      </w:pPr>
      <w:r>
        <w:rPr>
          <w:rStyle w:val="17"/>
          <w:rFonts w:hint="eastAsia" w:ascii="仿宋" w:hAnsi="仿宋" w:eastAsia="仿宋"/>
          <w:bCs/>
          <w:sz w:val="32"/>
          <w:szCs w:val="32"/>
          <w:lang w:val="en-US" w:eastAsia="zh-CN"/>
        </w:rPr>
        <w:t>9</w:t>
      </w:r>
      <w:r>
        <w:rPr>
          <w:rStyle w:val="17"/>
          <w:rFonts w:hint="eastAsia" w:ascii="仿宋" w:hAnsi="仿宋" w:eastAsia="仿宋"/>
          <w:bCs/>
          <w:sz w:val="32"/>
          <w:szCs w:val="32"/>
        </w:rPr>
        <w:t>.社会保障和就业（类）社会福利（款）社会福利事业单位（项）:</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277.86</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hint="eastAsia" w:ascii="仿宋" w:hAnsi="仿宋" w:eastAsia="仿宋"/>
          <w:b w:val="0"/>
          <w:bCs/>
          <w:sz w:val="32"/>
          <w:szCs w:val="32"/>
        </w:rPr>
        <w:t>%。</w:t>
      </w:r>
    </w:p>
    <w:p>
      <w:pPr>
        <w:spacing w:line="600" w:lineRule="exact"/>
        <w:ind w:firstLine="642" w:firstLineChars="200"/>
        <w:rPr>
          <w:rStyle w:val="17"/>
          <w:rFonts w:hint="eastAsia" w:ascii="仿宋" w:hAnsi="仿宋" w:eastAsia="仿宋"/>
          <w:b w:val="0"/>
          <w:bCs/>
          <w:sz w:val="32"/>
          <w:szCs w:val="32"/>
        </w:rPr>
      </w:pPr>
      <w:r>
        <w:rPr>
          <w:rStyle w:val="17"/>
          <w:rFonts w:hint="eastAsia" w:ascii="仿宋" w:hAnsi="仿宋" w:eastAsia="仿宋"/>
          <w:bCs/>
          <w:sz w:val="32"/>
          <w:szCs w:val="32"/>
          <w:lang w:val="en-US" w:eastAsia="zh-CN"/>
        </w:rPr>
        <w:t>10</w:t>
      </w:r>
      <w:r>
        <w:rPr>
          <w:rStyle w:val="17"/>
          <w:rFonts w:hint="eastAsia" w:ascii="仿宋" w:hAnsi="仿宋" w:eastAsia="仿宋"/>
          <w:bCs/>
          <w:sz w:val="32"/>
          <w:szCs w:val="32"/>
        </w:rPr>
        <w:t>.社会保障和就业（类）社会福利（款）养老服务（项）:</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367</w:t>
      </w:r>
      <w:r>
        <w:rPr>
          <w:rStyle w:val="17"/>
          <w:rFonts w:hint="eastAsia" w:ascii="仿宋" w:hAnsi="仿宋" w:eastAsia="仿宋"/>
          <w:b w:val="0"/>
          <w:bCs/>
          <w:sz w:val="32"/>
          <w:szCs w:val="32"/>
        </w:rPr>
        <w:t>万元，完成预算100%。</w:t>
      </w:r>
    </w:p>
    <w:p>
      <w:pPr>
        <w:spacing w:line="600" w:lineRule="exact"/>
        <w:ind w:firstLine="642" w:firstLineChars="200"/>
        <w:rPr>
          <w:rFonts w:cs="仿宋_GB2312" w:asciiTheme="minorEastAsia" w:hAnsiTheme="minorEastAsia" w:eastAsiaTheme="minorEastAsia"/>
          <w:color w:val="000000"/>
          <w:sz w:val="32"/>
          <w:szCs w:val="32"/>
        </w:rPr>
      </w:pPr>
      <w:r>
        <w:rPr>
          <w:rStyle w:val="17"/>
          <w:rFonts w:hint="eastAsia" w:ascii="仿宋" w:hAnsi="仿宋" w:eastAsia="仿宋"/>
          <w:bCs/>
          <w:sz w:val="32"/>
          <w:szCs w:val="32"/>
          <w:lang w:val="en-US" w:eastAsia="zh-CN"/>
        </w:rPr>
        <w:t>11</w:t>
      </w:r>
      <w:r>
        <w:rPr>
          <w:rStyle w:val="17"/>
          <w:rFonts w:hint="eastAsia" w:ascii="仿宋" w:hAnsi="仿宋" w:eastAsia="仿宋"/>
          <w:bCs/>
          <w:sz w:val="32"/>
          <w:szCs w:val="32"/>
        </w:rPr>
        <w:t>.社会保障和就业（类）残疾人事业（款）残疾人生活和护理补贴（项）:</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1612.53</w:t>
      </w:r>
      <w:r>
        <w:rPr>
          <w:rStyle w:val="17"/>
          <w:rFonts w:hint="eastAsia" w:ascii="仿宋" w:hAnsi="仿宋" w:eastAsia="仿宋"/>
          <w:b w:val="0"/>
          <w:bCs/>
          <w:sz w:val="32"/>
          <w:szCs w:val="32"/>
        </w:rPr>
        <w:t>万元，完成预算100%。</w:t>
      </w:r>
    </w:p>
    <w:p>
      <w:pPr>
        <w:spacing w:line="600" w:lineRule="exact"/>
        <w:ind w:firstLine="642" w:firstLineChars="200"/>
        <w:rPr>
          <w:rStyle w:val="17"/>
          <w:rFonts w:hint="eastAsia" w:ascii="仿宋" w:hAnsi="仿宋" w:eastAsia="仿宋"/>
          <w:b w:val="0"/>
          <w:bCs/>
          <w:sz w:val="32"/>
          <w:szCs w:val="32"/>
        </w:rPr>
      </w:pPr>
      <w:r>
        <w:rPr>
          <w:rStyle w:val="17"/>
          <w:rFonts w:hint="eastAsia" w:ascii="仿宋" w:hAnsi="仿宋" w:eastAsia="仿宋"/>
          <w:bCs/>
          <w:sz w:val="32"/>
          <w:szCs w:val="32"/>
          <w:lang w:val="en-US" w:eastAsia="zh-CN"/>
        </w:rPr>
        <w:t>12</w:t>
      </w:r>
      <w:r>
        <w:rPr>
          <w:rStyle w:val="17"/>
          <w:rFonts w:hint="eastAsia" w:ascii="仿宋" w:hAnsi="仿宋" w:eastAsia="仿宋"/>
          <w:bCs/>
          <w:sz w:val="32"/>
          <w:szCs w:val="32"/>
        </w:rPr>
        <w:t>.社会保障和就业（类）最低生活保障（款）城市最低生活保障金支出（项）:</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2284.05</w:t>
      </w:r>
      <w:r>
        <w:rPr>
          <w:rStyle w:val="17"/>
          <w:rFonts w:hint="eastAsia" w:ascii="仿宋" w:hAnsi="仿宋" w:eastAsia="仿宋"/>
          <w:b w:val="0"/>
          <w:bCs/>
          <w:sz w:val="32"/>
          <w:szCs w:val="32"/>
        </w:rPr>
        <w:t>万元，完成预算100%。</w:t>
      </w:r>
    </w:p>
    <w:p>
      <w:pPr>
        <w:spacing w:line="600" w:lineRule="exact"/>
        <w:ind w:firstLine="642" w:firstLineChars="200"/>
        <w:rPr>
          <w:rStyle w:val="17"/>
          <w:rFonts w:hint="eastAsia" w:ascii="仿宋" w:hAnsi="仿宋" w:eastAsia="仿宋"/>
          <w:b w:val="0"/>
          <w:bCs/>
          <w:sz w:val="32"/>
          <w:szCs w:val="32"/>
        </w:rPr>
      </w:pPr>
      <w:r>
        <w:rPr>
          <w:rStyle w:val="17"/>
          <w:rFonts w:hint="eastAsia" w:ascii="仿宋" w:hAnsi="仿宋" w:eastAsia="仿宋"/>
          <w:bCs/>
          <w:sz w:val="32"/>
          <w:szCs w:val="32"/>
          <w:lang w:val="en-US" w:eastAsia="zh-CN"/>
        </w:rPr>
        <w:t>13</w:t>
      </w:r>
      <w:r>
        <w:rPr>
          <w:rStyle w:val="17"/>
          <w:rFonts w:hint="eastAsia" w:ascii="仿宋" w:hAnsi="仿宋" w:eastAsia="仿宋"/>
          <w:bCs/>
          <w:sz w:val="32"/>
          <w:szCs w:val="32"/>
        </w:rPr>
        <w:t>.社会保障和就业（类）最低生活保障（款）农村最低生活保障金支出（项）:</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9226.01</w:t>
      </w:r>
      <w:r>
        <w:rPr>
          <w:rStyle w:val="17"/>
          <w:rFonts w:hint="eastAsia" w:ascii="仿宋" w:hAnsi="仿宋" w:eastAsia="仿宋"/>
          <w:b w:val="0"/>
          <w:bCs/>
          <w:sz w:val="32"/>
          <w:szCs w:val="32"/>
        </w:rPr>
        <w:t>万元，完成预算100%。</w:t>
      </w:r>
    </w:p>
    <w:p>
      <w:pPr>
        <w:spacing w:line="600" w:lineRule="exact"/>
        <w:ind w:firstLine="642" w:firstLineChars="200"/>
        <w:rPr>
          <w:rStyle w:val="17"/>
          <w:rFonts w:hint="eastAsia" w:ascii="仿宋" w:hAnsi="仿宋" w:eastAsia="仿宋"/>
          <w:b w:val="0"/>
          <w:bCs/>
          <w:sz w:val="32"/>
          <w:szCs w:val="32"/>
        </w:rPr>
      </w:pPr>
      <w:r>
        <w:rPr>
          <w:rStyle w:val="17"/>
          <w:rFonts w:hint="eastAsia" w:ascii="仿宋" w:hAnsi="仿宋" w:eastAsia="仿宋"/>
          <w:bCs/>
          <w:sz w:val="32"/>
          <w:szCs w:val="32"/>
        </w:rPr>
        <w:t>1</w:t>
      </w:r>
      <w:r>
        <w:rPr>
          <w:rStyle w:val="17"/>
          <w:rFonts w:hint="eastAsia" w:ascii="仿宋" w:hAnsi="仿宋" w:eastAsia="仿宋"/>
          <w:bCs/>
          <w:sz w:val="32"/>
          <w:szCs w:val="32"/>
          <w:lang w:val="en-US" w:eastAsia="zh-CN"/>
        </w:rPr>
        <w:t>4</w:t>
      </w:r>
      <w:r>
        <w:rPr>
          <w:rStyle w:val="17"/>
          <w:rFonts w:hint="eastAsia" w:ascii="仿宋" w:hAnsi="仿宋" w:eastAsia="仿宋"/>
          <w:bCs/>
          <w:sz w:val="32"/>
          <w:szCs w:val="32"/>
        </w:rPr>
        <w:t>.社会保障和就业（类）临时救助（款）临时救助支出（项）:</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400</w:t>
      </w:r>
      <w:r>
        <w:rPr>
          <w:rStyle w:val="17"/>
          <w:rFonts w:hint="eastAsia" w:ascii="仿宋" w:hAnsi="仿宋" w:eastAsia="仿宋"/>
          <w:b w:val="0"/>
          <w:bCs/>
          <w:sz w:val="32"/>
          <w:szCs w:val="32"/>
        </w:rPr>
        <w:t>万元，完成预算100%。</w:t>
      </w:r>
    </w:p>
    <w:p>
      <w:pPr>
        <w:spacing w:line="600" w:lineRule="exact"/>
        <w:ind w:firstLine="642" w:firstLineChars="200"/>
        <w:rPr>
          <w:rStyle w:val="17"/>
          <w:rFonts w:hint="eastAsia" w:ascii="仿宋" w:hAnsi="仿宋" w:eastAsia="仿宋"/>
          <w:b w:val="0"/>
          <w:bCs/>
          <w:sz w:val="32"/>
          <w:szCs w:val="32"/>
        </w:rPr>
      </w:pPr>
      <w:r>
        <w:rPr>
          <w:rStyle w:val="17"/>
          <w:rFonts w:hint="eastAsia" w:ascii="仿宋" w:hAnsi="仿宋" w:eastAsia="仿宋"/>
          <w:bCs/>
          <w:sz w:val="32"/>
          <w:szCs w:val="32"/>
        </w:rPr>
        <w:t>1</w:t>
      </w:r>
      <w:r>
        <w:rPr>
          <w:rStyle w:val="17"/>
          <w:rFonts w:hint="eastAsia" w:ascii="仿宋" w:hAnsi="仿宋" w:eastAsia="仿宋"/>
          <w:bCs/>
          <w:sz w:val="32"/>
          <w:szCs w:val="32"/>
          <w:lang w:val="en-US" w:eastAsia="zh-CN"/>
        </w:rPr>
        <w:t>5</w:t>
      </w:r>
      <w:r>
        <w:rPr>
          <w:rStyle w:val="17"/>
          <w:rFonts w:hint="eastAsia" w:ascii="仿宋" w:hAnsi="仿宋" w:eastAsia="仿宋"/>
          <w:bCs/>
          <w:sz w:val="32"/>
          <w:szCs w:val="32"/>
        </w:rPr>
        <w:t>.社会保障和就业（类）临时救助（款）流浪乞讨人员救助支出（项）:</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24</w:t>
      </w:r>
      <w:r>
        <w:rPr>
          <w:rStyle w:val="17"/>
          <w:rFonts w:hint="eastAsia" w:ascii="仿宋" w:hAnsi="仿宋" w:eastAsia="仿宋"/>
          <w:b w:val="0"/>
          <w:bCs/>
          <w:sz w:val="32"/>
          <w:szCs w:val="32"/>
        </w:rPr>
        <w:t>万元，完成预算100%。</w:t>
      </w:r>
    </w:p>
    <w:p>
      <w:pPr>
        <w:spacing w:line="600" w:lineRule="exact"/>
        <w:ind w:firstLine="642" w:firstLineChars="200"/>
        <w:rPr>
          <w:rStyle w:val="17"/>
          <w:rFonts w:hint="eastAsia" w:ascii="仿宋" w:hAnsi="仿宋" w:eastAsia="仿宋"/>
          <w:b w:val="0"/>
          <w:bCs/>
          <w:sz w:val="32"/>
          <w:szCs w:val="32"/>
        </w:rPr>
      </w:pPr>
      <w:r>
        <w:rPr>
          <w:rStyle w:val="17"/>
          <w:rFonts w:hint="eastAsia" w:ascii="仿宋" w:hAnsi="仿宋" w:eastAsia="仿宋"/>
          <w:bCs/>
          <w:sz w:val="32"/>
          <w:szCs w:val="32"/>
        </w:rPr>
        <w:t>1</w:t>
      </w:r>
      <w:r>
        <w:rPr>
          <w:rStyle w:val="17"/>
          <w:rFonts w:hint="eastAsia" w:ascii="仿宋" w:hAnsi="仿宋" w:eastAsia="仿宋"/>
          <w:bCs/>
          <w:sz w:val="32"/>
          <w:szCs w:val="32"/>
          <w:lang w:val="en-US" w:eastAsia="zh-CN"/>
        </w:rPr>
        <w:t>6</w:t>
      </w:r>
      <w:r>
        <w:rPr>
          <w:rStyle w:val="17"/>
          <w:rFonts w:hint="eastAsia" w:ascii="仿宋" w:hAnsi="仿宋" w:eastAsia="仿宋"/>
          <w:bCs/>
          <w:sz w:val="32"/>
          <w:szCs w:val="32"/>
        </w:rPr>
        <w:t>.社会保障和就业（类）特困人员救助供养（款）</w:t>
      </w:r>
      <w:r>
        <w:rPr>
          <w:rStyle w:val="17"/>
          <w:rFonts w:hint="eastAsia" w:ascii="仿宋" w:hAnsi="仿宋" w:eastAsia="仿宋"/>
          <w:bCs/>
          <w:sz w:val="32"/>
          <w:szCs w:val="32"/>
          <w:lang w:eastAsia="zh-CN"/>
        </w:rPr>
        <w:t>城市</w:t>
      </w:r>
      <w:r>
        <w:rPr>
          <w:rStyle w:val="17"/>
          <w:rFonts w:hint="eastAsia" w:ascii="仿宋" w:hAnsi="仿宋" w:eastAsia="仿宋"/>
          <w:bCs/>
          <w:sz w:val="32"/>
          <w:szCs w:val="32"/>
        </w:rPr>
        <w:t>特困人员救助供养支出（项）:</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0.29</w:t>
      </w:r>
      <w:r>
        <w:rPr>
          <w:rStyle w:val="17"/>
          <w:rFonts w:hint="eastAsia" w:ascii="仿宋" w:hAnsi="仿宋" w:eastAsia="仿宋"/>
          <w:b w:val="0"/>
          <w:bCs/>
          <w:sz w:val="32"/>
          <w:szCs w:val="32"/>
        </w:rPr>
        <w:t>万元，完成预算100%。</w:t>
      </w:r>
    </w:p>
    <w:p>
      <w:pPr>
        <w:spacing w:line="600" w:lineRule="exact"/>
        <w:ind w:firstLine="642" w:firstLineChars="200"/>
        <w:rPr>
          <w:rStyle w:val="17"/>
          <w:rFonts w:hint="eastAsia" w:ascii="仿宋" w:hAnsi="仿宋" w:eastAsia="仿宋"/>
          <w:b w:val="0"/>
          <w:bCs/>
          <w:sz w:val="32"/>
          <w:szCs w:val="32"/>
        </w:rPr>
      </w:pPr>
      <w:r>
        <w:rPr>
          <w:rStyle w:val="17"/>
          <w:rFonts w:hint="eastAsia" w:ascii="仿宋" w:hAnsi="仿宋" w:eastAsia="仿宋"/>
          <w:bCs/>
          <w:sz w:val="32"/>
          <w:szCs w:val="32"/>
        </w:rPr>
        <w:t>1</w:t>
      </w:r>
      <w:r>
        <w:rPr>
          <w:rStyle w:val="17"/>
          <w:rFonts w:hint="eastAsia" w:ascii="仿宋" w:hAnsi="仿宋" w:eastAsia="仿宋"/>
          <w:bCs/>
          <w:sz w:val="32"/>
          <w:szCs w:val="32"/>
          <w:lang w:val="en-US" w:eastAsia="zh-CN"/>
        </w:rPr>
        <w:t>7</w:t>
      </w:r>
      <w:r>
        <w:rPr>
          <w:rStyle w:val="17"/>
          <w:rFonts w:hint="eastAsia" w:ascii="仿宋" w:hAnsi="仿宋" w:eastAsia="仿宋"/>
          <w:bCs/>
          <w:sz w:val="32"/>
          <w:szCs w:val="32"/>
        </w:rPr>
        <w:t>.社会保障和就业（类）特困人员救助供养（款）农村特困人员救助供养支出（项）:</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776.21</w:t>
      </w:r>
      <w:r>
        <w:rPr>
          <w:rStyle w:val="17"/>
          <w:rFonts w:hint="eastAsia" w:ascii="仿宋" w:hAnsi="仿宋" w:eastAsia="仿宋"/>
          <w:b w:val="0"/>
          <w:bCs/>
          <w:sz w:val="32"/>
          <w:szCs w:val="32"/>
        </w:rPr>
        <w:t>万元，完成预算100%。</w:t>
      </w:r>
    </w:p>
    <w:p>
      <w:pPr>
        <w:spacing w:line="600" w:lineRule="exact"/>
        <w:ind w:firstLine="642" w:firstLineChars="200"/>
        <w:rPr>
          <w:rStyle w:val="17"/>
          <w:rFonts w:hint="eastAsia" w:ascii="仿宋" w:hAnsi="仿宋" w:eastAsia="仿宋"/>
          <w:b w:val="0"/>
          <w:bCs/>
          <w:sz w:val="32"/>
          <w:szCs w:val="32"/>
        </w:rPr>
      </w:pPr>
      <w:r>
        <w:rPr>
          <w:rStyle w:val="17"/>
          <w:rFonts w:hint="eastAsia" w:ascii="仿宋" w:hAnsi="仿宋" w:eastAsia="仿宋"/>
          <w:bCs/>
          <w:sz w:val="32"/>
          <w:szCs w:val="32"/>
        </w:rPr>
        <w:t>18.社会保障和就业（类）其他生活救助（款）其他农村生活救助（项）:</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26.52</w:t>
      </w:r>
      <w:r>
        <w:rPr>
          <w:rStyle w:val="17"/>
          <w:rFonts w:hint="eastAsia" w:ascii="仿宋" w:hAnsi="仿宋" w:eastAsia="仿宋"/>
          <w:b w:val="0"/>
          <w:bCs/>
          <w:sz w:val="32"/>
          <w:szCs w:val="32"/>
        </w:rPr>
        <w:t>万元，完成预算100%。</w:t>
      </w:r>
    </w:p>
    <w:p>
      <w:pPr>
        <w:spacing w:line="600" w:lineRule="exact"/>
        <w:ind w:firstLine="642" w:firstLineChars="200"/>
        <w:rPr>
          <w:rStyle w:val="17"/>
          <w:rFonts w:hint="eastAsia" w:ascii="仿宋" w:hAnsi="仿宋" w:eastAsia="仿宋"/>
          <w:b w:val="0"/>
          <w:bCs/>
          <w:sz w:val="32"/>
          <w:szCs w:val="32"/>
        </w:rPr>
      </w:pPr>
      <w:r>
        <w:rPr>
          <w:rStyle w:val="17"/>
          <w:rFonts w:hint="eastAsia" w:ascii="仿宋" w:hAnsi="仿宋" w:eastAsia="仿宋"/>
          <w:bCs/>
          <w:sz w:val="32"/>
          <w:szCs w:val="32"/>
        </w:rPr>
        <w:t>19.社会保障和就业（类）其他</w:t>
      </w:r>
      <w:r>
        <w:rPr>
          <w:rStyle w:val="17"/>
          <w:rFonts w:hint="eastAsia" w:ascii="仿宋" w:hAnsi="仿宋" w:eastAsia="仿宋"/>
          <w:bCs/>
          <w:sz w:val="32"/>
          <w:szCs w:val="32"/>
          <w:lang w:eastAsia="zh-CN"/>
        </w:rPr>
        <w:t>社会保障和就业支出</w:t>
      </w:r>
      <w:r>
        <w:rPr>
          <w:rStyle w:val="17"/>
          <w:rFonts w:hint="eastAsia" w:ascii="仿宋" w:hAnsi="仿宋" w:eastAsia="仿宋"/>
          <w:bCs/>
          <w:sz w:val="32"/>
          <w:szCs w:val="32"/>
        </w:rPr>
        <w:t>（款）其他</w:t>
      </w:r>
      <w:r>
        <w:rPr>
          <w:rStyle w:val="17"/>
          <w:rFonts w:hint="eastAsia" w:ascii="仿宋" w:hAnsi="仿宋" w:eastAsia="仿宋"/>
          <w:bCs/>
          <w:sz w:val="32"/>
          <w:szCs w:val="32"/>
          <w:lang w:eastAsia="zh-CN"/>
        </w:rPr>
        <w:t>社会保障和就业支出</w:t>
      </w:r>
      <w:r>
        <w:rPr>
          <w:rStyle w:val="17"/>
          <w:rFonts w:hint="eastAsia" w:ascii="仿宋" w:hAnsi="仿宋" w:eastAsia="仿宋"/>
          <w:bCs/>
          <w:sz w:val="32"/>
          <w:szCs w:val="32"/>
        </w:rPr>
        <w:t>（项）:</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267</w:t>
      </w:r>
      <w:r>
        <w:rPr>
          <w:rStyle w:val="17"/>
          <w:rFonts w:hint="eastAsia" w:ascii="仿宋" w:hAnsi="仿宋" w:eastAsia="仿宋"/>
          <w:b w:val="0"/>
          <w:bCs/>
          <w:sz w:val="32"/>
          <w:szCs w:val="32"/>
        </w:rPr>
        <w:t>万元，完成预算100%。</w:t>
      </w:r>
    </w:p>
    <w:p>
      <w:pPr>
        <w:spacing w:line="600" w:lineRule="exact"/>
        <w:ind w:firstLine="642" w:firstLineChars="200"/>
        <w:rPr>
          <w:rStyle w:val="17"/>
          <w:rFonts w:hint="eastAsia" w:ascii="仿宋" w:hAnsi="仿宋" w:eastAsia="仿宋"/>
          <w:b w:val="0"/>
          <w:bCs/>
          <w:sz w:val="32"/>
          <w:szCs w:val="32"/>
        </w:rPr>
      </w:pPr>
      <w:r>
        <w:rPr>
          <w:rStyle w:val="17"/>
          <w:rFonts w:hint="eastAsia" w:ascii="仿宋" w:hAnsi="仿宋" w:eastAsia="仿宋"/>
          <w:bCs/>
          <w:sz w:val="32"/>
          <w:szCs w:val="32"/>
          <w:lang w:val="en-US" w:eastAsia="zh-CN"/>
        </w:rPr>
        <w:t>20</w:t>
      </w:r>
      <w:r>
        <w:rPr>
          <w:rStyle w:val="17"/>
          <w:rFonts w:hint="eastAsia" w:ascii="仿宋" w:hAnsi="仿宋" w:eastAsia="仿宋"/>
          <w:bCs/>
          <w:sz w:val="32"/>
          <w:szCs w:val="32"/>
        </w:rPr>
        <w:t>.卫生健康支出（类）行政事业单位医疗（款）行政单位医疗（项）:</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23.18</w:t>
      </w:r>
      <w:r>
        <w:rPr>
          <w:rStyle w:val="17"/>
          <w:rFonts w:hint="eastAsia" w:ascii="仿宋" w:hAnsi="仿宋" w:eastAsia="仿宋"/>
          <w:b w:val="0"/>
          <w:bCs/>
          <w:sz w:val="32"/>
          <w:szCs w:val="32"/>
        </w:rPr>
        <w:t>万元，完成预算100%。</w:t>
      </w:r>
    </w:p>
    <w:p>
      <w:pPr>
        <w:spacing w:line="600" w:lineRule="exact"/>
        <w:ind w:firstLine="642" w:firstLineChars="200"/>
        <w:rPr>
          <w:rStyle w:val="17"/>
          <w:rFonts w:hint="eastAsia" w:ascii="仿宋" w:hAnsi="仿宋" w:eastAsia="仿宋"/>
          <w:b w:val="0"/>
          <w:bCs/>
          <w:sz w:val="32"/>
          <w:szCs w:val="32"/>
        </w:rPr>
      </w:pPr>
      <w:r>
        <w:rPr>
          <w:rStyle w:val="17"/>
          <w:rFonts w:hint="eastAsia" w:ascii="仿宋" w:hAnsi="仿宋" w:eastAsia="仿宋"/>
          <w:bCs/>
          <w:sz w:val="32"/>
          <w:szCs w:val="32"/>
          <w:lang w:val="en-US" w:eastAsia="zh-CN"/>
        </w:rPr>
        <w:t>21</w:t>
      </w:r>
      <w:r>
        <w:rPr>
          <w:rStyle w:val="17"/>
          <w:rFonts w:hint="eastAsia" w:ascii="仿宋" w:hAnsi="仿宋" w:eastAsia="仿宋"/>
          <w:bCs/>
          <w:sz w:val="32"/>
          <w:szCs w:val="32"/>
        </w:rPr>
        <w:t>.住房保障支出（类）住房改革支出（款）住房公积金（项）:</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34.77</w:t>
      </w:r>
      <w:r>
        <w:rPr>
          <w:rStyle w:val="17"/>
          <w:rFonts w:hint="eastAsia" w:ascii="仿宋" w:hAnsi="仿宋" w:eastAsia="仿宋"/>
          <w:b w:val="0"/>
          <w:bCs/>
          <w:sz w:val="32"/>
          <w:szCs w:val="32"/>
        </w:rPr>
        <w:t>万元，完成预算100%。</w:t>
      </w:r>
    </w:p>
    <w:p>
      <w:pPr>
        <w:tabs>
          <w:tab w:val="right" w:pos="8306"/>
        </w:tabs>
        <w:spacing w:line="576" w:lineRule="exact"/>
        <w:ind w:firstLine="640" w:firstLineChars="200"/>
        <w:outlineLvl w:val="1"/>
        <w:rPr>
          <w:rFonts w:hint="eastAsia" w:cs="仿宋" w:asciiTheme="minorEastAsia" w:hAnsiTheme="minorEastAsia" w:eastAsiaTheme="minorEastAsia"/>
          <w:b/>
          <w:bCs/>
          <w:color w:val="000000"/>
          <w:sz w:val="32"/>
          <w:szCs w:val="32"/>
        </w:rPr>
      </w:pPr>
      <w:r>
        <w:rPr>
          <w:rFonts w:hint="eastAsia" w:ascii="黑体" w:hAnsi="Times New Roman" w:eastAsia="黑体" w:cs="Times New Roman"/>
          <w:sz w:val="32"/>
          <w:szCs w:val="32"/>
        </w:rPr>
        <w:t>六、一般公共预算财政拨款基本支出决算情况说明</w:t>
      </w:r>
      <w:r>
        <w:rPr>
          <w:rFonts w:hint="eastAsia" w:cs="仿宋" w:asciiTheme="minorEastAsia" w:hAnsiTheme="minorEastAsia" w:eastAsiaTheme="minorEastAsia"/>
          <w:b/>
          <w:bCs/>
          <w:color w:val="000000"/>
          <w:sz w:val="32"/>
          <w:szCs w:val="32"/>
        </w:rPr>
        <w:tab/>
      </w:r>
    </w:p>
    <w:p>
      <w:pPr>
        <w:spacing w:line="600" w:lineRule="exact"/>
        <w:ind w:firstLine="645"/>
        <w:rPr>
          <w:rFonts w:ascii="仿宋" w:hAnsi="仿宋" w:eastAsia="仿宋"/>
          <w:sz w:val="32"/>
          <w:szCs w:val="32"/>
        </w:rPr>
      </w:pPr>
      <w:r>
        <w:rPr>
          <w:rFonts w:hint="eastAsia" w:ascii="仿宋" w:hAnsi="仿宋" w:eastAsia="仿宋"/>
          <w:sz w:val="32"/>
          <w:szCs w:val="32"/>
          <w:lang w:eastAsia="zh-CN"/>
        </w:rPr>
        <w:t>2022年</w:t>
      </w:r>
      <w:r>
        <w:rPr>
          <w:rFonts w:hint="eastAsia" w:ascii="仿宋" w:hAnsi="仿宋" w:eastAsia="仿宋"/>
          <w:sz w:val="32"/>
          <w:szCs w:val="32"/>
        </w:rPr>
        <w:t>度一般公共预算财政拨款基本支出</w:t>
      </w:r>
      <w:r>
        <w:rPr>
          <w:rFonts w:hint="eastAsia" w:ascii="仿宋" w:hAnsi="仿宋" w:eastAsia="仿宋"/>
          <w:sz w:val="32"/>
          <w:szCs w:val="32"/>
          <w:lang w:val="en-US" w:eastAsia="zh-CN"/>
        </w:rPr>
        <w:t>666.21</w:t>
      </w:r>
      <w:r>
        <w:rPr>
          <w:rFonts w:hint="eastAsia" w:ascii="仿宋" w:hAnsi="仿宋" w:eastAsia="仿宋"/>
          <w:sz w:val="32"/>
          <w:szCs w:val="32"/>
        </w:rPr>
        <w:t>万元，其中：</w:t>
      </w:r>
    </w:p>
    <w:p>
      <w:pPr>
        <w:spacing w:line="600" w:lineRule="exact"/>
        <w:ind w:firstLine="645"/>
        <w:rPr>
          <w:rFonts w:ascii="仿宋" w:hAnsi="仿宋" w:eastAsia="仿宋"/>
          <w:sz w:val="32"/>
          <w:szCs w:val="32"/>
        </w:rPr>
      </w:pPr>
      <w:r>
        <w:rPr>
          <w:rFonts w:hint="eastAsia" w:ascii="仿宋" w:hAnsi="仿宋" w:eastAsia="仿宋"/>
          <w:sz w:val="32"/>
          <w:szCs w:val="32"/>
          <w:lang w:val="en-US" w:eastAsia="zh-CN"/>
        </w:rPr>
        <w:t>人员经费611.85万元，主要包括：基本工资、津贴补贴、奖金、绩效工资、机关事业单位基本养老保险缴费、职工基本医疗保险缴费、其他社会保障缴费、其他工资福利支出、住房公积金、生活补助。</w:t>
      </w:r>
      <w:r>
        <w:rPr>
          <w:rFonts w:hint="eastAsia" w:ascii="仿宋" w:hAnsi="仿宋" w:eastAsia="仿宋"/>
          <w:sz w:val="32"/>
          <w:szCs w:val="32"/>
          <w:lang w:val="en-US" w:eastAsia="zh-CN"/>
        </w:rPr>
        <w:br w:type="textWrapping"/>
      </w:r>
      <w:r>
        <w:rPr>
          <w:rFonts w:hint="eastAsia" w:ascii="仿宋" w:hAnsi="仿宋" w:eastAsia="仿宋"/>
          <w:sz w:val="32"/>
          <w:szCs w:val="32"/>
          <w:lang w:val="en-US" w:eastAsia="zh-CN"/>
        </w:rPr>
        <w:t>　　日常公用经费54.35万元，主要包括：办公费、印刷费、水费、电费、差旅费、修（护）费、会议费、培训费、公务接待费、</w:t>
      </w:r>
      <w:r>
        <w:rPr>
          <w:rFonts w:hint="eastAsia" w:ascii="仿宋" w:hAnsi="仿宋" w:eastAsia="仿宋"/>
          <w:sz w:val="32"/>
          <w:szCs w:val="32"/>
        </w:rPr>
        <w:t>工会经费、福利费、公务用车运行维护费、其他交通费。</w:t>
      </w:r>
    </w:p>
    <w:p>
      <w:pPr>
        <w:spacing w:line="600" w:lineRule="exact"/>
        <w:ind w:firstLine="640"/>
        <w:outlineLvl w:val="1"/>
        <w:rPr>
          <w:rFonts w:hint="eastAsia" w:ascii="黑体" w:hAnsi="Times New Roman" w:eastAsia="黑体" w:cs="Times New Roman"/>
          <w:sz w:val="32"/>
          <w:szCs w:val="32"/>
        </w:rPr>
      </w:pPr>
      <w:r>
        <w:rPr>
          <w:rFonts w:hint="eastAsia" w:ascii="黑体" w:hAnsi="Times New Roman" w:eastAsia="黑体" w:cs="Times New Roman"/>
          <w:sz w:val="32"/>
          <w:szCs w:val="32"/>
        </w:rPr>
        <w:t>七、“三公”经费财政拨款支出决算情况说明</w:t>
      </w:r>
    </w:p>
    <w:p>
      <w:pPr>
        <w:spacing w:line="600" w:lineRule="exact"/>
        <w:ind w:firstLine="640"/>
        <w:outlineLvl w:val="2"/>
        <w:rPr>
          <w:rFonts w:hint="eastAsia" w:ascii="仿宋" w:hAnsi="仿宋" w:eastAsia="仿宋"/>
          <w:b/>
          <w:sz w:val="32"/>
          <w:szCs w:val="32"/>
        </w:rPr>
      </w:pPr>
      <w:r>
        <w:rPr>
          <w:rFonts w:hint="eastAsia" w:ascii="仿宋" w:hAnsi="仿宋" w:eastAsia="仿宋"/>
          <w:b/>
          <w:sz w:val="32"/>
          <w:szCs w:val="32"/>
        </w:rPr>
        <w:t>（一）“三公”经费财政拨款支出决算总体情况说明</w:t>
      </w:r>
    </w:p>
    <w:p>
      <w:pPr>
        <w:spacing w:line="600" w:lineRule="exact"/>
        <w:ind w:firstLine="640"/>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2022年度“三公”经费财政拨款支出决算为4.56万元，完成预算 79.3 %，</w:t>
      </w:r>
      <w:r>
        <w:rPr>
          <w:rFonts w:hint="eastAsia" w:ascii="仿宋" w:hAnsi="仿宋" w:eastAsia="仿宋"/>
          <w:sz w:val="32"/>
          <w:szCs w:val="32"/>
        </w:rPr>
        <w:t>较上年减少</w:t>
      </w:r>
      <w:r>
        <w:rPr>
          <w:rFonts w:hint="eastAsia" w:ascii="仿宋" w:hAnsi="仿宋" w:eastAsia="仿宋"/>
          <w:sz w:val="32"/>
          <w:szCs w:val="32"/>
          <w:lang w:val="en-US" w:eastAsia="zh-CN"/>
        </w:rPr>
        <w:t>1.33</w:t>
      </w:r>
      <w:r>
        <w:rPr>
          <w:rFonts w:hint="eastAsia" w:ascii="仿宋" w:hAnsi="仿宋" w:eastAsia="仿宋"/>
          <w:sz w:val="32"/>
          <w:szCs w:val="32"/>
        </w:rPr>
        <w:t>万元，下降</w:t>
      </w:r>
      <w:r>
        <w:rPr>
          <w:rFonts w:hint="eastAsia" w:ascii="仿宋" w:hAnsi="仿宋" w:eastAsia="仿宋"/>
          <w:sz w:val="32"/>
          <w:szCs w:val="32"/>
          <w:lang w:val="en-US" w:eastAsia="zh-CN"/>
        </w:rPr>
        <w:t>23.33</w:t>
      </w:r>
      <w:r>
        <w:rPr>
          <w:rFonts w:hint="eastAsia" w:ascii="仿宋" w:hAnsi="仿宋" w:eastAsia="仿宋"/>
          <w:sz w:val="32"/>
          <w:szCs w:val="32"/>
        </w:rPr>
        <w:t>%。</w:t>
      </w:r>
      <w:r>
        <w:rPr>
          <w:rFonts w:hint="eastAsia" w:ascii="仿宋" w:hAnsi="仿宋" w:eastAsia="仿宋" w:cs="Times New Roman"/>
          <w:kern w:val="2"/>
          <w:sz w:val="32"/>
          <w:szCs w:val="32"/>
          <w:lang w:val="en-US" w:eastAsia="zh-CN" w:bidi="ar-SA"/>
        </w:rPr>
        <w:t>决算数小于预算数的主要原因是财政资金困难及部门严格执行中央八项规定，厉行节约，从严控制“三公”经费开支。</w:t>
      </w:r>
    </w:p>
    <w:p>
      <w:pPr>
        <w:spacing w:line="600" w:lineRule="exact"/>
        <w:ind w:firstLine="640"/>
        <w:outlineLvl w:val="2"/>
        <w:rPr>
          <w:rFonts w:hint="eastAsia" w:ascii="仿宋" w:hAnsi="仿宋" w:eastAsia="仿宋"/>
          <w:b/>
          <w:sz w:val="32"/>
          <w:szCs w:val="32"/>
        </w:rPr>
      </w:pPr>
      <w:r>
        <w:rPr>
          <w:rFonts w:hint="eastAsia" w:ascii="仿宋" w:hAnsi="仿宋" w:eastAsia="仿宋"/>
          <w:b/>
          <w:sz w:val="32"/>
          <w:szCs w:val="32"/>
          <w:lang w:eastAsia="zh-CN"/>
        </w:rPr>
        <w:t>（二）</w:t>
      </w:r>
      <w:r>
        <w:rPr>
          <w:rFonts w:hint="eastAsia" w:ascii="仿宋" w:hAnsi="仿宋" w:eastAsia="仿宋"/>
          <w:b/>
          <w:sz w:val="32"/>
          <w:szCs w:val="32"/>
        </w:rPr>
        <w:t>“三公”经费财政拨款支出决算具体情况说明</w:t>
      </w:r>
    </w:p>
    <w:p>
      <w:pPr>
        <w:spacing w:line="600" w:lineRule="exact"/>
        <w:ind w:firstLine="640"/>
        <w:rPr>
          <w:rFonts w:ascii="仿宋" w:hAnsi="仿宋" w:eastAsia="仿宋"/>
          <w:sz w:val="32"/>
          <w:szCs w:val="32"/>
        </w:rPr>
      </w:pPr>
      <w:r>
        <w:rPr>
          <w:rFonts w:hint="eastAsia" w:ascii="仿宋" w:hAnsi="仿宋" w:eastAsia="仿宋"/>
          <w:sz w:val="32"/>
          <w:szCs w:val="32"/>
          <w:lang w:eastAsia="zh-CN"/>
        </w:rPr>
        <w:t>2022年</w:t>
      </w:r>
      <w:r>
        <w:rPr>
          <w:rFonts w:hint="eastAsia" w:ascii="仿宋" w:hAnsi="仿宋" w:eastAsia="仿宋"/>
          <w:sz w:val="32"/>
          <w:szCs w:val="32"/>
        </w:rPr>
        <w:t>度“三公”经费财政拨款支出决算中，因公出国（境）费支出决算0万元；公务用车购置及运行维护费支出决算</w:t>
      </w:r>
      <w:r>
        <w:rPr>
          <w:rFonts w:hint="eastAsia" w:ascii="仿宋" w:hAnsi="仿宋" w:eastAsia="仿宋"/>
          <w:sz w:val="32"/>
          <w:szCs w:val="32"/>
          <w:lang w:val="en-US" w:eastAsia="zh-CN"/>
        </w:rPr>
        <w:t>1.81</w:t>
      </w:r>
      <w:r>
        <w:rPr>
          <w:rFonts w:hint="eastAsia" w:ascii="仿宋" w:hAnsi="仿宋" w:eastAsia="仿宋"/>
          <w:sz w:val="32"/>
          <w:szCs w:val="32"/>
        </w:rPr>
        <w:t>万元，占</w:t>
      </w:r>
      <w:r>
        <w:rPr>
          <w:rFonts w:hint="eastAsia" w:ascii="仿宋" w:hAnsi="仿宋" w:eastAsia="仿宋"/>
          <w:sz w:val="32"/>
          <w:szCs w:val="32"/>
          <w:lang w:val="en-US" w:eastAsia="zh-CN"/>
        </w:rPr>
        <w:t>39.7</w:t>
      </w:r>
      <w:r>
        <w:rPr>
          <w:rFonts w:hint="eastAsia" w:ascii="仿宋" w:hAnsi="仿宋" w:eastAsia="仿宋"/>
          <w:sz w:val="32"/>
          <w:szCs w:val="32"/>
        </w:rPr>
        <w:t>%；公务接待费支出决算</w:t>
      </w:r>
      <w:r>
        <w:rPr>
          <w:rFonts w:hint="eastAsia" w:ascii="仿宋" w:hAnsi="仿宋" w:eastAsia="仿宋"/>
          <w:sz w:val="32"/>
          <w:szCs w:val="32"/>
          <w:lang w:val="en-US" w:eastAsia="zh-CN"/>
        </w:rPr>
        <w:t>2.75</w:t>
      </w:r>
      <w:r>
        <w:rPr>
          <w:rFonts w:hint="eastAsia" w:ascii="仿宋" w:hAnsi="仿宋" w:eastAsia="仿宋"/>
          <w:sz w:val="32"/>
          <w:szCs w:val="32"/>
        </w:rPr>
        <w:t> 万元，占</w:t>
      </w:r>
      <w:r>
        <w:rPr>
          <w:rFonts w:hint="eastAsia" w:ascii="仿宋" w:hAnsi="仿宋" w:eastAsia="仿宋"/>
          <w:sz w:val="32"/>
          <w:szCs w:val="32"/>
          <w:lang w:val="en-US" w:eastAsia="zh-CN"/>
        </w:rPr>
        <w:t>60.3</w:t>
      </w:r>
      <w:r>
        <w:rPr>
          <w:rFonts w:hint="eastAsia" w:ascii="仿宋" w:hAnsi="仿宋" w:eastAsia="仿宋"/>
          <w:sz w:val="32"/>
          <w:szCs w:val="32"/>
        </w:rPr>
        <w:t>%。</w:t>
      </w:r>
    </w:p>
    <w:p>
      <w:pPr>
        <w:spacing w:line="600" w:lineRule="exact"/>
        <w:ind w:firstLine="640"/>
        <w:outlineLvl w:val="2"/>
        <w:rPr>
          <w:rFonts w:hint="eastAsia" w:ascii="仿宋" w:hAnsi="仿宋" w:eastAsia="仿宋"/>
          <w:b/>
          <w:sz w:val="32"/>
          <w:szCs w:val="32"/>
        </w:rPr>
      </w:pPr>
      <w:r>
        <w:drawing>
          <wp:anchor distT="0" distB="0" distL="114300" distR="114300" simplePos="0" relativeHeight="251669504" behindDoc="0" locked="0" layoutInCell="1" allowOverlap="1">
            <wp:simplePos x="0" y="0"/>
            <wp:positionH relativeFrom="column">
              <wp:posOffset>231140</wp:posOffset>
            </wp:positionH>
            <wp:positionV relativeFrom="paragraph">
              <wp:posOffset>240665</wp:posOffset>
            </wp:positionV>
            <wp:extent cx="4847590" cy="2695575"/>
            <wp:effectExtent l="4445" t="5080" r="5715" b="4445"/>
            <wp:wrapNone/>
            <wp:docPr id="1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spacing w:line="600" w:lineRule="exact"/>
        <w:ind w:firstLine="640"/>
        <w:outlineLvl w:val="2"/>
        <w:rPr>
          <w:rFonts w:hint="eastAsia" w:ascii="仿宋" w:hAnsi="仿宋" w:eastAsia="仿宋"/>
          <w:b/>
          <w:sz w:val="32"/>
          <w:szCs w:val="32"/>
        </w:rPr>
      </w:pPr>
    </w:p>
    <w:p>
      <w:pPr>
        <w:spacing w:line="600" w:lineRule="exact"/>
        <w:ind w:firstLine="640"/>
        <w:outlineLvl w:val="2"/>
        <w:rPr>
          <w:rFonts w:hint="eastAsia" w:ascii="仿宋" w:hAnsi="仿宋" w:eastAsia="仿宋"/>
          <w:b/>
          <w:sz w:val="32"/>
          <w:szCs w:val="32"/>
        </w:rPr>
      </w:pPr>
    </w:p>
    <w:p>
      <w:pPr>
        <w:spacing w:line="600" w:lineRule="exact"/>
        <w:ind w:firstLine="640"/>
        <w:outlineLvl w:val="2"/>
        <w:rPr>
          <w:rFonts w:hint="eastAsia" w:ascii="仿宋" w:hAnsi="仿宋" w:eastAsia="仿宋"/>
          <w:b/>
          <w:sz w:val="32"/>
          <w:szCs w:val="32"/>
        </w:rPr>
      </w:pPr>
    </w:p>
    <w:p>
      <w:pPr>
        <w:spacing w:line="600" w:lineRule="exact"/>
        <w:ind w:firstLine="640"/>
        <w:outlineLvl w:val="2"/>
        <w:rPr>
          <w:rFonts w:hint="eastAsia" w:ascii="仿宋" w:hAnsi="仿宋" w:eastAsia="仿宋"/>
          <w:b/>
          <w:sz w:val="32"/>
          <w:szCs w:val="32"/>
        </w:rPr>
      </w:pPr>
    </w:p>
    <w:p>
      <w:pPr>
        <w:spacing w:line="600" w:lineRule="exact"/>
        <w:ind w:firstLine="640"/>
        <w:outlineLvl w:val="2"/>
        <w:rPr>
          <w:rFonts w:hint="eastAsia" w:ascii="仿宋" w:hAnsi="仿宋" w:eastAsia="仿宋"/>
          <w:b/>
          <w:sz w:val="32"/>
          <w:szCs w:val="32"/>
        </w:rPr>
      </w:pPr>
    </w:p>
    <w:p>
      <w:pPr>
        <w:spacing w:line="600" w:lineRule="exact"/>
        <w:ind w:firstLine="640"/>
        <w:outlineLvl w:val="2"/>
        <w:rPr>
          <w:rFonts w:hint="eastAsia" w:ascii="仿宋" w:hAnsi="仿宋" w:eastAsia="仿宋"/>
          <w:b/>
          <w:sz w:val="32"/>
          <w:szCs w:val="32"/>
        </w:rPr>
      </w:pPr>
    </w:p>
    <w:p>
      <w:pPr>
        <w:spacing w:line="600" w:lineRule="exact"/>
        <w:ind w:firstLine="640"/>
        <w:outlineLvl w:val="2"/>
        <w:rPr>
          <w:rFonts w:hint="eastAsia" w:ascii="仿宋" w:hAnsi="仿宋" w:eastAsia="仿宋"/>
          <w:b/>
          <w:sz w:val="32"/>
          <w:szCs w:val="32"/>
        </w:rPr>
      </w:pPr>
    </w:p>
    <w:p>
      <w:pPr>
        <w:spacing w:line="600" w:lineRule="exact"/>
        <w:ind w:firstLine="1609" w:firstLineChars="503"/>
        <w:outlineLvl w:val="2"/>
        <w:rPr>
          <w:rFonts w:hint="eastAsia" w:ascii="仿宋" w:hAnsi="仿宋" w:eastAsia="仿宋"/>
          <w:b/>
          <w:sz w:val="32"/>
          <w:szCs w:val="32"/>
        </w:rPr>
      </w:pPr>
      <w:r>
        <w:rPr>
          <w:rFonts w:hint="eastAsia" w:ascii="仿宋" w:hAnsi="仿宋" w:eastAsia="仿宋"/>
          <w:sz w:val="32"/>
          <w:szCs w:val="32"/>
        </w:rPr>
        <w:t>图7：“三公”经费财政拨款支出结构</w:t>
      </w:r>
    </w:p>
    <w:p>
      <w:pPr>
        <w:pStyle w:val="14"/>
        <w:widowControl/>
        <w:shd w:val="clear" w:color="auto" w:fill="FFFFFF"/>
        <w:spacing w:before="0" w:beforeAutospacing="0" w:after="0" w:afterAutospacing="0" w:line="576" w:lineRule="exact"/>
        <w:ind w:firstLine="642" w:firstLineChars="200"/>
        <w:rPr>
          <w:rFonts w:cs="仿宋_GB2312" w:asciiTheme="minorEastAsia" w:hAnsiTheme="minorEastAsia" w:eastAsiaTheme="minorEastAsia"/>
          <w:color w:val="000000"/>
          <w:kern w:val="2"/>
          <w:sz w:val="32"/>
          <w:szCs w:val="32"/>
        </w:rPr>
      </w:pPr>
      <w:r>
        <w:rPr>
          <w:rFonts w:hint="eastAsia" w:ascii="仿宋_GB2312" w:hAnsi="Times New Roman" w:eastAsia="仿宋_GB2312" w:cs="Times New Roman"/>
          <w:b/>
          <w:kern w:val="2"/>
          <w:sz w:val="32"/>
          <w:szCs w:val="32"/>
          <w:lang w:val="en-US" w:eastAsia="zh-CN" w:bidi="ar-SA"/>
        </w:rPr>
        <w:t>1.因公出国（境）经费支出</w:t>
      </w:r>
      <w:r>
        <w:rPr>
          <w:rFonts w:hint="eastAsia" w:ascii="仿宋_GB2312" w:hAnsi="Times New Roman" w:eastAsia="仿宋_GB2312" w:cs="Times New Roman"/>
          <w:kern w:val="2"/>
          <w:sz w:val="32"/>
          <w:szCs w:val="32"/>
          <w:lang w:val="en-US" w:eastAsia="zh-CN" w:bidi="ar-SA"/>
        </w:rPr>
        <w:t>0万元。</w:t>
      </w:r>
    </w:p>
    <w:p>
      <w:pPr>
        <w:spacing w:line="600" w:lineRule="exact"/>
        <w:ind w:firstLine="640"/>
        <w:rPr>
          <w:rFonts w:ascii="仿宋_GB2312" w:eastAsia="仿宋_GB2312"/>
          <w:b/>
          <w:sz w:val="32"/>
          <w:szCs w:val="32"/>
        </w:rPr>
      </w:pPr>
      <w:r>
        <w:rPr>
          <w:rFonts w:hint="eastAsia" w:ascii="仿宋_GB2312" w:hAnsi="Times New Roman" w:eastAsia="仿宋_GB2312" w:cs="Times New Roman"/>
          <w:b/>
          <w:kern w:val="2"/>
          <w:sz w:val="32"/>
          <w:szCs w:val="32"/>
          <w:lang w:val="en-US" w:eastAsia="zh-CN" w:bidi="ar-SA"/>
        </w:rPr>
        <w:t>2.公务用车购置及运行维护费支出</w:t>
      </w:r>
      <w:r>
        <w:rPr>
          <w:rFonts w:hint="eastAsia" w:ascii="仿宋_GB2312" w:hAnsi="Times New Roman" w:eastAsia="仿宋_GB2312" w:cs="Times New Roman"/>
          <w:kern w:val="2"/>
          <w:sz w:val="32"/>
          <w:szCs w:val="32"/>
          <w:lang w:val="en-US" w:eastAsia="zh-CN" w:bidi="ar-SA"/>
        </w:rPr>
        <w:t>1.81万元，</w:t>
      </w:r>
      <w:r>
        <w:rPr>
          <w:rStyle w:val="17"/>
          <w:rFonts w:hint="eastAsia" w:ascii="仿宋" w:hAnsi="仿宋" w:eastAsia="仿宋"/>
          <w:b w:val="0"/>
          <w:bCs/>
          <w:sz w:val="32"/>
          <w:szCs w:val="32"/>
        </w:rPr>
        <w:t>完成预算</w:t>
      </w:r>
      <w:r>
        <w:rPr>
          <w:rStyle w:val="17"/>
          <w:rFonts w:hint="eastAsia" w:ascii="仿宋" w:hAnsi="仿宋" w:eastAsia="仿宋"/>
          <w:b w:val="0"/>
          <w:bCs/>
          <w:sz w:val="32"/>
          <w:szCs w:val="32"/>
          <w:lang w:val="en-US" w:eastAsia="zh-CN"/>
        </w:rPr>
        <w:t>60.33</w:t>
      </w:r>
      <w:r>
        <w:rPr>
          <w:rStyle w:val="17"/>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21年减少</w:t>
      </w:r>
      <w:r>
        <w:rPr>
          <w:rFonts w:hint="eastAsia" w:ascii="仿宋_GB2312" w:eastAsia="仿宋_GB2312"/>
          <w:sz w:val="32"/>
          <w:szCs w:val="32"/>
          <w:lang w:val="en-US" w:eastAsia="zh-CN"/>
        </w:rPr>
        <w:t>1.19</w:t>
      </w:r>
      <w:r>
        <w:rPr>
          <w:rFonts w:hint="eastAsia" w:ascii="仿宋_GB2312" w:eastAsia="仿宋_GB2312"/>
          <w:sz w:val="32"/>
          <w:szCs w:val="32"/>
        </w:rPr>
        <w:t>万元，下降</w:t>
      </w:r>
      <w:r>
        <w:rPr>
          <w:rFonts w:hint="eastAsia" w:ascii="仿宋_GB2312" w:eastAsia="仿宋_GB2312"/>
          <w:sz w:val="32"/>
          <w:szCs w:val="32"/>
          <w:lang w:val="en-US" w:eastAsia="zh-CN"/>
        </w:rPr>
        <w:t>39.66</w:t>
      </w:r>
      <w:r>
        <w:rPr>
          <w:rFonts w:ascii="仿宋_GB2312" w:eastAsia="仿宋_GB2312"/>
          <w:sz w:val="32"/>
          <w:szCs w:val="32"/>
        </w:rPr>
        <w:t>%</w:t>
      </w:r>
      <w:r>
        <w:rPr>
          <w:rFonts w:hint="eastAsia" w:ascii="仿宋_GB2312" w:eastAsia="仿宋_GB2312"/>
          <w:sz w:val="32"/>
          <w:szCs w:val="32"/>
        </w:rPr>
        <w:t>。主要原因是</w:t>
      </w:r>
      <w:r>
        <w:rPr>
          <w:rFonts w:hint="eastAsia" w:ascii="仿宋_GB2312" w:hAnsi="Times New Roman" w:eastAsia="仿宋_GB2312" w:cs="Times New Roman"/>
          <w:sz w:val="32"/>
          <w:szCs w:val="32"/>
          <w:lang w:val="en-US" w:eastAsia="zh-CN"/>
        </w:rPr>
        <w:t>财政资金困难及部门</w:t>
      </w:r>
      <w:r>
        <w:rPr>
          <w:rFonts w:hint="eastAsia" w:ascii="仿宋_GB2312" w:eastAsia="仿宋_GB2312"/>
          <w:sz w:val="32"/>
          <w:szCs w:val="32"/>
        </w:rPr>
        <w:t>严格执行中央八项规定，厉行节约，从严控制“三公”经费开支。</w:t>
      </w:r>
    </w:p>
    <w:p>
      <w:pPr>
        <w:spacing w:line="600" w:lineRule="exact"/>
        <w:ind w:firstLine="640" w:firstLineChars="200"/>
        <w:rPr>
          <w:rFonts w:ascii="仿宋_GB2312" w:eastAsia="仿宋_GB2312"/>
          <w:b/>
          <w:sz w:val="32"/>
          <w:szCs w:val="32"/>
        </w:rPr>
      </w:pPr>
      <w:r>
        <w:rPr>
          <w:rFonts w:hint="eastAsia" w:ascii="仿宋_GB2312" w:hAnsi="Times New Roman" w:eastAsia="仿宋_GB2312" w:cs="Times New Roman"/>
          <w:kern w:val="2"/>
          <w:sz w:val="32"/>
          <w:szCs w:val="32"/>
          <w:lang w:val="en-US" w:eastAsia="zh-CN" w:bidi="ar-SA"/>
        </w:rPr>
        <w:t>其中：</w:t>
      </w:r>
      <w:r>
        <w:rPr>
          <w:rFonts w:hint="eastAsia" w:ascii="仿宋_GB2312" w:hAnsi="Times New Roman" w:eastAsia="仿宋_GB2312" w:cs="Times New Roman"/>
          <w:b/>
          <w:bCs/>
          <w:kern w:val="2"/>
          <w:sz w:val="32"/>
          <w:szCs w:val="32"/>
          <w:lang w:val="en-US" w:eastAsia="zh-CN" w:bidi="ar-SA"/>
        </w:rPr>
        <w:t>公务用车购置支出</w:t>
      </w:r>
      <w:r>
        <w:rPr>
          <w:rFonts w:hint="eastAsia" w:ascii="仿宋_GB2312" w:hAnsi="Times New Roman" w:eastAsia="仿宋_GB2312" w:cs="Times New Roman"/>
          <w:kern w:val="2"/>
          <w:sz w:val="32"/>
          <w:szCs w:val="32"/>
          <w:lang w:val="en-US" w:eastAsia="zh-CN" w:bidi="ar-SA"/>
        </w:rPr>
        <w:t>0万元。</w:t>
      </w: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w:t>
      </w:r>
      <w:r>
        <w:rPr>
          <w:rFonts w:hint="eastAsia" w:ascii="仿宋_GB2312" w:eastAsia="仿宋_GB2312"/>
          <w:sz w:val="32"/>
          <w:szCs w:val="32"/>
          <w:lang w:eastAsia="zh-CN"/>
        </w:rPr>
        <w:t>部门</w:t>
      </w:r>
      <w:r>
        <w:rPr>
          <w:rFonts w:hint="eastAsia" w:ascii="仿宋_GB2312" w:eastAsia="仿宋_GB2312"/>
          <w:sz w:val="32"/>
          <w:szCs w:val="32"/>
        </w:rPr>
        <w:t>共有公务用车</w:t>
      </w:r>
      <w:r>
        <w:rPr>
          <w:rFonts w:hint="eastAsia" w:ascii="仿宋_GB2312" w:eastAsia="仿宋_GB2312"/>
          <w:sz w:val="32"/>
          <w:szCs w:val="32"/>
          <w:lang w:val="en-US" w:eastAsia="zh-CN"/>
        </w:rPr>
        <w:t>4</w:t>
      </w:r>
      <w:r>
        <w:rPr>
          <w:rFonts w:hint="eastAsia" w:ascii="仿宋_GB2312" w:eastAsia="仿宋_GB2312"/>
          <w:sz w:val="32"/>
          <w:szCs w:val="32"/>
        </w:rPr>
        <w:t>辆，其中：</w:t>
      </w:r>
      <w:r>
        <w:rPr>
          <w:rFonts w:hint="eastAsia" w:ascii="仿宋_GB2312" w:eastAsia="仿宋_GB2312"/>
          <w:sz w:val="32"/>
          <w:szCs w:val="32"/>
          <w:lang w:eastAsia="zh-CN"/>
        </w:rPr>
        <w:t>殡葬</w:t>
      </w:r>
      <w:r>
        <w:rPr>
          <w:rFonts w:hint="eastAsia" w:ascii="仿宋_GB2312" w:eastAsia="仿宋_GB2312"/>
          <w:sz w:val="32"/>
          <w:szCs w:val="32"/>
        </w:rPr>
        <w:t>专业技术用车</w:t>
      </w:r>
      <w:r>
        <w:rPr>
          <w:rFonts w:hint="eastAsia" w:ascii="仿宋_GB2312" w:eastAsia="仿宋_GB2312"/>
          <w:sz w:val="32"/>
          <w:szCs w:val="32"/>
          <w:lang w:val="en-US" w:eastAsia="zh-CN"/>
        </w:rPr>
        <w:t>3辆，</w:t>
      </w:r>
      <w:r>
        <w:rPr>
          <w:rFonts w:hint="eastAsia" w:ascii="仿宋_GB2312" w:eastAsia="仿宋_GB2312"/>
          <w:sz w:val="32"/>
          <w:szCs w:val="32"/>
          <w:lang w:eastAsia="zh-CN"/>
        </w:rPr>
        <w:t>越野车</w:t>
      </w:r>
      <w:r>
        <w:rPr>
          <w:rFonts w:hint="eastAsia" w:ascii="仿宋_GB2312" w:eastAsia="仿宋_GB2312"/>
          <w:sz w:val="32"/>
          <w:szCs w:val="32"/>
          <w:lang w:val="en-US" w:eastAsia="zh-CN"/>
        </w:rPr>
        <w:t>1</w:t>
      </w:r>
      <w:r>
        <w:rPr>
          <w:rFonts w:hint="eastAsia" w:ascii="仿宋_GB2312" w:eastAsia="仿宋_GB2312"/>
          <w:sz w:val="32"/>
          <w:szCs w:val="32"/>
        </w:rPr>
        <w:t>辆。</w:t>
      </w:r>
    </w:p>
    <w:p>
      <w:pPr>
        <w:ind w:firstLine="642" w:firstLineChars="200"/>
        <w:rPr>
          <w:rFonts w:hint="eastAsia"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lang w:val="en-US" w:eastAsia="zh-CN"/>
        </w:rPr>
        <w:t>1.81</w:t>
      </w:r>
      <w:r>
        <w:rPr>
          <w:rFonts w:hint="eastAsia" w:ascii="仿宋_GB2312" w:eastAsia="仿宋_GB2312"/>
          <w:sz w:val="32"/>
          <w:szCs w:val="32"/>
        </w:rPr>
        <w:t>万元。主要用于民政局社会救助、养老、儿童、基层治理、社会事务等民政工作所需的公务用车燃料费、维修费、过路过桥费、保险费等支出。</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lang w:val="en-US" w:eastAsia="zh-CN"/>
        </w:rPr>
        <w:t>2.75</w:t>
      </w:r>
      <w:r>
        <w:rPr>
          <w:rFonts w:hint="eastAsia" w:ascii="仿宋_GB2312" w:eastAsia="仿宋_GB2312"/>
          <w:sz w:val="32"/>
          <w:szCs w:val="32"/>
        </w:rPr>
        <w:t>万元，</w:t>
      </w:r>
      <w:r>
        <w:rPr>
          <w:rStyle w:val="17"/>
          <w:rFonts w:hint="eastAsia" w:ascii="仿宋" w:hAnsi="仿宋" w:eastAsia="仿宋"/>
          <w:b w:val="0"/>
          <w:bCs/>
          <w:sz w:val="32"/>
          <w:szCs w:val="32"/>
        </w:rPr>
        <w:t>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w:t>
      </w:r>
      <w:r>
        <w:rPr>
          <w:rFonts w:hint="eastAsia" w:ascii="仿宋_GB2312" w:eastAsia="仿宋_GB2312"/>
          <w:sz w:val="32"/>
          <w:szCs w:val="32"/>
          <w:lang w:eastAsia="zh-CN"/>
        </w:rPr>
        <w:t>增加</w:t>
      </w:r>
      <w:r>
        <w:rPr>
          <w:rFonts w:hint="eastAsia" w:ascii="仿宋_GB2312" w:eastAsia="仿宋_GB2312"/>
          <w:sz w:val="32"/>
          <w:szCs w:val="32"/>
          <w:lang w:val="en-US" w:eastAsia="zh-CN"/>
        </w:rPr>
        <w:t>0.05</w:t>
      </w:r>
      <w:r>
        <w:rPr>
          <w:rFonts w:hint="eastAsia" w:ascii="仿宋_GB2312" w:eastAsia="仿宋_GB2312"/>
          <w:sz w:val="32"/>
          <w:szCs w:val="32"/>
        </w:rPr>
        <w:t>万元，增长</w:t>
      </w:r>
      <w:r>
        <w:rPr>
          <w:rFonts w:hint="eastAsia" w:ascii="仿宋_GB2312" w:eastAsia="仿宋_GB2312"/>
          <w:sz w:val="32"/>
          <w:szCs w:val="32"/>
          <w:lang w:val="en-US" w:eastAsia="zh-CN"/>
        </w:rPr>
        <w:t>1.85</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eastAsia="zh-CN"/>
        </w:rPr>
        <w:t>部门公务接待比上年略有增加。</w:t>
      </w:r>
      <w:r>
        <w:rPr>
          <w:rFonts w:hint="eastAsia" w:ascii="仿宋_GB2312" w:eastAsia="仿宋_GB2312"/>
          <w:sz w:val="32"/>
          <w:szCs w:val="32"/>
        </w:rPr>
        <w:t>其中：</w:t>
      </w:r>
    </w:p>
    <w:p>
      <w:pPr>
        <w:pStyle w:val="14"/>
        <w:widowControl/>
        <w:shd w:val="clear" w:color="auto" w:fill="FFFFFF"/>
        <w:spacing w:before="0" w:beforeAutospacing="0" w:after="0" w:afterAutospacing="0" w:line="576" w:lineRule="exact"/>
        <w:ind w:firstLine="642" w:firstLineChars="200"/>
        <w:rPr>
          <w:rFonts w:cs="仿宋_GB2312" w:asciiTheme="minorEastAsia" w:hAnsiTheme="minorEastAsia" w:eastAsiaTheme="minorEastAsia"/>
          <w:color w:val="000000"/>
          <w:kern w:val="2"/>
          <w:sz w:val="32"/>
          <w:szCs w:val="32"/>
        </w:rPr>
      </w:pPr>
      <w:r>
        <w:rPr>
          <w:rFonts w:hint="eastAsia" w:ascii="仿宋" w:hAnsi="仿宋" w:eastAsia="仿宋"/>
          <w:b/>
          <w:sz w:val="32"/>
          <w:szCs w:val="32"/>
        </w:rPr>
        <w:t>国内公务接待支出</w:t>
      </w:r>
      <w:r>
        <w:rPr>
          <w:rFonts w:hint="eastAsia" w:ascii="仿宋" w:hAnsi="仿宋" w:eastAsia="仿宋"/>
          <w:b/>
          <w:sz w:val="32"/>
          <w:szCs w:val="32"/>
          <w:lang w:val="en-US" w:eastAsia="zh-CN"/>
        </w:rPr>
        <w:t>2.75</w:t>
      </w:r>
      <w:r>
        <w:rPr>
          <w:rFonts w:hint="eastAsia" w:ascii="仿宋_GB2312" w:eastAsia="仿宋_GB2312"/>
          <w:sz w:val="32"/>
          <w:szCs w:val="32"/>
        </w:rPr>
        <w:t>万元，主要用于执行公务、开展业务活动开支的交通费、住宿费、用餐费等。国内公务接待</w:t>
      </w:r>
      <w:r>
        <w:rPr>
          <w:rFonts w:hint="eastAsia" w:ascii="仿宋_GB2312" w:eastAsia="仿宋_GB2312"/>
          <w:sz w:val="32"/>
          <w:szCs w:val="32"/>
          <w:lang w:val="en-US" w:eastAsia="zh-CN"/>
        </w:rPr>
        <w:t>19</w:t>
      </w:r>
      <w:r>
        <w:rPr>
          <w:rFonts w:hint="eastAsia" w:ascii="仿宋_GB2312" w:eastAsia="仿宋_GB2312"/>
          <w:sz w:val="32"/>
          <w:szCs w:val="32"/>
        </w:rPr>
        <w:t>批次，</w:t>
      </w:r>
      <w:r>
        <w:rPr>
          <w:rFonts w:hint="eastAsia" w:ascii="仿宋_GB2312" w:eastAsia="仿宋_GB2312"/>
          <w:sz w:val="32"/>
          <w:szCs w:val="32"/>
          <w:lang w:val="en-US" w:eastAsia="zh-CN"/>
        </w:rPr>
        <w:t>142</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2.75</w:t>
      </w:r>
      <w:r>
        <w:rPr>
          <w:rFonts w:hint="eastAsia" w:ascii="仿宋_GB2312" w:eastAsia="仿宋_GB2312"/>
          <w:sz w:val="32"/>
          <w:szCs w:val="32"/>
        </w:rPr>
        <w:t>万元，具体内容包括：上级督查督导公务接待支出</w:t>
      </w:r>
      <w:r>
        <w:rPr>
          <w:rFonts w:hint="eastAsia" w:ascii="仿宋_GB2312" w:eastAsia="仿宋_GB2312"/>
          <w:sz w:val="32"/>
          <w:szCs w:val="32"/>
          <w:lang w:val="en-US" w:eastAsia="zh-CN"/>
        </w:rPr>
        <w:t>2.6</w:t>
      </w:r>
      <w:r>
        <w:rPr>
          <w:rFonts w:hint="eastAsia" w:ascii="仿宋_GB2312" w:eastAsia="仿宋_GB2312"/>
          <w:sz w:val="32"/>
          <w:szCs w:val="32"/>
        </w:rPr>
        <w:t>万元、工作检查调研支出</w:t>
      </w:r>
      <w:r>
        <w:rPr>
          <w:rFonts w:hint="eastAsia" w:ascii="仿宋_GB2312" w:eastAsia="仿宋_GB2312"/>
          <w:sz w:val="32"/>
          <w:szCs w:val="32"/>
          <w:lang w:val="en-US" w:eastAsia="zh-CN"/>
        </w:rPr>
        <w:t>0.15</w:t>
      </w:r>
      <w:r>
        <w:rPr>
          <w:rFonts w:hint="eastAsia" w:ascii="仿宋_GB2312" w:eastAsia="仿宋_GB2312"/>
          <w:sz w:val="32"/>
          <w:szCs w:val="32"/>
        </w:rPr>
        <w:t>万元。</w:t>
      </w:r>
    </w:p>
    <w:p>
      <w:pPr>
        <w:spacing w:line="600" w:lineRule="exact"/>
        <w:ind w:firstLine="642" w:firstLineChars="200"/>
        <w:rPr>
          <w:rFonts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sz w:val="32"/>
          <w:szCs w:val="32"/>
          <w:lang w:val="en-US" w:eastAsia="zh-CN"/>
        </w:rPr>
        <w:t>0</w:t>
      </w:r>
      <w:r>
        <w:rPr>
          <w:rFonts w:hint="eastAsia" w:ascii="仿宋_GB2312" w:eastAsia="仿宋_GB2312"/>
          <w:sz w:val="32"/>
          <w:szCs w:val="32"/>
        </w:rPr>
        <w:t>万元。外事接待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outlineLvl w:val="1"/>
        <w:rPr>
          <w:rFonts w:hint="eastAsia" w:ascii="黑体" w:eastAsia="黑体"/>
          <w:sz w:val="32"/>
          <w:szCs w:val="32"/>
        </w:rPr>
      </w:pPr>
      <w:r>
        <w:rPr>
          <w:rFonts w:hint="eastAsia" w:ascii="黑体" w:eastAsia="黑体"/>
          <w:sz w:val="32"/>
          <w:szCs w:val="32"/>
        </w:rPr>
        <w:t>八、政府性基金预算支出决算情况说明</w:t>
      </w:r>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368.96</w:t>
      </w:r>
      <w:r>
        <w:rPr>
          <w:rFonts w:hint="eastAsia" w:ascii="仿宋_GB2312" w:eastAsia="仿宋_GB2312"/>
          <w:sz w:val="32"/>
          <w:szCs w:val="32"/>
        </w:rPr>
        <w:t>万元。</w:t>
      </w:r>
    </w:p>
    <w:p>
      <w:pPr>
        <w:numPr>
          <w:ilvl w:val="0"/>
          <w:numId w:val="2"/>
        </w:numPr>
        <w:spacing w:line="600" w:lineRule="exact"/>
        <w:ind w:firstLine="640"/>
        <w:outlineLvl w:val="1"/>
        <w:rPr>
          <w:rStyle w:val="29"/>
          <w:rFonts w:hint="eastAsia" w:ascii="黑体" w:hAnsi="黑体" w:eastAsia="黑体"/>
          <w:b w:val="0"/>
        </w:rPr>
      </w:pPr>
      <w:r>
        <w:rPr>
          <w:rStyle w:val="29"/>
          <w:rFonts w:hint="eastAsia" w:ascii="黑体" w:hAnsi="黑体" w:eastAsia="黑体"/>
          <w:b w:val="0"/>
        </w:rPr>
        <w:t>国有资本经营预算支出决算情况说明</w:t>
      </w:r>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numPr>
          <w:ilvl w:val="0"/>
          <w:numId w:val="2"/>
        </w:numPr>
        <w:spacing w:line="600" w:lineRule="exact"/>
        <w:ind w:firstLine="640"/>
        <w:outlineLvl w:val="1"/>
        <w:rPr>
          <w:rStyle w:val="29"/>
          <w:rFonts w:hint="eastAsia" w:ascii="黑体" w:hAnsi="黑体" w:eastAsia="黑体"/>
          <w:b w:val="0"/>
        </w:rPr>
      </w:pPr>
      <w:r>
        <w:rPr>
          <w:rStyle w:val="29"/>
          <w:rFonts w:hint="eastAsia" w:ascii="黑体" w:hAnsi="黑体" w:eastAsia="黑体"/>
          <w:b w:val="0"/>
        </w:rPr>
        <w:t>其他重要事项的情况说明</w:t>
      </w:r>
    </w:p>
    <w:p>
      <w:pPr>
        <w:spacing w:line="600" w:lineRule="exact"/>
        <w:ind w:firstLine="642" w:firstLineChars="200"/>
        <w:outlineLvl w:val="2"/>
        <w:rPr>
          <w:rFonts w:hint="eastAsia" w:ascii="仿宋" w:hAnsi="仿宋" w:eastAsia="仿宋"/>
          <w:b/>
          <w:sz w:val="32"/>
          <w:szCs w:val="32"/>
        </w:rPr>
      </w:pPr>
      <w:r>
        <w:rPr>
          <w:rFonts w:hint="eastAsia" w:ascii="仿宋" w:hAnsi="仿宋" w:eastAsia="仿宋"/>
          <w:b/>
          <w:sz w:val="32"/>
          <w:szCs w:val="32"/>
        </w:rPr>
        <w:t>（一）机关运行经费支出情况</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2022年</w:t>
      </w:r>
      <w:r>
        <w:rPr>
          <w:rFonts w:hint="eastAsia" w:ascii="仿宋_GB2312" w:eastAsia="仿宋_GB2312"/>
          <w:sz w:val="32"/>
          <w:szCs w:val="32"/>
        </w:rPr>
        <w:t>，剑阁县民政局机关运行经费支出</w:t>
      </w:r>
      <w:r>
        <w:rPr>
          <w:rFonts w:hint="eastAsia" w:ascii="仿宋_GB2312" w:eastAsia="仿宋_GB2312"/>
          <w:sz w:val="32"/>
          <w:szCs w:val="32"/>
          <w:lang w:val="en-US" w:eastAsia="zh-CN"/>
        </w:rPr>
        <w:t>54.35</w:t>
      </w:r>
      <w:r>
        <w:rPr>
          <w:rFonts w:hint="eastAsia" w:ascii="仿宋_GB2312" w:eastAsia="仿宋_GB2312"/>
          <w:sz w:val="32"/>
          <w:szCs w:val="32"/>
        </w:rPr>
        <w:t>万元，比</w:t>
      </w:r>
      <w:r>
        <w:rPr>
          <w:rFonts w:hint="eastAsia" w:ascii="仿宋_GB2312" w:eastAsia="仿宋_GB2312"/>
          <w:sz w:val="32"/>
          <w:szCs w:val="32"/>
          <w:lang w:eastAsia="zh-CN"/>
        </w:rPr>
        <w:t>2021年</w:t>
      </w:r>
      <w:r>
        <w:rPr>
          <w:rFonts w:hint="eastAsia" w:ascii="仿宋_GB2312" w:eastAsia="仿宋_GB2312"/>
          <w:sz w:val="32"/>
          <w:szCs w:val="32"/>
        </w:rPr>
        <w:t>度减少</w:t>
      </w:r>
      <w:r>
        <w:rPr>
          <w:rFonts w:hint="eastAsia" w:ascii="仿宋_GB2312" w:eastAsia="仿宋_GB2312"/>
          <w:sz w:val="32"/>
          <w:szCs w:val="32"/>
          <w:lang w:val="en-US" w:eastAsia="zh-CN"/>
        </w:rPr>
        <w:t>40.71</w:t>
      </w:r>
      <w:r>
        <w:rPr>
          <w:rFonts w:hint="eastAsia" w:ascii="仿宋_GB2312" w:eastAsia="仿宋_GB2312"/>
          <w:sz w:val="32"/>
          <w:szCs w:val="32"/>
        </w:rPr>
        <w:t>万元，减少</w:t>
      </w:r>
      <w:r>
        <w:rPr>
          <w:rFonts w:hint="eastAsia" w:ascii="仿宋_GB2312" w:eastAsia="仿宋_GB2312"/>
          <w:sz w:val="32"/>
          <w:szCs w:val="32"/>
          <w:lang w:val="en-US" w:eastAsia="zh-CN"/>
        </w:rPr>
        <w:t>42.83</w:t>
      </w:r>
      <w:r>
        <w:rPr>
          <w:rFonts w:hint="eastAsia" w:ascii="仿宋_GB2312" w:eastAsia="仿宋_GB2312"/>
          <w:sz w:val="32"/>
          <w:szCs w:val="32"/>
        </w:rPr>
        <w:t xml:space="preserve"> %。主要原因是严格执行中央八项规定，厉行节约，</w:t>
      </w:r>
      <w:r>
        <w:rPr>
          <w:rFonts w:hint="eastAsia" w:ascii="仿宋_GB2312" w:eastAsia="仿宋_GB2312"/>
          <w:sz w:val="32"/>
          <w:szCs w:val="32"/>
          <w:lang w:eastAsia="zh-CN"/>
        </w:rPr>
        <w:t>严格</w:t>
      </w:r>
      <w:r>
        <w:rPr>
          <w:rFonts w:hint="eastAsia" w:ascii="仿宋_GB2312" w:eastAsia="仿宋_GB2312"/>
          <w:sz w:val="32"/>
          <w:szCs w:val="32"/>
        </w:rPr>
        <w:t>压减公务费用支出。</w:t>
      </w:r>
    </w:p>
    <w:p>
      <w:pPr>
        <w:autoSpaceDE w:val="0"/>
        <w:autoSpaceDN w:val="0"/>
        <w:adjustRightInd w:val="0"/>
        <w:spacing w:line="600" w:lineRule="exact"/>
        <w:ind w:firstLine="642" w:firstLineChars="200"/>
        <w:jc w:val="left"/>
        <w:outlineLvl w:val="2"/>
        <w:rPr>
          <w:rFonts w:ascii="仿宋" w:hAnsi="仿宋" w:eastAsia="仿宋"/>
          <w:b/>
          <w:sz w:val="32"/>
          <w:szCs w:val="32"/>
        </w:rPr>
      </w:pPr>
      <w:r>
        <w:rPr>
          <w:rFonts w:hint="eastAsia" w:ascii="仿宋" w:hAnsi="仿宋" w:eastAsia="仿宋"/>
          <w:b/>
          <w:sz w:val="32"/>
          <w:szCs w:val="32"/>
        </w:rPr>
        <w:t>（二）政府采购支出情况</w:t>
      </w:r>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eastAsia="zh-CN"/>
        </w:rPr>
        <w:t>剑阁县民政局</w:t>
      </w:r>
      <w:r>
        <w:rPr>
          <w:rFonts w:hint="eastAsia" w:ascii="仿宋_GB2312" w:eastAsia="仿宋_GB2312"/>
          <w:sz w:val="32"/>
          <w:szCs w:val="32"/>
        </w:rPr>
        <w:t>政府采购支出总额</w:t>
      </w:r>
      <w:r>
        <w:rPr>
          <w:rFonts w:hint="eastAsia" w:ascii="仿宋_GB2312" w:eastAsia="仿宋_GB2312"/>
          <w:sz w:val="32"/>
          <w:szCs w:val="32"/>
          <w:lang w:val="en-US" w:eastAsia="zh-CN"/>
        </w:rPr>
        <w:t>202.65</w:t>
      </w:r>
      <w:r>
        <w:rPr>
          <w:rFonts w:hint="eastAsia" w:ascii="仿宋_GB2312" w:eastAsia="仿宋_GB2312"/>
          <w:sz w:val="32"/>
          <w:szCs w:val="32"/>
        </w:rPr>
        <w:t>万元，</w:t>
      </w:r>
      <w:r>
        <w:rPr>
          <w:rFonts w:hint="eastAsia" w:ascii="仿宋_GB2312" w:eastAsia="仿宋_GB2312"/>
          <w:sz w:val="32"/>
          <w:szCs w:val="32"/>
          <w:lang w:eastAsia="zh-CN"/>
        </w:rPr>
        <w:t>其中：政府采购货物支出</w:t>
      </w:r>
      <w:r>
        <w:rPr>
          <w:rFonts w:hint="eastAsia" w:ascii="仿宋_GB2312" w:eastAsia="仿宋_GB2312"/>
          <w:sz w:val="32"/>
          <w:szCs w:val="32"/>
          <w:lang w:val="en-US" w:eastAsia="zh-CN"/>
        </w:rPr>
        <w:t>202.65</w:t>
      </w:r>
      <w:r>
        <w:rPr>
          <w:rFonts w:hint="eastAsia" w:ascii="仿宋_GB2312" w:eastAsia="仿宋_GB2312"/>
          <w:sz w:val="32"/>
          <w:szCs w:val="32"/>
          <w:lang w:eastAsia="zh-CN"/>
        </w:rPr>
        <w:t>万元。主要用于居家养老服务。授予中小企业合同金额</w:t>
      </w:r>
      <w:r>
        <w:rPr>
          <w:rFonts w:hint="eastAsia" w:ascii="仿宋_GB2312" w:eastAsia="仿宋_GB2312"/>
          <w:sz w:val="32"/>
          <w:szCs w:val="32"/>
          <w:lang w:val="en-US" w:eastAsia="zh-CN"/>
        </w:rPr>
        <w:t>202.65</w:t>
      </w:r>
      <w:r>
        <w:rPr>
          <w:rFonts w:hint="eastAsia" w:ascii="仿宋_GB2312" w:eastAsia="仿宋_GB2312"/>
          <w:sz w:val="32"/>
          <w:szCs w:val="32"/>
          <w:lang w:eastAsia="zh-CN"/>
        </w:rPr>
        <w:t>万元，占政府采购支出总额的</w:t>
      </w:r>
      <w:r>
        <w:rPr>
          <w:rFonts w:hint="eastAsia" w:ascii="仿宋_GB2312" w:eastAsia="仿宋_GB2312"/>
          <w:sz w:val="32"/>
          <w:szCs w:val="32"/>
          <w:lang w:val="en-US" w:eastAsia="zh-CN"/>
        </w:rPr>
        <w:t>100</w:t>
      </w:r>
      <w:r>
        <w:rPr>
          <w:rFonts w:hint="eastAsia" w:ascii="仿宋_GB2312" w:eastAsia="仿宋_GB2312"/>
          <w:sz w:val="32"/>
          <w:szCs w:val="32"/>
          <w:lang w:eastAsia="zh-CN"/>
        </w:rPr>
        <w:t>%，其中：授予小微企业合同金额</w:t>
      </w:r>
      <w:r>
        <w:rPr>
          <w:rFonts w:hint="eastAsia" w:ascii="仿宋_GB2312" w:eastAsia="仿宋_GB2312"/>
          <w:sz w:val="32"/>
          <w:szCs w:val="32"/>
          <w:lang w:val="en-US" w:eastAsia="zh-CN"/>
        </w:rPr>
        <w:t>202.65</w:t>
      </w:r>
      <w:r>
        <w:rPr>
          <w:rFonts w:hint="eastAsia" w:ascii="仿宋_GB2312" w:eastAsia="仿宋_GB2312"/>
          <w:sz w:val="32"/>
          <w:szCs w:val="32"/>
          <w:lang w:eastAsia="zh-CN"/>
        </w:rPr>
        <w:t>万元，占政</w:t>
      </w:r>
      <w:r>
        <w:rPr>
          <w:rFonts w:hint="eastAsia" w:ascii="仿宋_GB2312" w:eastAsia="仿宋_GB2312"/>
          <w:sz w:val="32"/>
          <w:szCs w:val="32"/>
        </w:rPr>
        <w:t>府采购支出总额的</w:t>
      </w:r>
      <w:r>
        <w:rPr>
          <w:rFonts w:hint="eastAsia" w:ascii="仿宋_GB2312" w:eastAsia="仿宋_GB2312"/>
          <w:sz w:val="32"/>
          <w:szCs w:val="32"/>
          <w:lang w:val="en-US" w:eastAsia="zh-CN"/>
        </w:rPr>
        <w:t>100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2" w:firstLineChars="200"/>
        <w:jc w:val="left"/>
        <w:outlineLvl w:val="2"/>
        <w:rPr>
          <w:rFonts w:hint="eastAsia" w:ascii="仿宋" w:hAnsi="仿宋" w:eastAsia="仿宋"/>
          <w:b/>
          <w:sz w:val="32"/>
          <w:szCs w:val="32"/>
        </w:rPr>
      </w:pPr>
      <w:r>
        <w:rPr>
          <w:rFonts w:hint="eastAsia" w:ascii="仿宋" w:hAnsi="仿宋" w:eastAsia="仿宋"/>
          <w:b/>
          <w:sz w:val="32"/>
          <w:szCs w:val="32"/>
        </w:rPr>
        <w:t>（三）国有资产占有使用情况</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截至</w:t>
      </w:r>
      <w:r>
        <w:rPr>
          <w:rFonts w:hint="eastAsia" w:ascii="仿宋_GB2312" w:eastAsia="仿宋_GB2312"/>
          <w:sz w:val="32"/>
          <w:szCs w:val="32"/>
          <w:lang w:eastAsia="zh-CN"/>
        </w:rPr>
        <w:t>2022年</w:t>
      </w:r>
      <w:r>
        <w:rPr>
          <w:rFonts w:hint="eastAsia" w:ascii="仿宋_GB2312" w:eastAsia="仿宋_GB2312"/>
          <w:sz w:val="32"/>
          <w:szCs w:val="32"/>
        </w:rPr>
        <w:t>12月31日，剑阁县民政局</w:t>
      </w:r>
      <w:r>
        <w:rPr>
          <w:rFonts w:hint="eastAsia" w:ascii="仿宋_GB2312" w:eastAsia="仿宋_GB2312"/>
          <w:sz w:val="32"/>
          <w:szCs w:val="32"/>
          <w:lang w:eastAsia="zh-CN"/>
        </w:rPr>
        <w:t>机关</w:t>
      </w:r>
      <w:r>
        <w:rPr>
          <w:rFonts w:hint="eastAsia" w:ascii="仿宋_GB2312" w:eastAsia="仿宋_GB2312"/>
          <w:sz w:val="32"/>
          <w:szCs w:val="32"/>
        </w:rPr>
        <w:t>共有车</w:t>
      </w:r>
      <w:r>
        <w:rPr>
          <w:rFonts w:hint="eastAsia" w:ascii="仿宋_GB2312" w:eastAsia="仿宋_GB2312"/>
          <w:color w:val="000000" w:themeColor="text1"/>
          <w:sz w:val="32"/>
          <w:szCs w:val="32"/>
          <w14:textFill>
            <w14:solidFill>
              <w14:schemeClr w14:val="tx1"/>
            </w14:solidFill>
          </w14:textFill>
        </w:rPr>
        <w:t>辆</w:t>
      </w:r>
      <w:r>
        <w:rPr>
          <w:rFonts w:hint="eastAsia" w:ascii="仿宋_GB2312" w:eastAsia="仿宋_GB2312"/>
          <w:color w:val="000000" w:themeColor="text1"/>
          <w:sz w:val="32"/>
          <w:szCs w:val="32"/>
          <w:lang w:val="en-US" w:eastAsia="zh-CN"/>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辆</w:t>
      </w:r>
      <w:r>
        <w:rPr>
          <w:rFonts w:hint="eastAsia" w:ascii="仿宋_GB2312" w:eastAsia="仿宋_GB2312"/>
          <w:sz w:val="32"/>
          <w:szCs w:val="32"/>
        </w:rPr>
        <w:t>，其中：</w:t>
      </w:r>
      <w:r>
        <w:rPr>
          <w:rFonts w:hint="eastAsia" w:ascii="仿宋_GB2312" w:eastAsia="仿宋_GB2312"/>
          <w:sz w:val="32"/>
          <w:szCs w:val="32"/>
          <w:lang w:eastAsia="zh-CN"/>
        </w:rPr>
        <w:t>殡葬</w:t>
      </w:r>
      <w:r>
        <w:rPr>
          <w:rFonts w:hint="eastAsia" w:ascii="仿宋_GB2312" w:eastAsia="仿宋_GB2312"/>
          <w:sz w:val="32"/>
          <w:szCs w:val="32"/>
        </w:rPr>
        <w:t>专业技术用车</w:t>
      </w:r>
      <w:r>
        <w:rPr>
          <w:rFonts w:hint="eastAsia" w:ascii="仿宋_GB2312" w:eastAsia="仿宋_GB2312"/>
          <w:sz w:val="32"/>
          <w:szCs w:val="32"/>
          <w:lang w:val="en-US" w:eastAsia="zh-CN"/>
        </w:rPr>
        <w:t>3辆，</w:t>
      </w:r>
      <w:r>
        <w:rPr>
          <w:rFonts w:hint="eastAsia" w:ascii="仿宋_GB2312" w:eastAsia="仿宋_GB2312"/>
          <w:sz w:val="32"/>
          <w:szCs w:val="32"/>
          <w:lang w:eastAsia="zh-CN"/>
        </w:rPr>
        <w:t>越野车</w:t>
      </w:r>
      <w:r>
        <w:rPr>
          <w:rFonts w:hint="eastAsia" w:ascii="仿宋_GB2312" w:eastAsia="仿宋_GB2312"/>
          <w:sz w:val="32"/>
          <w:szCs w:val="32"/>
          <w:lang w:val="en-US" w:eastAsia="zh-CN"/>
        </w:rPr>
        <w:t>1</w:t>
      </w:r>
      <w:r>
        <w:rPr>
          <w:rFonts w:hint="eastAsia" w:ascii="仿宋_GB2312" w:eastAsia="仿宋_GB2312"/>
          <w:sz w:val="32"/>
          <w:szCs w:val="32"/>
        </w:rPr>
        <w:t>辆。主要用于民政社会救助、养老、儿童、基层治理、社会事务、殡葬等</w:t>
      </w:r>
      <w:r>
        <w:rPr>
          <w:rFonts w:hint="eastAsia" w:ascii="仿宋_GB2312" w:eastAsia="仿宋_GB2312"/>
          <w:sz w:val="32"/>
          <w:szCs w:val="32"/>
          <w:lang w:eastAsia="zh-CN"/>
        </w:rPr>
        <w:t>工作开展</w:t>
      </w:r>
      <w:r>
        <w:rPr>
          <w:rFonts w:hint="eastAsia" w:ascii="仿宋_GB2312" w:eastAsia="仿宋_GB2312"/>
          <w:sz w:val="32"/>
          <w:szCs w:val="32"/>
        </w:rPr>
        <w:t>。单价100万元以上专用设备</w:t>
      </w:r>
      <w:r>
        <w:rPr>
          <w:rFonts w:hint="eastAsia" w:ascii="仿宋_GB2312" w:eastAsia="仿宋_GB2312"/>
          <w:sz w:val="32"/>
          <w:szCs w:val="32"/>
          <w:lang w:val="en-US" w:eastAsia="zh-CN"/>
        </w:rPr>
        <w:t>0</w:t>
      </w:r>
      <w:r>
        <w:rPr>
          <w:rFonts w:hint="eastAsia" w:ascii="仿宋_GB2312" w:eastAsia="仿宋_GB2312"/>
          <w:sz w:val="32"/>
          <w:szCs w:val="32"/>
        </w:rPr>
        <w:t>台。</w:t>
      </w:r>
    </w:p>
    <w:p>
      <w:pPr>
        <w:autoSpaceDE w:val="0"/>
        <w:autoSpaceDN w:val="0"/>
        <w:adjustRightInd w:val="0"/>
        <w:spacing w:line="600" w:lineRule="exact"/>
        <w:ind w:firstLine="642" w:firstLineChars="200"/>
        <w:jc w:val="left"/>
        <w:outlineLvl w:val="2"/>
        <w:rPr>
          <w:rFonts w:hint="eastAsia" w:ascii="仿宋" w:hAnsi="仿宋" w:eastAsia="仿宋"/>
          <w:b/>
          <w:sz w:val="32"/>
          <w:szCs w:val="32"/>
        </w:rPr>
      </w:pPr>
      <w:r>
        <w:rPr>
          <w:rFonts w:hint="eastAsia" w:ascii="仿宋" w:hAnsi="仿宋" w:eastAsia="仿宋"/>
          <w:b/>
          <w:sz w:val="32"/>
          <w:szCs w:val="32"/>
        </w:rPr>
        <w:t>（四）预算绩效管理情况</w:t>
      </w:r>
    </w:p>
    <w:p>
      <w:pPr>
        <w:pStyle w:val="14"/>
        <w:widowControl/>
        <w:shd w:val="clear" w:color="auto" w:fill="FFFFFF"/>
        <w:spacing w:before="0" w:beforeAutospacing="0" w:after="0" w:afterAutospacing="0" w:line="576" w:lineRule="exact"/>
        <w:ind w:firstLine="640" w:firstLineChars="200"/>
        <w:rPr>
          <w:rFonts w:hint="eastAsia" w:cs="仿宋_GB2312" w:asciiTheme="minorEastAsia" w:hAnsiTheme="minorEastAsia" w:eastAsiaTheme="minorEastAsia"/>
          <w:color w:val="000000"/>
          <w:kern w:val="2"/>
          <w:sz w:val="32"/>
          <w:szCs w:val="32"/>
        </w:rPr>
      </w:pPr>
      <w:r>
        <w:rPr>
          <w:rFonts w:hint="eastAsia" w:ascii="仿宋_GB2312" w:hAnsi="仿宋_GB2312" w:eastAsia="仿宋_GB2312" w:cs="仿宋_GB2312"/>
          <w:kern w:val="0"/>
          <w:sz w:val="32"/>
          <w:szCs w:val="32"/>
          <w:lang w:val="en-US" w:eastAsia="zh-CN" w:bidi="ar-SA"/>
        </w:rPr>
        <w:t>根据预算绩效管理要求，本单位在年初预算编制阶段，组织对4个项目开展预算事前绩效评估，对4个项目编制了绩效目标，预算执行过程中，选取4个项目开展绩效监控，组织对4个项目开展绩效自评，</w:t>
      </w:r>
      <w:r>
        <w:rPr>
          <w:rFonts w:hint="eastAsia" w:ascii="仿宋_GB2312" w:hAnsi="Times New Roman" w:eastAsia="仿宋_GB2312" w:cs="Times New Roman"/>
          <w:sz w:val="32"/>
          <w:szCs w:val="32"/>
        </w:rPr>
        <w:t>同时，</w:t>
      </w:r>
      <w:r>
        <w:rPr>
          <w:rFonts w:hint="eastAsia" w:ascii="仿宋_GB2312" w:hAnsi="Times New Roman" w:eastAsia="仿宋_GB2312" w:cs="Times New Roman"/>
          <w:sz w:val="32"/>
          <w:szCs w:val="32"/>
          <w:lang w:eastAsia="zh-CN"/>
        </w:rPr>
        <w:t>单位</w:t>
      </w:r>
      <w:r>
        <w:rPr>
          <w:rFonts w:hint="eastAsia" w:ascii="仿宋_GB2312" w:hAnsi="Times New Roman" w:eastAsia="仿宋_GB2312" w:cs="Times New Roman"/>
          <w:sz w:val="32"/>
          <w:szCs w:val="32"/>
        </w:rPr>
        <w:t>对202</w:t>
      </w:r>
      <w:r>
        <w:rPr>
          <w:rFonts w:hint="eastAsia" w:ascii="仿宋_GB2312" w:hAnsi="Times New Roman" w:eastAsia="仿宋_GB2312" w:cs="Times New Roman"/>
          <w:sz w:val="32"/>
          <w:szCs w:val="32"/>
          <w:lang w:val="en-US" w:eastAsia="zh-CN"/>
        </w:rPr>
        <w:t>2</w:t>
      </w:r>
      <w:r>
        <w:rPr>
          <w:rFonts w:hint="eastAsia" w:ascii="仿宋_GB2312" w:hAnsi="Times New Roman" w:eastAsia="仿宋_GB2312" w:cs="Times New Roman"/>
          <w:sz w:val="32"/>
          <w:szCs w:val="32"/>
        </w:rPr>
        <w:t>年</w:t>
      </w:r>
      <w:r>
        <w:rPr>
          <w:rFonts w:hint="eastAsia" w:ascii="仿宋_GB2312" w:hAnsi="Times New Roman" w:eastAsia="仿宋_GB2312" w:cs="Times New Roman"/>
          <w:sz w:val="32"/>
          <w:szCs w:val="32"/>
          <w:lang w:eastAsia="zh-CN"/>
        </w:rPr>
        <w:t>单位</w:t>
      </w:r>
      <w:r>
        <w:rPr>
          <w:rFonts w:hint="eastAsia" w:ascii="仿宋_GB2312" w:hAnsi="Times New Roman" w:eastAsia="仿宋_GB2312" w:cs="Times New Roman"/>
          <w:sz w:val="32"/>
          <w:szCs w:val="32"/>
        </w:rPr>
        <w:t>整体开展绩效自评，《202</w:t>
      </w:r>
      <w:r>
        <w:rPr>
          <w:rFonts w:hint="eastAsia" w:ascii="仿宋_GB2312" w:hAnsi="Times New Roman" w:eastAsia="仿宋_GB2312" w:cs="Times New Roman"/>
          <w:sz w:val="32"/>
          <w:szCs w:val="32"/>
          <w:lang w:val="en-US" w:eastAsia="zh-CN"/>
        </w:rPr>
        <w:t>2</w:t>
      </w:r>
      <w:r>
        <w:rPr>
          <w:rFonts w:hint="eastAsia" w:ascii="仿宋_GB2312" w:hAnsi="Times New Roman" w:eastAsia="仿宋_GB2312" w:cs="Times New Roman"/>
          <w:sz w:val="32"/>
          <w:szCs w:val="32"/>
        </w:rPr>
        <w:t>年剑阁县</w:t>
      </w:r>
      <w:r>
        <w:rPr>
          <w:rFonts w:hint="eastAsia" w:ascii="仿宋_GB2312" w:hAnsi="Times New Roman" w:eastAsia="仿宋_GB2312" w:cs="Times New Roman"/>
          <w:sz w:val="32"/>
          <w:szCs w:val="32"/>
          <w:lang w:eastAsia="zh-CN"/>
        </w:rPr>
        <w:t>民政局单位</w:t>
      </w:r>
      <w:r>
        <w:rPr>
          <w:rFonts w:hint="eastAsia" w:ascii="仿宋_GB2312" w:hAnsi="Times New Roman" w:eastAsia="仿宋_GB2312" w:cs="Times New Roman"/>
          <w:sz w:val="32"/>
          <w:szCs w:val="32"/>
        </w:rPr>
        <w:t>整体</w:t>
      </w:r>
      <w:r>
        <w:rPr>
          <w:rFonts w:hint="eastAsia" w:ascii="仿宋_GB2312" w:hAnsi="Times New Roman" w:eastAsia="仿宋_GB2312" w:cs="Times New Roman"/>
          <w:sz w:val="32"/>
          <w:szCs w:val="32"/>
          <w:lang w:eastAsia="zh-CN"/>
        </w:rPr>
        <w:t>支出</w:t>
      </w:r>
      <w:r>
        <w:rPr>
          <w:rFonts w:hint="eastAsia" w:ascii="仿宋_GB2312" w:hAnsi="Times New Roman" w:eastAsia="仿宋_GB2312" w:cs="Times New Roman"/>
          <w:sz w:val="32"/>
          <w:szCs w:val="32"/>
        </w:rPr>
        <w:t>绩效评价报告》见附件（第四部分）。</w:t>
      </w:r>
    </w:p>
    <w:p>
      <w:pPr>
        <w:spacing w:line="576" w:lineRule="exact"/>
        <w:jc w:val="center"/>
        <w:rPr>
          <w:rFonts w:cs="黑体" w:asciiTheme="minorEastAsia" w:hAnsiTheme="minorEastAsia" w:eastAsiaTheme="minorEastAsia"/>
          <w:b/>
          <w:bCs/>
          <w:color w:val="00B0F0"/>
          <w:sz w:val="44"/>
          <w:szCs w:val="44"/>
        </w:rPr>
      </w:pPr>
    </w:p>
    <w:p>
      <w:pPr>
        <w:spacing w:line="576" w:lineRule="exact"/>
        <w:jc w:val="center"/>
        <w:rPr>
          <w:rFonts w:hint="eastAsia" w:cs="黑体" w:asciiTheme="minorEastAsia" w:hAnsiTheme="minorEastAsia" w:eastAsiaTheme="minorEastAsia"/>
          <w:b/>
          <w:bCs/>
          <w:color w:val="000000"/>
          <w:sz w:val="44"/>
          <w:szCs w:val="44"/>
        </w:rPr>
      </w:pPr>
    </w:p>
    <w:p>
      <w:pPr>
        <w:spacing w:line="576" w:lineRule="exact"/>
        <w:jc w:val="center"/>
        <w:rPr>
          <w:rFonts w:hint="eastAsia" w:cs="黑体" w:asciiTheme="minorEastAsia" w:hAnsiTheme="minorEastAsia" w:eastAsiaTheme="minorEastAsia"/>
          <w:b/>
          <w:bCs/>
          <w:color w:val="000000"/>
          <w:sz w:val="44"/>
          <w:szCs w:val="44"/>
        </w:rPr>
      </w:pPr>
    </w:p>
    <w:p>
      <w:pPr>
        <w:spacing w:line="576" w:lineRule="exact"/>
        <w:jc w:val="center"/>
        <w:rPr>
          <w:rFonts w:hint="eastAsia" w:cs="黑体" w:asciiTheme="minorEastAsia" w:hAnsiTheme="minorEastAsia" w:eastAsiaTheme="minorEastAsia"/>
          <w:b/>
          <w:bCs/>
          <w:color w:val="000000"/>
          <w:sz w:val="44"/>
          <w:szCs w:val="44"/>
        </w:rPr>
      </w:pPr>
    </w:p>
    <w:p>
      <w:pPr>
        <w:spacing w:line="576" w:lineRule="exact"/>
        <w:jc w:val="center"/>
        <w:rPr>
          <w:rFonts w:hint="eastAsia" w:cs="黑体" w:asciiTheme="minorEastAsia" w:hAnsiTheme="minorEastAsia" w:eastAsiaTheme="minorEastAsia"/>
          <w:b/>
          <w:bCs/>
          <w:color w:val="000000"/>
          <w:sz w:val="44"/>
          <w:szCs w:val="44"/>
        </w:rPr>
      </w:pPr>
    </w:p>
    <w:p>
      <w:pPr>
        <w:spacing w:line="576" w:lineRule="exact"/>
        <w:jc w:val="center"/>
        <w:rPr>
          <w:rFonts w:hint="eastAsia" w:cs="黑体" w:asciiTheme="minorEastAsia" w:hAnsiTheme="minorEastAsia" w:eastAsiaTheme="minorEastAsia"/>
          <w:b/>
          <w:bCs/>
          <w:color w:val="000000"/>
          <w:sz w:val="44"/>
          <w:szCs w:val="44"/>
        </w:rPr>
      </w:pPr>
    </w:p>
    <w:p>
      <w:pPr>
        <w:spacing w:line="576" w:lineRule="exact"/>
        <w:jc w:val="center"/>
        <w:rPr>
          <w:rFonts w:cs="黑体" w:asciiTheme="minorEastAsia" w:hAnsiTheme="minorEastAsia" w:eastAsiaTheme="minorEastAsia"/>
          <w:b/>
          <w:bCs/>
          <w:color w:val="000000"/>
          <w:sz w:val="44"/>
          <w:szCs w:val="44"/>
        </w:rPr>
      </w:pPr>
      <w:r>
        <w:rPr>
          <w:rFonts w:hint="eastAsia" w:cs="黑体" w:asciiTheme="minorEastAsia" w:hAnsiTheme="minorEastAsia" w:eastAsiaTheme="minorEastAsia"/>
          <w:b/>
          <w:bCs/>
          <w:color w:val="000000"/>
          <w:sz w:val="44"/>
          <w:szCs w:val="44"/>
        </w:rPr>
        <w:t>第三部分  名词解释</w:t>
      </w:r>
    </w:p>
    <w:p>
      <w:pPr>
        <w:spacing w:line="576" w:lineRule="exact"/>
        <w:ind w:firstLine="640"/>
        <w:rPr>
          <w:rFonts w:cs="仿宋_GB2312" w:asciiTheme="minorEastAsia" w:hAnsiTheme="minorEastAsia" w:eastAsiaTheme="minorEastAsia"/>
          <w:color w:val="000000"/>
          <w:sz w:val="32"/>
          <w:szCs w:val="32"/>
        </w:rPr>
      </w:pP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1、一般公共预算拨款收入：指县级财政当年拨付的资金。</w:t>
      </w:r>
      <w:r>
        <w:rPr>
          <w:rFonts w:hint="eastAsia" w:ascii="仿宋_GB2312" w:hAnsi="Calibri" w:eastAsia="仿宋_GB2312" w:cs="仿宋"/>
          <w:color w:val="auto"/>
          <w:kern w:val="0"/>
          <w:sz w:val="32"/>
          <w:szCs w:val="32"/>
          <w:lang w:val="en-US" w:eastAsia="zh-CN" w:bidi="ar-SA"/>
        </w:rPr>
        <w:br w:type="textWrapping"/>
      </w:r>
      <w:r>
        <w:rPr>
          <w:rFonts w:hint="eastAsia" w:ascii="仿宋_GB2312" w:hAnsi="Calibri" w:eastAsia="仿宋_GB2312" w:cs="仿宋"/>
          <w:color w:val="auto"/>
          <w:kern w:val="0"/>
          <w:sz w:val="32"/>
          <w:szCs w:val="32"/>
          <w:lang w:val="en-US" w:eastAsia="zh-CN" w:bidi="ar-SA"/>
        </w:rPr>
        <w:t>　　2、上年结转：指以前年度尚未完成，结转到本年仍按原规定用途继续使用的资金。</w:t>
      </w:r>
      <w:r>
        <w:rPr>
          <w:rFonts w:hint="eastAsia" w:ascii="仿宋_GB2312" w:hAnsi="Calibri" w:eastAsia="仿宋_GB2312" w:cs="仿宋"/>
          <w:color w:val="auto"/>
          <w:kern w:val="0"/>
          <w:sz w:val="32"/>
          <w:szCs w:val="32"/>
          <w:lang w:val="en-US" w:eastAsia="zh-CN" w:bidi="ar-SA"/>
        </w:rPr>
        <w:br w:type="textWrapping"/>
      </w:r>
      <w:r>
        <w:rPr>
          <w:rFonts w:hint="eastAsia" w:ascii="仿宋_GB2312" w:hAnsi="Calibri" w:eastAsia="仿宋_GB2312" w:cs="仿宋"/>
          <w:color w:val="auto"/>
          <w:kern w:val="0"/>
          <w:sz w:val="32"/>
          <w:szCs w:val="32"/>
          <w:lang w:val="en-US" w:eastAsia="zh-CN" w:bidi="ar-SA"/>
        </w:rPr>
        <w:t>　　3、事业收入：指事业单位开展专业业务活动及辅助活动取得的收入。</w:t>
      </w:r>
      <w:r>
        <w:rPr>
          <w:rFonts w:hint="eastAsia" w:ascii="仿宋_GB2312" w:hAnsi="Calibri" w:eastAsia="仿宋_GB2312" w:cs="仿宋"/>
          <w:color w:val="auto"/>
          <w:kern w:val="0"/>
          <w:sz w:val="32"/>
          <w:szCs w:val="32"/>
          <w:lang w:val="en-US" w:eastAsia="zh-CN" w:bidi="ar-SA"/>
        </w:rPr>
        <w:br w:type="textWrapping"/>
      </w:r>
      <w:r>
        <w:rPr>
          <w:rFonts w:hint="eastAsia" w:ascii="仿宋_GB2312" w:hAnsi="Calibri" w:eastAsia="仿宋_GB2312" w:cs="仿宋"/>
          <w:color w:val="auto"/>
          <w:kern w:val="0"/>
          <w:sz w:val="32"/>
          <w:szCs w:val="32"/>
          <w:lang w:val="en-US" w:eastAsia="zh-CN" w:bidi="ar-SA"/>
        </w:rPr>
        <w:t>　　4、经营收入：指事业单位在专业业务活动及其辅助活动之外开展非独立核算经营活动取得的收入。</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5、其他收入：指单位取得的除上述收入以外的各项收入。包括未纳入财政预算或财政专户管理的投资收益、银行存款利息收入、租金收入、捐赠收入、现金盘盈收入、存货盘盈收入、收回已核销应收及预付款项、无法偿付的预付及预收款项等。</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6、结余分配：指事业单位按照事业单位会计制度的规定从非财政补助结余中分配的事业基金和职工福利基金等。</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7、年末结转和结余：指单位按有关规定结转到下年或以后年度继续使用的资金。</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8、社会保障和就业（类）民政管理事务（款）行政运行（项）：反映行政单位（包括实行公务员管理的单位）的基本支出。具体有人员工资、绩效、办公费、接待费、车辆运行、遗属补助、工伤、福利费、工会经费等。</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9.社会保障和就业（类）民政管理事务（款）一般行政管理事务（项）:反映行政单位（包括实行公务员管理的单位）未单独设置项级科目的其他项目支出。</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10.社会保障和就业（类）民政管理事务（款）行政区划和地名管理（项）:反映行政区划界限勘定、维护，以及行政区划和地名管理支出。</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11.社会保障和就业（类）民政管理事务（款）其他民政管理事务支出（项）:反映民政部门接待来访、法治建设、政策宣传方面的支出，以及开展社会救助、社会福利、养老服务、社会事务、信息化建设等方面的支出。</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12.社会保障和就业（类）行政事业单位养老支出（款）机关事业单位基本养老保险缴费支出（项）：指机关事业单位实施养老保险制度由单位缴纳的基本养老保险费支出。</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13.社会保障和就业（类）社会福利（款）儿童福利（项）:反映对儿童提供福利服务方面的支出。</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14.社会保障和就业（类）社会福利（款）老年福利（项）:</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反映对老年人提供福利服务方面的支出，包括为经济困难的高龄、失能等老年人提供基本养老服务保障的资金补助等支出。</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15.社会保障和就业（类）社会福利（款）殡葬（项）:反映殡葬管理和殡葬服务方面的支出，包括民政部门直属的殡仪馆、公墓、殡葬管理服务机构的支出。</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16.社会保障和就业（类）社会福利（款）社会福利事业单位（项）:反映民政部门举办的社会福利事业单位的支出，以及对集体社会福利事业单位的补助费。</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17.社会保障和就业（类）社会福利（款）养老服务（项）:反映财政在养老服务方面的补助支出，包括支持养老服务机构提供居家社区养老服务的支出，对养老服务机构的运营、建设补助支出等，不包括对社会福利事业单位的补助支出。</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18.社会保障和就业（类）残疾人事业（款）残疾人生活和护理补贴（项）:反映困难残疾人生活补贴和重度残疾人护理补贴支出。</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19.社会保障和就业（类）最低生活保障（款）城市最低生活保障金支出（项）:反映城市最低生活保障对象的最低生活保障金支出。</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20.社会保障和就业（类）最低生活保障（款）农村最低生活保障金支出（项）:反映农村最低生活保障对象的最低生活保障金支出。</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21.社会保障和就业（类）临时救助（款）临时救助支出（项）:反映用于城乡生活困难居民的临时救助支出。</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22.社会保障和就业（类）临时救助（款）流浪乞讨人员救助支出（项）:反映用于生活无着的流浪乞讨人员的救助支出和救助管理机构的运转支出。</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23.社会保障和就业（类）特困人员救助供养（款）城市特困人员救助供养支出（项）:反映城市特困人员救助供养支出。</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24.社会保障和就业（类）特困人员救助供养（款）农村特困人员救助供养支出（项）:反映农村特困人员救助供养支出。</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25.社会保障和就业（类）其他生活救助（款）其他农村生活救助（项）:反映除最低生活保障、临时救助、特困人员供养、自然灾害生活救助外，用于农村生活困难居民生活救助的其他支出。</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26.社会保障和就业（类）其他社会保障和就业支出（款）其他社会保障和就业支出（项）:反映政府在社会保障与就业方面的支出。具体包括社会保障和就业管理事务、民政管理事务、财政对社会保险基金的补助、补充全国社会保障基金等的支出。</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27.卫生健康（类）行政事业单位医疗（款）行政单位医疗（项）：指局机关及参公管理事业单位用于缴纳单位基本医疗保险支出。</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28.住房保障（类）住房改革支出（款）住房公积金（项）：指按照《住房公积金管理条例》的规定，由单位及其在职职工缴存的长期住房储金。</w:t>
      </w:r>
      <w:r>
        <w:rPr>
          <w:rFonts w:hint="eastAsia" w:ascii="仿宋_GB2312" w:hAnsi="Calibri" w:eastAsia="仿宋_GB2312" w:cs="仿宋"/>
          <w:color w:val="auto"/>
          <w:kern w:val="0"/>
          <w:sz w:val="32"/>
          <w:szCs w:val="32"/>
          <w:lang w:val="en-US" w:eastAsia="zh-CN" w:bidi="ar-SA"/>
        </w:rPr>
        <w:br w:type="textWrapping"/>
      </w:r>
      <w:r>
        <w:rPr>
          <w:rFonts w:hint="eastAsia" w:ascii="仿宋_GB2312" w:hAnsi="Calibri" w:eastAsia="仿宋_GB2312" w:cs="仿宋"/>
          <w:color w:val="auto"/>
          <w:kern w:val="0"/>
          <w:sz w:val="32"/>
          <w:szCs w:val="32"/>
          <w:lang w:val="en-US" w:eastAsia="zh-CN" w:bidi="ar-SA"/>
        </w:rPr>
        <w:t xml:space="preserve">    29.项目支出：指在基本支出之外为完成特定行政任务和事业发展目标所发生的支出。</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30.经营支出：指事业单位在专业业务活动及其辅助活动之外开展非独立核算经营活动发生的支出。</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31.“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32.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hint="eastAsia" w:ascii="仿宋_GB2312" w:hAnsi="Calibri" w:eastAsia="仿宋_GB2312" w:cs="仿宋"/>
          <w:color w:val="auto"/>
          <w:kern w:val="0"/>
          <w:sz w:val="32"/>
          <w:szCs w:val="32"/>
          <w:lang w:val="en-US" w:eastAsia="zh-CN" w:bidi="ar-SA"/>
        </w:rPr>
      </w:pPr>
    </w:p>
    <w:p>
      <w:pPr>
        <w:numPr>
          <w:ilvl w:val="0"/>
          <w:numId w:val="0"/>
        </w:numPr>
        <w:spacing w:line="576" w:lineRule="exact"/>
        <w:jc w:val="both"/>
        <w:rPr>
          <w:rFonts w:hint="eastAsia" w:ascii="黑体" w:hAnsi="黑体" w:eastAsia="黑体"/>
          <w:sz w:val="44"/>
          <w:szCs w:val="44"/>
        </w:rPr>
      </w:pPr>
    </w:p>
    <w:p>
      <w:pPr>
        <w:numPr>
          <w:ilvl w:val="0"/>
          <w:numId w:val="0"/>
        </w:numPr>
        <w:spacing w:line="576" w:lineRule="exact"/>
        <w:jc w:val="center"/>
        <w:rPr>
          <w:rFonts w:hint="eastAsia" w:ascii="黑体" w:hAnsi="黑体" w:eastAsia="黑体"/>
          <w:sz w:val="44"/>
          <w:szCs w:val="44"/>
        </w:rPr>
      </w:pPr>
    </w:p>
    <w:p>
      <w:pPr>
        <w:numPr>
          <w:ilvl w:val="0"/>
          <w:numId w:val="0"/>
        </w:numPr>
        <w:spacing w:line="576" w:lineRule="exact"/>
        <w:jc w:val="center"/>
        <w:rPr>
          <w:rFonts w:hint="eastAsia" w:ascii="黑体" w:hAnsi="黑体" w:eastAsia="黑体"/>
          <w:sz w:val="44"/>
          <w:szCs w:val="44"/>
        </w:rPr>
      </w:pPr>
    </w:p>
    <w:p>
      <w:pPr>
        <w:numPr>
          <w:ilvl w:val="0"/>
          <w:numId w:val="0"/>
        </w:numPr>
        <w:spacing w:line="576" w:lineRule="exact"/>
        <w:jc w:val="center"/>
        <w:rPr>
          <w:rFonts w:hint="eastAsia" w:ascii="黑体" w:hAnsi="黑体" w:eastAsia="黑体"/>
          <w:sz w:val="44"/>
          <w:szCs w:val="44"/>
        </w:rPr>
      </w:pPr>
    </w:p>
    <w:p>
      <w:pPr>
        <w:numPr>
          <w:ilvl w:val="0"/>
          <w:numId w:val="0"/>
        </w:numPr>
        <w:spacing w:line="576" w:lineRule="exact"/>
        <w:jc w:val="center"/>
        <w:rPr>
          <w:rFonts w:hint="eastAsia" w:ascii="黑体" w:hAnsi="黑体" w:eastAsia="黑体"/>
          <w:sz w:val="44"/>
          <w:szCs w:val="44"/>
        </w:rPr>
      </w:pPr>
    </w:p>
    <w:p>
      <w:pPr>
        <w:numPr>
          <w:ilvl w:val="0"/>
          <w:numId w:val="0"/>
        </w:numPr>
        <w:spacing w:line="576" w:lineRule="exact"/>
        <w:jc w:val="center"/>
        <w:rPr>
          <w:rStyle w:val="28"/>
          <w:rFonts w:ascii="黑体" w:hAnsi="黑体" w:eastAsia="黑体"/>
          <w:b w:val="0"/>
        </w:rPr>
      </w:pPr>
      <w:r>
        <w:rPr>
          <w:rFonts w:hint="eastAsia" w:ascii="黑体" w:hAnsi="黑体" w:eastAsia="黑体"/>
          <w:sz w:val="44"/>
          <w:szCs w:val="44"/>
        </w:rPr>
        <w:t>第</w:t>
      </w:r>
      <w:r>
        <w:rPr>
          <w:rStyle w:val="28"/>
          <w:rFonts w:hint="eastAsia" w:ascii="黑体" w:hAnsi="黑体" w:eastAsia="黑体"/>
          <w:b w:val="0"/>
        </w:rPr>
        <w:t>四部分 附件</w:t>
      </w:r>
    </w:p>
    <w:p>
      <w:pPr>
        <w:spacing w:line="572" w:lineRule="exact"/>
        <w:jc w:val="left"/>
        <w:outlineLvl w:val="0"/>
        <w:rPr>
          <w:rFonts w:ascii="仿宋_GB2312" w:hAnsi="仿宋_GB2312" w:eastAsia="仿宋_GB2312" w:cs="仿宋_GB2312"/>
          <w:sz w:val="32"/>
          <w:szCs w:val="32"/>
        </w:rPr>
      </w:pPr>
    </w:p>
    <w:p>
      <w:pPr>
        <w:numPr>
          <w:ilvl w:val="0"/>
          <w:numId w:val="0"/>
        </w:numPr>
        <w:spacing w:line="576" w:lineRule="exact"/>
        <w:jc w:val="center"/>
        <w:rPr>
          <w:rFonts w:hint="eastAsia" w:ascii="黑体" w:hAnsi="黑体" w:eastAsia="黑体" w:cs="Times New Roman"/>
          <w:sz w:val="44"/>
          <w:szCs w:val="44"/>
          <w:lang w:eastAsia="zh-CN"/>
        </w:rPr>
      </w:pPr>
      <w:r>
        <w:rPr>
          <w:rFonts w:hint="eastAsia" w:ascii="黑体" w:hAnsi="黑体" w:eastAsia="黑体" w:cs="Times New Roman"/>
          <w:sz w:val="44"/>
          <w:szCs w:val="44"/>
        </w:rPr>
        <w:t>剑阁县</w:t>
      </w:r>
      <w:r>
        <w:rPr>
          <w:rFonts w:hint="eastAsia" w:ascii="黑体" w:hAnsi="黑体" w:eastAsia="黑体" w:cs="Times New Roman"/>
          <w:sz w:val="44"/>
          <w:szCs w:val="44"/>
          <w:lang w:eastAsia="zh-CN"/>
        </w:rPr>
        <w:t>民政局</w:t>
      </w:r>
    </w:p>
    <w:p>
      <w:pPr>
        <w:numPr>
          <w:ilvl w:val="0"/>
          <w:numId w:val="0"/>
        </w:numPr>
        <w:spacing w:line="576" w:lineRule="exact"/>
        <w:jc w:val="center"/>
        <w:rPr>
          <w:rFonts w:hint="eastAsia" w:ascii="黑体" w:hAnsi="黑体" w:eastAsia="黑体" w:cs="Times New Roman"/>
          <w:sz w:val="44"/>
          <w:szCs w:val="44"/>
        </w:rPr>
      </w:pPr>
      <w:r>
        <w:rPr>
          <w:rFonts w:hint="eastAsia" w:ascii="黑体" w:hAnsi="黑体" w:eastAsia="黑体" w:cs="Times New Roman"/>
          <w:sz w:val="44"/>
          <w:szCs w:val="44"/>
        </w:rPr>
        <w:t>2022年</w:t>
      </w:r>
      <w:r>
        <w:rPr>
          <w:rFonts w:hint="eastAsia" w:ascii="黑体" w:hAnsi="黑体" w:eastAsia="黑体" w:cs="Times New Roman"/>
          <w:sz w:val="44"/>
          <w:szCs w:val="44"/>
          <w:lang w:eastAsia="zh-CN"/>
        </w:rPr>
        <w:t>部门</w:t>
      </w:r>
      <w:r>
        <w:rPr>
          <w:rFonts w:hint="eastAsia" w:ascii="黑体" w:hAnsi="黑体" w:eastAsia="黑体" w:cs="Times New Roman"/>
          <w:sz w:val="44"/>
          <w:szCs w:val="44"/>
        </w:rPr>
        <w:t>整体支出绩效评价报告</w:t>
      </w:r>
    </w:p>
    <w:p>
      <w:pPr>
        <w:widowControl/>
        <w:adjustRightInd w:val="0"/>
        <w:snapToGrid w:val="0"/>
        <w:spacing w:line="560" w:lineRule="exact"/>
        <w:ind w:firstLine="480" w:firstLineChars="200"/>
        <w:contextualSpacing/>
        <w:jc w:val="left"/>
        <w:rPr>
          <w:rFonts w:ascii="黑体" w:hAnsi="宋体" w:eastAsia="黑体" w:cs="宋体"/>
          <w:color w:val="000000"/>
          <w:kern w:val="0"/>
          <w:sz w:val="24"/>
          <w:szCs w:val="32"/>
          <w:shd w:val="clear" w:color="auto" w:fill="FFFFFF"/>
        </w:rPr>
      </w:pPr>
    </w:p>
    <w:p>
      <w:pPr>
        <w:spacing w:line="600" w:lineRule="exact"/>
        <w:ind w:firstLine="640" w:firstLineChars="200"/>
        <w:jc w:val="left"/>
        <w:outlineLvl w:val="0"/>
        <w:rPr>
          <w:rFonts w:hint="eastAsia" w:ascii="宋体" w:hAnsi="宋体" w:eastAsia="宋体" w:cs="宋体"/>
          <w:kern w:val="0"/>
          <w:sz w:val="32"/>
          <w:szCs w:val="32"/>
          <w:lang w:val="zh-CN" w:eastAsia="zh-CN"/>
        </w:rPr>
      </w:pPr>
      <w:r>
        <w:rPr>
          <w:rFonts w:hint="eastAsia" w:ascii="宋体" w:hAnsi="宋体" w:eastAsia="宋体" w:cs="宋体"/>
          <w:kern w:val="0"/>
          <w:sz w:val="32"/>
          <w:szCs w:val="32"/>
          <w:lang w:val="zh-CN" w:eastAsia="zh-CN"/>
        </w:rPr>
        <w:t>一、单位基本情况</w:t>
      </w:r>
    </w:p>
    <w:p>
      <w:pPr>
        <w:ind w:firstLine="640" w:firstLineChars="200"/>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zh-CN" w:eastAsia="zh-CN"/>
        </w:rPr>
        <w:t>（一）机构组成</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 xml:space="preserve">剑阁县民政局下设8个二级单位，其中行政单位1个，事业单位7个，主要包括：民政局机关、 康复院、慈善总会办公室、农村敬老院管理中心、社会（儿童）福利院、婚姻登记处、社会救助管理服务中心、殡仪馆。 </w:t>
      </w:r>
    </w:p>
    <w:p>
      <w:pPr>
        <w:ind w:firstLine="640" w:firstLineChars="200"/>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zh-CN" w:eastAsia="zh-CN"/>
        </w:rPr>
        <w:t>（二）机构职能和人员概况</w:t>
      </w:r>
      <w:r>
        <w:rPr>
          <w:rFonts w:hint="eastAsia" w:ascii="宋体" w:hAnsi="宋体" w:eastAsia="宋体" w:cs="宋体"/>
          <w:kern w:val="0"/>
          <w:sz w:val="32"/>
          <w:szCs w:val="32"/>
          <w:lang w:val="en-US" w:eastAsia="zh-CN"/>
        </w:rPr>
        <w:t xml:space="preserve"> </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宋体" w:hAnsi="宋体" w:eastAsia="宋体" w:cs="宋体"/>
          <w:kern w:val="0"/>
          <w:sz w:val="32"/>
          <w:szCs w:val="32"/>
          <w:lang w:val="en-US" w:eastAsia="zh-CN"/>
        </w:rPr>
        <w:t>1.机构职能</w:t>
      </w:r>
      <w:r>
        <w:rPr>
          <w:rFonts w:hint="eastAsia" w:ascii="仿宋_GB2312" w:hAnsi="Calibri" w:eastAsia="仿宋_GB2312" w:cs="仿宋"/>
          <w:color w:val="auto"/>
          <w:kern w:val="0"/>
          <w:sz w:val="32"/>
          <w:szCs w:val="32"/>
          <w:lang w:val="en-US" w:eastAsia="zh-CN" w:bidi="ar-SA"/>
        </w:rPr>
        <w:t>。</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1.贯彻执行国家、四川省和广元市民政工作的法律、法规和各项方针、政策；拟定民政工作地方规章和政策，并组织实施和监督检查；编制全县民政事业发展规划；指导全县民政队伍法制建设。</w:t>
      </w:r>
      <w:r>
        <w:rPr>
          <w:rFonts w:hint="eastAsia" w:ascii="仿宋_GB2312" w:hAnsi="Calibri" w:eastAsia="仿宋_GB2312" w:cs="仿宋"/>
          <w:color w:val="auto"/>
          <w:kern w:val="0"/>
          <w:sz w:val="32"/>
          <w:szCs w:val="32"/>
          <w:lang w:val="en-US" w:eastAsia="zh-CN" w:bidi="ar-SA"/>
        </w:rPr>
        <w:br w:type="textWrapping"/>
      </w:r>
      <w:r>
        <w:rPr>
          <w:rFonts w:hint="eastAsia" w:ascii="仿宋_GB2312" w:hAnsi="Calibri" w:eastAsia="仿宋_GB2312" w:cs="仿宋"/>
          <w:color w:val="auto"/>
          <w:kern w:val="0"/>
          <w:sz w:val="32"/>
          <w:szCs w:val="32"/>
          <w:lang w:val="en-US" w:eastAsia="zh-CN" w:bidi="ar-SA"/>
        </w:rPr>
        <w:t xml:space="preserve">    2.负责管理全县性社团和民办非企业单位的登记管理和年度检查工作，监督社团和民办非企业单位活动，查处社团和民办非企业单位的违法行为，查处未经登记而以社团和民办非企业单位名义开展活动的非法组织；对境外人员成立社团的审核报批；负责全县社团和民办非企业单位的登记管理和年度检查工作；负责社团和民办非企业单位的行政复议工作。</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3.建立和实施城乡居（村）民最低生活保障制度；负责全县城乡社会困难户临时救济、定期救济以及其他特殊救济对象的救济工作；指导、检查五保和敬老院工作；负责社会麻风病人的管理、中转和管理指导社会“三无”对象的收养以及优抚对象精神病人收治工作；组织、指导扶贫济困等社会扶助活动；审批全县性社会福利募捐义演、义卖活动。</w:t>
      </w:r>
      <w:r>
        <w:rPr>
          <w:rFonts w:hint="eastAsia" w:ascii="仿宋_GB2312" w:hAnsi="Calibri" w:eastAsia="仿宋_GB2312" w:cs="仿宋"/>
          <w:color w:val="auto"/>
          <w:kern w:val="0"/>
          <w:sz w:val="32"/>
          <w:szCs w:val="32"/>
          <w:lang w:val="en-US" w:eastAsia="zh-CN" w:bidi="ar-SA"/>
        </w:rPr>
        <w:br w:type="textWrapping"/>
      </w:r>
      <w:r>
        <w:rPr>
          <w:rFonts w:hint="eastAsia" w:ascii="仿宋_GB2312" w:hAnsi="Calibri" w:eastAsia="仿宋_GB2312" w:cs="仿宋"/>
          <w:color w:val="auto"/>
          <w:kern w:val="0"/>
          <w:sz w:val="32"/>
          <w:szCs w:val="32"/>
          <w:lang w:val="en-US" w:eastAsia="zh-CN" w:bidi="ar-SA"/>
        </w:rPr>
        <w:t xml:space="preserve">    4.导和检查乡镇及村（居）委会政务和村务公开工作；贯彻实施村（居）民委员会组织法，指导村民委员会民主选举、民主决策、民主管理和民主监督工作，推动村务公开和基层民主政治建设；指导城市居民委员会建设；负责指导村（居）民委员会主任和委员培训。</w:t>
      </w:r>
      <w:r>
        <w:rPr>
          <w:rFonts w:hint="eastAsia" w:ascii="仿宋_GB2312" w:hAnsi="Calibri" w:eastAsia="仿宋_GB2312" w:cs="仿宋"/>
          <w:color w:val="auto"/>
          <w:kern w:val="0"/>
          <w:sz w:val="32"/>
          <w:szCs w:val="32"/>
          <w:lang w:val="en-US" w:eastAsia="zh-CN" w:bidi="ar-SA"/>
        </w:rPr>
        <w:br w:type="textWrapping"/>
      </w:r>
      <w:r>
        <w:rPr>
          <w:rFonts w:hint="eastAsia" w:ascii="仿宋_GB2312" w:hAnsi="Calibri" w:eastAsia="仿宋_GB2312" w:cs="仿宋"/>
          <w:color w:val="auto"/>
          <w:kern w:val="0"/>
          <w:sz w:val="32"/>
          <w:szCs w:val="32"/>
          <w:lang w:val="en-US" w:eastAsia="zh-CN" w:bidi="ar-SA"/>
        </w:rPr>
        <w:t xml:space="preserve">    5.负责《婚姻法》、《收养法》的贯彻落实，指导检查婚姻登记工作，查处违法婚姻；负责全县儿童收养工作。</w:t>
      </w:r>
      <w:r>
        <w:rPr>
          <w:rFonts w:hint="eastAsia" w:ascii="仿宋_GB2312" w:hAnsi="Calibri" w:eastAsia="仿宋_GB2312" w:cs="仿宋"/>
          <w:color w:val="auto"/>
          <w:kern w:val="0"/>
          <w:sz w:val="32"/>
          <w:szCs w:val="32"/>
          <w:lang w:val="en-US" w:eastAsia="zh-CN" w:bidi="ar-SA"/>
        </w:rPr>
        <w:br w:type="textWrapping"/>
      </w:r>
      <w:r>
        <w:rPr>
          <w:rFonts w:hint="eastAsia" w:ascii="仿宋_GB2312" w:hAnsi="Calibri" w:eastAsia="仿宋_GB2312" w:cs="仿宋"/>
          <w:color w:val="auto"/>
          <w:kern w:val="0"/>
          <w:sz w:val="32"/>
          <w:szCs w:val="32"/>
          <w:lang w:val="en-US" w:eastAsia="zh-CN" w:bidi="ar-SA"/>
        </w:rPr>
        <w:t xml:space="preserve">    6.承办行政区划工作，负责县及乡（镇）的设立、撤销、调整更名、界线变更及政府驻地迁移的审核报批。</w:t>
      </w:r>
      <w:r>
        <w:rPr>
          <w:rFonts w:hint="eastAsia" w:ascii="仿宋_GB2312" w:hAnsi="Calibri" w:eastAsia="仿宋_GB2312" w:cs="仿宋"/>
          <w:color w:val="auto"/>
          <w:kern w:val="0"/>
          <w:sz w:val="32"/>
          <w:szCs w:val="32"/>
          <w:lang w:val="en-US" w:eastAsia="zh-CN" w:bidi="ar-SA"/>
        </w:rPr>
        <w:br w:type="textWrapping"/>
      </w:r>
      <w:r>
        <w:rPr>
          <w:rFonts w:hint="eastAsia" w:ascii="仿宋_GB2312" w:hAnsi="Calibri" w:eastAsia="仿宋_GB2312" w:cs="仿宋"/>
          <w:color w:val="auto"/>
          <w:kern w:val="0"/>
          <w:sz w:val="32"/>
          <w:szCs w:val="32"/>
          <w:lang w:val="en-US" w:eastAsia="zh-CN" w:bidi="ar-SA"/>
        </w:rPr>
        <w:t xml:space="preserve">    7.主管地名工作，负责村（居）委会以上区划名称及其它地名的命名、更名的审核报批；发布标准地名；规范全县地名标志（即：街、路、巷、楼、门）的设置和管理；负责标准地名图书资料的审定。</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8.负责我县与毗邻县行政区域边界的勘定和管理工作；负责乡（镇）边界的调查和调处；承办勘界资料的验收、报批、档案管理以及行政区域界线详图集的资料准备工作。</w:t>
      </w:r>
      <w:r>
        <w:rPr>
          <w:rFonts w:hint="eastAsia" w:ascii="仿宋_GB2312" w:hAnsi="Calibri" w:eastAsia="仿宋_GB2312" w:cs="仿宋"/>
          <w:color w:val="auto"/>
          <w:kern w:val="0"/>
          <w:sz w:val="32"/>
          <w:szCs w:val="32"/>
          <w:lang w:val="en-US" w:eastAsia="zh-CN" w:bidi="ar-SA"/>
        </w:rPr>
        <w:br w:type="textWrapping"/>
      </w:r>
      <w:r>
        <w:rPr>
          <w:rFonts w:hint="eastAsia" w:ascii="仿宋_GB2312" w:hAnsi="Calibri" w:eastAsia="仿宋_GB2312" w:cs="仿宋"/>
          <w:color w:val="auto"/>
          <w:kern w:val="0"/>
          <w:sz w:val="32"/>
          <w:szCs w:val="32"/>
          <w:lang w:val="en-US" w:eastAsia="zh-CN" w:bidi="ar-SA"/>
        </w:rPr>
        <w:t xml:space="preserve">    9.承担老龄工作管理职能和孤儿、残疾人、五保户等特殊困难群体权益保护的行政管理工作；拟定并实施我县社会福利事业发展规划，指导城市社会福利事业单位的管理；审核、报批民政社会福利机构和社会福利企业；对城乡社会福利企业进行宏观管理；负责社会福利有奖募捐和福利资金的管理使用工作。</w:t>
      </w:r>
      <w:r>
        <w:rPr>
          <w:rFonts w:hint="eastAsia" w:ascii="仿宋_GB2312" w:hAnsi="Calibri" w:eastAsia="仿宋_GB2312" w:cs="仿宋"/>
          <w:color w:val="auto"/>
          <w:kern w:val="0"/>
          <w:sz w:val="32"/>
          <w:szCs w:val="32"/>
          <w:lang w:val="en-US" w:eastAsia="zh-CN" w:bidi="ar-SA"/>
        </w:rPr>
        <w:br w:type="textWrapping"/>
      </w:r>
      <w:r>
        <w:rPr>
          <w:rFonts w:hint="eastAsia" w:ascii="仿宋_GB2312" w:hAnsi="Calibri" w:eastAsia="仿宋_GB2312" w:cs="仿宋"/>
          <w:color w:val="auto"/>
          <w:kern w:val="0"/>
          <w:sz w:val="32"/>
          <w:szCs w:val="32"/>
          <w:lang w:val="en-US" w:eastAsia="zh-CN" w:bidi="ar-SA"/>
        </w:rPr>
        <w:t xml:space="preserve">    10.负责公墓的审核报批；推行殡葬改革，负责殡葬管理工作。</w:t>
      </w:r>
      <w:r>
        <w:rPr>
          <w:rFonts w:hint="eastAsia" w:ascii="仿宋_GB2312" w:hAnsi="Calibri" w:eastAsia="仿宋_GB2312" w:cs="仿宋"/>
          <w:color w:val="auto"/>
          <w:kern w:val="0"/>
          <w:sz w:val="32"/>
          <w:szCs w:val="32"/>
          <w:lang w:val="en-US" w:eastAsia="zh-CN" w:bidi="ar-SA"/>
        </w:rPr>
        <w:br w:type="textWrapping"/>
      </w:r>
      <w:r>
        <w:rPr>
          <w:rFonts w:hint="eastAsia" w:ascii="仿宋_GB2312" w:hAnsi="Calibri" w:eastAsia="仿宋_GB2312" w:cs="仿宋"/>
          <w:color w:val="auto"/>
          <w:kern w:val="0"/>
          <w:sz w:val="32"/>
          <w:szCs w:val="32"/>
          <w:lang w:val="en-US" w:eastAsia="zh-CN" w:bidi="ar-SA"/>
        </w:rPr>
        <w:t xml:space="preserve">    11.主管流浪乞讨人员的救助管理工作，指导、协调县救助管理站工作。</w:t>
      </w:r>
      <w:r>
        <w:rPr>
          <w:rFonts w:hint="eastAsia" w:ascii="仿宋_GB2312" w:hAnsi="Calibri" w:eastAsia="仿宋_GB2312" w:cs="仿宋"/>
          <w:color w:val="auto"/>
          <w:kern w:val="0"/>
          <w:sz w:val="32"/>
          <w:szCs w:val="32"/>
          <w:lang w:val="en-US" w:eastAsia="zh-CN" w:bidi="ar-SA"/>
        </w:rPr>
        <w:br w:type="textWrapping"/>
      </w:r>
      <w:r>
        <w:rPr>
          <w:rFonts w:hint="eastAsia" w:ascii="仿宋_GB2312" w:hAnsi="Calibri" w:eastAsia="仿宋_GB2312" w:cs="仿宋"/>
          <w:color w:val="auto"/>
          <w:kern w:val="0"/>
          <w:sz w:val="32"/>
          <w:szCs w:val="32"/>
          <w:lang w:val="en-US" w:eastAsia="zh-CN" w:bidi="ar-SA"/>
        </w:rPr>
        <w:t xml:space="preserve">    12.负责指导、协调社区建设工作。</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13.负责民政事业计划财务和统计工作，负责民政事业费的管理、使用和监督。</w:t>
      </w:r>
      <w:r>
        <w:rPr>
          <w:rFonts w:hint="eastAsia" w:ascii="仿宋_GB2312" w:hAnsi="Calibri" w:eastAsia="仿宋_GB2312" w:cs="仿宋"/>
          <w:color w:val="auto"/>
          <w:kern w:val="0"/>
          <w:sz w:val="32"/>
          <w:szCs w:val="32"/>
          <w:lang w:val="en-US" w:eastAsia="zh-CN" w:bidi="ar-SA"/>
        </w:rPr>
        <w:br w:type="textWrapping"/>
      </w:r>
      <w:r>
        <w:rPr>
          <w:rFonts w:hint="eastAsia" w:ascii="仿宋_GB2312" w:hAnsi="Calibri" w:eastAsia="仿宋_GB2312" w:cs="仿宋"/>
          <w:color w:val="auto"/>
          <w:kern w:val="0"/>
          <w:sz w:val="32"/>
          <w:szCs w:val="32"/>
          <w:lang w:val="en-US" w:eastAsia="zh-CN" w:bidi="ar-SA"/>
        </w:rPr>
        <w:t xml:space="preserve">    14.负责全县民政系统干部、工人的培训教育工作。</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15.承办县政府交办的其他事项。</w:t>
      </w:r>
    </w:p>
    <w:p>
      <w:pPr>
        <w:ind w:firstLine="640" w:firstLineChars="200"/>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2.人员概况</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民政局机关2022年末实有在职人员40人，其中行政在职8人，机关工勤编1人，事业编31人。</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宋体" w:hAnsi="宋体" w:eastAsia="宋体" w:cs="宋体"/>
          <w:kern w:val="0"/>
          <w:sz w:val="32"/>
          <w:szCs w:val="32"/>
          <w:lang w:val="en-US" w:eastAsia="zh-CN"/>
        </w:rPr>
        <w:t>二、单位资金收支情况</w:t>
      </w:r>
    </w:p>
    <w:p>
      <w:pPr>
        <w:ind w:firstLine="640" w:firstLineChars="200"/>
        <w:rPr>
          <w:rFonts w:hint="eastAsia" w:ascii="宋体" w:hAnsi="宋体" w:eastAsia="宋体" w:cs="宋体"/>
          <w:kern w:val="0"/>
          <w:sz w:val="32"/>
          <w:szCs w:val="32"/>
          <w:lang w:val="zh-CN" w:eastAsia="zh-CN"/>
        </w:rPr>
      </w:pPr>
      <w:r>
        <w:rPr>
          <w:rFonts w:hint="eastAsia" w:ascii="宋体" w:hAnsi="宋体" w:eastAsia="宋体" w:cs="宋体"/>
          <w:kern w:val="0"/>
          <w:sz w:val="32"/>
          <w:szCs w:val="32"/>
          <w:lang w:val="zh-CN" w:eastAsia="zh-CN"/>
        </w:rPr>
        <w:t>（一）单位财政拨款收支情况</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1.单位财政拨款收入情况</w:t>
      </w:r>
    </w:p>
    <w:p>
      <w:pPr>
        <w:ind w:firstLine="640" w:firstLineChars="200"/>
        <w:rPr>
          <w:rFonts w:hint="default"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2022年收入决算总额21720.44万元，其中：财政拨款收入17307.53万元，其他收入4412.91万元。</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2.单位财政拨款支出情况</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2022年支出决算总额21720.44万元，其中：社会保障和就业支出21168.54万元，卫生健康支出23.18万元，住房保障支出34.77万元，其他支出493.96万元。</w:t>
      </w:r>
    </w:p>
    <w:p>
      <w:pPr>
        <w:ind w:firstLine="640" w:firstLineChars="200"/>
        <w:rPr>
          <w:rFonts w:hint="eastAsia" w:ascii="仿宋_GB2312" w:hAnsi="Calibri" w:eastAsia="仿宋_GB2312" w:cs="仿宋"/>
          <w:color w:val="000000" w:themeColor="text1"/>
          <w:kern w:val="0"/>
          <w:sz w:val="32"/>
          <w:szCs w:val="32"/>
          <w:lang w:val="en-US" w:eastAsia="zh-CN" w:bidi="ar-SA"/>
          <w14:textFill>
            <w14:solidFill>
              <w14:schemeClr w14:val="tx1"/>
            </w14:solidFill>
          </w14:textFill>
        </w:rPr>
      </w:pPr>
      <w:r>
        <w:rPr>
          <w:rFonts w:hint="eastAsia" w:ascii="仿宋_GB2312" w:hAnsi="Calibri" w:eastAsia="仿宋_GB2312" w:cs="仿宋"/>
          <w:color w:val="000000" w:themeColor="text1"/>
          <w:kern w:val="0"/>
          <w:sz w:val="32"/>
          <w:szCs w:val="32"/>
          <w:lang w:val="en-US" w:eastAsia="zh-CN" w:bidi="ar-SA"/>
          <w14:textFill>
            <w14:solidFill>
              <w14:schemeClr w14:val="tx1"/>
            </w14:solidFill>
          </w14:textFill>
        </w:rPr>
        <w:t>2022年一般公共预算财政拨款基本支出666.21万元（其中：人员经费611.85万元，公用经费54.35万元）。公用经费含办公费12.7万元、印刷费3.25万元、水费2.13万元、电费9.44万元、邮电费0.05万元、物业管理费0.2万元、差旅费8.5万元、维修（护）费0.5万元、会议费3万元、培训费1万元、公务接待费2.76万元、公务用车运行维护费1.81万元、其他交通费用8.66万元。</w:t>
      </w:r>
    </w:p>
    <w:p>
      <w:pPr>
        <w:numPr>
          <w:ilvl w:val="0"/>
          <w:numId w:val="0"/>
        </w:num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3.单位财政拨款结转结余情况</w:t>
      </w:r>
    </w:p>
    <w:p>
      <w:pPr>
        <w:numPr>
          <w:ilvl w:val="0"/>
          <w:numId w:val="0"/>
        </w:num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2022年无财政拨款结转。</w:t>
      </w:r>
    </w:p>
    <w:p>
      <w:pPr>
        <w:ind w:firstLine="640" w:firstLineChars="200"/>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三、单位整体绩效分析</w:t>
      </w:r>
    </w:p>
    <w:p>
      <w:pPr>
        <w:ind w:firstLine="640" w:firstLineChars="200"/>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zh-CN" w:eastAsia="zh-CN"/>
        </w:rPr>
        <w:t>（一）单位预算项目绩效分析</w:t>
      </w:r>
      <w:r>
        <w:rPr>
          <w:rFonts w:hint="eastAsia" w:ascii="宋体" w:hAnsi="宋体" w:eastAsia="宋体" w:cs="宋体"/>
          <w:kern w:val="0"/>
          <w:sz w:val="32"/>
          <w:szCs w:val="32"/>
          <w:lang w:val="en-US" w:eastAsia="zh-CN"/>
        </w:rPr>
        <w:t xml:space="preserve"> </w:t>
      </w:r>
    </w:p>
    <w:p>
      <w:pPr>
        <w:ind w:firstLine="640" w:firstLineChars="200"/>
        <w:rPr>
          <w:rFonts w:hint="eastAsia" w:ascii="宋体" w:hAnsi="宋体" w:eastAsia="宋体" w:cs="宋体"/>
          <w:kern w:val="0"/>
          <w:sz w:val="32"/>
          <w:szCs w:val="32"/>
          <w:lang w:val="en-US" w:eastAsia="zh-CN"/>
        </w:rPr>
      </w:pPr>
      <w:r>
        <w:rPr>
          <w:rFonts w:hint="eastAsia" w:ascii="仿宋_GB2312" w:hAnsi="Calibri" w:eastAsia="仿宋_GB2312" w:cs="仿宋"/>
          <w:color w:val="auto"/>
          <w:kern w:val="0"/>
          <w:sz w:val="32"/>
          <w:szCs w:val="32"/>
          <w:lang w:val="en-US" w:eastAsia="zh-CN" w:bidi="ar-SA"/>
        </w:rPr>
        <w:t>1.人员类项目绩效分析</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2022年我局严格执行相关政策，保障工资及时、足额发放及社保及时、足额缴纳，预算编制科学合理，减少结余资金。</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2.运转类项目绩效分析</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2022年我局提高预算编制质量，严格执行预算，保障了单位日常运转。</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3.特定目标类项目绩效分析</w:t>
      </w:r>
    </w:p>
    <w:p>
      <w:pPr>
        <w:spacing w:line="600" w:lineRule="exact"/>
        <w:ind w:firstLine="640" w:firstLineChars="200"/>
        <w:rPr>
          <w:rFonts w:hint="eastAsia" w:ascii="仿宋" w:hAnsi="仿宋" w:eastAsia="仿宋"/>
          <w:sz w:val="32"/>
          <w:szCs w:val="32"/>
          <w:lang w:val="en-US" w:eastAsia="zh-CN"/>
        </w:rPr>
      </w:pPr>
      <w:r>
        <w:rPr>
          <w:rFonts w:hint="eastAsia" w:ascii="仿宋_GB2312" w:hAnsi="Calibri" w:eastAsia="仿宋_GB2312" w:cs="仿宋"/>
          <w:color w:val="auto"/>
          <w:kern w:val="0"/>
          <w:sz w:val="32"/>
          <w:szCs w:val="32"/>
          <w:lang w:val="en-US" w:eastAsia="zh-CN" w:bidi="ar-SA"/>
        </w:rPr>
        <w:t>2022年特定目标类项目申报内容与具体实施内容相符、申报目标合理可行，资金保障到位，确保了我局特定项目实施：精准保障，加大社会救助帮困工作力度，进一步规范城乡社会救助工作，保障困难群众基本生活；加强社会组织管理，简化社会组织登记程序，缩短办理时限，同时加强对社会组织日常监管；加强基层政权建设，加快推进“村规民约”工作，对乡镇的村（居）规民约进行规范和完善，充分发挥村（居）规民约在创新基层社会治理中的积极作用，引导全社会树立良好村风、民风，弘扬公序良俗；加强区划地名管理，巩固地名普查成果转化，规范地名管理，挖掘地名文化，完善了地名公共服务；认真贯彻落实部、省、市关于流浪乞讨人员和生活无着人员的救助管理文件精神，开展街头流浪乞讨救助行动，实现街头救助经常化；加强婚姻登记，2022年，共办理结婚登记2196对，离婚登记632对，补领结婚登记1463对，补领离婚登记76对登记合格率100%。；强化未成年人保护，依托福彩、慈善等公益项目资金，助力了孤儿教育等。</w:t>
      </w:r>
    </w:p>
    <w:p>
      <w:pPr>
        <w:ind w:firstLine="640" w:firstLineChars="200"/>
        <w:rPr>
          <w:rFonts w:hint="eastAsia" w:ascii="宋体" w:hAnsi="宋体" w:eastAsia="宋体" w:cs="宋体"/>
          <w:kern w:val="0"/>
          <w:sz w:val="32"/>
          <w:szCs w:val="32"/>
          <w:lang w:val="zh-CN" w:eastAsia="zh-CN"/>
        </w:rPr>
      </w:pPr>
      <w:r>
        <w:rPr>
          <w:rFonts w:hint="eastAsia" w:ascii="宋体" w:hAnsi="宋体" w:eastAsia="宋体" w:cs="宋体"/>
          <w:kern w:val="0"/>
          <w:sz w:val="32"/>
          <w:szCs w:val="32"/>
          <w:lang w:val="zh-CN" w:eastAsia="zh-CN"/>
        </w:rPr>
        <w:t>（二）结果应用情况</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我局项目支出股室合理编制绩效目标，积极开展自评，发现问题及时整改。我局绩效自评工作自开展以来都按照上级安排及时报送及时公开、对评价结果及时整改并运用，整体运行良好。</w:t>
      </w:r>
    </w:p>
    <w:p>
      <w:pPr>
        <w:ind w:firstLine="640" w:firstLineChars="200"/>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四、评价结论及建议</w:t>
      </w:r>
    </w:p>
    <w:p>
      <w:pPr>
        <w:ind w:firstLine="640" w:firstLineChars="200"/>
        <w:rPr>
          <w:rFonts w:hint="eastAsia" w:ascii="宋体" w:hAnsi="宋体" w:eastAsia="宋体" w:cs="宋体"/>
          <w:kern w:val="0"/>
          <w:sz w:val="32"/>
          <w:szCs w:val="32"/>
          <w:lang w:val="zh-CN" w:eastAsia="zh-CN"/>
        </w:rPr>
      </w:pPr>
      <w:r>
        <w:rPr>
          <w:rFonts w:hint="eastAsia" w:ascii="宋体" w:hAnsi="宋体" w:eastAsia="宋体" w:cs="宋体"/>
          <w:kern w:val="0"/>
          <w:sz w:val="32"/>
          <w:szCs w:val="32"/>
          <w:lang w:val="zh-CN" w:eastAsia="zh-CN"/>
        </w:rPr>
        <w:t>（一）评价结论</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综上所述，通过绩效自评，2022年我局整体支出政策依据充分，目标制定明确；按照计划有序实施，资金到位及时，经费使用严格按照相关财务管理制度执行，对资金的使用监管有力有效。整个支出实施达到了预期的绩效目标。</w:t>
      </w:r>
    </w:p>
    <w:p>
      <w:pPr>
        <w:ind w:firstLine="640" w:firstLineChars="200"/>
        <w:rPr>
          <w:rFonts w:hint="eastAsia" w:ascii="宋体" w:hAnsi="宋体" w:eastAsia="宋体" w:cs="宋体"/>
          <w:kern w:val="0"/>
          <w:sz w:val="32"/>
          <w:szCs w:val="32"/>
          <w:lang w:val="zh-CN" w:eastAsia="zh-CN"/>
        </w:rPr>
      </w:pPr>
      <w:r>
        <w:rPr>
          <w:rFonts w:hint="eastAsia" w:ascii="宋体" w:hAnsi="宋体" w:eastAsia="宋体" w:cs="宋体"/>
          <w:kern w:val="0"/>
          <w:sz w:val="32"/>
          <w:szCs w:val="32"/>
          <w:lang w:val="zh-CN" w:eastAsia="zh-CN"/>
        </w:rPr>
        <w:t>（二）存在问题</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单位事情多，任务重，人员配备不足，工作经费差口较大，希望在人员编制、经费方面给与更多的支持。</w:t>
      </w:r>
    </w:p>
    <w:p>
      <w:pPr>
        <w:ind w:firstLine="640" w:firstLineChars="200"/>
        <w:rPr>
          <w:rFonts w:hint="eastAsia" w:ascii="宋体" w:hAnsi="宋体" w:eastAsia="宋体" w:cs="宋体"/>
          <w:kern w:val="0"/>
          <w:sz w:val="32"/>
          <w:szCs w:val="32"/>
          <w:lang w:val="zh-CN" w:eastAsia="zh-CN"/>
        </w:rPr>
      </w:pPr>
      <w:r>
        <w:rPr>
          <w:rFonts w:hint="eastAsia" w:ascii="宋体" w:hAnsi="宋体" w:eastAsia="宋体" w:cs="宋体"/>
          <w:kern w:val="0"/>
          <w:sz w:val="32"/>
          <w:szCs w:val="32"/>
          <w:lang w:val="zh-CN" w:eastAsia="zh-CN"/>
        </w:rPr>
        <w:t>（三）改进建议</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我局在编制预算与执行中，将进一步重视预算的编制工作，提高预算编制的精确度，提高财政资金使用效率，尽量减少预算执行调整，把有限的经费做到科学、合理的分配。</w:t>
      </w:r>
    </w:p>
    <w:p>
      <w:pPr>
        <w:spacing w:line="600" w:lineRule="exact"/>
        <w:jc w:val="both"/>
        <w:outlineLvl w:val="0"/>
        <w:rPr>
          <w:rStyle w:val="28"/>
          <w:rFonts w:hint="eastAsia" w:ascii="黑体" w:hAnsi="黑体" w:eastAsia="黑体" w:cs="Times New Roman"/>
          <w:b w:val="0"/>
        </w:rPr>
      </w:pPr>
    </w:p>
    <w:p>
      <w:pPr>
        <w:pStyle w:val="2"/>
        <w:ind w:left="0" w:leftChars="0" w:firstLine="0" w:firstLineChars="0"/>
        <w:rPr>
          <w:rFonts w:hint="eastAsia"/>
        </w:rPr>
      </w:pPr>
    </w:p>
    <w:p>
      <w:pPr>
        <w:spacing w:line="600" w:lineRule="exact"/>
        <w:jc w:val="center"/>
        <w:outlineLvl w:val="0"/>
        <w:rPr>
          <w:rStyle w:val="28"/>
          <w:rFonts w:hint="eastAsia" w:ascii="黑体" w:hAnsi="黑体" w:eastAsia="黑体" w:cs="Times New Roman"/>
          <w:b w:val="0"/>
        </w:rPr>
      </w:pPr>
    </w:p>
    <w:p>
      <w:pPr>
        <w:pStyle w:val="2"/>
        <w:rPr>
          <w:rStyle w:val="28"/>
          <w:rFonts w:hint="eastAsia" w:ascii="黑体" w:hAnsi="黑体" w:eastAsia="黑体" w:cs="Times New Roman"/>
          <w:b w:val="0"/>
        </w:rPr>
      </w:pPr>
    </w:p>
    <w:p>
      <w:pPr>
        <w:pStyle w:val="3"/>
        <w:rPr>
          <w:rFonts w:hint="eastAsia"/>
        </w:rPr>
      </w:pPr>
    </w:p>
    <w:p>
      <w:pPr>
        <w:spacing w:line="600" w:lineRule="exact"/>
        <w:jc w:val="center"/>
        <w:outlineLvl w:val="0"/>
        <w:rPr>
          <w:rStyle w:val="28"/>
          <w:rFonts w:hint="eastAsia" w:ascii="黑体" w:hAnsi="黑体" w:eastAsia="黑体" w:cs="Times New Roman"/>
          <w:b w:val="0"/>
        </w:rPr>
      </w:pPr>
    </w:p>
    <w:p>
      <w:pPr>
        <w:spacing w:line="600" w:lineRule="exact"/>
        <w:jc w:val="center"/>
        <w:outlineLvl w:val="0"/>
        <w:rPr>
          <w:rStyle w:val="28"/>
          <w:rFonts w:hint="eastAsia" w:ascii="黑体" w:hAnsi="黑体" w:eastAsia="黑体" w:cs="Times New Roman"/>
          <w:b w:val="0"/>
        </w:rPr>
      </w:pPr>
    </w:p>
    <w:p>
      <w:pPr>
        <w:pStyle w:val="7"/>
        <w:rPr>
          <w:rStyle w:val="28"/>
          <w:rFonts w:hint="eastAsia" w:ascii="黑体" w:hAnsi="黑体" w:eastAsia="黑体" w:cs="Times New Roman"/>
          <w:b w:val="0"/>
        </w:rPr>
      </w:pPr>
    </w:p>
    <w:tbl>
      <w:tblPr>
        <w:tblStyle w:val="15"/>
        <w:tblW w:w="8779" w:type="dxa"/>
        <w:tblInd w:w="0" w:type="dxa"/>
        <w:shd w:val="clear" w:color="auto" w:fill="auto"/>
        <w:tblLayout w:type="fixed"/>
        <w:tblCellMar>
          <w:top w:w="0" w:type="dxa"/>
          <w:left w:w="0" w:type="dxa"/>
          <w:bottom w:w="0" w:type="dxa"/>
          <w:right w:w="0" w:type="dxa"/>
        </w:tblCellMar>
      </w:tblPr>
      <w:tblGrid>
        <w:gridCol w:w="682"/>
        <w:gridCol w:w="652"/>
        <w:gridCol w:w="469"/>
        <w:gridCol w:w="189"/>
        <w:gridCol w:w="1889"/>
        <w:gridCol w:w="226"/>
        <w:gridCol w:w="940"/>
        <w:gridCol w:w="1223"/>
        <w:gridCol w:w="934"/>
        <w:gridCol w:w="783"/>
        <w:gridCol w:w="792"/>
      </w:tblGrid>
      <w:tr>
        <w:tblPrEx>
          <w:tblCellMar>
            <w:top w:w="0" w:type="dxa"/>
            <w:left w:w="0" w:type="dxa"/>
            <w:bottom w:w="0" w:type="dxa"/>
            <w:right w:w="0" w:type="dxa"/>
          </w:tblCellMar>
        </w:tblPrEx>
        <w:trPr>
          <w:trHeight w:val="460" w:hRule="atLeast"/>
        </w:trPr>
        <w:tc>
          <w:tcPr>
            <w:tcW w:w="8779" w:type="dxa"/>
            <w:gridSpan w:val="11"/>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8"/>
                <w:szCs w:val="28"/>
                <w:u w:val="none"/>
                <w:lang w:val="en-US" w:eastAsia="zh-CN" w:bidi="ar"/>
              </w:rPr>
              <w:t>2022年度部门整体支出绩效目标自评表</w:t>
            </w:r>
          </w:p>
        </w:tc>
      </w:tr>
      <w:tr>
        <w:tblPrEx>
          <w:shd w:val="clear" w:color="auto" w:fill="auto"/>
          <w:tblCellMar>
            <w:top w:w="0" w:type="dxa"/>
            <w:left w:w="0" w:type="dxa"/>
            <w:bottom w:w="0" w:type="dxa"/>
            <w:right w:w="0" w:type="dxa"/>
          </w:tblCellMar>
        </w:tblPrEx>
        <w:trPr>
          <w:trHeight w:val="300" w:hRule="atLeast"/>
        </w:trPr>
        <w:tc>
          <w:tcPr>
            <w:tcW w:w="180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部门（单位）名称</w:t>
            </w:r>
          </w:p>
        </w:tc>
        <w:tc>
          <w:tcPr>
            <w:tcW w:w="6976"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剑阁县民政局部门</w:t>
            </w:r>
          </w:p>
        </w:tc>
      </w:tr>
      <w:tr>
        <w:tblPrEx>
          <w:tblCellMar>
            <w:top w:w="0" w:type="dxa"/>
            <w:left w:w="0" w:type="dxa"/>
            <w:bottom w:w="0" w:type="dxa"/>
            <w:right w:w="0" w:type="dxa"/>
          </w:tblCellMar>
        </w:tblPrEx>
        <w:trPr>
          <w:trHeight w:val="48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年度主要</w:t>
            </w:r>
          </w:p>
        </w:tc>
        <w:tc>
          <w:tcPr>
            <w:tcW w:w="319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年初任务目标</w:t>
            </w:r>
          </w:p>
        </w:tc>
        <w:tc>
          <w:tcPr>
            <w:tcW w:w="4898"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实际完成目标</w:t>
            </w:r>
          </w:p>
        </w:tc>
      </w:tr>
      <w:tr>
        <w:tblPrEx>
          <w:tblCellMar>
            <w:top w:w="0" w:type="dxa"/>
            <w:left w:w="0" w:type="dxa"/>
            <w:bottom w:w="0" w:type="dxa"/>
            <w:right w:w="0" w:type="dxa"/>
          </w:tblCellMar>
        </w:tblPrEx>
        <w:trPr>
          <w:trHeight w:val="5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任务</w:t>
            </w:r>
          </w:p>
        </w:tc>
        <w:tc>
          <w:tcPr>
            <w:tcW w:w="319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保障2022年社会救助对象的基本生活，保障二级部门的正常运转的日常支出。</w:t>
            </w:r>
          </w:p>
        </w:tc>
        <w:tc>
          <w:tcPr>
            <w:tcW w:w="4898"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保障了2022年社会救助对象的基本生活及二级部门的正常运转，完成市民政局和县委县政府下达的目标任务。</w:t>
            </w:r>
          </w:p>
        </w:tc>
      </w:tr>
      <w:tr>
        <w:tblPrEx>
          <w:tblCellMar>
            <w:top w:w="0" w:type="dxa"/>
            <w:left w:w="0" w:type="dxa"/>
            <w:bottom w:w="0" w:type="dxa"/>
            <w:right w:w="0" w:type="dxa"/>
          </w:tblCellMar>
        </w:tblPrEx>
        <w:trPr>
          <w:trHeight w:val="480"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预算执行情况（万元）</w:t>
            </w:r>
          </w:p>
        </w:tc>
        <w:tc>
          <w:tcPr>
            <w:tcW w:w="112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23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全年预算数（A）</w:t>
            </w:r>
          </w:p>
        </w:tc>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全年执行数（B）</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分值</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执行率（B/A)</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得分</w:t>
            </w:r>
          </w:p>
        </w:tc>
      </w:tr>
      <w:tr>
        <w:tblPrEx>
          <w:tblCellMar>
            <w:top w:w="0" w:type="dxa"/>
            <w:left w:w="0" w:type="dxa"/>
            <w:bottom w:w="0" w:type="dxa"/>
            <w:right w:w="0" w:type="dxa"/>
          </w:tblCellMar>
        </w:tblPrEx>
        <w:trPr>
          <w:trHeight w:val="480"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2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年度资金总额：</w:t>
            </w:r>
          </w:p>
        </w:tc>
        <w:tc>
          <w:tcPr>
            <w:tcW w:w="23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21515.5466</w:t>
            </w:r>
          </w:p>
        </w:tc>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21515.5466</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r>
      <w:tr>
        <w:tblPrEx>
          <w:tblCellMar>
            <w:top w:w="0" w:type="dxa"/>
            <w:left w:w="0" w:type="dxa"/>
            <w:bottom w:w="0" w:type="dxa"/>
            <w:right w:w="0" w:type="dxa"/>
          </w:tblCellMar>
        </w:tblPrEx>
        <w:trPr>
          <w:trHeight w:val="420"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2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其中：财政拨款</w:t>
            </w:r>
          </w:p>
        </w:tc>
        <w:tc>
          <w:tcPr>
            <w:tcW w:w="23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17102.6352</w:t>
            </w:r>
          </w:p>
        </w:tc>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17102.6352</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r>
      <w:tr>
        <w:tblPrEx>
          <w:tblCellMar>
            <w:top w:w="0" w:type="dxa"/>
            <w:left w:w="0" w:type="dxa"/>
            <w:bottom w:w="0" w:type="dxa"/>
            <w:right w:w="0" w:type="dxa"/>
          </w:tblCellMar>
        </w:tblPrEx>
        <w:trPr>
          <w:trHeight w:val="420"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2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其他资金</w:t>
            </w:r>
          </w:p>
        </w:tc>
        <w:tc>
          <w:tcPr>
            <w:tcW w:w="23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4412.9114</w:t>
            </w:r>
          </w:p>
        </w:tc>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4412.9114</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r>
      <w:tr>
        <w:tblPrEx>
          <w:tblCellMar>
            <w:top w:w="0" w:type="dxa"/>
            <w:left w:w="0" w:type="dxa"/>
            <w:bottom w:w="0" w:type="dxa"/>
            <w:right w:w="0" w:type="dxa"/>
          </w:tblCellMar>
        </w:tblPrEx>
        <w:trPr>
          <w:trHeight w:val="200"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年度总体目标</w:t>
            </w:r>
          </w:p>
        </w:tc>
        <w:tc>
          <w:tcPr>
            <w:tcW w:w="3199" w:type="dxa"/>
            <w:gridSpan w:val="4"/>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预期目标</w:t>
            </w:r>
          </w:p>
        </w:tc>
        <w:tc>
          <w:tcPr>
            <w:tcW w:w="4898" w:type="dxa"/>
            <w:gridSpan w:val="6"/>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实际完成目标</w:t>
            </w:r>
          </w:p>
        </w:tc>
      </w:tr>
      <w:tr>
        <w:tblPrEx>
          <w:tblCellMar>
            <w:top w:w="0" w:type="dxa"/>
            <w:left w:w="0" w:type="dxa"/>
            <w:bottom w:w="0" w:type="dxa"/>
            <w:right w:w="0" w:type="dxa"/>
          </w:tblCellMar>
        </w:tblPrEx>
        <w:trPr>
          <w:trHeight w:val="210"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19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4898"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800"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19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保障2022年社会救助对象的基本生活，保障二级部门的日常正常运转及完成市民政局和县委县政府下达的目标任务。</w:t>
            </w:r>
          </w:p>
        </w:tc>
        <w:tc>
          <w:tcPr>
            <w:tcW w:w="4898"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圆满完成任务并通过年度考核。</w:t>
            </w:r>
          </w:p>
        </w:tc>
      </w:tr>
      <w:tr>
        <w:tblPrEx>
          <w:tblCellMar>
            <w:top w:w="0" w:type="dxa"/>
            <w:left w:w="0" w:type="dxa"/>
            <w:bottom w:w="0" w:type="dxa"/>
            <w:right w:w="0" w:type="dxa"/>
          </w:tblCellMar>
        </w:tblPrEx>
        <w:trPr>
          <w:trHeight w:val="880" w:hRule="atLeast"/>
        </w:trPr>
        <w:tc>
          <w:tcPr>
            <w:tcW w:w="682"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年度绩效指标</w:t>
            </w:r>
          </w:p>
        </w:tc>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一级指标</w:t>
            </w:r>
          </w:p>
        </w:tc>
        <w:tc>
          <w:tcPr>
            <w:tcW w:w="6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二级指标</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三级指标</w:t>
            </w:r>
          </w:p>
        </w:tc>
        <w:tc>
          <w:tcPr>
            <w:tcW w:w="11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预期指标值（包含数字及文字描述）</w:t>
            </w:r>
          </w:p>
        </w:tc>
        <w:tc>
          <w:tcPr>
            <w:tcW w:w="1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实际完成指标值（包含数字及文字描述）</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未完成原因及拟采取的改进措施</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自评得分</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财政复评得分</w:t>
            </w:r>
          </w:p>
        </w:tc>
      </w:tr>
      <w:tr>
        <w:tblPrEx>
          <w:tblCellMar>
            <w:top w:w="0" w:type="dxa"/>
            <w:left w:w="0" w:type="dxa"/>
            <w:bottom w:w="0" w:type="dxa"/>
            <w:right w:w="0" w:type="dxa"/>
          </w:tblCellMar>
        </w:tblPrEx>
        <w:trPr>
          <w:trHeight w:val="520" w:hRule="atLeast"/>
        </w:trPr>
        <w:tc>
          <w:tcPr>
            <w:tcW w:w="68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完成指标</w:t>
            </w:r>
          </w:p>
        </w:tc>
        <w:tc>
          <w:tcPr>
            <w:tcW w:w="65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数量指标</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60年代精简生活补助</w:t>
            </w:r>
          </w:p>
        </w:tc>
        <w:tc>
          <w:tcPr>
            <w:tcW w:w="11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完成52人的生活补助发放</w:t>
            </w:r>
          </w:p>
        </w:tc>
        <w:tc>
          <w:tcPr>
            <w:tcW w:w="1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按月发放52人的生活补助</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5</w:t>
            </w:r>
          </w:p>
        </w:tc>
      </w:tr>
      <w:tr>
        <w:tblPrEx>
          <w:tblCellMar>
            <w:top w:w="0" w:type="dxa"/>
            <w:left w:w="0" w:type="dxa"/>
            <w:bottom w:w="0" w:type="dxa"/>
            <w:right w:w="0" w:type="dxa"/>
          </w:tblCellMar>
        </w:tblPrEx>
        <w:trPr>
          <w:trHeight w:val="460" w:hRule="atLeast"/>
        </w:trPr>
        <w:tc>
          <w:tcPr>
            <w:tcW w:w="68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8所中心敬老院定额补助的护理人员</w:t>
            </w:r>
          </w:p>
        </w:tc>
        <w:tc>
          <w:tcPr>
            <w:tcW w:w="11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完成29名护理人员定额补助</w:t>
            </w:r>
          </w:p>
        </w:tc>
        <w:tc>
          <w:tcPr>
            <w:tcW w:w="1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完成了29名护理人员定额补助</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5</w:t>
            </w:r>
          </w:p>
        </w:tc>
      </w:tr>
      <w:tr>
        <w:tblPrEx>
          <w:tblCellMar>
            <w:top w:w="0" w:type="dxa"/>
            <w:left w:w="0" w:type="dxa"/>
            <w:bottom w:w="0" w:type="dxa"/>
            <w:right w:w="0" w:type="dxa"/>
          </w:tblCellMar>
        </w:tblPrEx>
        <w:trPr>
          <w:trHeight w:val="780" w:hRule="atLeast"/>
        </w:trPr>
        <w:tc>
          <w:tcPr>
            <w:tcW w:w="68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城乡低保人数</w:t>
            </w:r>
          </w:p>
        </w:tc>
        <w:tc>
          <w:tcPr>
            <w:tcW w:w="11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保障全县低保对象农村41678人、城市4380人的基本生活</w:t>
            </w:r>
          </w:p>
        </w:tc>
        <w:tc>
          <w:tcPr>
            <w:tcW w:w="1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保障了全县低保对象农村</w:t>
            </w:r>
            <w:r>
              <w:rPr>
                <w:rFonts w:hint="eastAsia" w:ascii="宋体" w:hAnsi="宋体" w:cs="宋体"/>
                <w:i w:val="0"/>
                <w:color w:val="000000"/>
                <w:kern w:val="0"/>
                <w:sz w:val="16"/>
                <w:szCs w:val="16"/>
                <w:u w:val="none"/>
                <w:lang w:val="en-US" w:eastAsia="zh-CN" w:bidi="ar"/>
              </w:rPr>
              <w:t>42448</w:t>
            </w:r>
            <w:r>
              <w:rPr>
                <w:rFonts w:hint="eastAsia" w:ascii="宋体" w:hAnsi="宋体" w:eastAsia="宋体" w:cs="宋体"/>
                <w:i w:val="0"/>
                <w:color w:val="000000"/>
                <w:kern w:val="0"/>
                <w:sz w:val="16"/>
                <w:szCs w:val="16"/>
                <w:u w:val="none"/>
                <w:lang w:val="en-US" w:eastAsia="zh-CN" w:bidi="ar"/>
              </w:rPr>
              <w:t>人、城市</w:t>
            </w:r>
            <w:r>
              <w:rPr>
                <w:rFonts w:hint="eastAsia" w:ascii="宋体" w:hAnsi="宋体" w:cs="宋体"/>
                <w:i w:val="0"/>
                <w:color w:val="000000"/>
                <w:kern w:val="0"/>
                <w:sz w:val="16"/>
                <w:szCs w:val="16"/>
                <w:u w:val="none"/>
                <w:lang w:val="en-US" w:eastAsia="zh-CN" w:bidi="ar"/>
              </w:rPr>
              <w:t>4380</w:t>
            </w:r>
            <w:r>
              <w:rPr>
                <w:rFonts w:hint="eastAsia" w:ascii="宋体" w:hAnsi="宋体" w:eastAsia="宋体" w:cs="宋体"/>
                <w:i w:val="0"/>
                <w:color w:val="000000"/>
                <w:kern w:val="0"/>
                <w:sz w:val="16"/>
                <w:szCs w:val="16"/>
                <w:u w:val="none"/>
                <w:lang w:val="en-US" w:eastAsia="zh-CN" w:bidi="ar"/>
              </w:rPr>
              <w:t>人的基本生活</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5</w:t>
            </w:r>
          </w:p>
        </w:tc>
      </w:tr>
      <w:tr>
        <w:tblPrEx>
          <w:tblCellMar>
            <w:top w:w="0" w:type="dxa"/>
            <w:left w:w="0" w:type="dxa"/>
            <w:bottom w:w="0" w:type="dxa"/>
            <w:right w:w="0" w:type="dxa"/>
          </w:tblCellMar>
        </w:tblPrEx>
        <w:trPr>
          <w:trHeight w:val="700" w:hRule="atLeast"/>
        </w:trPr>
        <w:tc>
          <w:tcPr>
            <w:tcW w:w="68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二级部门的个数</w:t>
            </w:r>
          </w:p>
        </w:tc>
        <w:tc>
          <w:tcPr>
            <w:tcW w:w="11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保障3个二级部门水电气、办公等运转费用</w:t>
            </w:r>
          </w:p>
        </w:tc>
        <w:tc>
          <w:tcPr>
            <w:tcW w:w="1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保障了3个二级部门水电气、办公等运转费用</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5</w:t>
            </w:r>
          </w:p>
        </w:tc>
      </w:tr>
      <w:tr>
        <w:tblPrEx>
          <w:tblCellMar>
            <w:top w:w="0" w:type="dxa"/>
            <w:left w:w="0" w:type="dxa"/>
            <w:bottom w:w="0" w:type="dxa"/>
            <w:right w:w="0" w:type="dxa"/>
          </w:tblCellMar>
        </w:tblPrEx>
        <w:trPr>
          <w:trHeight w:val="700" w:hRule="atLeast"/>
        </w:trPr>
        <w:tc>
          <w:tcPr>
            <w:tcW w:w="68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高龄补贴人数</w:t>
            </w:r>
          </w:p>
        </w:tc>
        <w:tc>
          <w:tcPr>
            <w:tcW w:w="11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保障全县80岁以上12453名长寿老人补助</w:t>
            </w:r>
          </w:p>
        </w:tc>
        <w:tc>
          <w:tcPr>
            <w:tcW w:w="1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保障了全县80岁以上15168名长寿老人补助</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5</w:t>
            </w:r>
          </w:p>
        </w:tc>
      </w:tr>
      <w:tr>
        <w:tblPrEx>
          <w:tblCellMar>
            <w:top w:w="0" w:type="dxa"/>
            <w:left w:w="0" w:type="dxa"/>
            <w:bottom w:w="0" w:type="dxa"/>
            <w:right w:w="0" w:type="dxa"/>
          </w:tblCellMar>
        </w:tblPrEx>
        <w:trPr>
          <w:trHeight w:val="600" w:hRule="atLeast"/>
        </w:trPr>
        <w:tc>
          <w:tcPr>
            <w:tcW w:w="68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孤儿供养金人数</w:t>
            </w:r>
          </w:p>
        </w:tc>
        <w:tc>
          <w:tcPr>
            <w:tcW w:w="11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保障全县45名孤儿每月基本生活费</w:t>
            </w:r>
          </w:p>
        </w:tc>
        <w:tc>
          <w:tcPr>
            <w:tcW w:w="1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保障了全县45名孤儿每月基本生活费</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5</w:t>
            </w:r>
          </w:p>
        </w:tc>
      </w:tr>
      <w:tr>
        <w:tblPrEx>
          <w:tblCellMar>
            <w:top w:w="0" w:type="dxa"/>
            <w:left w:w="0" w:type="dxa"/>
            <w:bottom w:w="0" w:type="dxa"/>
            <w:right w:w="0" w:type="dxa"/>
          </w:tblCellMar>
        </w:tblPrEx>
        <w:trPr>
          <w:trHeight w:val="620" w:hRule="atLeast"/>
        </w:trPr>
        <w:tc>
          <w:tcPr>
            <w:tcW w:w="68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困难残疾人生活补贴人数</w:t>
            </w:r>
          </w:p>
        </w:tc>
        <w:tc>
          <w:tcPr>
            <w:tcW w:w="11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保障全县8510名困难残疾人生活补助</w:t>
            </w:r>
          </w:p>
        </w:tc>
        <w:tc>
          <w:tcPr>
            <w:tcW w:w="1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保障了8640名困难残疾人生活补助</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5</w:t>
            </w:r>
          </w:p>
        </w:tc>
      </w:tr>
      <w:tr>
        <w:tblPrEx>
          <w:tblCellMar>
            <w:top w:w="0" w:type="dxa"/>
            <w:left w:w="0" w:type="dxa"/>
            <w:bottom w:w="0" w:type="dxa"/>
            <w:right w:w="0" w:type="dxa"/>
          </w:tblCellMar>
        </w:tblPrEx>
        <w:trPr>
          <w:trHeight w:val="680" w:hRule="atLeast"/>
        </w:trPr>
        <w:tc>
          <w:tcPr>
            <w:tcW w:w="68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事实无人抚养儿童基本生活补助人数</w:t>
            </w:r>
          </w:p>
        </w:tc>
        <w:tc>
          <w:tcPr>
            <w:tcW w:w="11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保障全县63名事实无人抚养儿童的生活补助</w:t>
            </w:r>
          </w:p>
        </w:tc>
        <w:tc>
          <w:tcPr>
            <w:tcW w:w="1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保障了全县92名事实无人抚养儿童的生活补助</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5</w:t>
            </w:r>
          </w:p>
        </w:tc>
      </w:tr>
      <w:tr>
        <w:tblPrEx>
          <w:tblCellMar>
            <w:top w:w="0" w:type="dxa"/>
            <w:left w:w="0" w:type="dxa"/>
            <w:bottom w:w="0" w:type="dxa"/>
            <w:right w:w="0" w:type="dxa"/>
          </w:tblCellMar>
        </w:tblPrEx>
        <w:trPr>
          <w:trHeight w:val="680" w:hRule="atLeast"/>
        </w:trPr>
        <w:tc>
          <w:tcPr>
            <w:tcW w:w="68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特困人员供养金人数</w:t>
            </w:r>
          </w:p>
        </w:tc>
        <w:tc>
          <w:tcPr>
            <w:tcW w:w="11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保障全县2254名特困人员生活补助</w:t>
            </w:r>
          </w:p>
        </w:tc>
        <w:tc>
          <w:tcPr>
            <w:tcW w:w="1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保障了全县2228名特困人员生活补助</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5</w:t>
            </w:r>
          </w:p>
        </w:tc>
      </w:tr>
      <w:tr>
        <w:tblPrEx>
          <w:tblCellMar>
            <w:top w:w="0" w:type="dxa"/>
            <w:left w:w="0" w:type="dxa"/>
            <w:bottom w:w="0" w:type="dxa"/>
            <w:right w:w="0" w:type="dxa"/>
          </w:tblCellMar>
        </w:tblPrEx>
        <w:trPr>
          <w:trHeight w:val="840" w:hRule="atLeast"/>
        </w:trPr>
        <w:tc>
          <w:tcPr>
            <w:tcW w:w="68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一、二级残疾人护理补贴人数</w:t>
            </w:r>
          </w:p>
        </w:tc>
        <w:tc>
          <w:tcPr>
            <w:tcW w:w="11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保障全县一级2361名、二级5219名残疾人护理补贴</w:t>
            </w:r>
          </w:p>
        </w:tc>
        <w:tc>
          <w:tcPr>
            <w:tcW w:w="1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保障了全县一级2283名、二级5131名残疾人护理补贴</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5</w:t>
            </w:r>
          </w:p>
        </w:tc>
      </w:tr>
      <w:tr>
        <w:tblPrEx>
          <w:tblCellMar>
            <w:top w:w="0" w:type="dxa"/>
            <w:left w:w="0" w:type="dxa"/>
            <w:bottom w:w="0" w:type="dxa"/>
            <w:right w:w="0" w:type="dxa"/>
          </w:tblCellMar>
        </w:tblPrEx>
        <w:trPr>
          <w:trHeight w:val="856" w:hRule="atLeast"/>
        </w:trPr>
        <w:tc>
          <w:tcPr>
            <w:tcW w:w="68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质量指标</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困难群众生活补助资金保障率</w:t>
            </w:r>
          </w:p>
        </w:tc>
        <w:tc>
          <w:tcPr>
            <w:tcW w:w="11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5</w:t>
            </w:r>
          </w:p>
        </w:tc>
      </w:tr>
      <w:tr>
        <w:tblPrEx>
          <w:tblCellMar>
            <w:top w:w="0" w:type="dxa"/>
            <w:left w:w="0" w:type="dxa"/>
            <w:bottom w:w="0" w:type="dxa"/>
            <w:right w:w="0" w:type="dxa"/>
          </w:tblCellMar>
        </w:tblPrEx>
        <w:trPr>
          <w:trHeight w:val="1039" w:hRule="atLeast"/>
        </w:trPr>
        <w:tc>
          <w:tcPr>
            <w:tcW w:w="68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时效指标</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困难群众生活补助按月足额发放率</w:t>
            </w:r>
          </w:p>
        </w:tc>
        <w:tc>
          <w:tcPr>
            <w:tcW w:w="11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5</w:t>
            </w:r>
          </w:p>
        </w:tc>
      </w:tr>
      <w:tr>
        <w:tblPrEx>
          <w:tblCellMar>
            <w:top w:w="0" w:type="dxa"/>
            <w:left w:w="0" w:type="dxa"/>
            <w:bottom w:w="0" w:type="dxa"/>
            <w:right w:w="0" w:type="dxa"/>
          </w:tblCellMar>
        </w:tblPrEx>
        <w:trPr>
          <w:trHeight w:val="765" w:hRule="atLeast"/>
        </w:trPr>
        <w:tc>
          <w:tcPr>
            <w:tcW w:w="68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5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社会效益</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部门运转保障率</w:t>
            </w:r>
          </w:p>
        </w:tc>
        <w:tc>
          <w:tcPr>
            <w:tcW w:w="11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10</w:t>
            </w:r>
          </w:p>
        </w:tc>
      </w:tr>
      <w:tr>
        <w:tblPrEx>
          <w:tblCellMar>
            <w:top w:w="0" w:type="dxa"/>
            <w:left w:w="0" w:type="dxa"/>
            <w:bottom w:w="0" w:type="dxa"/>
            <w:right w:w="0" w:type="dxa"/>
          </w:tblCellMar>
        </w:tblPrEx>
        <w:trPr>
          <w:trHeight w:val="815" w:hRule="atLeast"/>
        </w:trPr>
        <w:tc>
          <w:tcPr>
            <w:tcW w:w="68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困难群众基本生活保障率</w:t>
            </w:r>
          </w:p>
        </w:tc>
        <w:tc>
          <w:tcPr>
            <w:tcW w:w="11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10</w:t>
            </w:r>
          </w:p>
        </w:tc>
      </w:tr>
      <w:tr>
        <w:tblPrEx>
          <w:tblCellMar>
            <w:top w:w="0" w:type="dxa"/>
            <w:left w:w="0" w:type="dxa"/>
            <w:bottom w:w="0" w:type="dxa"/>
            <w:right w:w="0" w:type="dxa"/>
          </w:tblCellMar>
        </w:tblPrEx>
        <w:trPr>
          <w:trHeight w:val="1139" w:hRule="atLeast"/>
        </w:trPr>
        <w:tc>
          <w:tcPr>
            <w:tcW w:w="68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5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w:t>
            </w:r>
          </w:p>
        </w:tc>
        <w:tc>
          <w:tcPr>
            <w:tcW w:w="658"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w:t>
            </w:r>
          </w:p>
        </w:tc>
        <w:tc>
          <w:tcPr>
            <w:tcW w:w="188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困难群众满意度</w:t>
            </w:r>
          </w:p>
        </w:tc>
        <w:tc>
          <w:tcPr>
            <w:tcW w:w="1166"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≥90%</w:t>
            </w:r>
          </w:p>
        </w:tc>
        <w:tc>
          <w:tcPr>
            <w:tcW w:w="122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≥90%</w:t>
            </w:r>
          </w:p>
        </w:tc>
        <w:tc>
          <w:tcPr>
            <w:tcW w:w="934"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783"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792"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10</w:t>
            </w:r>
          </w:p>
        </w:tc>
      </w:tr>
    </w:tbl>
    <w:p>
      <w:pPr>
        <w:pStyle w:val="7"/>
        <w:rPr>
          <w:rStyle w:val="28"/>
          <w:rFonts w:hint="eastAsia" w:ascii="黑体" w:hAnsi="黑体" w:eastAsia="黑体" w:cs="Times New Roman"/>
          <w:b w:val="0"/>
        </w:rPr>
        <w:sectPr>
          <w:headerReference r:id="rId3" w:type="default"/>
          <w:footerReference r:id="rId4" w:type="default"/>
          <w:pgSz w:w="11906" w:h="16838"/>
          <w:pgMar w:top="1440" w:right="1746" w:bottom="1440" w:left="1746" w:header="851" w:footer="992" w:gutter="0"/>
          <w:pgNumType w:start="1"/>
          <w:cols w:space="425" w:num="1"/>
          <w:titlePg/>
          <w:docGrid w:type="lines" w:linePitch="312" w:charSpace="0"/>
        </w:sectPr>
      </w:pPr>
    </w:p>
    <w:p>
      <w:pPr>
        <w:keepNext w:val="0"/>
        <w:keepLines w:val="0"/>
        <w:pageBreakBefore w:val="0"/>
        <w:widowControl w:val="0"/>
        <w:kinsoku/>
        <w:overflowPunct/>
        <w:topLinePunct w:val="0"/>
        <w:autoSpaceDE/>
        <w:autoSpaceDN/>
        <w:bidi w:val="0"/>
        <w:adjustRightInd w:val="0"/>
        <w:snapToGrid w:val="0"/>
        <w:spacing w:line="580" w:lineRule="exact"/>
        <w:ind w:left="0" w:leftChars="0" w:firstLine="0" w:firstLineChars="0"/>
        <w:jc w:val="center"/>
        <w:rPr>
          <w:rFonts w:hint="eastAsia" w:ascii="华文中宋" w:hAnsi="华文中宋" w:eastAsia="华文中宋" w:cs="华文中宋"/>
          <w:b/>
          <w:bCs/>
          <w:sz w:val="44"/>
          <w:szCs w:val="44"/>
          <w:lang w:val="zh-CN" w:eastAsia="zh-CN"/>
        </w:rPr>
      </w:pPr>
      <w:r>
        <w:rPr>
          <w:rFonts w:hint="eastAsia" w:ascii="华文中宋" w:hAnsi="华文中宋" w:eastAsia="华文中宋" w:cs="华文中宋"/>
          <w:b/>
          <w:bCs/>
          <w:sz w:val="44"/>
          <w:szCs w:val="44"/>
          <w:lang w:val="zh-CN" w:eastAsia="zh-CN"/>
        </w:rPr>
        <w:t>剑阁县民政局</w:t>
      </w:r>
      <w:r>
        <w:rPr>
          <w:rFonts w:hint="eastAsia" w:ascii="华文中宋" w:hAnsi="华文中宋" w:eastAsia="华文中宋" w:cs="华文中宋"/>
          <w:b/>
          <w:bCs/>
          <w:sz w:val="44"/>
          <w:szCs w:val="44"/>
          <w:lang w:val="en-US" w:eastAsia="zh-CN"/>
        </w:rPr>
        <w:t>2022年</w:t>
      </w:r>
      <w:r>
        <w:rPr>
          <w:rFonts w:hint="eastAsia" w:ascii="华文中宋" w:hAnsi="华文中宋" w:eastAsia="华文中宋" w:cs="华文中宋"/>
          <w:b/>
          <w:bCs/>
          <w:sz w:val="44"/>
          <w:szCs w:val="44"/>
          <w:lang w:val="zh-CN" w:eastAsia="zh-CN"/>
        </w:rPr>
        <w:t>城乡最低生活保障金</w:t>
      </w:r>
    </w:p>
    <w:p>
      <w:pPr>
        <w:keepNext w:val="0"/>
        <w:keepLines w:val="0"/>
        <w:pageBreakBefore w:val="0"/>
        <w:widowControl w:val="0"/>
        <w:kinsoku/>
        <w:overflowPunct/>
        <w:topLinePunct w:val="0"/>
        <w:autoSpaceDE/>
        <w:autoSpaceDN/>
        <w:bidi w:val="0"/>
        <w:adjustRightInd w:val="0"/>
        <w:snapToGrid w:val="0"/>
        <w:spacing w:line="580" w:lineRule="exact"/>
        <w:ind w:left="0" w:leftChars="0" w:firstLine="0" w:firstLineChars="0"/>
        <w:jc w:val="center"/>
        <w:rPr>
          <w:rFonts w:hint="eastAsia" w:ascii="华文中宋" w:hAnsi="华文中宋" w:eastAsia="华文中宋" w:cs="华文中宋"/>
          <w:b/>
          <w:bCs/>
          <w:sz w:val="44"/>
          <w:szCs w:val="44"/>
          <w:lang w:val="zh-CN" w:eastAsia="zh-CN"/>
        </w:rPr>
      </w:pPr>
      <w:r>
        <w:rPr>
          <w:rFonts w:hint="eastAsia" w:ascii="华文中宋" w:hAnsi="华文中宋" w:eastAsia="华文中宋" w:cs="华文中宋"/>
          <w:b/>
          <w:bCs/>
          <w:sz w:val="44"/>
          <w:szCs w:val="44"/>
          <w:lang w:val="zh-CN"/>
        </w:rPr>
        <w:t>支出绩效自评报告</w:t>
      </w:r>
      <w:r>
        <w:rPr>
          <w:rFonts w:hint="eastAsia" w:ascii="华文中宋" w:hAnsi="华文中宋" w:eastAsia="华文中宋" w:cs="华文中宋"/>
          <w:b/>
          <w:bCs/>
          <w:sz w:val="44"/>
          <w:szCs w:val="44"/>
          <w:lang w:val="en-US" w:eastAsia="zh-CN"/>
        </w:rPr>
        <w:t xml:space="preserve"> </w:t>
      </w:r>
    </w:p>
    <w:p>
      <w:pPr>
        <w:keepNext w:val="0"/>
        <w:keepLines w:val="0"/>
        <w:pageBreakBefore w:val="0"/>
        <w:widowControl w:val="0"/>
        <w:kinsoku/>
        <w:overflowPunct/>
        <w:topLinePunct w:val="0"/>
        <w:autoSpaceDE/>
        <w:autoSpaceDN/>
        <w:bidi w:val="0"/>
        <w:adjustRightInd w:val="0"/>
        <w:snapToGrid w:val="0"/>
        <w:spacing w:line="580" w:lineRule="exact"/>
        <w:ind w:firstLine="720"/>
        <w:rPr>
          <w:rFonts w:hint="eastAsia" w:ascii="仿宋_GB2312" w:hAnsi="宋体" w:eastAsia="宋体"/>
          <w:sz w:val="44"/>
          <w:szCs w:val="44"/>
          <w:lang w:val="zh-CN" w:eastAsia="zh-CN"/>
        </w:rPr>
      </w:pPr>
      <w:r>
        <w:rPr>
          <w:rFonts w:hint="eastAsia" w:ascii="华文中宋" w:hAnsi="华文中宋" w:eastAsia="华文中宋" w:cs="华文中宋"/>
          <w:b w:val="0"/>
          <w:bCs w:val="0"/>
          <w:sz w:val="44"/>
          <w:szCs w:val="44"/>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b/>
          <w:bCs/>
          <w:sz w:val="32"/>
          <w:szCs w:val="32"/>
          <w:lang w:val="zh-CN"/>
        </w:rPr>
      </w:pPr>
      <w:r>
        <w:rPr>
          <w:rFonts w:hint="eastAsia" w:ascii="黑体" w:hAnsi="黑体" w:eastAsia="黑体" w:cs="黑体"/>
          <w:b/>
          <w:bCs/>
          <w:sz w:val="32"/>
          <w:szCs w:val="32"/>
          <w:lang w:val="zh-CN"/>
        </w:rPr>
        <w:t>一、项目概况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2" w:firstLineChars="200"/>
        <w:textAlignment w:val="auto"/>
        <w:rPr>
          <w:rFonts w:hint="eastAsia" w:ascii="华文楷体" w:hAnsi="华文楷体" w:eastAsia="华文楷体" w:cs="华文楷体"/>
          <w:b/>
          <w:bCs/>
          <w:sz w:val="32"/>
          <w:szCs w:val="32"/>
          <w:lang w:val="zh-CN"/>
        </w:rPr>
      </w:pPr>
      <w:r>
        <w:rPr>
          <w:rFonts w:hint="eastAsia" w:ascii="华文楷体" w:hAnsi="华文楷体" w:eastAsia="华文楷体" w:cs="华文楷体"/>
          <w:b/>
          <w:bCs/>
          <w:sz w:val="32"/>
          <w:szCs w:val="32"/>
          <w:lang w:val="zh-CN"/>
        </w:rPr>
        <w:t>（一）项目资金申报及批复情况。</w:t>
      </w:r>
    </w:p>
    <w:p>
      <w:pPr>
        <w:ind w:firstLine="640" w:firstLineChars="200"/>
        <w:rPr>
          <w:rFonts w:hint="eastAsia" w:ascii="仿宋_GB2312" w:hAnsi="Calibri" w:eastAsia="仿宋_GB2312" w:cs="仿宋"/>
          <w:color w:val="auto"/>
          <w:kern w:val="0"/>
          <w:sz w:val="32"/>
          <w:szCs w:val="32"/>
          <w:lang w:val="zh-CN" w:eastAsia="zh-CN" w:bidi="ar-SA"/>
        </w:rPr>
      </w:pPr>
      <w:r>
        <w:rPr>
          <w:rFonts w:hint="eastAsia" w:ascii="仿宋_GB2312" w:hAnsi="Calibri" w:eastAsia="仿宋_GB2312" w:cs="仿宋"/>
          <w:color w:val="auto"/>
          <w:kern w:val="0"/>
          <w:sz w:val="32"/>
          <w:szCs w:val="32"/>
          <w:lang w:val="zh-CN" w:eastAsia="zh-CN" w:bidi="ar-SA"/>
        </w:rPr>
        <w:t>剑阁县民政局</w:t>
      </w:r>
      <w:r>
        <w:rPr>
          <w:rFonts w:hint="eastAsia" w:ascii="仿宋_GB2312" w:hAnsi="Calibri" w:eastAsia="仿宋_GB2312" w:cs="仿宋"/>
          <w:color w:val="auto"/>
          <w:kern w:val="0"/>
          <w:sz w:val="32"/>
          <w:szCs w:val="32"/>
          <w:lang w:val="en-US" w:eastAsia="zh-CN" w:bidi="ar-SA"/>
        </w:rPr>
        <w:t>2022年度</w:t>
      </w:r>
      <w:r>
        <w:rPr>
          <w:rFonts w:hint="eastAsia" w:ascii="仿宋_GB2312" w:hAnsi="Calibri" w:eastAsia="仿宋_GB2312" w:cs="仿宋"/>
          <w:color w:val="auto"/>
          <w:kern w:val="0"/>
          <w:sz w:val="32"/>
          <w:szCs w:val="32"/>
          <w:lang w:val="zh-CN" w:eastAsia="zh-CN" w:bidi="ar-SA"/>
        </w:rPr>
        <w:t>城乡最低生活保障金全年申报资金</w:t>
      </w:r>
      <w:r>
        <w:rPr>
          <w:rFonts w:hint="eastAsia" w:ascii="仿宋_GB2312" w:hAnsi="Calibri" w:eastAsia="仿宋_GB2312" w:cs="仿宋"/>
          <w:color w:val="auto"/>
          <w:kern w:val="0"/>
          <w:sz w:val="32"/>
          <w:szCs w:val="32"/>
          <w:lang w:val="en-US" w:eastAsia="zh-CN" w:bidi="ar-SA"/>
        </w:rPr>
        <w:t>13006.4886万元，财政批复13006.4886万元。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720" w:leftChars="0"/>
        <w:textAlignment w:val="auto"/>
        <w:rPr>
          <w:rFonts w:hint="eastAsia" w:ascii="华文楷体" w:hAnsi="华文楷体" w:eastAsia="华文楷体" w:cs="华文楷体"/>
          <w:b/>
          <w:bCs/>
          <w:sz w:val="32"/>
          <w:szCs w:val="32"/>
          <w:lang w:val="zh-CN"/>
        </w:rPr>
      </w:pPr>
      <w:r>
        <w:rPr>
          <w:rFonts w:hint="eastAsia" w:ascii="华文楷体" w:hAnsi="华文楷体" w:eastAsia="华文楷体" w:cs="华文楷体"/>
          <w:b/>
          <w:bCs/>
          <w:sz w:val="32"/>
          <w:szCs w:val="32"/>
          <w:lang w:val="zh-CN"/>
        </w:rPr>
        <w:t>（二）项目绩效目标。</w:t>
      </w:r>
    </w:p>
    <w:p>
      <w:pPr>
        <w:ind w:firstLine="640" w:firstLineChars="200"/>
        <w:rPr>
          <w:rFonts w:hint="eastAsia" w:ascii="仿宋_GB2312" w:hAnsi="Calibri" w:eastAsia="仿宋_GB2312" w:cs="仿宋"/>
          <w:color w:val="auto"/>
          <w:kern w:val="0"/>
          <w:sz w:val="32"/>
          <w:szCs w:val="32"/>
          <w:lang w:val="zh-CN" w:eastAsia="zh-CN" w:bidi="ar-SA"/>
        </w:rPr>
      </w:pPr>
      <w:r>
        <w:rPr>
          <w:rFonts w:hint="eastAsia" w:ascii="仿宋_GB2312" w:hAnsi="Calibri" w:eastAsia="仿宋_GB2312" w:cs="仿宋"/>
          <w:color w:val="auto"/>
          <w:kern w:val="0"/>
          <w:sz w:val="32"/>
          <w:szCs w:val="32"/>
          <w:lang w:val="en-US" w:eastAsia="zh-CN" w:bidi="ar-SA"/>
        </w:rPr>
        <w:t>2022年度</w:t>
      </w:r>
      <w:r>
        <w:rPr>
          <w:rFonts w:hint="eastAsia" w:ascii="仿宋_GB2312" w:hAnsi="Calibri" w:eastAsia="仿宋_GB2312" w:cs="仿宋"/>
          <w:color w:val="auto"/>
          <w:kern w:val="0"/>
          <w:sz w:val="32"/>
          <w:szCs w:val="32"/>
          <w:lang w:val="zh-CN" w:eastAsia="zh-CN" w:bidi="ar-SA"/>
        </w:rPr>
        <w:t>城乡最低生活保障金</w:t>
      </w:r>
      <w:r>
        <w:rPr>
          <w:rFonts w:hint="eastAsia" w:ascii="仿宋_GB2312" w:hAnsi="Calibri" w:eastAsia="仿宋_GB2312" w:cs="仿宋"/>
          <w:color w:val="auto"/>
          <w:kern w:val="0"/>
          <w:sz w:val="32"/>
          <w:szCs w:val="32"/>
          <w:lang w:val="en-US" w:eastAsia="zh-CN" w:bidi="ar-SA"/>
        </w:rPr>
        <w:t>基本做到了“应保尽保、应退尽退”的每月动态保障管理模式，所有的</w:t>
      </w:r>
      <w:r>
        <w:rPr>
          <w:rFonts w:hint="eastAsia" w:ascii="仿宋_GB2312" w:hAnsi="Calibri" w:eastAsia="仿宋_GB2312" w:cs="仿宋"/>
          <w:color w:val="auto"/>
          <w:kern w:val="0"/>
          <w:sz w:val="32"/>
          <w:szCs w:val="32"/>
          <w:lang w:val="zh-CN" w:eastAsia="zh-CN" w:bidi="ar-SA"/>
        </w:rPr>
        <w:t>最低生活保障金</w:t>
      </w:r>
      <w:r>
        <w:rPr>
          <w:rFonts w:hint="eastAsia" w:ascii="仿宋_GB2312" w:hAnsi="Calibri" w:eastAsia="仿宋_GB2312" w:cs="仿宋"/>
          <w:color w:val="auto"/>
          <w:kern w:val="0"/>
          <w:sz w:val="32"/>
          <w:szCs w:val="32"/>
          <w:lang w:val="en-US" w:eastAsia="zh-CN" w:bidi="ar-SA"/>
        </w:rPr>
        <w:t>做到按月在“一卡通”平台发放。发放不成功的救助人员花名册，及时返回乡镇民政办业务人员，他们需在规定的时间内核实、修改、完善相关内容后，再通过民政局“一卡通”平台发放。城乡</w:t>
      </w:r>
      <w:r>
        <w:rPr>
          <w:rFonts w:hint="eastAsia" w:ascii="仿宋_GB2312" w:hAnsi="Calibri" w:eastAsia="仿宋_GB2312" w:cs="仿宋"/>
          <w:color w:val="auto"/>
          <w:kern w:val="0"/>
          <w:sz w:val="32"/>
          <w:szCs w:val="32"/>
          <w:lang w:val="zh-CN" w:eastAsia="zh-CN" w:bidi="ar-SA"/>
        </w:rPr>
        <w:t>最低生活保障金</w:t>
      </w:r>
      <w:r>
        <w:rPr>
          <w:rFonts w:hint="eastAsia" w:ascii="仿宋_GB2312" w:hAnsi="Calibri" w:eastAsia="仿宋_GB2312" w:cs="仿宋"/>
          <w:color w:val="auto"/>
          <w:kern w:val="0"/>
          <w:sz w:val="32"/>
          <w:szCs w:val="32"/>
          <w:lang w:val="en-US" w:eastAsia="zh-CN" w:bidi="ar-SA"/>
        </w:rPr>
        <w:t>的对象、救助标准严格按照相关规定评议、审核，确保了救助对象的“精准”，使困难群众基本生活得到保障。</w:t>
      </w:r>
    </w:p>
    <w:p>
      <w:pPr>
        <w:pStyle w:val="2"/>
        <w:rPr>
          <w:rFonts w:hint="eastAsia"/>
          <w:lang w:val="zh-CN"/>
        </w:rPr>
      </w:pPr>
      <w:r>
        <w:rPr>
          <w:rFonts w:hint="eastAsia" w:ascii="仿宋" w:hAnsi="仿宋" w:eastAsia="仿宋" w:cs="仿宋"/>
          <w:b/>
          <w:bCs/>
          <w:sz w:val="32"/>
          <w:szCs w:val="32"/>
          <w:lang w:val="zh-CN"/>
        </w:rPr>
        <w:t>（三）</w:t>
      </w:r>
      <w:r>
        <w:rPr>
          <w:rFonts w:hint="eastAsia" w:ascii="华文楷体" w:hAnsi="华文楷体" w:eastAsia="华文楷体" w:cs="华文楷体"/>
          <w:b/>
          <w:bCs/>
          <w:color w:val="auto"/>
          <w:kern w:val="2"/>
          <w:sz w:val="32"/>
          <w:szCs w:val="32"/>
          <w:lang w:val="zh-CN" w:eastAsia="zh-CN" w:bidi="ar-SA"/>
        </w:rPr>
        <w:t>项目资金申报相符性。</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textAlignment w:val="auto"/>
        <w:rPr>
          <w:rFonts w:hint="eastAsia" w:ascii="仿宋_GB2312" w:hAnsi="Calibri" w:eastAsia="仿宋_GB2312" w:cs="仿宋"/>
          <w:color w:val="auto"/>
          <w:kern w:val="0"/>
          <w:sz w:val="32"/>
          <w:szCs w:val="32"/>
          <w:lang w:val="zh-CN" w:eastAsia="zh-CN" w:bidi="ar-SA"/>
        </w:rPr>
      </w:pPr>
      <w:r>
        <w:rPr>
          <w:rFonts w:hint="eastAsia" w:ascii="华文楷体" w:hAnsi="华文楷体" w:eastAsia="华文楷体" w:cs="华文楷体"/>
          <w:b/>
          <w:bCs/>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仿宋_GB2312" w:hAnsi="Calibri" w:eastAsia="仿宋_GB2312" w:cs="仿宋"/>
          <w:color w:val="auto"/>
          <w:kern w:val="0"/>
          <w:sz w:val="32"/>
          <w:szCs w:val="32"/>
          <w:lang w:val="en-US" w:eastAsia="zh-CN" w:bidi="ar-SA"/>
        </w:rPr>
        <w:t>该</w:t>
      </w:r>
      <w:r>
        <w:rPr>
          <w:rFonts w:hint="eastAsia" w:ascii="仿宋_GB2312" w:hAnsi="Calibri" w:eastAsia="仿宋_GB2312" w:cs="仿宋"/>
          <w:color w:val="auto"/>
          <w:kern w:val="0"/>
          <w:sz w:val="32"/>
          <w:szCs w:val="32"/>
          <w:lang w:val="zh-CN" w:eastAsia="zh-CN" w:bidi="ar-SA"/>
        </w:rPr>
        <w:t>项目申报内容与具体实施内容相符、申报目标合理可行。</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b/>
          <w:bCs/>
          <w:sz w:val="32"/>
          <w:szCs w:val="32"/>
          <w:lang w:val="zh-CN"/>
        </w:rPr>
      </w:pPr>
      <w:r>
        <w:rPr>
          <w:rFonts w:hint="eastAsia" w:ascii="黑体" w:hAnsi="黑体" w:eastAsia="黑体" w:cs="黑体"/>
          <w:b/>
          <w:bCs/>
          <w:sz w:val="32"/>
          <w:szCs w:val="32"/>
          <w:lang w:val="zh-CN"/>
        </w:rPr>
        <w:t>二、项目实施及管理情况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华文楷体" w:hAnsi="华文楷体" w:eastAsia="华文楷体" w:cs="华文楷体"/>
          <w:b/>
          <w:bCs/>
          <w:sz w:val="32"/>
          <w:szCs w:val="32"/>
          <w:lang w:val="zh-CN"/>
        </w:rPr>
      </w:pPr>
      <w:r>
        <w:rPr>
          <w:rFonts w:hint="eastAsia" w:ascii="华文楷体" w:hAnsi="华文楷体" w:eastAsia="华文楷体" w:cs="华文楷体"/>
          <w:b/>
          <w:bCs/>
          <w:sz w:val="32"/>
          <w:szCs w:val="32"/>
          <w:lang w:val="zh-CN"/>
        </w:rPr>
        <w:tab/>
      </w:r>
      <w:r>
        <w:rPr>
          <w:rFonts w:hint="eastAsia" w:ascii="华文楷体" w:hAnsi="华文楷体" w:eastAsia="华文楷体" w:cs="华文楷体"/>
          <w:b/>
          <w:bCs/>
          <w:sz w:val="32"/>
          <w:szCs w:val="32"/>
          <w:lang w:val="zh-CN"/>
        </w:rPr>
        <w:t>（一）资金计划、到位及使用情况。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1.</w:t>
      </w:r>
      <w:r>
        <w:rPr>
          <w:rFonts w:hint="eastAsia" w:ascii="仿宋_GB2312" w:hAnsi="Calibri" w:eastAsia="仿宋_GB2312" w:cs="仿宋"/>
          <w:color w:val="auto"/>
          <w:kern w:val="0"/>
          <w:sz w:val="32"/>
          <w:szCs w:val="32"/>
          <w:lang w:val="zh-CN" w:eastAsia="zh-CN" w:bidi="ar-SA"/>
        </w:rPr>
        <w:t>资金计划及到位。该项目</w:t>
      </w:r>
      <w:r>
        <w:rPr>
          <w:rFonts w:hint="eastAsia" w:ascii="仿宋_GB2312" w:hAnsi="Calibri" w:eastAsia="仿宋_GB2312" w:cs="仿宋"/>
          <w:color w:val="auto"/>
          <w:kern w:val="0"/>
          <w:sz w:val="32"/>
          <w:szCs w:val="32"/>
          <w:lang w:val="en-US" w:eastAsia="zh-CN" w:bidi="ar-SA"/>
        </w:rPr>
        <w:t>2022年财政计划资金13006.4886万元，所有资金全部到位，其中中央资金11220万、省级资金1100万元、县级财政资金1786.4886万元。全部资金到位及时，到位率100%。</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仿宋" w:hAnsi="仿宋" w:eastAsia="仿宋" w:cs="仿宋"/>
          <w:sz w:val="32"/>
          <w:szCs w:val="32"/>
          <w:lang w:val="en-US" w:eastAsia="zh-CN"/>
        </w:rPr>
      </w:pPr>
      <w:r>
        <w:rPr>
          <w:rFonts w:hint="eastAsia" w:ascii="仿宋_GB2312" w:hAnsi="Calibri" w:eastAsia="仿宋_GB2312" w:cs="仿宋"/>
          <w:color w:val="auto"/>
          <w:kern w:val="0"/>
          <w:sz w:val="32"/>
          <w:szCs w:val="32"/>
          <w:lang w:val="en-US" w:eastAsia="zh-CN" w:bidi="ar-SA"/>
        </w:rPr>
        <w:t>2.资金使用。截止2022年底资金已支付13006.4886万元，所有的</w:t>
      </w:r>
      <w:r>
        <w:rPr>
          <w:rFonts w:hint="eastAsia" w:ascii="仿宋_GB2312" w:hAnsi="Calibri" w:eastAsia="仿宋_GB2312" w:cs="仿宋"/>
          <w:color w:val="auto"/>
          <w:kern w:val="0"/>
          <w:sz w:val="32"/>
          <w:szCs w:val="32"/>
          <w:lang w:val="zh-CN" w:eastAsia="zh-CN" w:bidi="ar-SA"/>
        </w:rPr>
        <w:t>最低生活保障金严格按照救助标准</w:t>
      </w:r>
      <w:r>
        <w:rPr>
          <w:rFonts w:hint="eastAsia" w:ascii="仿宋_GB2312" w:hAnsi="Calibri" w:eastAsia="仿宋_GB2312" w:cs="仿宋"/>
          <w:color w:val="auto"/>
          <w:kern w:val="0"/>
          <w:sz w:val="32"/>
          <w:szCs w:val="32"/>
          <w:lang w:val="en-US" w:eastAsia="zh-CN" w:bidi="ar-SA"/>
        </w:rPr>
        <w:t>按月在“一卡通”平台发放，支付合规合法，资金支付与预算相符。</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华文楷体" w:hAnsi="华文楷体" w:eastAsia="华文楷体" w:cs="华文楷体"/>
          <w:b/>
          <w:bCs/>
          <w:sz w:val="32"/>
          <w:szCs w:val="32"/>
          <w:lang w:val="zh-CN"/>
        </w:rPr>
      </w:pPr>
      <w:r>
        <w:rPr>
          <w:rFonts w:hint="eastAsia" w:ascii="华文楷体" w:hAnsi="华文楷体" w:eastAsia="华文楷体" w:cs="华文楷体"/>
          <w:b/>
          <w:bCs/>
          <w:sz w:val="32"/>
          <w:szCs w:val="32"/>
          <w:lang w:val="zh-CN"/>
        </w:rPr>
        <w:t>（二）项目财务管理情况。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该项目严格按照《中华人民共和国预算法》、《中华人民共和国预算法实施条例》、《四川省中央和省级财政困难群众救助补助资金管理办法》及转移支付管理制度规定管理和使用，严格执行财务管理制度，财务处理及时，会计核算规范。</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华文楷体" w:hAnsi="华文楷体" w:eastAsia="华文楷体" w:cs="华文楷体"/>
          <w:b/>
          <w:bCs/>
          <w:sz w:val="32"/>
          <w:szCs w:val="32"/>
          <w:lang w:val="zh-CN"/>
        </w:rPr>
      </w:pPr>
      <w:r>
        <w:rPr>
          <w:rFonts w:hint="eastAsia" w:ascii="华文楷体" w:hAnsi="华文楷体" w:eastAsia="华文楷体" w:cs="华文楷体"/>
          <w:b/>
          <w:bCs/>
          <w:sz w:val="32"/>
          <w:szCs w:val="32"/>
          <w:lang w:val="zh-CN"/>
        </w:rPr>
        <w:t>（三）项目组织实施情况。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2022年度</w:t>
      </w:r>
      <w:r>
        <w:rPr>
          <w:rFonts w:hint="eastAsia" w:ascii="仿宋_GB2312" w:hAnsi="Calibri" w:eastAsia="仿宋_GB2312" w:cs="仿宋"/>
          <w:color w:val="auto"/>
          <w:kern w:val="0"/>
          <w:sz w:val="32"/>
          <w:szCs w:val="32"/>
          <w:lang w:val="zh-CN" w:eastAsia="zh-CN" w:bidi="ar-SA"/>
        </w:rPr>
        <w:t>城乡最低生活保障金</w:t>
      </w:r>
      <w:r>
        <w:rPr>
          <w:rFonts w:hint="eastAsia" w:ascii="仿宋_GB2312" w:hAnsi="Calibri" w:eastAsia="仿宋_GB2312" w:cs="仿宋"/>
          <w:color w:val="auto"/>
          <w:kern w:val="0"/>
          <w:sz w:val="32"/>
          <w:szCs w:val="32"/>
          <w:lang w:val="en-US" w:eastAsia="zh-CN" w:bidi="ar-SA"/>
        </w:rPr>
        <w:t>严格按照相关规定评议、审核，确保救助对象的“精准”，</w:t>
      </w:r>
      <w:r>
        <w:rPr>
          <w:rFonts w:hint="eastAsia" w:ascii="仿宋_GB2312" w:hAnsi="Calibri" w:eastAsia="仿宋_GB2312" w:cs="仿宋"/>
          <w:color w:val="auto"/>
          <w:kern w:val="0"/>
          <w:sz w:val="32"/>
          <w:szCs w:val="32"/>
          <w:lang w:val="zh-CN" w:eastAsia="zh-CN" w:bidi="ar-SA"/>
        </w:rPr>
        <w:t>严格按照</w:t>
      </w:r>
      <w:r>
        <w:rPr>
          <w:rFonts w:hint="eastAsia" w:ascii="仿宋_GB2312" w:hAnsi="Calibri" w:eastAsia="仿宋_GB2312" w:cs="仿宋"/>
          <w:color w:val="auto"/>
          <w:kern w:val="0"/>
          <w:sz w:val="32"/>
          <w:szCs w:val="32"/>
          <w:lang w:val="en-US" w:eastAsia="zh-CN" w:bidi="ar-SA"/>
        </w:rPr>
        <w:t>救助标准，按月在“一卡通”平台发放。2022年农村低保发放资金10722.436万元、保障人数42448人；城市低保发放资金2284.0526万元、保障人数4380人，使困难群众的基本生活得到有效保障。</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b/>
          <w:bCs/>
          <w:sz w:val="32"/>
          <w:szCs w:val="32"/>
          <w:lang w:val="zh-CN"/>
        </w:rPr>
      </w:pPr>
      <w:r>
        <w:rPr>
          <w:rFonts w:hint="eastAsia" w:ascii="黑体" w:hAnsi="黑体" w:eastAsia="黑体" w:cs="黑体"/>
          <w:b/>
          <w:bCs/>
          <w:sz w:val="32"/>
          <w:szCs w:val="32"/>
          <w:lang w:val="zh-CN"/>
        </w:rPr>
        <w:t>三、项目绩效情况</w:t>
      </w:r>
      <w:r>
        <w:rPr>
          <w:rFonts w:hint="eastAsia" w:ascii="黑体" w:hAnsi="黑体" w:eastAsia="黑体" w:cs="黑体"/>
          <w:b/>
          <w:bCs/>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华文楷体" w:hAnsi="华文楷体" w:eastAsia="华文楷体" w:cs="华文楷体"/>
          <w:b/>
          <w:bCs/>
          <w:sz w:val="32"/>
          <w:szCs w:val="32"/>
          <w:lang w:val="zh-CN"/>
        </w:rPr>
      </w:pPr>
      <w:r>
        <w:rPr>
          <w:rFonts w:hint="eastAsia" w:ascii="华文楷体" w:hAnsi="华文楷体" w:eastAsia="华文楷体" w:cs="华文楷体"/>
          <w:b/>
          <w:bCs/>
          <w:sz w:val="32"/>
          <w:szCs w:val="32"/>
          <w:lang w:val="zh-CN"/>
        </w:rPr>
        <w:t>（一）项目完成情况。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仿宋_GB2312" w:hAnsi="Calibri" w:eastAsia="仿宋_GB2312" w:cs="仿宋"/>
          <w:color w:val="auto"/>
          <w:kern w:val="0"/>
          <w:sz w:val="32"/>
          <w:szCs w:val="32"/>
          <w:lang w:val="en-US" w:eastAsia="zh-CN" w:bidi="ar-SA"/>
        </w:rPr>
      </w:pPr>
      <w:r>
        <w:rPr>
          <w:rFonts w:hint="default" w:ascii="仿宋_GB2312" w:hAnsi="Calibri" w:eastAsia="仿宋_GB2312" w:cs="仿宋"/>
          <w:color w:val="auto"/>
          <w:kern w:val="0"/>
          <w:sz w:val="32"/>
          <w:szCs w:val="32"/>
          <w:lang w:val="en" w:eastAsia="zh-CN" w:bidi="ar-SA"/>
        </w:rPr>
        <w:t>截至目前</w:t>
      </w:r>
      <w:r>
        <w:rPr>
          <w:rFonts w:hint="eastAsia" w:ascii="仿宋_GB2312" w:hAnsi="Calibri" w:eastAsia="仿宋_GB2312" w:cs="仿宋"/>
          <w:color w:val="auto"/>
          <w:kern w:val="0"/>
          <w:sz w:val="32"/>
          <w:szCs w:val="32"/>
          <w:lang w:val="zh-CN" w:eastAsia="zh-CN" w:bidi="ar-SA"/>
        </w:rPr>
        <w:t>为止，该项目已实施完毕，城乡最低生活保障金</w:t>
      </w:r>
      <w:r>
        <w:rPr>
          <w:rFonts w:hint="eastAsia" w:ascii="仿宋_GB2312" w:hAnsi="Calibri" w:eastAsia="仿宋_GB2312" w:cs="仿宋"/>
          <w:color w:val="auto"/>
          <w:kern w:val="0"/>
          <w:sz w:val="32"/>
          <w:szCs w:val="32"/>
          <w:lang w:val="en-US" w:eastAsia="zh-CN" w:bidi="ar-SA"/>
        </w:rPr>
        <w:t>按月按标准发放，使困难群众的基本生活得到有效保障。</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720" w:leftChars="0"/>
        <w:textAlignment w:val="auto"/>
        <w:rPr>
          <w:rFonts w:hint="default" w:ascii="华文楷体" w:hAnsi="华文楷体" w:eastAsia="华文楷体" w:cs="华文楷体"/>
          <w:b/>
          <w:bCs/>
          <w:sz w:val="32"/>
          <w:szCs w:val="32"/>
          <w:lang w:val="en-US"/>
        </w:rPr>
      </w:pPr>
      <w:r>
        <w:rPr>
          <w:rFonts w:hint="eastAsia" w:ascii="华文楷体" w:hAnsi="华文楷体" w:eastAsia="华文楷体" w:cs="华文楷体"/>
          <w:b/>
          <w:bCs/>
          <w:sz w:val="32"/>
          <w:szCs w:val="32"/>
          <w:lang w:val="zh-CN"/>
        </w:rPr>
        <w:t>（二）项目效益情况。</w:t>
      </w:r>
      <w:r>
        <w:rPr>
          <w:rFonts w:hint="eastAsia" w:ascii="华文楷体" w:hAnsi="华文楷体" w:eastAsia="华文楷体" w:cs="华文楷体"/>
          <w:b/>
          <w:bCs/>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Calibri" w:eastAsia="仿宋_GB2312" w:cs="仿宋"/>
          <w:color w:val="auto"/>
          <w:kern w:val="0"/>
          <w:sz w:val="32"/>
          <w:szCs w:val="32"/>
          <w:lang w:val="zh-CN" w:eastAsia="zh-CN" w:bidi="ar-SA"/>
        </w:rPr>
      </w:pPr>
      <w:r>
        <w:rPr>
          <w:rFonts w:hint="eastAsia" w:ascii="仿宋_GB2312" w:hAnsi="Calibri" w:eastAsia="仿宋_GB2312" w:cs="仿宋"/>
          <w:color w:val="auto"/>
          <w:kern w:val="0"/>
          <w:sz w:val="32"/>
          <w:szCs w:val="32"/>
          <w:lang w:val="zh-CN" w:eastAsia="zh-CN" w:bidi="ar-SA"/>
        </w:rPr>
        <w:t>该项目的实施，按规定实施了城乡低保政策，</w:t>
      </w:r>
      <w:r>
        <w:rPr>
          <w:rFonts w:hint="eastAsia" w:ascii="仿宋_GB2312" w:hAnsi="Calibri" w:eastAsia="仿宋_GB2312" w:cs="仿宋"/>
          <w:color w:val="auto"/>
          <w:kern w:val="0"/>
          <w:sz w:val="32"/>
          <w:szCs w:val="32"/>
          <w:lang w:val="en-US" w:eastAsia="zh-CN" w:bidi="ar-SA"/>
        </w:rPr>
        <w:t>使困难群众的基本生活得到有效保障。</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b/>
          <w:bCs/>
          <w:sz w:val="32"/>
          <w:szCs w:val="32"/>
          <w:lang w:val="zh-CN"/>
        </w:rPr>
      </w:pPr>
      <w:r>
        <w:rPr>
          <w:rFonts w:hint="eastAsia" w:ascii="黑体" w:hAnsi="黑体" w:eastAsia="黑体" w:cs="黑体"/>
          <w:b/>
          <w:bCs/>
          <w:sz w:val="32"/>
          <w:szCs w:val="32"/>
          <w:lang w:val="zh-CN"/>
        </w:rPr>
        <w:t>四、问题及建议</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华文楷体" w:hAnsi="华文楷体" w:eastAsia="华文楷体" w:cs="华文楷体"/>
          <w:b/>
          <w:bCs/>
          <w:sz w:val="32"/>
          <w:szCs w:val="32"/>
          <w:lang w:val="zh-CN"/>
        </w:rPr>
      </w:pPr>
      <w:r>
        <w:rPr>
          <w:rFonts w:hint="eastAsia" w:ascii="华文楷体" w:hAnsi="华文楷体" w:eastAsia="华文楷体" w:cs="华文楷体"/>
          <w:b/>
          <w:bCs/>
          <w:sz w:val="32"/>
          <w:szCs w:val="32"/>
          <w:lang w:val="zh-CN"/>
        </w:rPr>
        <w:t>（一）存在的问题。</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Calibri" w:eastAsia="仿宋_GB2312" w:cs="仿宋"/>
          <w:color w:val="auto"/>
          <w:kern w:val="0"/>
          <w:sz w:val="32"/>
          <w:szCs w:val="32"/>
          <w:lang w:val="zh-CN" w:eastAsia="zh-CN" w:bidi="ar-SA"/>
        </w:rPr>
      </w:pPr>
      <w:r>
        <w:rPr>
          <w:rFonts w:hint="eastAsia" w:ascii="仿宋_GB2312" w:hAnsi="Calibri" w:eastAsia="仿宋_GB2312" w:cs="仿宋"/>
          <w:color w:val="auto"/>
          <w:kern w:val="0"/>
          <w:sz w:val="32"/>
          <w:szCs w:val="32"/>
          <w:lang w:val="en-US" w:eastAsia="zh-CN" w:bidi="ar-SA"/>
        </w:rPr>
        <w:t>由于县财政支付困难，部分经费未按规定的时间进行及时支付。</w:t>
      </w:r>
    </w:p>
    <w:p>
      <w:pPr>
        <w:keepNext w:val="0"/>
        <w:keepLines w:val="0"/>
        <w:pageBreakBefore w:val="0"/>
        <w:widowControl w:val="0"/>
        <w:numPr>
          <w:ilvl w:val="0"/>
          <w:numId w:val="3"/>
        </w:numPr>
        <w:kinsoku/>
        <w:wordWrap/>
        <w:overflowPunct/>
        <w:topLinePunct w:val="0"/>
        <w:autoSpaceDE/>
        <w:autoSpaceDN/>
        <w:bidi w:val="0"/>
        <w:adjustRightInd w:val="0"/>
        <w:snapToGrid w:val="0"/>
        <w:spacing w:line="600" w:lineRule="exact"/>
        <w:ind w:firstLine="720"/>
        <w:textAlignment w:val="auto"/>
        <w:rPr>
          <w:rFonts w:hint="eastAsia" w:ascii="华文楷体" w:hAnsi="华文楷体" w:eastAsia="华文楷体" w:cs="华文楷体"/>
          <w:b/>
          <w:bCs/>
          <w:sz w:val="32"/>
          <w:szCs w:val="32"/>
          <w:lang w:val="zh-CN"/>
        </w:rPr>
      </w:pPr>
      <w:r>
        <w:rPr>
          <w:rFonts w:hint="eastAsia" w:ascii="华文楷体" w:hAnsi="华文楷体" w:eastAsia="华文楷体" w:cs="华文楷体"/>
          <w:b/>
          <w:bCs/>
          <w:sz w:val="32"/>
          <w:szCs w:val="32"/>
          <w:lang w:val="zh-CN"/>
        </w:rPr>
        <w:t>相关建议。</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2023年还需上级、本级财政加大对困难群众救助补助资金投入，确保我县困难群众救助保障能力持续提升。</w:t>
      </w:r>
    </w:p>
    <w:tbl>
      <w:tblPr>
        <w:tblStyle w:val="15"/>
        <w:tblpPr w:leftFromText="180" w:rightFromText="180" w:vertAnchor="text" w:horzAnchor="page" w:tblpX="1628" w:tblpY="609"/>
        <w:tblOverlap w:val="never"/>
        <w:tblW w:w="8820" w:type="dxa"/>
        <w:tblInd w:w="0" w:type="dxa"/>
        <w:shd w:val="clear" w:color="auto" w:fill="auto"/>
        <w:tblLayout w:type="autofit"/>
        <w:tblCellMar>
          <w:top w:w="0" w:type="dxa"/>
          <w:left w:w="0" w:type="dxa"/>
          <w:bottom w:w="0" w:type="dxa"/>
          <w:right w:w="0" w:type="dxa"/>
        </w:tblCellMar>
      </w:tblPr>
      <w:tblGrid>
        <w:gridCol w:w="420"/>
        <w:gridCol w:w="570"/>
        <w:gridCol w:w="200"/>
        <w:gridCol w:w="820"/>
        <w:gridCol w:w="714"/>
        <w:gridCol w:w="846"/>
        <w:gridCol w:w="675"/>
        <w:gridCol w:w="1305"/>
        <w:gridCol w:w="1080"/>
        <w:gridCol w:w="675"/>
        <w:gridCol w:w="675"/>
        <w:gridCol w:w="240"/>
        <w:gridCol w:w="600"/>
      </w:tblGrid>
      <w:tr>
        <w:tblPrEx>
          <w:tblCellMar>
            <w:top w:w="0" w:type="dxa"/>
            <w:left w:w="0" w:type="dxa"/>
            <w:bottom w:w="0" w:type="dxa"/>
            <w:right w:w="0" w:type="dxa"/>
          </w:tblCellMar>
        </w:tblPrEx>
        <w:trPr>
          <w:trHeight w:val="405" w:hRule="atLeast"/>
        </w:trPr>
        <w:tc>
          <w:tcPr>
            <w:tcW w:w="8820" w:type="dxa"/>
            <w:gridSpan w:val="13"/>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2022年度部门预算项目支出绩效自评表</w:t>
            </w:r>
          </w:p>
        </w:tc>
      </w:tr>
      <w:tr>
        <w:tblPrEx>
          <w:shd w:val="clear" w:color="auto" w:fill="auto"/>
          <w:tblCellMar>
            <w:top w:w="0" w:type="dxa"/>
            <w:left w:w="0" w:type="dxa"/>
            <w:bottom w:w="0" w:type="dxa"/>
            <w:right w:w="0" w:type="dxa"/>
          </w:tblCellMar>
        </w:tblPrEx>
        <w:trPr>
          <w:trHeight w:val="500" w:hRule="atLeast"/>
        </w:trPr>
        <w:tc>
          <w:tcPr>
            <w:tcW w:w="119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763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农村最低生活保障</w:t>
            </w:r>
          </w:p>
        </w:tc>
      </w:tr>
      <w:tr>
        <w:tblPrEx>
          <w:tblCellMar>
            <w:top w:w="0" w:type="dxa"/>
            <w:left w:w="0" w:type="dxa"/>
            <w:bottom w:w="0" w:type="dxa"/>
            <w:right w:w="0" w:type="dxa"/>
          </w:tblCellMar>
        </w:tblPrEx>
        <w:trPr>
          <w:trHeight w:val="460" w:hRule="atLeast"/>
        </w:trPr>
        <w:tc>
          <w:tcPr>
            <w:tcW w:w="119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305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剑阁县民政局</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219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剑阁县民政局</w:t>
            </w:r>
          </w:p>
        </w:tc>
      </w:tr>
      <w:tr>
        <w:tblPrEx>
          <w:tblCellMar>
            <w:top w:w="0" w:type="dxa"/>
            <w:left w:w="0" w:type="dxa"/>
            <w:bottom w:w="0" w:type="dxa"/>
            <w:right w:w="0" w:type="dxa"/>
          </w:tblCellMar>
        </w:tblPrEx>
        <w:trPr>
          <w:trHeight w:val="540" w:hRule="atLeast"/>
        </w:trPr>
        <w:tc>
          <w:tcPr>
            <w:tcW w:w="119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资金情况</w:t>
            </w:r>
          </w:p>
        </w:tc>
        <w:tc>
          <w:tcPr>
            <w:tcW w:w="15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2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全年预算数（A）</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全年执行数（B）</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分值</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执行率（B/A)</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得分</w:t>
            </w:r>
          </w:p>
        </w:tc>
      </w:tr>
      <w:tr>
        <w:tblPrEx>
          <w:tblCellMar>
            <w:top w:w="0" w:type="dxa"/>
            <w:left w:w="0" w:type="dxa"/>
            <w:bottom w:w="0" w:type="dxa"/>
            <w:right w:w="0" w:type="dxa"/>
          </w:tblCellMar>
        </w:tblPrEx>
        <w:trPr>
          <w:trHeight w:val="560" w:hRule="atLeast"/>
        </w:trPr>
        <w:tc>
          <w:tcPr>
            <w:tcW w:w="119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（万元）</w:t>
            </w:r>
          </w:p>
        </w:tc>
        <w:tc>
          <w:tcPr>
            <w:tcW w:w="15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152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10722.436</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10722.436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r>
      <w:tr>
        <w:tblPrEx>
          <w:tblCellMar>
            <w:top w:w="0" w:type="dxa"/>
            <w:left w:w="0" w:type="dxa"/>
            <w:bottom w:w="0" w:type="dxa"/>
            <w:right w:w="0" w:type="dxa"/>
          </w:tblCellMar>
        </w:tblPrEx>
        <w:trPr>
          <w:trHeight w:val="720" w:hRule="atLeast"/>
        </w:trPr>
        <w:tc>
          <w:tcPr>
            <w:tcW w:w="119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其中：中央、省、市财政资金</w:t>
            </w:r>
          </w:p>
        </w:tc>
        <w:tc>
          <w:tcPr>
            <w:tcW w:w="152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8950.8502</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8950.8502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r>
      <w:tr>
        <w:tblPrEx>
          <w:tblCellMar>
            <w:top w:w="0" w:type="dxa"/>
            <w:left w:w="0" w:type="dxa"/>
            <w:bottom w:w="0" w:type="dxa"/>
            <w:right w:w="0" w:type="dxa"/>
          </w:tblCellMar>
        </w:tblPrEx>
        <w:trPr>
          <w:trHeight w:val="580" w:hRule="atLeast"/>
        </w:trPr>
        <w:tc>
          <w:tcPr>
            <w:tcW w:w="119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县级财政资金</w:t>
            </w:r>
          </w:p>
        </w:tc>
        <w:tc>
          <w:tcPr>
            <w:tcW w:w="152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1771.5858</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1771.5858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r>
      <w:tr>
        <w:tblPrEx>
          <w:tblCellMar>
            <w:top w:w="0" w:type="dxa"/>
            <w:left w:w="0" w:type="dxa"/>
            <w:bottom w:w="0" w:type="dxa"/>
            <w:right w:w="0" w:type="dxa"/>
          </w:tblCellMar>
        </w:tblPrEx>
        <w:trPr>
          <w:trHeight w:val="420" w:hRule="atLeast"/>
        </w:trPr>
        <w:tc>
          <w:tcPr>
            <w:tcW w:w="119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其他资金</w:t>
            </w:r>
          </w:p>
        </w:tc>
        <w:tc>
          <w:tcPr>
            <w:tcW w:w="152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20" w:hRule="atLeast"/>
        </w:trPr>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w:t>
            </w:r>
          </w:p>
        </w:tc>
        <w:tc>
          <w:tcPr>
            <w:tcW w:w="382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年初设定目标</w:t>
            </w:r>
          </w:p>
        </w:tc>
        <w:tc>
          <w:tcPr>
            <w:tcW w:w="457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年度总体目标完成情况综述</w:t>
            </w:r>
          </w:p>
        </w:tc>
      </w:tr>
      <w:tr>
        <w:tblPrEx>
          <w:tblCellMar>
            <w:top w:w="0" w:type="dxa"/>
            <w:left w:w="0" w:type="dxa"/>
            <w:bottom w:w="0" w:type="dxa"/>
            <w:right w:w="0" w:type="dxa"/>
          </w:tblCellMar>
        </w:tblPrEx>
        <w:trPr>
          <w:trHeight w:val="1140" w:hRule="atLeast"/>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82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全面落实困难群众救助政策，确保农村低保对象基本生活得到保障。</w:t>
            </w:r>
          </w:p>
        </w:tc>
        <w:tc>
          <w:tcPr>
            <w:tcW w:w="457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全面落实困难群众救助政策，按月足额发放救助资金，确保了城乡低保对象基本生活得到保障。</w:t>
            </w:r>
          </w:p>
        </w:tc>
      </w:tr>
      <w:tr>
        <w:tblPrEx>
          <w:tblCellMar>
            <w:top w:w="0" w:type="dxa"/>
            <w:left w:w="0" w:type="dxa"/>
            <w:bottom w:w="0" w:type="dxa"/>
            <w:right w:w="0" w:type="dxa"/>
          </w:tblCellMar>
        </w:tblPrEx>
        <w:trPr>
          <w:trHeight w:val="480" w:hRule="atLeast"/>
        </w:trPr>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绩效指标</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0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5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分值</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自评得分</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财政复评得分</w:t>
            </w:r>
          </w:p>
        </w:tc>
        <w:tc>
          <w:tcPr>
            <w:tcW w:w="8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未完成原因及拟采取的改进措施</w:t>
            </w:r>
          </w:p>
        </w:tc>
      </w:tr>
      <w:tr>
        <w:tblPrEx>
          <w:tblCellMar>
            <w:top w:w="0" w:type="dxa"/>
            <w:left w:w="0" w:type="dxa"/>
            <w:bottom w:w="0" w:type="dxa"/>
            <w:right w:w="0" w:type="dxa"/>
          </w:tblCellMar>
        </w:tblPrEx>
        <w:trPr>
          <w:trHeight w:val="480" w:hRule="atLeast"/>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5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实际值</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产出指标（50分）</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享受低保人数</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42448人</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42448人</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240" w:hRule="atLeast"/>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低保标准</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农村A类480元/月、B类350元/月、C类190元/月；</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农村A类480元/月、B类350元/月、C类190元/月；</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20" w:hRule="atLeast"/>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发放时间</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按月发放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按月发放</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500" w:hRule="atLeast"/>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0"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效绩指标（30分）</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农村低保的发放</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保民生、保稳定</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保民生、保稳定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500" w:hRule="atLeast"/>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满意度指标（10分）</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服务对象满意度指标</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享受农村低保人员的满意度</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40" w:hRule="atLeast"/>
        </w:trPr>
        <w:tc>
          <w:tcPr>
            <w:tcW w:w="357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总分</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94</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bl>
    <w:p>
      <w:pPr>
        <w:pStyle w:val="7"/>
        <w:rPr>
          <w:rFonts w:hint="eastAsia" w:ascii="仿宋_GB2312" w:hAnsi="Calibri" w:eastAsia="仿宋_GB2312" w:cs="仿宋"/>
          <w:color w:val="auto"/>
          <w:kern w:val="0"/>
          <w:sz w:val="32"/>
          <w:szCs w:val="32"/>
          <w:lang w:val="en-US" w:eastAsia="zh-CN" w:bidi="ar-SA"/>
        </w:rPr>
      </w:pPr>
    </w:p>
    <w:tbl>
      <w:tblPr>
        <w:tblStyle w:val="15"/>
        <w:tblW w:w="8535" w:type="dxa"/>
        <w:tblInd w:w="0" w:type="dxa"/>
        <w:shd w:val="clear" w:color="auto" w:fill="auto"/>
        <w:tblLayout w:type="autofit"/>
        <w:tblCellMar>
          <w:top w:w="0" w:type="dxa"/>
          <w:left w:w="0" w:type="dxa"/>
          <w:bottom w:w="0" w:type="dxa"/>
          <w:right w:w="0" w:type="dxa"/>
        </w:tblCellMar>
      </w:tblPr>
      <w:tblGrid>
        <w:gridCol w:w="435"/>
        <w:gridCol w:w="615"/>
        <w:gridCol w:w="285"/>
        <w:gridCol w:w="555"/>
        <w:gridCol w:w="765"/>
        <w:gridCol w:w="555"/>
        <w:gridCol w:w="690"/>
        <w:gridCol w:w="1245"/>
        <w:gridCol w:w="975"/>
        <w:gridCol w:w="645"/>
        <w:gridCol w:w="660"/>
        <w:gridCol w:w="315"/>
        <w:gridCol w:w="795"/>
      </w:tblGrid>
      <w:tr>
        <w:tblPrEx>
          <w:tblCellMar>
            <w:top w:w="0" w:type="dxa"/>
            <w:left w:w="0" w:type="dxa"/>
            <w:bottom w:w="0" w:type="dxa"/>
            <w:right w:w="0" w:type="dxa"/>
          </w:tblCellMar>
        </w:tblPrEx>
        <w:trPr>
          <w:trHeight w:val="405" w:hRule="atLeast"/>
        </w:trPr>
        <w:tc>
          <w:tcPr>
            <w:tcW w:w="8535" w:type="dxa"/>
            <w:gridSpan w:val="13"/>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2022年度部门预算项目支出绩效自评表</w:t>
            </w:r>
          </w:p>
        </w:tc>
      </w:tr>
      <w:tr>
        <w:tblPrEx>
          <w:shd w:val="clear" w:color="auto" w:fill="auto"/>
          <w:tblCellMar>
            <w:top w:w="0" w:type="dxa"/>
            <w:left w:w="0" w:type="dxa"/>
            <w:bottom w:w="0" w:type="dxa"/>
            <w:right w:w="0" w:type="dxa"/>
          </w:tblCellMar>
        </w:tblPrEx>
        <w:trPr>
          <w:trHeight w:val="52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720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城市最低生活保障</w:t>
            </w:r>
          </w:p>
        </w:tc>
      </w:tr>
      <w:tr>
        <w:tblPrEx>
          <w:tblCellMar>
            <w:top w:w="0" w:type="dxa"/>
            <w:left w:w="0" w:type="dxa"/>
            <w:bottom w:w="0" w:type="dxa"/>
            <w:right w:w="0" w:type="dxa"/>
          </w:tblCellMar>
        </w:tblPrEx>
        <w:trPr>
          <w:trHeight w:val="60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256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剑阁县民政局</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241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剑阁县民政局</w:t>
            </w:r>
          </w:p>
        </w:tc>
      </w:tr>
      <w:tr>
        <w:tblPrEx>
          <w:tblCellMar>
            <w:top w:w="0" w:type="dxa"/>
            <w:left w:w="0" w:type="dxa"/>
            <w:bottom w:w="0" w:type="dxa"/>
            <w:right w:w="0" w:type="dxa"/>
          </w:tblCellMar>
        </w:tblPrEx>
        <w:trPr>
          <w:trHeight w:val="60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资金情况</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全年预算数（A）</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全年执行数（B）</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分值</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执行率（B/A)</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得分</w:t>
            </w:r>
          </w:p>
        </w:tc>
      </w:tr>
      <w:tr>
        <w:tblPrEx>
          <w:tblCellMar>
            <w:top w:w="0" w:type="dxa"/>
            <w:left w:w="0" w:type="dxa"/>
            <w:bottom w:w="0" w:type="dxa"/>
            <w:right w:w="0" w:type="dxa"/>
          </w:tblCellMar>
        </w:tblPrEx>
        <w:trPr>
          <w:trHeight w:val="60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（万元）</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2284.0526</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2284.0526</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r>
      <w:tr>
        <w:tblPrEx>
          <w:tblCellMar>
            <w:top w:w="0" w:type="dxa"/>
            <w:left w:w="0" w:type="dxa"/>
            <w:bottom w:w="0" w:type="dxa"/>
            <w:right w:w="0" w:type="dxa"/>
          </w:tblCellMar>
        </w:tblPrEx>
        <w:trPr>
          <w:trHeight w:val="9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其中：中央、省、市财政资金</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2269.1498</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2269.1498</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r>
      <w:tr>
        <w:tblPrEx>
          <w:tblCellMar>
            <w:top w:w="0" w:type="dxa"/>
            <w:left w:w="0" w:type="dxa"/>
            <w:bottom w:w="0" w:type="dxa"/>
            <w:right w:w="0" w:type="dxa"/>
          </w:tblCellMar>
        </w:tblPrEx>
        <w:trPr>
          <w:trHeight w:val="6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县级财政资金</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14.9028</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14.9028</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r>
      <w:tr>
        <w:tblPrEx>
          <w:tblCellMar>
            <w:top w:w="0" w:type="dxa"/>
            <w:left w:w="0" w:type="dxa"/>
            <w:bottom w:w="0" w:type="dxa"/>
            <w:right w:w="0" w:type="dxa"/>
          </w:tblCellMar>
        </w:tblPrEx>
        <w:trPr>
          <w:trHeight w:val="6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其他资金</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w:t>
            </w:r>
          </w:p>
        </w:tc>
        <w:tc>
          <w:tcPr>
            <w:tcW w:w="346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年初设定目标</w:t>
            </w:r>
          </w:p>
        </w:tc>
        <w:tc>
          <w:tcPr>
            <w:tcW w:w="463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年度总体目标完成情况综述</w:t>
            </w:r>
          </w:p>
        </w:tc>
      </w:tr>
      <w:tr>
        <w:tblPrEx>
          <w:tblCellMar>
            <w:top w:w="0" w:type="dxa"/>
            <w:left w:w="0" w:type="dxa"/>
            <w:bottom w:w="0" w:type="dxa"/>
            <w:right w:w="0" w:type="dxa"/>
          </w:tblCellMar>
        </w:tblPrEx>
        <w:trPr>
          <w:trHeight w:val="98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46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全面落实困难群众救助政策，确保城市低保对象基本生活得到保障。</w:t>
            </w:r>
          </w:p>
        </w:tc>
        <w:tc>
          <w:tcPr>
            <w:tcW w:w="463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全面落实困难群众救助政策，按月足额发放救助资金，确保了城市低保对象基本生活得到保障。</w:t>
            </w:r>
          </w:p>
        </w:tc>
      </w:tr>
      <w:tr>
        <w:tblPrEx>
          <w:tblCellMar>
            <w:top w:w="0" w:type="dxa"/>
            <w:left w:w="0" w:type="dxa"/>
            <w:bottom w:w="0" w:type="dxa"/>
            <w:right w:w="0" w:type="dxa"/>
          </w:tblCellMar>
        </w:tblPrEx>
        <w:trPr>
          <w:trHeight w:val="660" w:hRule="atLeast"/>
        </w:trPr>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绩效指标</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8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分值</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年度指标值</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自评得分</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财政复评得分</w:t>
            </w:r>
          </w:p>
        </w:tc>
        <w:tc>
          <w:tcPr>
            <w:tcW w:w="111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未完成原因及拟采取的改进措施</w:t>
            </w:r>
          </w:p>
        </w:tc>
      </w:tr>
      <w:tr>
        <w:tblPrEx>
          <w:tblCellMar>
            <w:top w:w="0" w:type="dxa"/>
            <w:left w:w="0" w:type="dxa"/>
            <w:bottom w:w="0" w:type="dxa"/>
            <w:right w:w="0" w:type="dxa"/>
          </w:tblCellMar>
        </w:tblPrEx>
        <w:trPr>
          <w:trHeight w:val="56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实际值</w:t>
            </w: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6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产出指标（50分）</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享受低保人数</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4380人</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4380</w:t>
            </w:r>
            <w:r>
              <w:rPr>
                <w:rFonts w:hint="eastAsia" w:ascii="宋体" w:hAnsi="宋体" w:eastAsia="宋体" w:cs="宋体"/>
                <w:i w:val="0"/>
                <w:color w:val="000000"/>
                <w:kern w:val="0"/>
                <w:sz w:val="20"/>
                <w:szCs w:val="20"/>
                <w:u w:val="none"/>
                <w:lang w:val="en-US" w:eastAsia="zh-CN" w:bidi="ar"/>
              </w:rPr>
              <w:t>人</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86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低保标准</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城市低保实行补差680元/月</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城市低保实行补差680元/月</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0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发放时间</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按月发放</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按月发放</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02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5"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效绩指标（30分）</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城市低保的发放</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保民生、保稳定</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保民生、保稳定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92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满意度指标（10分）</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服务对象满意度指标</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享受城市低保人员的满意度</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40" w:hRule="atLeast"/>
        </w:trPr>
        <w:tc>
          <w:tcPr>
            <w:tcW w:w="321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总分</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bl>
    <w:p>
      <w:pPr>
        <w:pStyle w:val="7"/>
        <w:rPr>
          <w:rFonts w:hint="eastAsia" w:ascii="仿宋_GB2312" w:hAnsi="Calibri" w:eastAsia="仿宋_GB2312" w:cs="仿宋"/>
          <w:color w:val="auto"/>
          <w:kern w:val="0"/>
          <w:sz w:val="32"/>
          <w:szCs w:val="32"/>
          <w:lang w:val="en-US" w:eastAsia="zh-CN" w:bidi="ar-SA"/>
        </w:rPr>
      </w:pPr>
    </w:p>
    <w:p>
      <w:pPr>
        <w:pStyle w:val="2"/>
      </w:pPr>
    </w:p>
    <w:p>
      <w:pPr>
        <w:keepNext w:val="0"/>
        <w:keepLines w:val="0"/>
        <w:pageBreakBefore w:val="0"/>
        <w:widowControl w:val="0"/>
        <w:kinsoku/>
        <w:overflowPunct/>
        <w:topLinePunct w:val="0"/>
        <w:autoSpaceDE/>
        <w:autoSpaceDN/>
        <w:bidi w:val="0"/>
        <w:adjustRightInd w:val="0"/>
        <w:snapToGrid w:val="0"/>
        <w:spacing w:line="580" w:lineRule="exact"/>
        <w:ind w:left="0" w:leftChars="0" w:firstLine="0" w:firstLineChars="0"/>
        <w:jc w:val="center"/>
        <w:rPr>
          <w:rFonts w:hint="eastAsia" w:ascii="华文中宋" w:hAnsi="华文中宋" w:eastAsia="华文中宋" w:cs="华文中宋"/>
          <w:b/>
          <w:bCs/>
          <w:sz w:val="44"/>
          <w:szCs w:val="44"/>
          <w:lang w:val="zh-CN" w:eastAsia="zh-CN"/>
        </w:rPr>
      </w:pPr>
    </w:p>
    <w:p>
      <w:pPr>
        <w:pStyle w:val="2"/>
        <w:rPr>
          <w:rFonts w:hint="eastAsia"/>
          <w:lang w:val="zh-CN" w:eastAsia="zh-CN"/>
        </w:rPr>
      </w:pPr>
    </w:p>
    <w:p>
      <w:pPr>
        <w:keepNext w:val="0"/>
        <w:keepLines w:val="0"/>
        <w:pageBreakBefore w:val="0"/>
        <w:widowControl w:val="0"/>
        <w:kinsoku/>
        <w:overflowPunct/>
        <w:topLinePunct w:val="0"/>
        <w:autoSpaceDE/>
        <w:autoSpaceDN/>
        <w:bidi w:val="0"/>
        <w:adjustRightInd w:val="0"/>
        <w:snapToGrid w:val="0"/>
        <w:spacing w:line="580" w:lineRule="exact"/>
        <w:ind w:left="0" w:leftChars="0" w:firstLine="0" w:firstLineChars="0"/>
        <w:jc w:val="center"/>
        <w:rPr>
          <w:rFonts w:hint="eastAsia" w:ascii="华文中宋" w:hAnsi="华文中宋" w:eastAsia="华文中宋" w:cs="华文中宋"/>
          <w:b/>
          <w:bCs/>
          <w:sz w:val="44"/>
          <w:szCs w:val="44"/>
          <w:lang w:val="zh-CN" w:eastAsia="zh-CN"/>
        </w:rPr>
      </w:pPr>
    </w:p>
    <w:p>
      <w:pPr>
        <w:keepNext w:val="0"/>
        <w:keepLines w:val="0"/>
        <w:pageBreakBefore w:val="0"/>
        <w:widowControl w:val="0"/>
        <w:kinsoku/>
        <w:overflowPunct/>
        <w:topLinePunct w:val="0"/>
        <w:autoSpaceDE/>
        <w:autoSpaceDN/>
        <w:bidi w:val="0"/>
        <w:adjustRightInd w:val="0"/>
        <w:snapToGrid w:val="0"/>
        <w:spacing w:line="580" w:lineRule="exact"/>
        <w:ind w:left="0" w:leftChars="0" w:firstLine="0" w:firstLineChars="0"/>
        <w:jc w:val="center"/>
        <w:rPr>
          <w:rFonts w:hint="eastAsia" w:ascii="华文中宋" w:hAnsi="华文中宋" w:eastAsia="华文中宋" w:cs="华文中宋"/>
          <w:b/>
          <w:bCs/>
          <w:sz w:val="44"/>
          <w:szCs w:val="44"/>
          <w:lang w:val="zh-CN" w:eastAsia="zh-CN"/>
        </w:rPr>
      </w:pPr>
    </w:p>
    <w:p>
      <w:pPr>
        <w:keepNext w:val="0"/>
        <w:keepLines w:val="0"/>
        <w:pageBreakBefore w:val="0"/>
        <w:widowControl w:val="0"/>
        <w:kinsoku/>
        <w:overflowPunct/>
        <w:topLinePunct w:val="0"/>
        <w:autoSpaceDE/>
        <w:autoSpaceDN/>
        <w:bidi w:val="0"/>
        <w:adjustRightInd w:val="0"/>
        <w:snapToGrid w:val="0"/>
        <w:spacing w:line="580" w:lineRule="exact"/>
        <w:ind w:left="0" w:leftChars="0" w:firstLine="0" w:firstLineChars="0"/>
        <w:jc w:val="center"/>
        <w:rPr>
          <w:rFonts w:hint="eastAsia" w:ascii="华文中宋" w:hAnsi="华文中宋" w:eastAsia="华文中宋" w:cs="华文中宋"/>
          <w:b/>
          <w:bCs/>
          <w:sz w:val="44"/>
          <w:szCs w:val="44"/>
          <w:lang w:val="zh-CN" w:eastAsia="zh-CN"/>
        </w:rPr>
      </w:pPr>
    </w:p>
    <w:p>
      <w:pPr>
        <w:keepNext w:val="0"/>
        <w:keepLines w:val="0"/>
        <w:pageBreakBefore w:val="0"/>
        <w:widowControl w:val="0"/>
        <w:kinsoku/>
        <w:overflowPunct/>
        <w:topLinePunct w:val="0"/>
        <w:autoSpaceDE/>
        <w:autoSpaceDN/>
        <w:bidi w:val="0"/>
        <w:adjustRightInd w:val="0"/>
        <w:snapToGrid w:val="0"/>
        <w:spacing w:line="580" w:lineRule="exact"/>
        <w:ind w:left="0" w:leftChars="0" w:firstLine="0" w:firstLineChars="0"/>
        <w:jc w:val="center"/>
        <w:rPr>
          <w:rFonts w:hint="eastAsia" w:ascii="华文中宋" w:hAnsi="华文中宋" w:eastAsia="华文中宋" w:cs="华文中宋"/>
          <w:b/>
          <w:bCs/>
          <w:sz w:val="44"/>
          <w:szCs w:val="44"/>
          <w:lang w:val="zh-CN" w:eastAsia="zh-CN"/>
        </w:rPr>
      </w:pPr>
    </w:p>
    <w:p>
      <w:pPr>
        <w:keepNext w:val="0"/>
        <w:keepLines w:val="0"/>
        <w:pageBreakBefore w:val="0"/>
        <w:widowControl w:val="0"/>
        <w:kinsoku/>
        <w:overflowPunct/>
        <w:topLinePunct w:val="0"/>
        <w:autoSpaceDE/>
        <w:autoSpaceDN/>
        <w:bidi w:val="0"/>
        <w:adjustRightInd w:val="0"/>
        <w:snapToGrid w:val="0"/>
        <w:spacing w:line="580" w:lineRule="exact"/>
        <w:ind w:left="0" w:leftChars="0" w:firstLine="0" w:firstLineChars="0"/>
        <w:jc w:val="center"/>
        <w:rPr>
          <w:rFonts w:hint="eastAsia" w:ascii="华文中宋" w:hAnsi="华文中宋" w:eastAsia="华文中宋" w:cs="华文中宋"/>
          <w:b/>
          <w:bCs/>
          <w:sz w:val="44"/>
          <w:szCs w:val="44"/>
          <w:lang w:val="zh-CN" w:eastAsia="zh-CN"/>
        </w:rPr>
      </w:pPr>
    </w:p>
    <w:p>
      <w:pPr>
        <w:keepNext w:val="0"/>
        <w:keepLines w:val="0"/>
        <w:pageBreakBefore w:val="0"/>
        <w:widowControl w:val="0"/>
        <w:kinsoku/>
        <w:overflowPunct/>
        <w:topLinePunct w:val="0"/>
        <w:autoSpaceDE/>
        <w:autoSpaceDN/>
        <w:bidi w:val="0"/>
        <w:adjustRightInd w:val="0"/>
        <w:snapToGrid w:val="0"/>
        <w:spacing w:line="580" w:lineRule="exact"/>
        <w:ind w:left="0" w:leftChars="0" w:firstLine="0" w:firstLineChars="0"/>
        <w:jc w:val="center"/>
        <w:rPr>
          <w:rFonts w:hint="eastAsia" w:ascii="华文中宋" w:hAnsi="华文中宋" w:eastAsia="华文中宋" w:cs="华文中宋"/>
          <w:b/>
          <w:bCs/>
          <w:sz w:val="44"/>
          <w:szCs w:val="44"/>
          <w:lang w:val="zh-CN" w:eastAsia="zh-CN"/>
        </w:rPr>
      </w:pPr>
    </w:p>
    <w:p>
      <w:pPr>
        <w:keepNext w:val="0"/>
        <w:keepLines w:val="0"/>
        <w:pageBreakBefore w:val="0"/>
        <w:widowControl w:val="0"/>
        <w:kinsoku/>
        <w:overflowPunct/>
        <w:topLinePunct w:val="0"/>
        <w:autoSpaceDE/>
        <w:autoSpaceDN/>
        <w:bidi w:val="0"/>
        <w:adjustRightInd w:val="0"/>
        <w:snapToGrid w:val="0"/>
        <w:spacing w:line="580" w:lineRule="exact"/>
        <w:ind w:left="0" w:leftChars="0" w:firstLine="0" w:firstLineChars="0"/>
        <w:jc w:val="center"/>
        <w:rPr>
          <w:rFonts w:hint="eastAsia" w:ascii="华文中宋" w:hAnsi="华文中宋" w:eastAsia="华文中宋" w:cs="华文中宋"/>
          <w:b/>
          <w:bCs/>
          <w:sz w:val="44"/>
          <w:szCs w:val="44"/>
          <w:lang w:val="zh-CN" w:eastAsia="zh-CN"/>
        </w:rPr>
      </w:pPr>
      <w:r>
        <w:rPr>
          <w:rFonts w:hint="eastAsia" w:ascii="华文中宋" w:hAnsi="华文中宋" w:eastAsia="华文中宋" w:cs="华文中宋"/>
          <w:b/>
          <w:bCs/>
          <w:sz w:val="44"/>
          <w:szCs w:val="44"/>
          <w:lang w:val="zh-CN" w:eastAsia="zh-CN"/>
        </w:rPr>
        <w:t>剑阁县民政局</w:t>
      </w:r>
      <w:r>
        <w:rPr>
          <w:rFonts w:hint="eastAsia" w:ascii="华文中宋" w:hAnsi="华文中宋" w:eastAsia="华文中宋" w:cs="华文中宋"/>
          <w:b/>
          <w:bCs/>
          <w:sz w:val="44"/>
          <w:szCs w:val="44"/>
          <w:lang w:val="en-US" w:eastAsia="zh-CN"/>
        </w:rPr>
        <w:t>“福彩圆梦.孤儿助学”工程</w:t>
      </w:r>
    </w:p>
    <w:p>
      <w:pPr>
        <w:keepNext w:val="0"/>
        <w:keepLines w:val="0"/>
        <w:pageBreakBefore w:val="0"/>
        <w:widowControl w:val="0"/>
        <w:kinsoku/>
        <w:overflowPunct/>
        <w:topLinePunct w:val="0"/>
        <w:autoSpaceDE/>
        <w:autoSpaceDN/>
        <w:bidi w:val="0"/>
        <w:adjustRightInd w:val="0"/>
        <w:snapToGrid w:val="0"/>
        <w:spacing w:line="580" w:lineRule="exact"/>
        <w:ind w:left="0" w:leftChars="0" w:firstLine="0" w:firstLineChars="0"/>
        <w:jc w:val="center"/>
        <w:rPr>
          <w:rFonts w:hint="eastAsia" w:ascii="华文中宋" w:hAnsi="华文中宋" w:eastAsia="华文中宋" w:cs="华文中宋"/>
          <w:b/>
          <w:bCs/>
          <w:sz w:val="44"/>
          <w:szCs w:val="44"/>
          <w:lang w:val="zh-CN" w:eastAsia="zh-CN"/>
        </w:rPr>
      </w:pPr>
      <w:r>
        <w:rPr>
          <w:rFonts w:hint="eastAsia" w:ascii="华文中宋" w:hAnsi="华文中宋" w:eastAsia="华文中宋" w:cs="华文中宋"/>
          <w:b/>
          <w:bCs/>
          <w:sz w:val="44"/>
          <w:szCs w:val="44"/>
          <w:lang w:val="zh-CN"/>
        </w:rPr>
        <w:t>支出绩效自评报告</w:t>
      </w:r>
      <w:r>
        <w:rPr>
          <w:rFonts w:hint="eastAsia" w:ascii="华文中宋" w:hAnsi="华文中宋" w:eastAsia="华文中宋" w:cs="华文中宋"/>
          <w:b/>
          <w:bCs/>
          <w:sz w:val="44"/>
          <w:szCs w:val="44"/>
          <w:lang w:val="en-US" w:eastAsia="zh-CN"/>
        </w:rPr>
        <w:t xml:space="preserve"> </w:t>
      </w:r>
    </w:p>
    <w:p>
      <w:pPr>
        <w:keepNext w:val="0"/>
        <w:keepLines w:val="0"/>
        <w:pageBreakBefore w:val="0"/>
        <w:widowControl w:val="0"/>
        <w:kinsoku/>
        <w:overflowPunct/>
        <w:topLinePunct w:val="0"/>
        <w:autoSpaceDE/>
        <w:autoSpaceDN/>
        <w:bidi w:val="0"/>
        <w:adjustRightInd w:val="0"/>
        <w:snapToGrid w:val="0"/>
        <w:spacing w:line="580" w:lineRule="exact"/>
        <w:ind w:firstLine="720"/>
        <w:rPr>
          <w:rFonts w:hint="eastAsia" w:ascii="仿宋_GB2312" w:hAnsi="宋体" w:eastAsia="宋体"/>
          <w:sz w:val="44"/>
          <w:szCs w:val="44"/>
          <w:lang w:val="zh-CN" w:eastAsia="zh-CN"/>
        </w:rPr>
      </w:pPr>
      <w:r>
        <w:rPr>
          <w:rFonts w:hint="eastAsia" w:ascii="华文中宋" w:hAnsi="华文中宋" w:eastAsia="华文中宋" w:cs="华文中宋"/>
          <w:b w:val="0"/>
          <w:bCs w:val="0"/>
          <w:sz w:val="44"/>
          <w:szCs w:val="44"/>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b/>
          <w:bCs/>
          <w:sz w:val="32"/>
          <w:szCs w:val="32"/>
          <w:lang w:val="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b/>
          <w:bCs/>
          <w:sz w:val="32"/>
          <w:szCs w:val="32"/>
          <w:lang w:val="zh-CN"/>
        </w:rPr>
      </w:pPr>
      <w:r>
        <w:rPr>
          <w:rFonts w:hint="eastAsia" w:ascii="黑体" w:hAnsi="黑体" w:eastAsia="黑体" w:cs="黑体"/>
          <w:b/>
          <w:bCs/>
          <w:sz w:val="32"/>
          <w:szCs w:val="32"/>
          <w:lang w:val="zh-CN"/>
        </w:rPr>
        <w:t>一、项目概况</w:t>
      </w:r>
    </w:p>
    <w:p>
      <w:pPr>
        <w:keepNext w:val="0"/>
        <w:keepLines w:val="0"/>
        <w:pageBreakBefore w:val="0"/>
        <w:widowControl w:val="0"/>
        <w:numPr>
          <w:ilvl w:val="0"/>
          <w:numId w:val="4"/>
        </w:numPr>
        <w:kinsoku/>
        <w:wordWrap/>
        <w:overflowPunct/>
        <w:topLinePunct w:val="0"/>
        <w:autoSpaceDE/>
        <w:autoSpaceDN/>
        <w:bidi w:val="0"/>
        <w:adjustRightInd w:val="0"/>
        <w:snapToGrid w:val="0"/>
        <w:spacing w:line="600" w:lineRule="exact"/>
        <w:ind w:firstLine="720"/>
        <w:textAlignment w:val="auto"/>
        <w:rPr>
          <w:rFonts w:hint="eastAsia" w:ascii="华文楷体" w:hAnsi="华文楷体" w:eastAsia="华文楷体" w:cs="华文楷体"/>
          <w:b/>
          <w:bCs/>
          <w:sz w:val="32"/>
          <w:szCs w:val="32"/>
          <w:lang w:val="zh-CN"/>
        </w:rPr>
      </w:pPr>
      <w:r>
        <w:rPr>
          <w:rFonts w:hint="eastAsia" w:ascii="华文楷体" w:hAnsi="华文楷体" w:eastAsia="华文楷体" w:cs="华文楷体"/>
          <w:b/>
          <w:bCs/>
          <w:sz w:val="32"/>
          <w:szCs w:val="32"/>
          <w:lang w:val="zh-CN"/>
        </w:rPr>
        <w:t>项目资金申报及批复情况。</w:t>
      </w:r>
    </w:p>
    <w:p>
      <w:pPr>
        <w:ind w:firstLine="640" w:firstLineChars="200"/>
        <w:rPr>
          <w:rFonts w:hint="eastAsia" w:ascii="仿宋_GB2312" w:hAnsi="Calibri" w:eastAsia="仿宋_GB2312" w:cs="仿宋"/>
          <w:color w:val="auto"/>
          <w:kern w:val="0"/>
          <w:sz w:val="32"/>
          <w:szCs w:val="32"/>
          <w:lang w:val="zh-CN" w:eastAsia="zh-CN" w:bidi="ar-SA"/>
        </w:rPr>
      </w:pPr>
      <w:r>
        <w:rPr>
          <w:rFonts w:hint="eastAsia" w:ascii="仿宋_GB2312" w:hAnsi="Calibri" w:eastAsia="仿宋_GB2312" w:cs="仿宋"/>
          <w:color w:val="auto"/>
          <w:kern w:val="0"/>
          <w:sz w:val="32"/>
          <w:szCs w:val="32"/>
          <w:lang w:val="zh-CN" w:eastAsia="zh-CN" w:bidi="ar-SA"/>
        </w:rPr>
        <w:t>剑阁县民政局</w:t>
      </w:r>
      <w:r>
        <w:rPr>
          <w:rFonts w:hint="eastAsia" w:ascii="仿宋_GB2312" w:hAnsi="Calibri" w:eastAsia="仿宋_GB2312" w:cs="仿宋"/>
          <w:color w:val="auto"/>
          <w:kern w:val="0"/>
          <w:sz w:val="32"/>
          <w:szCs w:val="32"/>
          <w:lang w:val="en-US" w:eastAsia="zh-CN" w:bidi="ar-SA"/>
        </w:rPr>
        <w:t>“福彩圆梦.孤儿助学”工程</w:t>
      </w:r>
      <w:r>
        <w:rPr>
          <w:rFonts w:hint="eastAsia" w:ascii="仿宋_GB2312" w:hAnsi="Calibri" w:eastAsia="仿宋_GB2312" w:cs="仿宋"/>
          <w:color w:val="auto"/>
          <w:kern w:val="0"/>
          <w:sz w:val="32"/>
          <w:szCs w:val="32"/>
          <w:lang w:val="zh-CN" w:eastAsia="zh-CN" w:bidi="ar-SA"/>
        </w:rPr>
        <w:t>全年申报资金</w:t>
      </w:r>
      <w:r>
        <w:rPr>
          <w:rFonts w:hint="eastAsia" w:ascii="仿宋_GB2312" w:hAnsi="Calibri" w:eastAsia="仿宋_GB2312" w:cs="仿宋"/>
          <w:color w:val="auto"/>
          <w:kern w:val="0"/>
          <w:sz w:val="32"/>
          <w:szCs w:val="32"/>
          <w:lang w:val="en-US" w:eastAsia="zh-CN" w:bidi="ar-SA"/>
        </w:rPr>
        <w:t>21万元，财政批复21万元。</w:t>
      </w:r>
    </w:p>
    <w:p>
      <w:pPr>
        <w:keepNext w:val="0"/>
        <w:keepLines w:val="0"/>
        <w:pageBreakBefore w:val="0"/>
        <w:widowControl w:val="0"/>
        <w:numPr>
          <w:ilvl w:val="0"/>
          <w:numId w:val="4"/>
        </w:numPr>
        <w:kinsoku/>
        <w:wordWrap/>
        <w:overflowPunct/>
        <w:topLinePunct w:val="0"/>
        <w:autoSpaceDE/>
        <w:autoSpaceDN/>
        <w:bidi w:val="0"/>
        <w:adjustRightInd w:val="0"/>
        <w:snapToGrid w:val="0"/>
        <w:spacing w:line="600" w:lineRule="exact"/>
        <w:ind w:left="0" w:leftChars="0" w:firstLine="720" w:firstLineChars="0"/>
        <w:textAlignment w:val="auto"/>
        <w:rPr>
          <w:rFonts w:hint="eastAsia" w:ascii="华文楷体" w:hAnsi="华文楷体" w:eastAsia="华文楷体" w:cs="华文楷体"/>
          <w:b/>
          <w:bCs/>
          <w:sz w:val="32"/>
          <w:szCs w:val="32"/>
          <w:lang w:val="zh-CN"/>
        </w:rPr>
      </w:pPr>
      <w:r>
        <w:rPr>
          <w:rFonts w:hint="eastAsia" w:ascii="华文楷体" w:hAnsi="华文楷体" w:eastAsia="华文楷体" w:cs="华文楷体"/>
          <w:b/>
          <w:bCs/>
          <w:sz w:val="32"/>
          <w:szCs w:val="32"/>
          <w:lang w:val="zh-CN"/>
        </w:rPr>
        <w:t>项目绩效目标。</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2022年度“福彩圆梦.孤儿助学”工程项目，资助考上普通全日制本科、专科等学校的21名孤儿完成了学业。</w:t>
      </w:r>
    </w:p>
    <w:p>
      <w:pPr>
        <w:pStyle w:val="2"/>
        <w:rPr>
          <w:rFonts w:hint="eastAsia"/>
          <w:lang w:val="zh-CN"/>
        </w:rPr>
      </w:pPr>
      <w:r>
        <w:rPr>
          <w:rFonts w:hint="eastAsia" w:ascii="仿宋" w:hAnsi="仿宋" w:eastAsia="仿宋" w:cs="仿宋"/>
          <w:b/>
          <w:bCs/>
          <w:sz w:val="32"/>
          <w:szCs w:val="32"/>
          <w:lang w:val="zh-CN"/>
        </w:rPr>
        <w:t>（三）</w:t>
      </w:r>
      <w:r>
        <w:rPr>
          <w:rFonts w:hint="eastAsia" w:ascii="华文楷体" w:hAnsi="华文楷体" w:eastAsia="华文楷体" w:cs="华文楷体"/>
          <w:b/>
          <w:bCs/>
          <w:color w:val="auto"/>
          <w:kern w:val="2"/>
          <w:sz w:val="32"/>
          <w:szCs w:val="32"/>
          <w:lang w:val="zh-CN" w:eastAsia="zh-CN" w:bidi="ar-SA"/>
        </w:rPr>
        <w:t>项目资金申报相符性。</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textAlignment w:val="auto"/>
        <w:rPr>
          <w:rFonts w:hint="eastAsia" w:ascii="仿宋_GB2312" w:hAnsi="Calibri" w:eastAsia="仿宋_GB2312" w:cs="仿宋"/>
          <w:color w:val="auto"/>
          <w:kern w:val="0"/>
          <w:sz w:val="32"/>
          <w:szCs w:val="32"/>
          <w:lang w:val="zh-CN" w:eastAsia="zh-CN" w:bidi="ar-SA"/>
        </w:rPr>
      </w:pPr>
      <w:r>
        <w:rPr>
          <w:rFonts w:hint="eastAsia" w:ascii="华文楷体" w:hAnsi="华文楷体" w:eastAsia="华文楷体" w:cs="华文楷体"/>
          <w:b/>
          <w:bCs/>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仿宋_GB2312" w:hAnsi="Calibri" w:eastAsia="仿宋_GB2312" w:cs="仿宋"/>
          <w:color w:val="auto"/>
          <w:kern w:val="0"/>
          <w:sz w:val="32"/>
          <w:szCs w:val="32"/>
          <w:lang w:val="en-US" w:eastAsia="zh-CN" w:bidi="ar-SA"/>
        </w:rPr>
        <w:t>该</w:t>
      </w:r>
      <w:r>
        <w:rPr>
          <w:rFonts w:hint="eastAsia" w:ascii="仿宋_GB2312" w:hAnsi="Calibri" w:eastAsia="仿宋_GB2312" w:cs="仿宋"/>
          <w:color w:val="auto"/>
          <w:kern w:val="0"/>
          <w:sz w:val="32"/>
          <w:szCs w:val="32"/>
          <w:lang w:val="zh-CN" w:eastAsia="zh-CN" w:bidi="ar-SA"/>
        </w:rPr>
        <w:t>项目申报内容与具体实施内容相符、申报目标合理可行。</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b/>
          <w:bCs/>
          <w:sz w:val="32"/>
          <w:szCs w:val="32"/>
          <w:lang w:val="zh-CN"/>
        </w:rPr>
      </w:pPr>
      <w:r>
        <w:rPr>
          <w:rFonts w:hint="eastAsia" w:ascii="黑体" w:hAnsi="黑体" w:eastAsia="黑体" w:cs="黑体"/>
          <w:b/>
          <w:bCs/>
          <w:sz w:val="32"/>
          <w:szCs w:val="32"/>
          <w:lang w:val="zh-CN"/>
        </w:rPr>
        <w:t>二、项目实施及管理情况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963" w:firstLineChars="300"/>
        <w:textAlignment w:val="auto"/>
        <w:rPr>
          <w:rFonts w:hint="eastAsia" w:ascii="华文楷体" w:hAnsi="华文楷体" w:eastAsia="华文楷体" w:cs="华文楷体"/>
          <w:b/>
          <w:bCs/>
          <w:sz w:val="32"/>
          <w:szCs w:val="32"/>
          <w:lang w:val="zh-CN"/>
        </w:rPr>
      </w:pPr>
      <w:r>
        <w:rPr>
          <w:rFonts w:hint="eastAsia" w:ascii="华文楷体" w:hAnsi="华文楷体" w:eastAsia="华文楷体" w:cs="华文楷体"/>
          <w:b/>
          <w:bCs/>
          <w:sz w:val="32"/>
          <w:szCs w:val="32"/>
          <w:lang w:val="en-US" w:eastAsia="zh-CN"/>
        </w:rPr>
        <w:t>(</w:t>
      </w:r>
      <w:r>
        <w:rPr>
          <w:rFonts w:hint="eastAsia" w:ascii="华文楷体" w:hAnsi="华文楷体" w:eastAsia="华文楷体" w:cs="华文楷体"/>
          <w:b/>
          <w:bCs/>
          <w:sz w:val="32"/>
          <w:szCs w:val="32"/>
          <w:lang w:val="zh-CN"/>
        </w:rPr>
        <w:t>一）资金计划、到位及使用情况。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1.</w:t>
      </w:r>
      <w:r>
        <w:rPr>
          <w:rFonts w:hint="eastAsia" w:ascii="仿宋_GB2312" w:hAnsi="Calibri" w:eastAsia="仿宋_GB2312" w:cs="仿宋"/>
          <w:color w:val="auto"/>
          <w:kern w:val="0"/>
          <w:sz w:val="32"/>
          <w:szCs w:val="32"/>
          <w:lang w:val="zh-CN" w:eastAsia="zh-CN" w:bidi="ar-SA"/>
        </w:rPr>
        <w:t>资金计划及到位。该项目</w:t>
      </w:r>
      <w:r>
        <w:rPr>
          <w:rFonts w:hint="eastAsia" w:ascii="仿宋_GB2312" w:hAnsi="Calibri" w:eastAsia="仿宋_GB2312" w:cs="仿宋"/>
          <w:color w:val="auto"/>
          <w:kern w:val="0"/>
          <w:sz w:val="32"/>
          <w:szCs w:val="32"/>
          <w:lang w:val="en-US" w:eastAsia="zh-CN" w:bidi="ar-SA"/>
        </w:rPr>
        <w:t>2022年财政计划资金21万元，所有资金全部到位，其中中央福彩资金21万元。全部资金到位及时，到位率100%。</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2.资金使用。截止2022年底资金已支付21万元，所有的</w:t>
      </w:r>
      <w:r>
        <w:rPr>
          <w:rFonts w:hint="eastAsia" w:ascii="仿宋_GB2312" w:hAnsi="Calibri" w:eastAsia="仿宋_GB2312" w:cs="仿宋"/>
          <w:color w:val="auto"/>
          <w:kern w:val="0"/>
          <w:sz w:val="32"/>
          <w:szCs w:val="32"/>
          <w:lang w:val="zh-CN" w:eastAsia="zh-CN" w:bidi="ar-SA"/>
        </w:rPr>
        <w:t>资金</w:t>
      </w:r>
      <w:r>
        <w:rPr>
          <w:rFonts w:hint="eastAsia" w:ascii="仿宋_GB2312" w:hAnsi="Calibri" w:eastAsia="仿宋_GB2312" w:cs="仿宋"/>
          <w:color w:val="auto"/>
          <w:kern w:val="0"/>
          <w:sz w:val="32"/>
          <w:szCs w:val="32"/>
          <w:lang w:val="en-US" w:eastAsia="zh-CN" w:bidi="ar-SA"/>
        </w:rPr>
        <w:t>支付合规合法，资金支付与预算相符。</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华文楷体" w:hAnsi="华文楷体" w:eastAsia="华文楷体" w:cs="华文楷体"/>
          <w:b/>
          <w:bCs/>
          <w:sz w:val="32"/>
          <w:szCs w:val="32"/>
          <w:lang w:val="zh-CN"/>
        </w:rPr>
      </w:pPr>
      <w:r>
        <w:rPr>
          <w:rFonts w:hint="eastAsia" w:ascii="华文楷体" w:hAnsi="华文楷体" w:eastAsia="华文楷体" w:cs="华文楷体"/>
          <w:b/>
          <w:bCs/>
          <w:sz w:val="32"/>
          <w:szCs w:val="32"/>
          <w:lang w:val="zh-CN"/>
        </w:rPr>
        <w:t>（二）项目财务管理情况。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该项目严格按照《中华人民共和国预算法》、《中华人民共和国预算法实施条例》、《四川省民政厅福利彩票公益金使用管理办法》及转移支付管理制度规定管理和使用，严格执行财务管理制度，财务处理及时，会计核算规范。</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华文楷体" w:hAnsi="华文楷体" w:eastAsia="华文楷体" w:cs="华文楷体"/>
          <w:b/>
          <w:bCs/>
          <w:sz w:val="32"/>
          <w:szCs w:val="32"/>
          <w:lang w:val="zh-CN"/>
        </w:rPr>
      </w:pPr>
      <w:r>
        <w:rPr>
          <w:rFonts w:hint="eastAsia" w:ascii="华文楷体" w:hAnsi="华文楷体" w:eastAsia="华文楷体" w:cs="华文楷体"/>
          <w:b/>
          <w:bCs/>
          <w:sz w:val="32"/>
          <w:szCs w:val="32"/>
          <w:lang w:val="zh-CN"/>
        </w:rPr>
        <w:t>（三）项目组织实施情况。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2022年度“福彩圆梦.孤儿助学”工程资金的使用严格遵循福利彩票“扶老、助残、救孤、济困”的发行宗旨，坚持“统筹规划、突出重点、权责明确、分级负责、依法管理、规范使用、公开透明、监督问效”的管理原则，全面绩效管理，专款专用。</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b/>
          <w:bCs/>
          <w:sz w:val="32"/>
          <w:szCs w:val="32"/>
          <w:lang w:val="zh-CN"/>
        </w:rPr>
      </w:pPr>
      <w:r>
        <w:rPr>
          <w:rFonts w:hint="eastAsia" w:ascii="黑体" w:hAnsi="黑体" w:eastAsia="黑体" w:cs="黑体"/>
          <w:b/>
          <w:bCs/>
          <w:sz w:val="32"/>
          <w:szCs w:val="32"/>
          <w:lang w:val="zh-CN"/>
        </w:rPr>
        <w:t>三、项目绩效情况</w:t>
      </w:r>
      <w:r>
        <w:rPr>
          <w:rFonts w:hint="eastAsia" w:ascii="黑体" w:hAnsi="黑体" w:eastAsia="黑体" w:cs="黑体"/>
          <w:b/>
          <w:bCs/>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华文楷体" w:hAnsi="华文楷体" w:eastAsia="华文楷体" w:cs="华文楷体"/>
          <w:b/>
          <w:bCs/>
          <w:sz w:val="32"/>
          <w:szCs w:val="32"/>
          <w:lang w:val="zh-CN"/>
        </w:rPr>
      </w:pPr>
      <w:r>
        <w:rPr>
          <w:rFonts w:hint="eastAsia" w:ascii="华文楷体" w:hAnsi="华文楷体" w:eastAsia="华文楷体" w:cs="华文楷体"/>
          <w:b/>
          <w:bCs/>
          <w:sz w:val="32"/>
          <w:szCs w:val="32"/>
          <w:lang w:val="zh-CN"/>
        </w:rPr>
        <w:t>（一）项目完成情况。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仿宋_GB2312" w:hAnsi="Calibri" w:eastAsia="仿宋_GB2312" w:cs="仿宋"/>
          <w:color w:val="auto"/>
          <w:kern w:val="0"/>
          <w:sz w:val="32"/>
          <w:szCs w:val="32"/>
          <w:lang w:val="en-US" w:eastAsia="zh-CN" w:bidi="ar-SA"/>
        </w:rPr>
      </w:pPr>
      <w:r>
        <w:rPr>
          <w:rFonts w:hint="default" w:ascii="仿宋_GB2312" w:hAnsi="Calibri" w:eastAsia="仿宋_GB2312" w:cs="仿宋"/>
          <w:color w:val="auto"/>
          <w:kern w:val="0"/>
          <w:sz w:val="32"/>
          <w:szCs w:val="32"/>
          <w:lang w:val="en" w:eastAsia="zh-CN" w:bidi="ar-SA"/>
        </w:rPr>
        <w:t>截至目前</w:t>
      </w:r>
      <w:r>
        <w:rPr>
          <w:rFonts w:hint="eastAsia" w:ascii="仿宋_GB2312" w:hAnsi="Calibri" w:eastAsia="仿宋_GB2312" w:cs="仿宋"/>
          <w:color w:val="auto"/>
          <w:kern w:val="0"/>
          <w:sz w:val="32"/>
          <w:szCs w:val="32"/>
          <w:lang w:val="zh-CN" w:eastAsia="zh-CN" w:bidi="ar-SA"/>
        </w:rPr>
        <w:t>为止，该项目已实施完毕，</w:t>
      </w:r>
      <w:r>
        <w:rPr>
          <w:rFonts w:hint="eastAsia" w:ascii="仿宋_GB2312" w:hAnsi="Calibri" w:eastAsia="仿宋_GB2312" w:cs="仿宋"/>
          <w:color w:val="auto"/>
          <w:kern w:val="0"/>
          <w:sz w:val="32"/>
          <w:szCs w:val="32"/>
          <w:lang w:val="en-US" w:eastAsia="zh-CN" w:bidi="ar-SA"/>
        </w:rPr>
        <w:t>2022年度“福彩圆梦.孤儿助学”按补助标准10000元/年*人发放，资助考上普通全日制本科、专科等学校的21名孤儿完成了学业。</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720" w:leftChars="0"/>
        <w:textAlignment w:val="auto"/>
        <w:rPr>
          <w:rFonts w:hint="default" w:ascii="华文楷体" w:hAnsi="华文楷体" w:eastAsia="华文楷体" w:cs="华文楷体"/>
          <w:b/>
          <w:bCs/>
          <w:sz w:val="32"/>
          <w:szCs w:val="32"/>
          <w:lang w:val="en-US"/>
        </w:rPr>
      </w:pPr>
      <w:r>
        <w:rPr>
          <w:rFonts w:hint="eastAsia" w:ascii="华文楷体" w:hAnsi="华文楷体" w:eastAsia="华文楷体" w:cs="华文楷体"/>
          <w:b/>
          <w:bCs/>
          <w:sz w:val="32"/>
          <w:szCs w:val="32"/>
          <w:lang w:val="zh-CN"/>
        </w:rPr>
        <w:t>（二）项目效益情况。</w:t>
      </w:r>
      <w:r>
        <w:rPr>
          <w:rFonts w:hint="eastAsia" w:ascii="华文楷体" w:hAnsi="华文楷体" w:eastAsia="华文楷体" w:cs="华文楷体"/>
          <w:b/>
          <w:bCs/>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960" w:firstLineChars="300"/>
        <w:textAlignment w:val="auto"/>
        <w:rPr>
          <w:rFonts w:hint="eastAsia" w:ascii="楷体_GB2312" w:hAnsi="楷体_GB2312" w:eastAsia="楷体_GB2312" w:cs="楷体_GB2312"/>
          <w:b w:val="0"/>
          <w:bCs w:val="0"/>
          <w:sz w:val="32"/>
          <w:szCs w:val="32"/>
          <w:lang w:val="zh-CN" w:eastAsia="zh-CN"/>
        </w:rPr>
      </w:pPr>
      <w:r>
        <w:rPr>
          <w:rFonts w:hint="eastAsia" w:ascii="仿宋_GB2312" w:hAnsi="Calibri" w:eastAsia="仿宋_GB2312" w:cs="仿宋"/>
          <w:color w:val="auto"/>
          <w:kern w:val="0"/>
          <w:sz w:val="32"/>
          <w:szCs w:val="32"/>
          <w:lang w:val="zh-CN" w:eastAsia="zh-CN" w:bidi="ar-SA"/>
        </w:rPr>
        <w:t>该项目的实施，严格</w:t>
      </w:r>
      <w:r>
        <w:rPr>
          <w:rFonts w:hint="eastAsia" w:ascii="仿宋_GB2312" w:hAnsi="Calibri" w:eastAsia="仿宋_GB2312" w:cs="仿宋"/>
          <w:color w:val="auto"/>
          <w:kern w:val="0"/>
          <w:sz w:val="32"/>
          <w:szCs w:val="32"/>
          <w:lang w:val="en-US" w:eastAsia="zh-CN" w:bidi="ar-SA"/>
        </w:rPr>
        <w:t>遵循福利彩票“扶老、助残、救孤、济困”的发行宗旨使用，社会效益是促进儿童社会福利事业发展体系更加健全。</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b/>
          <w:bCs/>
          <w:sz w:val="32"/>
          <w:szCs w:val="32"/>
          <w:lang w:val="zh-CN"/>
        </w:rPr>
      </w:pPr>
      <w:r>
        <w:rPr>
          <w:rFonts w:hint="eastAsia" w:ascii="黑体" w:hAnsi="黑体" w:eastAsia="黑体" w:cs="黑体"/>
          <w:b/>
          <w:bCs/>
          <w:sz w:val="32"/>
          <w:szCs w:val="32"/>
          <w:lang w:val="zh-CN"/>
        </w:rPr>
        <w:t>四、问题及建议</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华文楷体" w:hAnsi="华文楷体" w:eastAsia="华文楷体" w:cs="华文楷体"/>
          <w:b/>
          <w:bCs/>
          <w:sz w:val="32"/>
          <w:szCs w:val="32"/>
          <w:lang w:val="zh-CN"/>
        </w:rPr>
      </w:pPr>
      <w:r>
        <w:rPr>
          <w:rFonts w:hint="eastAsia" w:ascii="华文楷体" w:hAnsi="华文楷体" w:eastAsia="华文楷体" w:cs="华文楷体"/>
          <w:b/>
          <w:bCs/>
          <w:sz w:val="32"/>
          <w:szCs w:val="32"/>
          <w:lang w:val="zh-CN"/>
        </w:rPr>
        <w:t>（一）存在的问题。</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960" w:firstLineChars="300"/>
        <w:textAlignment w:val="auto"/>
        <w:rPr>
          <w:rFonts w:hint="eastAsia" w:ascii="仿宋_GB2312" w:hAnsi="Calibri" w:eastAsia="仿宋_GB2312" w:cs="仿宋"/>
          <w:color w:val="auto"/>
          <w:kern w:val="0"/>
          <w:sz w:val="32"/>
          <w:szCs w:val="32"/>
          <w:lang w:val="zh-CN" w:eastAsia="zh-CN" w:bidi="ar-SA"/>
        </w:rPr>
      </w:pPr>
      <w:r>
        <w:rPr>
          <w:rFonts w:hint="eastAsia" w:ascii="仿宋_GB2312" w:hAnsi="Calibri" w:eastAsia="仿宋_GB2312" w:cs="仿宋"/>
          <w:color w:val="auto"/>
          <w:kern w:val="0"/>
          <w:sz w:val="32"/>
          <w:szCs w:val="32"/>
          <w:lang w:val="en-US" w:eastAsia="zh-CN" w:bidi="ar-SA"/>
        </w:rPr>
        <w:t>由于县财政支付困难，部分经费未按规定的时间进行及时支付。</w:t>
      </w:r>
    </w:p>
    <w:p>
      <w:pPr>
        <w:keepNext w:val="0"/>
        <w:keepLines w:val="0"/>
        <w:pageBreakBefore w:val="0"/>
        <w:widowControl w:val="0"/>
        <w:numPr>
          <w:ilvl w:val="0"/>
          <w:numId w:val="3"/>
        </w:numPr>
        <w:kinsoku/>
        <w:wordWrap/>
        <w:overflowPunct/>
        <w:topLinePunct w:val="0"/>
        <w:autoSpaceDE/>
        <w:autoSpaceDN/>
        <w:bidi w:val="0"/>
        <w:adjustRightInd w:val="0"/>
        <w:snapToGrid w:val="0"/>
        <w:spacing w:line="600" w:lineRule="exact"/>
        <w:ind w:firstLine="720"/>
        <w:textAlignment w:val="auto"/>
        <w:rPr>
          <w:rFonts w:hint="eastAsia" w:ascii="华文楷体" w:hAnsi="华文楷体" w:eastAsia="华文楷体" w:cs="华文楷体"/>
          <w:b/>
          <w:bCs/>
          <w:sz w:val="32"/>
          <w:szCs w:val="32"/>
          <w:lang w:val="zh-CN"/>
        </w:rPr>
      </w:pPr>
      <w:r>
        <w:rPr>
          <w:rFonts w:hint="eastAsia" w:ascii="华文楷体" w:hAnsi="华文楷体" w:eastAsia="华文楷体" w:cs="华文楷体"/>
          <w:b/>
          <w:bCs/>
          <w:sz w:val="32"/>
          <w:szCs w:val="32"/>
          <w:lang w:val="zh-CN"/>
        </w:rPr>
        <w:t>相关建议。</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960" w:firstLineChars="300"/>
        <w:textAlignment w:val="auto"/>
        <w:rPr>
          <w:rFonts w:hint="eastAsia" w:ascii="仿宋_GB2312" w:hAnsi="Calibri" w:eastAsia="仿宋_GB2312" w:cs="仿宋"/>
          <w:color w:val="auto"/>
          <w:kern w:val="0"/>
          <w:sz w:val="32"/>
          <w:szCs w:val="32"/>
          <w:lang w:val="zh-CN" w:eastAsia="zh-CN" w:bidi="ar-SA"/>
        </w:rPr>
      </w:pPr>
      <w:r>
        <w:rPr>
          <w:rFonts w:hint="eastAsia" w:ascii="仿宋_GB2312" w:hAnsi="Calibri" w:eastAsia="仿宋_GB2312" w:cs="仿宋"/>
          <w:color w:val="auto"/>
          <w:kern w:val="0"/>
          <w:sz w:val="32"/>
          <w:szCs w:val="32"/>
          <w:lang w:val="en-US" w:eastAsia="zh-CN" w:bidi="ar-SA"/>
        </w:rPr>
        <w:t>2023年还需上级、本级财政加大对孤儿助学补助资金投入，促进我县儿童社会福利事业发展体系更加健全。</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960" w:firstLineChars="300"/>
        <w:textAlignment w:val="auto"/>
        <w:rPr>
          <w:rFonts w:hint="eastAsia" w:ascii="仿宋_GB2312" w:hAnsi="Calibri" w:eastAsia="仿宋_GB2312" w:cs="仿宋"/>
          <w:color w:val="auto"/>
          <w:kern w:val="0"/>
          <w:sz w:val="32"/>
          <w:szCs w:val="32"/>
          <w:lang w:val="en-US" w:eastAsia="zh-CN" w:bidi="ar-SA"/>
        </w:rPr>
      </w:pPr>
    </w:p>
    <w:tbl>
      <w:tblPr>
        <w:tblStyle w:val="15"/>
        <w:tblpPr w:leftFromText="180" w:rightFromText="180" w:vertAnchor="text" w:horzAnchor="page" w:tblpX="1428" w:tblpY="463"/>
        <w:tblOverlap w:val="never"/>
        <w:tblW w:w="9015" w:type="dxa"/>
        <w:tblInd w:w="0" w:type="dxa"/>
        <w:shd w:val="clear" w:color="auto" w:fill="auto"/>
        <w:tblLayout w:type="fixed"/>
        <w:tblCellMar>
          <w:top w:w="0" w:type="dxa"/>
          <w:left w:w="0" w:type="dxa"/>
          <w:bottom w:w="0" w:type="dxa"/>
          <w:right w:w="0" w:type="dxa"/>
        </w:tblCellMar>
      </w:tblPr>
      <w:tblGrid>
        <w:gridCol w:w="600"/>
        <w:gridCol w:w="1017"/>
        <w:gridCol w:w="858"/>
        <w:gridCol w:w="442"/>
        <w:gridCol w:w="968"/>
        <w:gridCol w:w="780"/>
        <w:gridCol w:w="1050"/>
        <w:gridCol w:w="825"/>
        <w:gridCol w:w="735"/>
        <w:gridCol w:w="615"/>
        <w:gridCol w:w="435"/>
        <w:gridCol w:w="690"/>
      </w:tblGrid>
      <w:tr>
        <w:tblPrEx>
          <w:tblCellMar>
            <w:top w:w="0" w:type="dxa"/>
            <w:left w:w="0" w:type="dxa"/>
            <w:bottom w:w="0" w:type="dxa"/>
            <w:right w:w="0" w:type="dxa"/>
          </w:tblCellMar>
        </w:tblPrEx>
        <w:trPr>
          <w:trHeight w:val="542" w:hRule="atLeast"/>
        </w:trPr>
        <w:tc>
          <w:tcPr>
            <w:tcW w:w="9015" w:type="dxa"/>
            <w:gridSpan w:val="1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2022年度部门预算项目支出绩效自评表</w:t>
            </w:r>
          </w:p>
        </w:tc>
      </w:tr>
      <w:tr>
        <w:tblPrEx>
          <w:shd w:val="clear" w:color="auto" w:fill="auto"/>
          <w:tblCellMar>
            <w:top w:w="0" w:type="dxa"/>
            <w:left w:w="0" w:type="dxa"/>
            <w:bottom w:w="0" w:type="dxa"/>
            <w:right w:w="0" w:type="dxa"/>
          </w:tblCellMar>
        </w:tblPrEx>
        <w:trPr>
          <w:trHeight w:val="380" w:hRule="atLeast"/>
        </w:trPr>
        <w:tc>
          <w:tcPr>
            <w:tcW w:w="16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04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“福彩圆梦.孤儿助学”工程</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项目负责人及电话</w:t>
            </w:r>
          </w:p>
        </w:tc>
        <w:tc>
          <w:tcPr>
            <w:tcW w:w="247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附佐航 0839-6601636</w:t>
            </w:r>
          </w:p>
        </w:tc>
      </w:tr>
      <w:tr>
        <w:tblPrEx>
          <w:shd w:val="clear" w:color="auto" w:fill="auto"/>
          <w:tblCellMar>
            <w:top w:w="0" w:type="dxa"/>
            <w:left w:w="0" w:type="dxa"/>
            <w:bottom w:w="0" w:type="dxa"/>
            <w:right w:w="0" w:type="dxa"/>
          </w:tblCellMar>
        </w:tblPrEx>
        <w:trPr>
          <w:trHeight w:val="314" w:hRule="atLeast"/>
        </w:trPr>
        <w:tc>
          <w:tcPr>
            <w:tcW w:w="16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304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剑阁县民政局</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247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剑阁县民政局</w:t>
            </w:r>
          </w:p>
        </w:tc>
      </w:tr>
      <w:tr>
        <w:tblPrEx>
          <w:shd w:val="clear" w:color="auto" w:fill="auto"/>
          <w:tblCellMar>
            <w:top w:w="0" w:type="dxa"/>
            <w:left w:w="0" w:type="dxa"/>
            <w:bottom w:w="0" w:type="dxa"/>
            <w:right w:w="0" w:type="dxa"/>
          </w:tblCellMar>
        </w:tblPrEx>
        <w:trPr>
          <w:trHeight w:val="529" w:hRule="atLeast"/>
        </w:trPr>
        <w:tc>
          <w:tcPr>
            <w:tcW w:w="16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资金情况</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全年预算数（A）</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全年执行数（B）</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分值</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执行率（B/A)</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得分</w:t>
            </w:r>
          </w:p>
        </w:tc>
      </w:tr>
      <w:tr>
        <w:tblPrEx>
          <w:shd w:val="clear" w:color="auto" w:fill="auto"/>
          <w:tblCellMar>
            <w:top w:w="0" w:type="dxa"/>
            <w:left w:w="0" w:type="dxa"/>
            <w:bottom w:w="0" w:type="dxa"/>
            <w:right w:w="0" w:type="dxa"/>
          </w:tblCellMar>
        </w:tblPrEx>
        <w:trPr>
          <w:trHeight w:val="562" w:hRule="atLeast"/>
        </w:trPr>
        <w:tc>
          <w:tcPr>
            <w:tcW w:w="16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（万元）</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17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r>
      <w:tr>
        <w:tblPrEx>
          <w:shd w:val="clear" w:color="auto" w:fill="auto"/>
          <w:tblCellMar>
            <w:top w:w="0" w:type="dxa"/>
            <w:left w:w="0" w:type="dxa"/>
            <w:bottom w:w="0" w:type="dxa"/>
            <w:right w:w="0" w:type="dxa"/>
          </w:tblCellMar>
        </w:tblPrEx>
        <w:trPr>
          <w:trHeight w:val="90" w:hRule="atLeast"/>
        </w:trPr>
        <w:tc>
          <w:tcPr>
            <w:tcW w:w="16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35"/>
                <w:lang w:val="en-US" w:eastAsia="zh-CN" w:bidi="ar"/>
              </w:rPr>
              <w:t xml:space="preserve"> 其中：中央、省、市财政资金</w:t>
            </w:r>
          </w:p>
        </w:tc>
        <w:tc>
          <w:tcPr>
            <w:tcW w:w="17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r>
      <w:tr>
        <w:tblPrEx>
          <w:shd w:val="clear" w:color="auto" w:fill="auto"/>
          <w:tblCellMar>
            <w:top w:w="0" w:type="dxa"/>
            <w:left w:w="0" w:type="dxa"/>
            <w:bottom w:w="0" w:type="dxa"/>
            <w:right w:w="0" w:type="dxa"/>
          </w:tblCellMar>
        </w:tblPrEx>
        <w:trPr>
          <w:trHeight w:val="347" w:hRule="atLeast"/>
        </w:trPr>
        <w:tc>
          <w:tcPr>
            <w:tcW w:w="16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县级财政资金</w:t>
            </w:r>
          </w:p>
        </w:tc>
        <w:tc>
          <w:tcPr>
            <w:tcW w:w="17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47" w:hRule="atLeast"/>
        </w:trPr>
        <w:tc>
          <w:tcPr>
            <w:tcW w:w="16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35"/>
                <w:lang w:val="en-US" w:eastAsia="zh-CN" w:bidi="ar"/>
              </w:rPr>
              <w:t xml:space="preserve"> 其他资金</w:t>
            </w:r>
          </w:p>
        </w:tc>
        <w:tc>
          <w:tcPr>
            <w:tcW w:w="17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7"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w:t>
            </w:r>
          </w:p>
        </w:tc>
        <w:tc>
          <w:tcPr>
            <w:tcW w:w="406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年初设定目标</w:t>
            </w:r>
          </w:p>
        </w:tc>
        <w:tc>
          <w:tcPr>
            <w:tcW w:w="435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年度总体目标完成情况综述</w:t>
            </w:r>
          </w:p>
        </w:tc>
      </w:tr>
      <w:tr>
        <w:tblPrEx>
          <w:shd w:val="clear" w:color="auto" w:fill="auto"/>
          <w:tblCellMar>
            <w:top w:w="0" w:type="dxa"/>
            <w:left w:w="0" w:type="dxa"/>
            <w:bottom w:w="0" w:type="dxa"/>
            <w:right w:w="0" w:type="dxa"/>
          </w:tblCellMar>
        </w:tblPrEx>
        <w:trPr>
          <w:trHeight w:val="984"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06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开展“孤儿助学工程”，资助考上普通全日制本科、专科等学校的孤儿完成学业。</w:t>
            </w:r>
          </w:p>
        </w:tc>
        <w:tc>
          <w:tcPr>
            <w:tcW w:w="435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开展“孤儿助学工程”，资助了考上普通全日制本科、专科等学校的孤儿完成学业。</w:t>
            </w:r>
          </w:p>
        </w:tc>
      </w:tr>
      <w:tr>
        <w:tblPrEx>
          <w:shd w:val="clear" w:color="auto" w:fill="auto"/>
          <w:tblCellMar>
            <w:top w:w="0" w:type="dxa"/>
            <w:left w:w="0" w:type="dxa"/>
            <w:bottom w:w="0" w:type="dxa"/>
            <w:right w:w="0" w:type="dxa"/>
          </w:tblCellMar>
        </w:tblPrEx>
        <w:trPr>
          <w:trHeight w:val="480"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绩效指标</w:t>
            </w:r>
          </w:p>
        </w:tc>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41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分值</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年度指标值</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自评得分</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财政复评得分</w:t>
            </w:r>
          </w:p>
        </w:tc>
        <w:tc>
          <w:tcPr>
            <w:tcW w:w="11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未完成原因及拟采取的改进措施</w:t>
            </w:r>
          </w:p>
        </w:tc>
      </w:tr>
      <w:tr>
        <w:tblPrEx>
          <w:shd w:val="clear" w:color="auto" w:fill="auto"/>
          <w:tblCellMar>
            <w:top w:w="0" w:type="dxa"/>
            <w:left w:w="0" w:type="dxa"/>
            <w:bottom w:w="0" w:type="dxa"/>
            <w:right w:w="0" w:type="dxa"/>
          </w:tblCellMar>
        </w:tblPrEx>
        <w:trPr>
          <w:trHeight w:val="505"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实际值</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45"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产出指标（50分）</w:t>
            </w:r>
          </w:p>
        </w:tc>
        <w:tc>
          <w:tcPr>
            <w:tcW w:w="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孤儿助学工程人数</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≥21个</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21个</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9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补助标准</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10000元/年*人</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10000元/年*人</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46"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资金发放及时率</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802"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7"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效绩指标（30分）</w:t>
            </w:r>
          </w:p>
        </w:tc>
        <w:tc>
          <w:tcPr>
            <w:tcW w:w="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儿童社会福利事业发展体系</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更加健全</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更加健全</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966"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满意度指标（10分）</w:t>
            </w:r>
          </w:p>
        </w:tc>
        <w:tc>
          <w:tcPr>
            <w:tcW w:w="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服务对象满意度指标</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受助孤儿满意度</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448" w:hRule="atLeast"/>
        </w:trPr>
        <w:tc>
          <w:tcPr>
            <w:tcW w:w="388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总分</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bl>
    <w:p>
      <w:pPr>
        <w:pStyle w:val="2"/>
      </w:pPr>
    </w:p>
    <w:p>
      <w:pPr>
        <w:numPr>
          <w:ilvl w:val="0"/>
          <w:numId w:val="0"/>
        </w:numPr>
        <w:spacing w:line="600" w:lineRule="exact"/>
        <w:jc w:val="center"/>
        <w:outlineLvl w:val="0"/>
        <w:rPr>
          <w:rStyle w:val="28"/>
          <w:rFonts w:hint="eastAsia" w:ascii="黑体" w:hAnsi="黑体" w:eastAsia="黑体" w:cs="Times New Roman"/>
          <w:b w:val="0"/>
          <w:lang w:eastAsia="zh-CN"/>
        </w:rPr>
      </w:pPr>
    </w:p>
    <w:p>
      <w:pPr>
        <w:numPr>
          <w:ilvl w:val="0"/>
          <w:numId w:val="0"/>
        </w:numPr>
        <w:spacing w:line="600" w:lineRule="exact"/>
        <w:jc w:val="center"/>
        <w:outlineLvl w:val="0"/>
        <w:rPr>
          <w:rFonts w:hint="eastAsia" w:ascii="仿宋" w:hAnsi="仿宋" w:eastAsia="仿宋"/>
          <w:b w:val="0"/>
        </w:rPr>
      </w:pPr>
      <w:r>
        <w:rPr>
          <w:rStyle w:val="28"/>
          <w:rFonts w:hint="eastAsia" w:ascii="黑体" w:hAnsi="黑体" w:eastAsia="黑体" w:cs="Times New Roman"/>
          <w:b w:val="0"/>
          <w:lang w:eastAsia="zh-CN"/>
        </w:rPr>
        <w:t>第五部分</w:t>
      </w:r>
      <w:r>
        <w:rPr>
          <w:rStyle w:val="28"/>
          <w:rFonts w:hint="eastAsia" w:ascii="黑体" w:hAnsi="黑体" w:eastAsia="黑体" w:cs="Times New Roman"/>
          <w:b w:val="0"/>
          <w:lang w:val="en-US" w:eastAsia="zh-CN"/>
        </w:rPr>
        <w:t xml:space="preserve"> </w:t>
      </w:r>
      <w:r>
        <w:rPr>
          <w:rStyle w:val="28"/>
          <w:rFonts w:hint="eastAsia" w:ascii="黑体" w:hAnsi="黑体" w:eastAsia="黑体" w:cs="Times New Roman"/>
          <w:b w:val="0"/>
        </w:rPr>
        <w:t xml:space="preserve"> 附表</w:t>
      </w:r>
      <w:bookmarkStart w:id="16" w:name="_Toc15396619"/>
    </w:p>
    <w:p>
      <w:pPr>
        <w:pStyle w:val="5"/>
        <w:ind w:firstLine="640" w:firstLineChars="200"/>
        <w:rPr>
          <w:rFonts w:ascii="仿宋" w:hAnsi="仿宋" w:eastAsia="仿宋"/>
        </w:rPr>
      </w:pPr>
      <w:r>
        <w:rPr>
          <w:rFonts w:hint="eastAsia" w:ascii="仿宋" w:hAnsi="仿宋" w:eastAsia="仿宋"/>
          <w:b w:val="0"/>
        </w:rPr>
        <w:t>一、收</w:t>
      </w:r>
      <w:r>
        <w:rPr>
          <w:rStyle w:val="29"/>
          <w:rFonts w:hint="eastAsia" w:ascii="仿宋" w:hAnsi="仿宋" w:eastAsia="仿宋"/>
          <w:b w:val="0"/>
          <w:bCs w:val="0"/>
        </w:rPr>
        <w:t>入支出决算总表</w:t>
      </w:r>
      <w:bookmarkEnd w:id="16"/>
    </w:p>
    <w:p>
      <w:pPr>
        <w:pStyle w:val="5"/>
        <w:ind w:firstLine="640" w:firstLineChars="200"/>
        <w:rPr>
          <w:rFonts w:ascii="仿宋" w:hAnsi="仿宋" w:eastAsia="仿宋"/>
        </w:rPr>
      </w:pPr>
      <w:bookmarkStart w:id="17" w:name="_Toc15396620"/>
      <w:r>
        <w:rPr>
          <w:rFonts w:hint="eastAsia" w:ascii="仿宋" w:hAnsi="仿宋" w:eastAsia="仿宋"/>
          <w:b w:val="0"/>
        </w:rPr>
        <w:t>二、收</w:t>
      </w:r>
      <w:r>
        <w:rPr>
          <w:rStyle w:val="29"/>
          <w:rFonts w:hint="eastAsia" w:ascii="仿宋" w:hAnsi="仿宋" w:eastAsia="仿宋"/>
          <w:b w:val="0"/>
          <w:bCs w:val="0"/>
        </w:rPr>
        <w:t>入决算表</w:t>
      </w:r>
      <w:bookmarkEnd w:id="17"/>
    </w:p>
    <w:p>
      <w:pPr>
        <w:pStyle w:val="5"/>
        <w:ind w:firstLine="640" w:firstLineChars="200"/>
        <w:rPr>
          <w:rFonts w:ascii="仿宋" w:hAnsi="仿宋" w:eastAsia="仿宋"/>
        </w:rPr>
      </w:pPr>
      <w:bookmarkStart w:id="18" w:name="_Toc15396621"/>
      <w:r>
        <w:rPr>
          <w:rStyle w:val="29"/>
          <w:rFonts w:hint="eastAsia" w:ascii="仿宋" w:hAnsi="仿宋" w:eastAsia="仿宋"/>
          <w:b w:val="0"/>
          <w:bCs w:val="0"/>
        </w:rPr>
        <w:t>三、</w:t>
      </w:r>
      <w:r>
        <w:rPr>
          <w:rFonts w:hint="eastAsia" w:ascii="仿宋" w:hAnsi="仿宋" w:eastAsia="仿宋"/>
          <w:b w:val="0"/>
        </w:rPr>
        <w:t>支</w:t>
      </w:r>
      <w:r>
        <w:rPr>
          <w:rStyle w:val="29"/>
          <w:rFonts w:hint="eastAsia" w:ascii="仿宋" w:hAnsi="仿宋" w:eastAsia="仿宋"/>
          <w:b w:val="0"/>
          <w:bCs w:val="0"/>
        </w:rPr>
        <w:t>出决算表</w:t>
      </w:r>
      <w:bookmarkEnd w:id="18"/>
    </w:p>
    <w:p>
      <w:pPr>
        <w:pStyle w:val="5"/>
        <w:ind w:firstLine="640" w:firstLineChars="200"/>
        <w:rPr>
          <w:rFonts w:ascii="仿宋" w:hAnsi="仿宋" w:eastAsia="仿宋"/>
          <w:b w:val="0"/>
        </w:rPr>
      </w:pPr>
      <w:bookmarkStart w:id="19" w:name="_Toc15396622"/>
      <w:r>
        <w:rPr>
          <w:rStyle w:val="29"/>
          <w:rFonts w:hint="eastAsia" w:ascii="仿宋" w:hAnsi="仿宋" w:eastAsia="仿宋"/>
          <w:b w:val="0"/>
          <w:bCs w:val="0"/>
        </w:rPr>
        <w:t>四、</w:t>
      </w:r>
      <w:r>
        <w:rPr>
          <w:rFonts w:hint="eastAsia" w:ascii="仿宋" w:hAnsi="仿宋" w:eastAsia="仿宋"/>
          <w:b w:val="0"/>
        </w:rPr>
        <w:t>财</w:t>
      </w:r>
      <w:r>
        <w:rPr>
          <w:rStyle w:val="29"/>
          <w:rFonts w:hint="eastAsia" w:ascii="仿宋" w:hAnsi="仿宋" w:eastAsia="仿宋"/>
          <w:b w:val="0"/>
          <w:bCs w:val="0"/>
        </w:rPr>
        <w:t>政拨款收入支出决算总表</w:t>
      </w:r>
      <w:bookmarkEnd w:id="19"/>
    </w:p>
    <w:p>
      <w:pPr>
        <w:pStyle w:val="5"/>
        <w:ind w:firstLine="640" w:firstLineChars="200"/>
        <w:rPr>
          <w:rStyle w:val="29"/>
          <w:rFonts w:ascii="仿宋" w:hAnsi="仿宋" w:eastAsia="仿宋"/>
          <w:b w:val="0"/>
          <w:bCs w:val="0"/>
        </w:rPr>
      </w:pPr>
      <w:bookmarkStart w:id="20" w:name="_Toc15396623"/>
      <w:r>
        <w:rPr>
          <w:rStyle w:val="29"/>
          <w:rFonts w:hint="eastAsia" w:ascii="仿宋" w:hAnsi="仿宋" w:eastAsia="仿宋"/>
          <w:b w:val="0"/>
          <w:bCs w:val="0"/>
        </w:rPr>
        <w:t>五、</w:t>
      </w:r>
      <w:r>
        <w:rPr>
          <w:rFonts w:hint="eastAsia" w:ascii="仿宋" w:hAnsi="仿宋" w:eastAsia="仿宋"/>
          <w:b w:val="0"/>
        </w:rPr>
        <w:t>财</w:t>
      </w:r>
      <w:r>
        <w:rPr>
          <w:rStyle w:val="29"/>
          <w:rFonts w:hint="eastAsia" w:ascii="仿宋" w:hAnsi="仿宋" w:eastAsia="仿宋"/>
          <w:b w:val="0"/>
          <w:bCs w:val="0"/>
        </w:rPr>
        <w:t>政拨款支出决算明细表</w:t>
      </w:r>
      <w:bookmarkEnd w:id="20"/>
      <w:bookmarkStart w:id="21" w:name="_Toc15396624"/>
    </w:p>
    <w:p>
      <w:pPr>
        <w:pStyle w:val="5"/>
        <w:ind w:firstLine="640" w:firstLineChars="200"/>
        <w:rPr>
          <w:rFonts w:ascii="仿宋" w:hAnsi="仿宋" w:eastAsia="仿宋"/>
        </w:rPr>
      </w:pPr>
      <w:r>
        <w:rPr>
          <w:rStyle w:val="29"/>
          <w:rFonts w:hint="eastAsia" w:ascii="仿宋" w:hAnsi="仿宋" w:eastAsia="仿宋"/>
          <w:b w:val="0"/>
          <w:bCs w:val="0"/>
        </w:rPr>
        <w:t>六、</w:t>
      </w:r>
      <w:r>
        <w:rPr>
          <w:rFonts w:hint="eastAsia" w:ascii="仿宋" w:hAnsi="仿宋" w:eastAsia="仿宋"/>
          <w:b w:val="0"/>
        </w:rPr>
        <w:t>一</w:t>
      </w:r>
      <w:r>
        <w:rPr>
          <w:rStyle w:val="29"/>
          <w:rFonts w:hint="eastAsia" w:ascii="仿宋" w:hAnsi="仿宋" w:eastAsia="仿宋"/>
          <w:b w:val="0"/>
          <w:bCs w:val="0"/>
        </w:rPr>
        <w:t>般公共预算财政拨款支出决算表</w:t>
      </w:r>
      <w:bookmarkEnd w:id="21"/>
    </w:p>
    <w:p>
      <w:pPr>
        <w:pStyle w:val="5"/>
        <w:ind w:firstLine="640" w:firstLineChars="200"/>
        <w:rPr>
          <w:rFonts w:ascii="仿宋" w:hAnsi="仿宋" w:eastAsia="仿宋"/>
        </w:rPr>
      </w:pPr>
      <w:bookmarkStart w:id="22" w:name="_Toc15396625"/>
      <w:r>
        <w:rPr>
          <w:rStyle w:val="29"/>
          <w:rFonts w:hint="eastAsia" w:ascii="仿宋" w:hAnsi="仿宋" w:eastAsia="仿宋"/>
          <w:b w:val="0"/>
          <w:bCs w:val="0"/>
        </w:rPr>
        <w:t>七、</w:t>
      </w:r>
      <w:r>
        <w:rPr>
          <w:rFonts w:hint="eastAsia" w:ascii="仿宋" w:hAnsi="仿宋" w:eastAsia="仿宋"/>
          <w:b w:val="0"/>
        </w:rPr>
        <w:t>一</w:t>
      </w:r>
      <w:r>
        <w:rPr>
          <w:rStyle w:val="29"/>
          <w:rFonts w:hint="eastAsia" w:ascii="仿宋" w:hAnsi="仿宋" w:eastAsia="仿宋"/>
          <w:b w:val="0"/>
          <w:bCs w:val="0"/>
        </w:rPr>
        <w:t>般公共预算财政拨款支出决算明细表</w:t>
      </w:r>
      <w:bookmarkEnd w:id="22"/>
    </w:p>
    <w:p>
      <w:pPr>
        <w:pStyle w:val="5"/>
        <w:ind w:firstLine="640" w:firstLineChars="200"/>
        <w:rPr>
          <w:rFonts w:ascii="仿宋" w:hAnsi="仿宋" w:eastAsia="仿宋"/>
        </w:rPr>
      </w:pPr>
      <w:bookmarkStart w:id="23" w:name="_Toc15396626"/>
      <w:r>
        <w:rPr>
          <w:rStyle w:val="29"/>
          <w:rFonts w:hint="eastAsia" w:ascii="仿宋" w:hAnsi="仿宋" w:eastAsia="仿宋"/>
          <w:b w:val="0"/>
          <w:bCs w:val="0"/>
        </w:rPr>
        <w:t>八、</w:t>
      </w:r>
      <w:r>
        <w:rPr>
          <w:rFonts w:hint="eastAsia" w:ascii="仿宋" w:hAnsi="仿宋" w:eastAsia="仿宋"/>
          <w:b w:val="0"/>
        </w:rPr>
        <w:t>一</w:t>
      </w:r>
      <w:r>
        <w:rPr>
          <w:rStyle w:val="29"/>
          <w:rFonts w:hint="eastAsia" w:ascii="仿宋" w:hAnsi="仿宋" w:eastAsia="仿宋"/>
          <w:b w:val="0"/>
          <w:bCs w:val="0"/>
        </w:rPr>
        <w:t>般公共预算财政拨款基本支出决算表</w:t>
      </w:r>
      <w:bookmarkEnd w:id="23"/>
    </w:p>
    <w:p>
      <w:pPr>
        <w:pStyle w:val="5"/>
        <w:ind w:firstLine="640" w:firstLineChars="200"/>
        <w:rPr>
          <w:rFonts w:ascii="仿宋" w:hAnsi="仿宋" w:eastAsia="仿宋"/>
        </w:rPr>
      </w:pPr>
      <w:bookmarkStart w:id="24" w:name="_Toc15396627"/>
      <w:r>
        <w:rPr>
          <w:rStyle w:val="29"/>
          <w:rFonts w:hint="eastAsia" w:ascii="仿宋" w:hAnsi="仿宋" w:eastAsia="仿宋"/>
          <w:b w:val="0"/>
          <w:bCs w:val="0"/>
        </w:rPr>
        <w:t>九、</w:t>
      </w:r>
      <w:r>
        <w:rPr>
          <w:rFonts w:hint="eastAsia" w:ascii="仿宋" w:hAnsi="仿宋" w:eastAsia="仿宋"/>
          <w:b w:val="0"/>
        </w:rPr>
        <w:t>一</w:t>
      </w:r>
      <w:r>
        <w:rPr>
          <w:rStyle w:val="29"/>
          <w:rFonts w:hint="eastAsia" w:ascii="仿宋" w:hAnsi="仿宋" w:eastAsia="仿宋"/>
          <w:b w:val="0"/>
          <w:bCs w:val="0"/>
        </w:rPr>
        <w:t>般公共预算财政拨款项目支出决算表</w:t>
      </w:r>
      <w:bookmarkEnd w:id="24"/>
    </w:p>
    <w:p>
      <w:pPr>
        <w:pStyle w:val="5"/>
        <w:ind w:firstLine="640" w:firstLineChars="200"/>
        <w:rPr>
          <w:rFonts w:ascii="仿宋" w:hAnsi="仿宋" w:eastAsia="仿宋"/>
        </w:rPr>
      </w:pPr>
      <w:bookmarkStart w:id="25" w:name="_Toc15396628"/>
      <w:r>
        <w:rPr>
          <w:rStyle w:val="29"/>
          <w:rFonts w:hint="eastAsia" w:ascii="仿宋" w:hAnsi="仿宋" w:eastAsia="仿宋"/>
          <w:b w:val="0"/>
          <w:bCs w:val="0"/>
        </w:rPr>
        <w:t>十、</w:t>
      </w:r>
      <w:bookmarkEnd w:id="25"/>
      <w:r>
        <w:rPr>
          <w:rFonts w:hint="eastAsia" w:ascii="仿宋" w:hAnsi="仿宋" w:eastAsia="仿宋"/>
          <w:b w:val="0"/>
        </w:rPr>
        <w:t>政</w:t>
      </w:r>
      <w:r>
        <w:rPr>
          <w:rStyle w:val="29"/>
          <w:rFonts w:hint="eastAsia" w:ascii="仿宋" w:hAnsi="仿宋" w:eastAsia="仿宋"/>
          <w:b w:val="0"/>
          <w:bCs w:val="0"/>
        </w:rPr>
        <w:t>府性基金预算财政拨款收入支出决算表</w:t>
      </w:r>
    </w:p>
    <w:p>
      <w:pPr>
        <w:pStyle w:val="5"/>
        <w:ind w:firstLine="640" w:firstLineChars="200"/>
        <w:rPr>
          <w:rFonts w:ascii="仿宋" w:hAnsi="仿宋" w:eastAsia="仿宋"/>
        </w:rPr>
      </w:pPr>
      <w:bookmarkStart w:id="26" w:name="_Toc15396629"/>
      <w:r>
        <w:rPr>
          <w:rStyle w:val="29"/>
          <w:rFonts w:hint="eastAsia" w:ascii="仿宋" w:hAnsi="仿宋" w:eastAsia="仿宋"/>
          <w:b w:val="0"/>
          <w:bCs w:val="0"/>
        </w:rPr>
        <w:t>十一、</w:t>
      </w:r>
      <w:bookmarkEnd w:id="26"/>
      <w:r>
        <w:rPr>
          <w:rFonts w:hint="eastAsia" w:ascii="仿宋" w:hAnsi="仿宋" w:eastAsia="仿宋"/>
          <w:b w:val="0"/>
        </w:rPr>
        <w:t>国</w:t>
      </w:r>
      <w:r>
        <w:rPr>
          <w:rStyle w:val="29"/>
          <w:rFonts w:hint="eastAsia" w:ascii="仿宋" w:hAnsi="仿宋" w:eastAsia="仿宋"/>
          <w:b w:val="0"/>
          <w:bCs w:val="0"/>
        </w:rPr>
        <w:t>有资本经营预算财政拨款收入支出决算表</w:t>
      </w:r>
    </w:p>
    <w:p>
      <w:pPr>
        <w:pStyle w:val="5"/>
        <w:ind w:firstLine="640" w:firstLineChars="200"/>
        <w:rPr>
          <w:rFonts w:ascii="仿宋" w:hAnsi="仿宋" w:eastAsia="仿宋"/>
        </w:rPr>
      </w:pPr>
      <w:bookmarkStart w:id="27" w:name="_Toc15396630"/>
      <w:r>
        <w:rPr>
          <w:rStyle w:val="29"/>
          <w:rFonts w:hint="eastAsia" w:ascii="仿宋" w:hAnsi="仿宋" w:eastAsia="仿宋"/>
          <w:b w:val="0"/>
          <w:bCs w:val="0"/>
        </w:rPr>
        <w:t>十二、</w:t>
      </w:r>
      <w:bookmarkEnd w:id="27"/>
      <w:r>
        <w:rPr>
          <w:rStyle w:val="29"/>
          <w:rFonts w:hint="eastAsia" w:ascii="仿宋" w:hAnsi="仿宋" w:eastAsia="仿宋"/>
          <w:b w:val="0"/>
          <w:bCs w:val="0"/>
        </w:rPr>
        <w:t>国有资本经营预算财政拨款支出决算表</w:t>
      </w:r>
    </w:p>
    <w:p>
      <w:pPr>
        <w:pStyle w:val="5"/>
        <w:ind w:firstLine="640" w:firstLineChars="200"/>
        <w:rPr>
          <w:rFonts w:eastAsia="仿宋"/>
        </w:rPr>
      </w:pPr>
      <w:bookmarkStart w:id="28" w:name="_Toc15396631"/>
      <w:r>
        <w:rPr>
          <w:rStyle w:val="29"/>
          <w:rFonts w:hint="eastAsia" w:ascii="仿宋" w:hAnsi="仿宋" w:eastAsia="仿宋"/>
          <w:b w:val="0"/>
          <w:bCs w:val="0"/>
        </w:rPr>
        <w:t>十三、</w:t>
      </w:r>
      <w:bookmarkEnd w:id="28"/>
      <w:r>
        <w:rPr>
          <w:rStyle w:val="29"/>
          <w:rFonts w:hint="eastAsia" w:ascii="仿宋" w:hAnsi="仿宋" w:eastAsia="仿宋"/>
          <w:b w:val="0"/>
          <w:bCs w:val="0"/>
        </w:rPr>
        <w:t>财政拨款“三公”经费支出决算表</w:t>
      </w:r>
    </w:p>
    <w:p/>
    <w:sectPr>
      <w:headerReference r:id="rId5" w:type="default"/>
      <w:footerReference r:id="rId6"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altName w:val="方正楷体_GBK"/>
    <w:panose1 w:val="02010600040101010101"/>
    <w:charset w:val="86"/>
    <w:family w:val="auto"/>
    <w:pitch w:val="default"/>
    <w:sig w:usb0="00000000" w:usb1="00000000" w:usb2="00000000" w:usb3="00000000" w:csb0="0004009F" w:csb1="DFD70000"/>
  </w:font>
  <w:font w:name="Lucida Sans">
    <w:panose1 w:val="020B0602030504020204"/>
    <w:charset w:val="00"/>
    <w:family w:val="auto"/>
    <w:pitch w:val="default"/>
    <w:sig w:usb0="00000000" w:usb1="00000000" w:usb2="00000000" w:usb3="00000000" w:csb0="00000000" w:csb1="00000000"/>
  </w:font>
  <w:font w:name="文泉驿正黑">
    <w:panose1 w:val="02000603000000000000"/>
    <w:charset w:val="86"/>
    <w:family w:val="auto"/>
    <w:pitch w:val="default"/>
    <w:sig w:usb0="900002BF" w:usb1="2BDF7DFB" w:usb2="00000036" w:usb3="00000000" w:csb0="603E000D" w:csb1="D2D7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2</w:t>
        </w:r>
        <w:r>
          <w:fldChar w:fldCharType="end"/>
        </w:r>
      </w:p>
    </w:sdtContent>
  </w:sdt>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2</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7497E291"/>
    <w:multiLevelType w:val="singleLevel"/>
    <w:tmpl w:val="7497E291"/>
    <w:lvl w:ilvl="0" w:tentative="0">
      <w:start w:val="1"/>
      <w:numFmt w:val="chineseCounting"/>
      <w:suff w:val="nothing"/>
      <w:lvlText w:val="（%1）"/>
      <w:lvlJc w:val="left"/>
      <w:rPr>
        <w:rFonts w:hint="eastAsia"/>
      </w:rPr>
    </w:lvl>
  </w:abstractNum>
  <w:abstractNum w:abstractNumId="2">
    <w:nsid w:val="79C7596B"/>
    <w:multiLevelType w:val="singleLevel"/>
    <w:tmpl w:val="79C7596B"/>
    <w:lvl w:ilvl="0" w:tentative="0">
      <w:start w:val="1"/>
      <w:numFmt w:val="chineseCounting"/>
      <w:suff w:val="nothing"/>
      <w:lvlText w:val="（%1）"/>
      <w:lvlJc w:val="left"/>
      <w:rPr>
        <w:rFonts w:hint="eastAsia"/>
      </w:rPr>
    </w:lvl>
  </w:abstractNum>
  <w:abstractNum w:abstractNumId="3">
    <w:nsid w:val="7B776B9F"/>
    <w:multiLevelType w:val="singleLevel"/>
    <w:tmpl w:val="7B776B9F"/>
    <w:lvl w:ilvl="0" w:tentative="0">
      <w:start w:val="2"/>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3CE0"/>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42F6E"/>
    <w:rsid w:val="00357D1A"/>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2A80"/>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94377"/>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9666D"/>
    <w:rsid w:val="008B0651"/>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2647E"/>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21F16"/>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D54BB"/>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C75C6"/>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A3F4C"/>
    <w:rsid w:val="00FD3CC1"/>
    <w:rsid w:val="00FF1E02"/>
    <w:rsid w:val="00FF30B4"/>
    <w:rsid w:val="010B21E3"/>
    <w:rsid w:val="015975B8"/>
    <w:rsid w:val="02143E91"/>
    <w:rsid w:val="0290471B"/>
    <w:rsid w:val="032C388D"/>
    <w:rsid w:val="03A87AB4"/>
    <w:rsid w:val="04532341"/>
    <w:rsid w:val="04640995"/>
    <w:rsid w:val="04A24C64"/>
    <w:rsid w:val="04E9788E"/>
    <w:rsid w:val="0577259A"/>
    <w:rsid w:val="066E0107"/>
    <w:rsid w:val="07722ECF"/>
    <w:rsid w:val="07902BA2"/>
    <w:rsid w:val="07996F6E"/>
    <w:rsid w:val="07A84ECF"/>
    <w:rsid w:val="07B701BD"/>
    <w:rsid w:val="080A3DE4"/>
    <w:rsid w:val="095F29D7"/>
    <w:rsid w:val="0993739F"/>
    <w:rsid w:val="0A2032A3"/>
    <w:rsid w:val="0A2E7E2A"/>
    <w:rsid w:val="0A6F4640"/>
    <w:rsid w:val="0B966FE0"/>
    <w:rsid w:val="0BA0063C"/>
    <w:rsid w:val="0E472161"/>
    <w:rsid w:val="0E5C2CB2"/>
    <w:rsid w:val="0E853695"/>
    <w:rsid w:val="0EEE4655"/>
    <w:rsid w:val="0F294208"/>
    <w:rsid w:val="0F2D745A"/>
    <w:rsid w:val="0F9277DB"/>
    <w:rsid w:val="0F98263C"/>
    <w:rsid w:val="101860EC"/>
    <w:rsid w:val="10BC25A6"/>
    <w:rsid w:val="10C055FF"/>
    <w:rsid w:val="11065116"/>
    <w:rsid w:val="118107EC"/>
    <w:rsid w:val="12EF1CCF"/>
    <w:rsid w:val="13082AAF"/>
    <w:rsid w:val="13D50BC4"/>
    <w:rsid w:val="14C300FB"/>
    <w:rsid w:val="151E5AEF"/>
    <w:rsid w:val="16617923"/>
    <w:rsid w:val="16BB723D"/>
    <w:rsid w:val="17915225"/>
    <w:rsid w:val="1891395C"/>
    <w:rsid w:val="18DA2B9D"/>
    <w:rsid w:val="194A5A0B"/>
    <w:rsid w:val="19C60E1C"/>
    <w:rsid w:val="1AD934DA"/>
    <w:rsid w:val="1B724E20"/>
    <w:rsid w:val="1B8B1078"/>
    <w:rsid w:val="1BE8440E"/>
    <w:rsid w:val="1C4670A2"/>
    <w:rsid w:val="1CC170AD"/>
    <w:rsid w:val="1D152177"/>
    <w:rsid w:val="1D155CEE"/>
    <w:rsid w:val="1D9569DD"/>
    <w:rsid w:val="1E447D7E"/>
    <w:rsid w:val="1FF35744"/>
    <w:rsid w:val="20C97CEA"/>
    <w:rsid w:val="216A0185"/>
    <w:rsid w:val="217D14EB"/>
    <w:rsid w:val="22AF1F85"/>
    <w:rsid w:val="22F0652B"/>
    <w:rsid w:val="23506EBD"/>
    <w:rsid w:val="236D25E6"/>
    <w:rsid w:val="23860B96"/>
    <w:rsid w:val="240371BF"/>
    <w:rsid w:val="2496399E"/>
    <w:rsid w:val="27910A4D"/>
    <w:rsid w:val="2794396F"/>
    <w:rsid w:val="28514DAE"/>
    <w:rsid w:val="29FD04D3"/>
    <w:rsid w:val="2B2B6ADA"/>
    <w:rsid w:val="2B544051"/>
    <w:rsid w:val="2C771BA0"/>
    <w:rsid w:val="2C8A61B5"/>
    <w:rsid w:val="2D3359FD"/>
    <w:rsid w:val="2DC820FA"/>
    <w:rsid w:val="2DF04E50"/>
    <w:rsid w:val="2E446690"/>
    <w:rsid w:val="2E6E2C90"/>
    <w:rsid w:val="2EB82C5A"/>
    <w:rsid w:val="2EDA00EF"/>
    <w:rsid w:val="2F040D46"/>
    <w:rsid w:val="31537448"/>
    <w:rsid w:val="319F7F4E"/>
    <w:rsid w:val="3304709D"/>
    <w:rsid w:val="34736BBC"/>
    <w:rsid w:val="34810F3A"/>
    <w:rsid w:val="35B5150B"/>
    <w:rsid w:val="36097101"/>
    <w:rsid w:val="366B4C04"/>
    <w:rsid w:val="36AA5135"/>
    <w:rsid w:val="376D39B2"/>
    <w:rsid w:val="37E16F03"/>
    <w:rsid w:val="38D469F0"/>
    <w:rsid w:val="395C13B4"/>
    <w:rsid w:val="399B7536"/>
    <w:rsid w:val="39A53ADC"/>
    <w:rsid w:val="39C20907"/>
    <w:rsid w:val="3A1D302D"/>
    <w:rsid w:val="3AA0609D"/>
    <w:rsid w:val="3AC17877"/>
    <w:rsid w:val="3D113210"/>
    <w:rsid w:val="3D98207C"/>
    <w:rsid w:val="3E0B47B3"/>
    <w:rsid w:val="3E78745D"/>
    <w:rsid w:val="3F21426E"/>
    <w:rsid w:val="3F7A4998"/>
    <w:rsid w:val="400A4173"/>
    <w:rsid w:val="410954E4"/>
    <w:rsid w:val="42CF7D58"/>
    <w:rsid w:val="42DE31E5"/>
    <w:rsid w:val="43B07969"/>
    <w:rsid w:val="4455064D"/>
    <w:rsid w:val="44E268DA"/>
    <w:rsid w:val="44FD6119"/>
    <w:rsid w:val="4764152B"/>
    <w:rsid w:val="48AF364F"/>
    <w:rsid w:val="497142B2"/>
    <w:rsid w:val="4A627F82"/>
    <w:rsid w:val="4ACA49E2"/>
    <w:rsid w:val="4B0E749A"/>
    <w:rsid w:val="4B4F25DA"/>
    <w:rsid w:val="4BE068DB"/>
    <w:rsid w:val="4D444BB0"/>
    <w:rsid w:val="4D577224"/>
    <w:rsid w:val="4E6D0BE2"/>
    <w:rsid w:val="4E80386B"/>
    <w:rsid w:val="4EAB630A"/>
    <w:rsid w:val="4ECE2238"/>
    <w:rsid w:val="51E10B8D"/>
    <w:rsid w:val="524C1784"/>
    <w:rsid w:val="537E6D0A"/>
    <w:rsid w:val="54813074"/>
    <w:rsid w:val="54F77752"/>
    <w:rsid w:val="55FB37D3"/>
    <w:rsid w:val="58AA2E73"/>
    <w:rsid w:val="5A853518"/>
    <w:rsid w:val="5AF92295"/>
    <w:rsid w:val="5B9B54F4"/>
    <w:rsid w:val="5C393129"/>
    <w:rsid w:val="5CD71FC4"/>
    <w:rsid w:val="5D1A7E5D"/>
    <w:rsid w:val="5E3E2691"/>
    <w:rsid w:val="5E415EEF"/>
    <w:rsid w:val="5EBE74A4"/>
    <w:rsid w:val="5ED97E8C"/>
    <w:rsid w:val="5F9C4347"/>
    <w:rsid w:val="6089641B"/>
    <w:rsid w:val="6205602D"/>
    <w:rsid w:val="6221131E"/>
    <w:rsid w:val="623F08EE"/>
    <w:rsid w:val="67CF6DDD"/>
    <w:rsid w:val="69BF292A"/>
    <w:rsid w:val="6C4A05C8"/>
    <w:rsid w:val="6D116F14"/>
    <w:rsid w:val="6D1F5E9F"/>
    <w:rsid w:val="6D395D1B"/>
    <w:rsid w:val="6DBC2CF6"/>
    <w:rsid w:val="6E642C2D"/>
    <w:rsid w:val="6E772DC2"/>
    <w:rsid w:val="6E7E3605"/>
    <w:rsid w:val="6FF5CC65"/>
    <w:rsid w:val="70903DC5"/>
    <w:rsid w:val="70CC3D2F"/>
    <w:rsid w:val="715C0E4B"/>
    <w:rsid w:val="72734D90"/>
    <w:rsid w:val="73200A0F"/>
    <w:rsid w:val="73AD73D5"/>
    <w:rsid w:val="73B6EB34"/>
    <w:rsid w:val="740B7E5C"/>
    <w:rsid w:val="744731E5"/>
    <w:rsid w:val="74E55F08"/>
    <w:rsid w:val="75226EEA"/>
    <w:rsid w:val="75C47730"/>
    <w:rsid w:val="761966E4"/>
    <w:rsid w:val="76B8100D"/>
    <w:rsid w:val="76E3355F"/>
    <w:rsid w:val="77342AEA"/>
    <w:rsid w:val="775B233E"/>
    <w:rsid w:val="77683BDC"/>
    <w:rsid w:val="77834695"/>
    <w:rsid w:val="778769C8"/>
    <w:rsid w:val="779637F9"/>
    <w:rsid w:val="79EE5BA4"/>
    <w:rsid w:val="7A042D42"/>
    <w:rsid w:val="7A786EA4"/>
    <w:rsid w:val="7A894339"/>
    <w:rsid w:val="7AB06962"/>
    <w:rsid w:val="7AB36D5C"/>
    <w:rsid w:val="7ADD7C46"/>
    <w:rsid w:val="7B0C5F01"/>
    <w:rsid w:val="7B252A72"/>
    <w:rsid w:val="7E642CBA"/>
    <w:rsid w:val="7E6C6ADE"/>
    <w:rsid w:val="7EEF11D3"/>
    <w:rsid w:val="7FA30C79"/>
    <w:rsid w:val="7FAC0CB9"/>
    <w:rsid w:val="7FB7269E"/>
    <w:rsid w:val="7FC96657"/>
    <w:rsid w:val="9BBF6470"/>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3"/>
    <w:unhideWhenUsed/>
    <w:qFormat/>
    <w:uiPriority w:val="99"/>
    <w:pPr>
      <w:ind w:firstLine="420" w:firstLineChars="200"/>
    </w:pPr>
  </w:style>
  <w:style w:type="paragraph" w:styleId="3">
    <w:name w:val="Body Text Indent"/>
    <w:basedOn w:val="1"/>
    <w:qFormat/>
    <w:uiPriority w:val="0"/>
    <w:pPr>
      <w:spacing w:after="120"/>
      <w:ind w:left="200" w:leftChars="200"/>
    </w:pPr>
    <w:rPr>
      <w:rFonts w:ascii="仿宋_GB2312"/>
      <w:szCs w:val="32"/>
    </w:rPr>
  </w:style>
  <w:style w:type="paragraph" w:styleId="7">
    <w:name w:val="Body Text"/>
    <w:basedOn w:val="1"/>
    <w:link w:val="25"/>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unhideWhenUsed/>
    <w:qFormat/>
    <w:uiPriority w:val="99"/>
    <w:pPr>
      <w:spacing w:before="100" w:beforeAutospacing="1" w:after="100" w:afterAutospacing="1"/>
      <w:jc w:val="left"/>
    </w:pPr>
    <w:rPr>
      <w:kern w:val="0"/>
      <w:sz w:val="24"/>
    </w:r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字符"/>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字符"/>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字符"/>
    <w:link w:val="7"/>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字符"/>
    <w:basedOn w:val="16"/>
    <w:link w:val="4"/>
    <w:qFormat/>
    <w:uiPriority w:val="9"/>
    <w:rPr>
      <w:rFonts w:ascii="Times New Roman" w:hAnsi="Times New Roman"/>
      <w:b/>
      <w:bCs/>
      <w:kern w:val="44"/>
      <w:sz w:val="44"/>
      <w:szCs w:val="44"/>
    </w:rPr>
  </w:style>
  <w:style w:type="character" w:customStyle="1" w:styleId="29">
    <w:name w:val="标题 2 字符"/>
    <w:basedOn w:val="16"/>
    <w:link w:val="5"/>
    <w:qFormat/>
    <w:uiPriority w:val="9"/>
    <w:rPr>
      <w:rFonts w:asciiTheme="majorHAnsi" w:hAnsiTheme="majorHAnsi" w:eastAsiaTheme="majorEastAsia" w:cstheme="majorBidi"/>
      <w:b/>
      <w:bCs/>
      <w:kern w:val="2"/>
      <w:sz w:val="32"/>
      <w:szCs w:val="32"/>
    </w:rPr>
  </w:style>
  <w:style w:type="paragraph" w:customStyle="1" w:styleId="30">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字符"/>
    <w:basedOn w:val="16"/>
    <w:link w:val="9"/>
    <w:semiHidden/>
    <w:qFormat/>
    <w:uiPriority w:val="99"/>
    <w:rPr>
      <w:rFonts w:ascii="Times New Roman" w:hAnsi="Times New Roman"/>
      <w:kern w:val="2"/>
      <w:sz w:val="18"/>
      <w:szCs w:val="18"/>
    </w:rPr>
  </w:style>
  <w:style w:type="character" w:customStyle="1" w:styleId="32">
    <w:name w:val="标题 3 字符"/>
    <w:basedOn w:val="16"/>
    <w:link w:val="6"/>
    <w:qFormat/>
    <w:uiPriority w:val="9"/>
    <w:rPr>
      <w:rFonts w:ascii="Times New Roman" w:hAnsi="Times New Roman"/>
      <w:b/>
      <w:bCs/>
      <w:kern w:val="2"/>
      <w:sz w:val="32"/>
      <w:szCs w:val="32"/>
    </w:rPr>
  </w:style>
  <w:style w:type="paragraph" w:customStyle="1" w:styleId="33">
    <w:name w:val="TOC 标题2"/>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 w:type="character" w:customStyle="1" w:styleId="35">
    <w:name w:val="font11"/>
    <w:basedOn w:val="1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E:\&#39044;&#31639;&#12289;&#20915;&#31639;&#20844;&#24320;\2023&#24180;\2022&#24180;&#20915;&#31639;&#20844;&#24320;\&#20844;&#24320;&#21450;&#25209;&#22797;&#26448;&#26009;&#65288;&#20379;&#21442;&#32771;&#65289;\&#30465;&#26412;&#32423;\&#20844;&#24320;&#26448;&#26009;\&#22797;&#20214;%20&#20915;&#31639;&#20844;&#24320;&#25554;&#22270;&#21046;&#20316;&#31034;&#2036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E:\&#39044;&#31639;&#12289;&#20915;&#31639;&#20844;&#24320;\2023&#24180;\2022&#24180;&#20915;&#31639;&#20844;&#24320;\&#20844;&#24320;&#21450;&#25209;&#22797;&#26448;&#26009;&#65288;&#20379;&#21442;&#32771;&#65289;\&#30465;&#26412;&#32423;\&#20844;&#24320;&#26448;&#26009;\&#22797;&#20214;%20&#20915;&#31639;&#20844;&#24320;&#25554;&#22270;&#21046;&#20316;&#31034;&#2036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39044;&#31639;&#12289;&#20915;&#31639;&#20844;&#24320;\2023&#24180;\2022&#24180;&#20915;&#31639;&#20844;&#24320;\&#20844;&#24320;&#21450;&#25209;&#22797;&#26448;&#26009;&#65288;&#20379;&#21442;&#32771;&#65289;\&#30465;&#26412;&#32423;\&#20844;&#24320;&#26448;&#26009;\&#22797;&#20214;%20&#20915;&#31639;&#20844;&#24320;&#25554;&#22270;&#21046;&#20316;&#31034;&#2036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39044;&#31639;&#12289;&#20915;&#31639;&#20844;&#24320;\2023&#24180;\2022&#24180;&#20915;&#31639;&#20844;&#24320;\&#20844;&#24320;&#21450;&#25209;&#22797;&#26448;&#26009;&#65288;&#20379;&#21442;&#32771;&#65289;\&#30465;&#26412;&#32423;\&#20844;&#24320;&#26448;&#26009;\&#22797;&#20214;%20&#20915;&#31639;&#20844;&#24320;&#25554;&#22270;&#21046;&#20316;&#31034;&#2036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39044;&#31639;&#12289;&#20915;&#31639;&#20844;&#24320;\2023&#24180;\2022&#24180;&#20915;&#31639;&#20844;&#24320;\&#20844;&#24320;&#21450;&#25209;&#22797;&#26448;&#26009;&#65288;&#20379;&#21442;&#32771;&#65289;\&#30465;&#26412;&#32423;\&#20844;&#24320;&#26448;&#26009;\&#22797;&#20214;%20&#20915;&#31639;&#20844;&#24320;&#25554;&#22270;&#21046;&#20316;&#31034;&#20363;.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39044;&#31639;&#12289;&#20915;&#31639;&#20844;&#24320;\2023&#24180;\2022&#24180;&#20915;&#31639;&#20844;&#24320;\&#20844;&#24320;&#21450;&#25209;&#22797;&#26448;&#26009;&#65288;&#20379;&#21442;&#32771;&#65289;\&#30465;&#26412;&#32423;\&#20844;&#24320;&#26448;&#26009;\&#22797;&#20214;%20&#20915;&#31639;&#20844;&#24320;&#25554;&#22270;&#21046;&#20316;&#31034;&#20363;.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E:\&#39044;&#31639;&#12289;&#20915;&#31639;&#20844;&#24320;\2023&#24180;\2022&#24180;&#20915;&#31639;&#20844;&#24320;\&#20844;&#24320;&#21450;&#25209;&#22797;&#26448;&#26009;&#65288;&#20379;&#21442;&#32771;&#65289;\&#30465;&#26412;&#32423;\&#20844;&#24320;&#26448;&#26009;\&#22797;&#20214;%20&#20915;&#31639;&#20844;&#24320;&#25554;&#22270;&#21046;&#20316;&#31034;&#2036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barChart>
        <c:barDir val="col"/>
        <c:grouping val="clustered"/>
        <c:varyColors val="false"/>
        <c:ser>
          <c:idx val="0"/>
          <c:order val="0"/>
          <c:spPr>
            <a:solidFill>
              <a:schemeClr val="accent1"/>
            </a:solidFill>
          </c:spPr>
          <c:invertIfNegative val="false"/>
          <c:dPt>
            <c:idx val="1"/>
            <c:invertIfNegative val="false"/>
            <c:bubble3D val="false"/>
            <c:spPr>
              <a:solidFill>
                <a:srgbClr val="FFC000"/>
              </a:solidFill>
            </c:spPr>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'[复件 决算公开插图制作示例.xlsx]图一'!$A$1:$B$1</c:f>
              <c:strCache>
                <c:ptCount val="2"/>
                <c:pt idx="0">
                  <c:v>2021年</c:v>
                </c:pt>
                <c:pt idx="1">
                  <c:v>2022年</c:v>
                </c:pt>
              </c:strCache>
            </c:strRef>
          </c:cat>
          <c:val>
            <c:numRef>
              <c:f>'[复件 决算公开插图制作示例.xlsx]图一'!$A$2:$B$2</c:f>
              <c:numCache>
                <c:formatCode>General</c:formatCode>
                <c:ptCount val="2"/>
                <c:pt idx="0">
                  <c:v>18744.56</c:v>
                </c:pt>
                <c:pt idx="1">
                  <c:v>21720.44</c:v>
                </c:pt>
              </c:numCache>
            </c:numRef>
          </c:val>
        </c:ser>
        <c:dLbls>
          <c:showLegendKey val="false"/>
          <c:showVal val="true"/>
          <c:showCatName val="false"/>
          <c:showSerName val="false"/>
          <c:showPercent val="false"/>
          <c:showBubbleSize val="false"/>
        </c:dLbls>
        <c:gapWidth val="150"/>
        <c:axId val="132649344"/>
        <c:axId val="132650880"/>
      </c:barChart>
      <c:catAx>
        <c:axId val="132649344"/>
        <c:scaling>
          <c:orientation val="minMax"/>
        </c:scaling>
        <c:delete val="false"/>
        <c:axPos val="b"/>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2650880"/>
        <c:crosses val="autoZero"/>
        <c:auto val="true"/>
        <c:lblAlgn val="ctr"/>
        <c:lblOffset val="100"/>
        <c:noMultiLvlLbl val="false"/>
      </c:catAx>
      <c:valAx>
        <c:axId val="132650880"/>
        <c:scaling>
          <c:orientation val="minMax"/>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2649344"/>
        <c:crosses val="autoZero"/>
        <c:crossBetween val="between"/>
      </c:valAx>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342013888888889"/>
          <c:y val="0.176388888888889"/>
          <c:w val="0.324305555555556"/>
          <c:h val="0.540509259259259"/>
        </c:manualLayout>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Pt>
            <c:idx val="4"/>
            <c:bubble3D val="false"/>
            <c:spPr>
              <a:solidFill>
                <a:schemeClr val="accent5"/>
              </a:solidFill>
              <a:ln w="19050">
                <a:solidFill>
                  <a:schemeClr val="lt1"/>
                </a:solidFill>
              </a:ln>
              <a:effectLst/>
            </c:spPr>
          </c:dPt>
          <c:dPt>
            <c:idx val="5"/>
            <c:bubble3D val="false"/>
            <c:spPr>
              <a:solidFill>
                <a:schemeClr val="accent6"/>
              </a:solidFill>
              <a:ln w="19050">
                <a:solidFill>
                  <a:schemeClr val="lt1"/>
                </a:solidFill>
              </a:ln>
              <a:effectLst/>
            </c:spPr>
          </c:dPt>
          <c:dLbls>
            <c:delete val="true"/>
          </c:dLbls>
          <c:cat>
            <c:strRef>
              <c:f>'[复件 决算公开插图制作示例.xlsx]图二'!$A$1:$A$6</c:f>
              <c:strCache>
                <c:ptCount val="6"/>
                <c:pt idx="0">
                  <c:v>一、一般公共预算财政拨款收入</c:v>
                </c:pt>
                <c:pt idx="1">
                  <c:v>二、政府性基金预算财政拨款收入</c:v>
                </c:pt>
                <c:pt idx="2">
                  <c:v>三、国有资本经营预算财政拨款收入</c:v>
                </c:pt>
                <c:pt idx="3">
                  <c:v>四、事业收入</c:v>
                </c:pt>
                <c:pt idx="4">
                  <c:v>五、经营收入</c:v>
                </c:pt>
                <c:pt idx="5">
                  <c:v>六、其他收入</c:v>
                </c:pt>
              </c:strCache>
            </c:strRef>
          </c:cat>
          <c:val>
            <c:numRef>
              <c:f>'[复件 决算公开插图制作示例.xlsx]图二'!$B$1:$B$6</c:f>
              <c:numCache>
                <c:formatCode>General</c:formatCode>
                <c:ptCount val="6"/>
                <c:pt idx="0">
                  <c:v>16409.75</c:v>
                </c:pt>
                <c:pt idx="1">
                  <c:v>368.96</c:v>
                </c:pt>
                <c:pt idx="2">
                  <c:v>0</c:v>
                </c:pt>
                <c:pt idx="3">
                  <c:v>0</c:v>
                </c:pt>
                <c:pt idx="4">
                  <c:v>0</c:v>
                </c:pt>
                <c:pt idx="5">
                  <c:v>4412.91</c:v>
                </c:pt>
              </c:numCache>
            </c:numRef>
          </c:val>
        </c:ser>
        <c:ser>
          <c:idx val="1"/>
          <c:order val="1"/>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Pt>
            <c:idx val="4"/>
            <c:bubble3D val="false"/>
            <c:spPr>
              <a:solidFill>
                <a:schemeClr val="accent5"/>
              </a:solidFill>
              <a:ln w="19050">
                <a:solidFill>
                  <a:schemeClr val="lt1"/>
                </a:solidFill>
              </a:ln>
              <a:effectLst/>
            </c:spPr>
          </c:dPt>
          <c:dPt>
            <c:idx val="5"/>
            <c:bubble3D val="false"/>
            <c:spPr>
              <a:solidFill>
                <a:schemeClr val="accent6"/>
              </a:solidFill>
              <a:ln w="19050">
                <a:solidFill>
                  <a:schemeClr val="lt1"/>
                </a:solidFill>
              </a:ln>
              <a:effectLst/>
            </c:spPr>
          </c:dPt>
          <c:dLbls>
            <c:dLbl>
              <c:idx val="1"/>
              <c:layout>
                <c:manualLayout>
                  <c:x val="0.0321654287916653"/>
                  <c:y val="-0.149790274585539"/>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'[复件 决算公开插图制作示例.xlsx]图二'!$A$1:$A$6</c:f>
              <c:strCache>
                <c:ptCount val="6"/>
                <c:pt idx="0">
                  <c:v>一、一般公共预算财政拨款收入</c:v>
                </c:pt>
                <c:pt idx="1">
                  <c:v>二、政府性基金预算财政拨款收入</c:v>
                </c:pt>
                <c:pt idx="2">
                  <c:v>三、国有资本经营预算财政拨款收入</c:v>
                </c:pt>
                <c:pt idx="3">
                  <c:v>四、事业收入</c:v>
                </c:pt>
                <c:pt idx="4">
                  <c:v>五、经营收入</c:v>
                </c:pt>
                <c:pt idx="5">
                  <c:v>六、其他收入</c:v>
                </c:pt>
              </c:strCache>
            </c:strRef>
          </c:cat>
          <c:val>
            <c:numRef>
              <c:f>'[复件 决算公开插图制作示例.xlsx]图二'!$C$1:$C$6</c:f>
              <c:numCache>
                <c:formatCode>0.00%</c:formatCode>
                <c:ptCount val="6"/>
                <c:pt idx="0">
                  <c:v>0.774350899081807</c:v>
                </c:pt>
                <c:pt idx="1">
                  <c:v>0</c:v>
                </c:pt>
                <c:pt idx="2">
                  <c:v>0</c:v>
                </c:pt>
                <c:pt idx="3">
                  <c:v>0</c:v>
                </c:pt>
                <c:pt idx="4">
                  <c:v>0</c:v>
                </c:pt>
                <c:pt idx="5">
                  <c:v>0</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169224846894138"/>
          <c:y val="0.150462962962963"/>
          <c:w val="0.566371172353456"/>
          <c:h val="0.689814814814815"/>
        </c:manualLayout>
      </c:layout>
      <c:pieChart>
        <c:varyColors val="true"/>
        <c:ser>
          <c:idx val="0"/>
          <c:order val="0"/>
          <c:explosion val="0"/>
          <c:dPt>
            <c:idx val="0"/>
            <c:bubble3D val="false"/>
          </c:dPt>
          <c:dPt>
            <c:idx val="1"/>
            <c:bubble3D val="false"/>
          </c:dPt>
          <c:dLbls>
            <c:dLbl>
              <c:idx val="0"/>
              <c:layout>
                <c:manualLayout>
                  <c:x val="0.0848707349081365"/>
                  <c:y val="-0.171573344998542"/>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0286458880139982"/>
                  <c:y val="0.140147273257509"/>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'[复件 决算公开插图制作示例.xlsx]图三'!$A$2:$B$2</c:f>
              <c:strCache>
                <c:ptCount val="2"/>
                <c:pt idx="0">
                  <c:v>基本支出</c:v>
                </c:pt>
                <c:pt idx="1">
                  <c:v>项目支出</c:v>
                </c:pt>
              </c:strCache>
            </c:strRef>
          </c:cat>
          <c:val>
            <c:numRef>
              <c:f>'[复件 决算公开插图制作示例.xlsx]图三'!$A$3:$B$3</c:f>
              <c:numCache>
                <c:formatCode>0.00%</c:formatCode>
                <c:ptCount val="2"/>
                <c:pt idx="0">
                  <c:v>0.0313</c:v>
                </c:pt>
                <c:pt idx="1">
                  <c:v>0.9687</c:v>
                </c:pt>
              </c:numCache>
            </c:numRef>
          </c:val>
        </c:ser>
        <c:dLbls>
          <c:showLegendKey val="false"/>
          <c:showVal val="true"/>
          <c:showCatName val="false"/>
          <c:showSerName val="false"/>
          <c:showPercent val="false"/>
          <c:showBubbleSize val="false"/>
          <c:showLeaderLines val="true"/>
        </c:dLbls>
        <c:firstSliceAng val="15"/>
      </c:pieChart>
      <c:spPr>
        <a:noFill/>
        <a:ln>
          <a:noFill/>
        </a:ln>
        <a:effectLst/>
      </c:spPr>
    </c:plotArea>
    <c:legend>
      <c:legendPos val="r"/>
      <c:layout>
        <c:manualLayout>
          <c:xMode val="edge"/>
          <c:yMode val="edge"/>
          <c:x val="0.777043088363955"/>
          <c:y val="0.434801326917469"/>
          <c:w val="0.186845800524934"/>
          <c:h val="0.1674343832021"/>
        </c:manualLayout>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119668853893263"/>
          <c:y val="0.0514005540974045"/>
          <c:w val="0.587929790026247"/>
          <c:h val="0.824965368912219"/>
        </c:manualLayout>
      </c:layout>
      <c:barChart>
        <c:barDir val="col"/>
        <c:grouping val="clustered"/>
        <c:varyColors val="false"/>
        <c:ser>
          <c:idx val="0"/>
          <c:order val="0"/>
          <c:invertIfNegative val="false"/>
          <c:dPt>
            <c:idx val="1"/>
            <c:invertIfNegative val="false"/>
            <c:bubble3D val="false"/>
            <c:spPr>
              <a:solidFill>
                <a:srgbClr val="C00000"/>
              </a:solidFill>
            </c:spPr>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'[复件 决算公开插图制作示例.xlsx]图4 '!$A$1:$B$1</c:f>
              <c:strCache>
                <c:ptCount val="2"/>
                <c:pt idx="0">
                  <c:v>2021年</c:v>
                </c:pt>
                <c:pt idx="1">
                  <c:v>2022年</c:v>
                </c:pt>
              </c:strCache>
            </c:strRef>
          </c:cat>
          <c:val>
            <c:numRef>
              <c:f>'[复件 决算公开插图制作示例.xlsx]图4 '!$A$2:$B$2</c:f>
              <c:numCache>
                <c:formatCode>General</c:formatCode>
                <c:ptCount val="2"/>
                <c:pt idx="0">
                  <c:v>18048.32</c:v>
                </c:pt>
                <c:pt idx="1">
                  <c:v>17307.53</c:v>
                </c:pt>
              </c:numCache>
            </c:numRef>
          </c:val>
        </c:ser>
        <c:dLbls>
          <c:showLegendKey val="false"/>
          <c:showVal val="true"/>
          <c:showCatName val="false"/>
          <c:showSerName val="false"/>
          <c:showPercent val="false"/>
          <c:showBubbleSize val="false"/>
        </c:dLbls>
        <c:gapWidth val="150"/>
        <c:axId val="133066112"/>
        <c:axId val="133084288"/>
      </c:barChart>
      <c:catAx>
        <c:axId val="133066112"/>
        <c:scaling>
          <c:orientation val="minMax"/>
        </c:scaling>
        <c:delete val="false"/>
        <c:axPos val="b"/>
        <c:majorTickMark val="out"/>
        <c:minorTickMark val="none"/>
        <c:tickLblPos val="nextTo"/>
        <c:txPr>
          <a:bodyPr rot="-60000000" spcFirstLastPara="0" vertOverflow="ellipsis" vert="horz" wrap="square" anchor="ctr" anchorCtr="true"/>
          <a:lstStyle/>
          <a:p>
            <a:pPr>
              <a:defRPr lang="zh-CN" sz="600" b="0" i="0" u="none" strike="noStrike" kern="1200" baseline="0">
                <a:solidFill>
                  <a:schemeClr val="tx1"/>
                </a:solidFill>
                <a:latin typeface="+mn-lt"/>
                <a:ea typeface="+mn-ea"/>
                <a:cs typeface="+mn-cs"/>
              </a:defRPr>
            </a:pPr>
          </a:p>
        </c:txPr>
        <c:crossAx val="133084288"/>
        <c:crosses val="autoZero"/>
        <c:auto val="true"/>
        <c:lblAlgn val="ctr"/>
        <c:lblOffset val="100"/>
        <c:noMultiLvlLbl val="false"/>
      </c:catAx>
      <c:valAx>
        <c:axId val="133084288"/>
        <c:scaling>
          <c:orientation val="minMax"/>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3066112"/>
        <c:crosses val="autoZero"/>
        <c:crossBetween val="between"/>
      </c:valAx>
    </c:plotArea>
    <c:legend>
      <c:legendPos val="r"/>
      <c:layout>
        <c:manualLayout>
          <c:xMode val="edge"/>
          <c:yMode val="edge"/>
          <c:x val="0.763154199475066"/>
          <c:y val="0.360343394575678"/>
          <c:w val="0.220179133858268"/>
          <c:h val="0.279313210848644"/>
        </c:manualLayout>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098571741032371"/>
          <c:y val="0.168676727909011"/>
          <c:w val="0.606249125109361"/>
          <c:h val="0.679911417322835"/>
        </c:manualLayout>
      </c:layout>
      <c:barChart>
        <c:barDir val="col"/>
        <c:grouping val="clustered"/>
        <c:varyColors val="false"/>
        <c:ser>
          <c:idx val="0"/>
          <c:order val="0"/>
          <c:invertIfNegative val="false"/>
          <c:dPt>
            <c:idx val="1"/>
            <c:invertIfNegative val="false"/>
            <c:bubble3D val="false"/>
            <c:spPr>
              <a:solidFill>
                <a:srgbClr val="FF0000"/>
              </a:solidFill>
            </c:spPr>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'[复件 决算公开插图制作示例.xlsx]图5'!$A$1:$B$1</c:f>
              <c:strCache>
                <c:ptCount val="2"/>
                <c:pt idx="0">
                  <c:v>2021年</c:v>
                </c:pt>
                <c:pt idx="1">
                  <c:v>2022年</c:v>
                </c:pt>
              </c:strCache>
            </c:strRef>
          </c:cat>
          <c:val>
            <c:numRef>
              <c:f>'[复件 决算公开插图制作示例.xlsx]图5'!$A$2:$B$2</c:f>
              <c:numCache>
                <c:formatCode>General</c:formatCode>
                <c:ptCount val="2"/>
                <c:pt idx="0">
                  <c:v>17269.51</c:v>
                </c:pt>
                <c:pt idx="1">
                  <c:v>16813.57</c:v>
                </c:pt>
              </c:numCache>
            </c:numRef>
          </c:val>
        </c:ser>
        <c:dLbls>
          <c:showLegendKey val="false"/>
          <c:showVal val="true"/>
          <c:showCatName val="false"/>
          <c:showSerName val="false"/>
          <c:showPercent val="false"/>
          <c:showBubbleSize val="false"/>
        </c:dLbls>
        <c:gapWidth val="150"/>
        <c:axId val="133142016"/>
        <c:axId val="133143552"/>
      </c:barChart>
      <c:catAx>
        <c:axId val="133142016"/>
        <c:scaling>
          <c:orientation val="minMax"/>
        </c:scaling>
        <c:delete val="false"/>
        <c:axPos val="b"/>
        <c:majorTickMark val="out"/>
        <c:minorTickMark val="none"/>
        <c:tickLblPos val="nextTo"/>
        <c:txPr>
          <a:bodyPr rot="-60000000" spcFirstLastPara="0" vertOverflow="ellipsis" vert="horz" wrap="square" anchor="ctr" anchorCtr="true"/>
          <a:lstStyle/>
          <a:p>
            <a:pPr>
              <a:defRPr lang="zh-CN" sz="600" b="0" i="0" u="none" strike="noStrike" kern="1200" baseline="0">
                <a:solidFill>
                  <a:schemeClr val="tx1"/>
                </a:solidFill>
                <a:latin typeface="+mn-lt"/>
                <a:ea typeface="+mn-ea"/>
                <a:cs typeface="+mn-cs"/>
              </a:defRPr>
            </a:pPr>
          </a:p>
        </c:txPr>
        <c:crossAx val="133143552"/>
        <c:crosses val="autoZero"/>
        <c:auto val="true"/>
        <c:lblAlgn val="ctr"/>
        <c:lblOffset val="100"/>
        <c:noMultiLvlLbl val="false"/>
      </c:catAx>
      <c:valAx>
        <c:axId val="133143552"/>
        <c:scaling>
          <c:orientation val="minMax"/>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3142016"/>
        <c:crosses val="autoZero"/>
        <c:crossBetween val="between"/>
      </c:valAx>
    </c:plotArea>
    <c:legend>
      <c:legendPos val="tr"/>
      <c:layout>
        <c:manualLayout>
          <c:xMode val="edge"/>
          <c:yMode val="edge"/>
          <c:x val="0.765931977252843"/>
          <c:y val="0.236111111111111"/>
          <c:w val="0.211845800524934"/>
          <c:h val="0.45523913677457"/>
        </c:manualLayout>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explosion val="0"/>
          <c:dPt>
            <c:idx val="0"/>
            <c:bubble3D val="false"/>
            <c:spPr>
              <a:solidFill>
                <a:schemeClr val="tx2">
                  <a:lumMod val="40000"/>
                  <a:lumOff val="60000"/>
                </a:schemeClr>
              </a:solidFill>
            </c:spPr>
          </c:dPt>
          <c:dPt>
            <c:idx val="1"/>
            <c:bubble3D val="false"/>
          </c:dPt>
          <c:dPt>
            <c:idx val="2"/>
            <c:bubble3D val="false"/>
          </c:dPt>
          <c:dPt>
            <c:idx val="3"/>
            <c:bubble3D val="false"/>
          </c:dPt>
          <c:dLbls>
            <c:dLbl>
              <c:idx val="0"/>
              <c:layout>
                <c:manualLayout>
                  <c:x val="0.0483216316710411"/>
                  <c:y val="0.0977380431612715"/>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0546208442694663"/>
                  <c:y val="-0.0359631087780694"/>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2"/>
              <c:layout>
                <c:manualLayout>
                  <c:x val="0.0100951443569554"/>
                  <c:y val="-0.132278361038204"/>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3"/>
              <c:layout>
                <c:manualLayout>
                  <c:x val="0.166543197725284"/>
                  <c:y val="-0.108673447069116"/>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'[复件 决算公开插图制作示例.xlsx]图6'!$A$2:$A$5</c:f>
              <c:strCache>
                <c:ptCount val="4"/>
                <c:pt idx="0">
                  <c:v>一般公共服务（类）支出</c:v>
                </c:pt>
                <c:pt idx="1">
                  <c:v>社会保障和就业（类）支出</c:v>
                </c:pt>
                <c:pt idx="2">
                  <c:v>卫生健康(类)支出</c:v>
                </c:pt>
                <c:pt idx="3">
                  <c:v>住房保障（类）支出</c:v>
                </c:pt>
              </c:strCache>
            </c:strRef>
          </c:cat>
          <c:val>
            <c:numRef>
              <c:f>'[复件 决算公开插图制作示例.xlsx]图6'!$B$2:$B$5</c:f>
              <c:numCache>
                <c:formatCode>General</c:formatCode>
                <c:ptCount val="4"/>
                <c:pt idx="0">
                  <c:v>0</c:v>
                </c:pt>
                <c:pt idx="1">
                  <c:v>99.66</c:v>
                </c:pt>
                <c:pt idx="2">
                  <c:v>0.2</c:v>
                </c:pt>
                <c:pt idx="3">
                  <c:v>0.14</c:v>
                </c:pt>
              </c:numCache>
            </c:numRef>
          </c:val>
        </c:ser>
        <c:dLbls>
          <c:showLegendKey val="false"/>
          <c:showVal val="true"/>
          <c:showCatName val="false"/>
          <c:showSerName val="false"/>
          <c:showPercent val="false"/>
          <c:showBubbleSize val="false"/>
          <c:showLeaderLines val="true"/>
        </c:dLbls>
        <c:firstSliceAng val="15"/>
      </c:pieChart>
      <c:spPr>
        <a:noFill/>
        <a:ln>
          <a:noFill/>
        </a:ln>
        <a:effectLst/>
      </c:spPr>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explosion val="0"/>
          <c:dPt>
            <c:idx val="0"/>
            <c:bubble3D val="false"/>
          </c:dPt>
          <c:dPt>
            <c:idx val="1"/>
            <c:bubble3D val="false"/>
          </c:dPt>
          <c:dPt>
            <c:idx val="2"/>
            <c:bubble3D val="false"/>
          </c:dPt>
          <c:dLbls>
            <c:dLbl>
              <c:idx val="0"/>
              <c:layout>
                <c:manualLayout>
                  <c:x val="-0.0677309711286089"/>
                  <c:y val="-0.0625896762904637"/>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112130139982502"/>
                  <c:y val="-0.0498581948089822"/>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2"/>
              <c:layout>
                <c:manualLayout>
                  <c:x val="0.179491251093613"/>
                  <c:y val="0.0549697433654127"/>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'[复件 决算公开插图制作示例.xlsx]图7'!$A$2:$A$4</c:f>
              <c:strCache>
                <c:ptCount val="3"/>
                <c:pt idx="0">
                  <c:v>因公出国（境）费支出</c:v>
                </c:pt>
                <c:pt idx="1">
                  <c:v>公务用车购置及运行维护费支出</c:v>
                </c:pt>
                <c:pt idx="2">
                  <c:v>公务接待费支出</c:v>
                </c:pt>
              </c:strCache>
            </c:strRef>
          </c:cat>
          <c:val>
            <c:numRef>
              <c:f>'[复件 决算公开插图制作示例.xlsx]图7'!$B$2:$B$4</c:f>
              <c:numCache>
                <c:formatCode>General</c:formatCode>
                <c:ptCount val="3"/>
                <c:pt idx="0">
                  <c:v>0</c:v>
                </c:pt>
                <c:pt idx="1">
                  <c:v>1.81</c:v>
                </c:pt>
                <c:pt idx="2">
                  <c:v>2.75</c:v>
                </c:pt>
              </c:numCache>
            </c:numRef>
          </c:val>
        </c:ser>
        <c:dLbls>
          <c:showLegendKey val="false"/>
          <c:showVal val="true"/>
          <c:showCatName val="false"/>
          <c:showSerName val="false"/>
          <c:showPercent val="false"/>
          <c:showBubbleSize val="false"/>
          <c:showLeaderLines val="true"/>
        </c:dLbls>
        <c:firstSliceAng val="15"/>
      </c:pieChart>
      <c:spPr>
        <a:noFill/>
        <a:ln>
          <a:noFill/>
        </a:ln>
        <a:effectLst/>
      </c:spPr>
    </c:plotArea>
    <c:legend>
      <c:legendPos val="r"/>
      <c:layout>
        <c:manualLayout>
          <c:xMode val="edge"/>
          <c:yMode val="edge"/>
          <c:x val="0.664920094314907"/>
          <c:y val="0.341517389739563"/>
        </c:manualLayout>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22</Pages>
  <Words>1230</Words>
  <Characters>7012</Characters>
  <Lines>58</Lines>
  <Paragraphs>16</Paragraphs>
  <TotalTime>4</TotalTime>
  <ScaleCrop>false</ScaleCrop>
  <LinksUpToDate>false</LinksUpToDate>
  <CharactersWithSpaces>8226</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user</cp:lastModifiedBy>
  <cp:lastPrinted>2023-07-31T10:35:00Z</cp:lastPrinted>
  <dcterms:modified xsi:type="dcterms:W3CDTF">2025-01-14T17:20:10Z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