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597"/>
      <w:bookmarkStart w:id="3" w:name="_Toc15396475"/>
      <w:bookmarkStart w:id="4" w:name="_Toc15377193"/>
      <w:bookmarkStart w:id="5" w:name="_Toc15378441"/>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426"/>
      <w:bookmarkStart w:id="8" w:name="_Toc15377194"/>
      <w:bookmarkStart w:id="9" w:name="_Toc15306268"/>
      <w:bookmarkStart w:id="10" w:name="_Toc15396476"/>
      <w:bookmarkStart w:id="11" w:name="_Toc15378442"/>
      <w:r>
        <w:rPr>
          <w:rFonts w:hint="eastAsia" w:ascii="方正小标宋简体" w:hAnsi="方正小标宋简体" w:eastAsia="方正小标宋简体" w:cs="方正小标宋简体"/>
          <w:sz w:val="72"/>
          <w:szCs w:val="72"/>
          <w:lang w:eastAsia="zh-CN"/>
        </w:rPr>
        <w:t>剑阁县环境卫生事务中心单位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bookmarkStart w:id="69" w:name="_GoBack"/>
      <w:bookmarkEnd w:id="69"/>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5"/>
      </w:pPr>
      <w:r>
        <w:rPr>
          <w:rFonts w:hint="eastAsia"/>
        </w:rPr>
        <w:t>公开时间：2023年</w:t>
      </w:r>
      <w:r>
        <w:rPr>
          <w:rFonts w:hint="eastAsia"/>
          <w:lang w:val="en-US" w:eastAsia="zh-CN"/>
        </w:rPr>
        <w:t>10</w:t>
      </w:r>
      <w:r>
        <w:rPr>
          <w:rFonts w:hint="eastAsia"/>
        </w:rPr>
        <w:t>月</w:t>
      </w:r>
      <w:r>
        <w:rPr>
          <w:rFonts w:hint="eastAsia"/>
          <w:lang w:val="en-US" w:eastAsia="zh-CN"/>
        </w:rPr>
        <w:t>17</w:t>
      </w:r>
      <w:r>
        <w:rPr>
          <w:rFonts w:hint="eastAsia"/>
        </w:rPr>
        <w:t>日</w:t>
      </w:r>
    </w:p>
    <w:p/>
    <w:p>
      <w:pPr>
        <w:pStyle w:val="15"/>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6"/>
        <w:adjustRightInd w:val="0"/>
        <w:snapToGrid w:val="0"/>
        <w:spacing w:line="440" w:lineRule="exact"/>
        <w:jc w:val="left"/>
        <w:rPr>
          <w:sz w:val="24"/>
        </w:rPr>
      </w:pPr>
      <w:r>
        <w:rPr>
          <w:rFonts w:hint="eastAsia"/>
          <w:sz w:val="24"/>
        </w:rPr>
        <w:t>一、主要职责及重点</w:t>
      </w:r>
      <w:r>
        <w:rPr>
          <w:sz w:val="24"/>
        </w:rPr>
        <w:t>工作</w:t>
      </w:r>
    </w:p>
    <w:p>
      <w:pPr>
        <w:pStyle w:val="16"/>
        <w:adjustRightInd w:val="0"/>
        <w:snapToGrid w:val="0"/>
        <w:spacing w:line="440" w:lineRule="exact"/>
        <w:jc w:val="left"/>
        <w:rPr>
          <w:rFonts w:hint="eastAsia"/>
          <w:sz w:val="24"/>
        </w:rPr>
      </w:pPr>
      <w:r>
        <w:rPr>
          <w:rFonts w:hint="eastAsia"/>
          <w:sz w:val="24"/>
        </w:rPr>
        <w:t>（一）单位</w:t>
      </w:r>
      <w:r>
        <w:rPr>
          <w:sz w:val="24"/>
        </w:rPr>
        <w:t>职责</w:t>
      </w:r>
    </w:p>
    <w:p>
      <w:pPr>
        <w:pStyle w:val="16"/>
        <w:adjustRightInd w:val="0"/>
        <w:snapToGrid w:val="0"/>
        <w:spacing w:line="440" w:lineRule="exact"/>
        <w:jc w:val="left"/>
        <w:rPr>
          <w:rFonts w:hint="eastAsia"/>
          <w:b/>
          <w:bCs/>
          <w:sz w:val="24"/>
        </w:rPr>
      </w:pPr>
      <w:r>
        <w:rPr>
          <w:rFonts w:hint="eastAsia"/>
          <w:sz w:val="24"/>
        </w:rPr>
        <w:t>（二）2022年重点工作完成情况</w:t>
      </w:r>
    </w:p>
    <w:p>
      <w:pPr>
        <w:pStyle w:val="16"/>
        <w:adjustRightInd w:val="0"/>
        <w:snapToGrid w:val="0"/>
        <w:spacing w:line="440" w:lineRule="exact"/>
        <w:jc w:val="left"/>
        <w:rPr>
          <w:rFonts w:hint="eastAsia"/>
          <w:sz w:val="24"/>
        </w:rPr>
      </w:pPr>
      <w:r>
        <w:rPr>
          <w:rFonts w:hint="eastAsia"/>
          <w:sz w:val="24"/>
        </w:rPr>
        <w:t>二、机构设置</w:t>
      </w:r>
    </w:p>
    <w:p>
      <w:pPr>
        <w:pStyle w:val="15"/>
        <w:adjustRightInd w:val="0"/>
        <w:snapToGrid w:val="0"/>
        <w:spacing w:before="0" w:line="440" w:lineRule="exact"/>
        <w:jc w:val="left"/>
        <w:rPr>
          <w:sz w:val="24"/>
          <w:szCs w:val="24"/>
        </w:rPr>
      </w:pPr>
      <w:r>
        <w:rPr>
          <w:rFonts w:hint="eastAsia"/>
          <w:sz w:val="24"/>
        </w:rPr>
        <w:t>第二部分 2022年度单位决算情况说明</w:t>
      </w:r>
    </w:p>
    <w:p>
      <w:pPr>
        <w:pStyle w:val="16"/>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6"/>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6"/>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6"/>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6"/>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6"/>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6"/>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6"/>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6"/>
        <w:adjustRightInd w:val="0"/>
        <w:snapToGrid w:val="0"/>
        <w:spacing w:line="440" w:lineRule="exact"/>
        <w:jc w:val="left"/>
        <w:rPr>
          <w:sz w:val="24"/>
        </w:rPr>
      </w:pPr>
      <w:r>
        <w:rPr>
          <w:rFonts w:hint="eastAsia"/>
          <w:sz w:val="24"/>
        </w:rPr>
        <w:t>九、国有资本经营预算支出决算情况说明</w:t>
      </w:r>
    </w:p>
    <w:p>
      <w:pPr>
        <w:pStyle w:val="16"/>
        <w:adjustRightInd w:val="0"/>
        <w:snapToGrid w:val="0"/>
        <w:spacing w:line="440" w:lineRule="exact"/>
        <w:jc w:val="left"/>
        <w:rPr>
          <w:sz w:val="24"/>
        </w:rPr>
      </w:pPr>
      <w:r>
        <w:rPr>
          <w:rFonts w:hint="eastAsia"/>
          <w:sz w:val="24"/>
        </w:rPr>
        <w:t>十、其他重要事项的情况说明</w:t>
      </w:r>
    </w:p>
    <w:p>
      <w:pPr>
        <w:pStyle w:val="15"/>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5"/>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5"/>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6"/>
        <w:adjustRightInd w:val="0"/>
        <w:snapToGrid w:val="0"/>
        <w:spacing w:line="440" w:lineRule="exact"/>
        <w:jc w:val="left"/>
        <w:rPr>
          <w:sz w:val="24"/>
        </w:rPr>
      </w:pPr>
      <w:r>
        <w:rPr>
          <w:rFonts w:hint="eastAsia"/>
          <w:sz w:val="24"/>
        </w:rPr>
        <w:t>一、收入支出决算总表</w:t>
      </w:r>
    </w:p>
    <w:p>
      <w:pPr>
        <w:pStyle w:val="16"/>
        <w:adjustRightInd w:val="0"/>
        <w:snapToGrid w:val="0"/>
        <w:spacing w:line="440" w:lineRule="exact"/>
        <w:jc w:val="left"/>
        <w:rPr>
          <w:sz w:val="24"/>
        </w:rPr>
      </w:pPr>
      <w:r>
        <w:rPr>
          <w:rFonts w:hint="eastAsia"/>
          <w:sz w:val="24"/>
        </w:rPr>
        <w:t>二、收入决算表</w:t>
      </w:r>
    </w:p>
    <w:p>
      <w:pPr>
        <w:pStyle w:val="16"/>
        <w:adjustRightInd w:val="0"/>
        <w:snapToGrid w:val="0"/>
        <w:spacing w:line="440" w:lineRule="exact"/>
        <w:jc w:val="left"/>
        <w:rPr>
          <w:sz w:val="24"/>
        </w:rPr>
      </w:pPr>
      <w:r>
        <w:rPr>
          <w:rFonts w:hint="eastAsia"/>
          <w:sz w:val="24"/>
        </w:rPr>
        <w:t>三、支出决算表</w:t>
      </w:r>
    </w:p>
    <w:p>
      <w:pPr>
        <w:pStyle w:val="16"/>
        <w:adjustRightInd w:val="0"/>
        <w:snapToGrid w:val="0"/>
        <w:spacing w:line="440" w:lineRule="exact"/>
        <w:jc w:val="left"/>
        <w:rPr>
          <w:sz w:val="24"/>
        </w:rPr>
      </w:pPr>
      <w:r>
        <w:rPr>
          <w:rFonts w:hint="eastAsia"/>
          <w:sz w:val="24"/>
        </w:rPr>
        <w:t>四、财政拨款收入支出决算总表</w:t>
      </w:r>
    </w:p>
    <w:p>
      <w:pPr>
        <w:pStyle w:val="16"/>
        <w:adjustRightInd w:val="0"/>
        <w:snapToGrid w:val="0"/>
        <w:spacing w:line="440" w:lineRule="exact"/>
        <w:jc w:val="left"/>
        <w:rPr>
          <w:sz w:val="24"/>
        </w:rPr>
      </w:pPr>
      <w:r>
        <w:rPr>
          <w:rFonts w:hint="eastAsia"/>
          <w:sz w:val="24"/>
        </w:rPr>
        <w:t>五、财政拨款支出决算明细表</w:t>
      </w:r>
    </w:p>
    <w:p>
      <w:pPr>
        <w:pStyle w:val="16"/>
        <w:adjustRightInd w:val="0"/>
        <w:snapToGrid w:val="0"/>
        <w:spacing w:line="440" w:lineRule="exact"/>
        <w:jc w:val="left"/>
        <w:rPr>
          <w:sz w:val="24"/>
        </w:rPr>
      </w:pPr>
      <w:r>
        <w:rPr>
          <w:rFonts w:hint="eastAsia"/>
          <w:sz w:val="24"/>
        </w:rPr>
        <w:t>六、一般公共预算财政拨款支出决算表</w:t>
      </w:r>
    </w:p>
    <w:p>
      <w:pPr>
        <w:pStyle w:val="16"/>
        <w:adjustRightInd w:val="0"/>
        <w:snapToGrid w:val="0"/>
        <w:spacing w:line="440" w:lineRule="exact"/>
        <w:jc w:val="left"/>
        <w:rPr>
          <w:sz w:val="24"/>
        </w:rPr>
      </w:pPr>
      <w:r>
        <w:rPr>
          <w:rFonts w:hint="eastAsia"/>
          <w:sz w:val="24"/>
        </w:rPr>
        <w:t>七、一般公共预算财政拨款支出决算明细表</w:t>
      </w:r>
    </w:p>
    <w:p>
      <w:pPr>
        <w:pStyle w:val="16"/>
        <w:adjustRightInd w:val="0"/>
        <w:snapToGrid w:val="0"/>
        <w:spacing w:line="440" w:lineRule="exact"/>
        <w:jc w:val="left"/>
        <w:rPr>
          <w:sz w:val="24"/>
        </w:rPr>
      </w:pPr>
      <w:r>
        <w:rPr>
          <w:rFonts w:hint="eastAsia"/>
          <w:sz w:val="24"/>
        </w:rPr>
        <w:t>八、一般公共预算财政拨款基本支出决算明细表</w:t>
      </w:r>
    </w:p>
    <w:p>
      <w:pPr>
        <w:pStyle w:val="16"/>
        <w:adjustRightInd w:val="0"/>
        <w:snapToGrid w:val="0"/>
        <w:spacing w:line="440" w:lineRule="exact"/>
        <w:jc w:val="left"/>
        <w:rPr>
          <w:sz w:val="24"/>
        </w:rPr>
      </w:pPr>
      <w:r>
        <w:rPr>
          <w:rFonts w:hint="eastAsia"/>
          <w:sz w:val="24"/>
        </w:rPr>
        <w:t>九、一般公共预算财政拨款项目支出决算表</w:t>
      </w:r>
    </w:p>
    <w:p>
      <w:pPr>
        <w:pStyle w:val="16"/>
        <w:adjustRightInd w:val="0"/>
        <w:snapToGrid w:val="0"/>
        <w:spacing w:line="440" w:lineRule="exact"/>
        <w:jc w:val="left"/>
        <w:rPr>
          <w:sz w:val="24"/>
        </w:rPr>
      </w:pPr>
      <w:r>
        <w:rPr>
          <w:rFonts w:hint="eastAsia"/>
          <w:sz w:val="24"/>
        </w:rPr>
        <w:t>十、政府性基金预算财政拨款收入支出决算表</w:t>
      </w:r>
    </w:p>
    <w:p>
      <w:pPr>
        <w:pStyle w:val="16"/>
        <w:adjustRightInd w:val="0"/>
        <w:snapToGrid w:val="0"/>
        <w:spacing w:line="440" w:lineRule="exact"/>
        <w:jc w:val="left"/>
        <w:rPr>
          <w:sz w:val="24"/>
        </w:rPr>
      </w:pPr>
      <w:r>
        <w:rPr>
          <w:rFonts w:hint="eastAsia"/>
          <w:sz w:val="24"/>
        </w:rPr>
        <w:t>十一、国有资本经营预算财政拨款收入支出决算表</w:t>
      </w:r>
    </w:p>
    <w:p>
      <w:pPr>
        <w:pStyle w:val="16"/>
        <w:adjustRightInd w:val="0"/>
        <w:snapToGrid w:val="0"/>
        <w:spacing w:line="440" w:lineRule="exact"/>
        <w:jc w:val="left"/>
        <w:rPr>
          <w:sz w:val="24"/>
        </w:rPr>
      </w:pPr>
      <w:r>
        <w:rPr>
          <w:rFonts w:hint="eastAsia"/>
          <w:sz w:val="24"/>
        </w:rPr>
        <w:t>十二、国有资本经营预算财政拨款支出决算表</w:t>
      </w:r>
    </w:p>
    <w:p>
      <w:pPr>
        <w:pStyle w:val="16"/>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6"/>
        <w:jc w:val="center"/>
        <w:rPr>
          <w:rStyle w:val="30"/>
          <w:rFonts w:ascii="黑体" w:hAnsi="黑体" w:eastAsia="黑体"/>
          <w:b/>
          <w:bCs w:val="0"/>
        </w:rPr>
      </w:pPr>
      <w:r>
        <w:rPr>
          <w:rFonts w:hint="eastAsia" w:ascii="黑体" w:hAnsi="黑体" w:eastAsia="黑体"/>
          <w:b w:val="0"/>
        </w:rPr>
        <w:t>第一部分 单位</w:t>
      </w:r>
      <w:r>
        <w:rPr>
          <w:rStyle w:val="30"/>
          <w:rFonts w:hint="eastAsia" w:ascii="黑体" w:hAnsi="黑体" w:eastAsia="黑体"/>
          <w:b w:val="0"/>
          <w:bCs w:val="0"/>
        </w:rPr>
        <w:t>概况</w:t>
      </w:r>
      <w:bookmarkEnd w:id="12"/>
      <w:bookmarkEnd w:id="13"/>
    </w:p>
    <w:p>
      <w:pPr>
        <w:widowControl/>
        <w:jc w:val="left"/>
        <w:rPr>
          <w:rFonts w:ascii="黑体" w:eastAsia="黑体"/>
          <w:sz w:val="32"/>
          <w:szCs w:val="32"/>
        </w:rPr>
      </w:pPr>
    </w:p>
    <w:p>
      <w:pPr>
        <w:pStyle w:val="7"/>
        <w:numPr>
          <w:ilvl w:val="0"/>
          <w:numId w:val="1"/>
        </w:numPr>
        <w:rPr>
          <w:rStyle w:val="31"/>
          <w:rFonts w:ascii="黑体" w:hAnsi="黑体" w:eastAsia="黑体"/>
          <w:b w:val="0"/>
          <w:bCs w:val="0"/>
        </w:rPr>
      </w:pPr>
      <w:bookmarkStart w:id="14" w:name="_Toc15377197"/>
      <w:bookmarkStart w:id="15" w:name="_Toc15396600"/>
      <w:r>
        <w:rPr>
          <w:rStyle w:val="31"/>
          <w:rFonts w:hint="eastAsia" w:ascii="黑体" w:hAnsi="黑体" w:eastAsia="黑体"/>
          <w:b w:val="0"/>
          <w:bCs w:val="0"/>
        </w:rPr>
        <w:t>主要职责及</w:t>
      </w:r>
      <w:r>
        <w:rPr>
          <w:rStyle w:val="31"/>
          <w:rFonts w:hint="eastAsia" w:ascii="黑体" w:hAnsi="黑体" w:eastAsia="黑体"/>
          <w:b w:val="0"/>
          <w:bCs w:val="0"/>
          <w:lang w:eastAsia="zh-CN"/>
        </w:rPr>
        <w:t>重点</w:t>
      </w:r>
      <w:r>
        <w:rPr>
          <w:rStyle w:val="31"/>
          <w:rFonts w:hint="eastAsia" w:ascii="黑体" w:hAnsi="黑体" w:eastAsia="黑体"/>
          <w:b w:val="0"/>
          <w:bCs w:val="0"/>
        </w:rPr>
        <w:t>工作</w:t>
      </w:r>
    </w:p>
    <w:p>
      <w:pPr>
        <w:pStyle w:val="5"/>
        <w:adjustRightInd w:val="0"/>
        <w:snapToGrid w:val="0"/>
        <w:spacing w:before="93" w:line="600" w:lineRule="exact"/>
        <w:ind w:firstLine="672" w:firstLineChars="210"/>
        <w:outlineLvl w:val="2"/>
        <w:rPr>
          <w:rFonts w:hint="eastAsia" w:ascii="仿宋" w:hAnsi="仿宋" w:eastAsia="仿宋"/>
          <w:bCs/>
          <w:sz w:val="32"/>
          <w:szCs w:val="32"/>
          <w:lang w:eastAsia="zh-CN"/>
        </w:rPr>
      </w:pPr>
      <w:bookmarkStart w:id="16" w:name="_Toc15378445"/>
      <w:bookmarkStart w:id="17" w:name="_Toc15377198"/>
      <w:r>
        <w:rPr>
          <w:rFonts w:hint="eastAsia" w:ascii="仿宋" w:hAnsi="仿宋" w:eastAsia="仿宋"/>
          <w:bCs/>
          <w:sz w:val="32"/>
          <w:szCs w:val="32"/>
        </w:rPr>
        <w:t>（一）主要职</w:t>
      </w:r>
      <w:bookmarkEnd w:id="16"/>
      <w:bookmarkEnd w:id="17"/>
      <w:r>
        <w:rPr>
          <w:rFonts w:hint="eastAsia" w:ascii="仿宋" w:hAnsi="仿宋" w:eastAsia="仿宋"/>
          <w:bCs/>
          <w:sz w:val="32"/>
          <w:szCs w:val="32"/>
          <w:lang w:eastAsia="zh-CN"/>
        </w:rPr>
        <w:t>责</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color w:val="000000"/>
          <w:sz w:val="32"/>
          <w:szCs w:val="32"/>
        </w:rPr>
      </w:pPr>
      <w:r>
        <w:rPr>
          <w:rFonts w:hint="default" w:ascii="仿宋_GB2312" w:hAnsi="仿宋_GB2312" w:eastAsia="仿宋_GB2312" w:cs="仿宋_GB2312"/>
          <w:b w:val="0"/>
          <w:bCs w:val="0"/>
          <w:kern w:val="0"/>
          <w:sz w:val="32"/>
          <w:szCs w:val="32"/>
          <w:lang w:val="en-US" w:eastAsia="zh-CN" w:bidi="ar-SA"/>
        </w:rPr>
        <w:t>负责全县城乡环境卫生的管理、监督、检查、考核工作和县城区、普安城市道路清扫保洁、垃圾清运处理、城市道路灯管理维护工作。</w:t>
      </w:r>
    </w:p>
    <w:p>
      <w:pPr>
        <w:pStyle w:val="5"/>
        <w:adjustRightInd w:val="0"/>
        <w:snapToGrid w:val="0"/>
        <w:spacing w:before="93" w:line="600" w:lineRule="exact"/>
        <w:ind w:firstLine="672" w:firstLineChars="210"/>
        <w:outlineLvl w:val="2"/>
        <w:rPr>
          <w:rFonts w:ascii="仿宋" w:hAnsi="仿宋" w:eastAsia="仿宋"/>
          <w:bCs/>
          <w:sz w:val="32"/>
          <w:szCs w:val="32"/>
        </w:rPr>
      </w:pPr>
      <w:bookmarkStart w:id="18" w:name="_Toc15378446"/>
      <w:bookmarkStart w:id="19" w:name="_Toc15377199"/>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w:t>
      </w:r>
      <w:r>
        <w:rPr>
          <w:rFonts w:hint="eastAsia" w:ascii="仿宋" w:hAnsi="仿宋" w:eastAsia="仿宋"/>
          <w:bCs/>
          <w:sz w:val="32"/>
          <w:szCs w:val="32"/>
          <w:lang w:val="en-US" w:eastAsia="zh-CN"/>
        </w:rPr>
        <w:t>2</w:t>
      </w:r>
      <w:r>
        <w:rPr>
          <w:rFonts w:hint="eastAsia" w:ascii="仿宋" w:hAnsi="仿宋" w:eastAsia="仿宋"/>
          <w:bCs/>
          <w:sz w:val="32"/>
          <w:szCs w:val="32"/>
        </w:rPr>
        <w:t>年重点工作完成情况</w:t>
      </w:r>
      <w:bookmarkEnd w:id="18"/>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lang w:val="en-US" w:eastAsia="zh-CN"/>
        </w:rPr>
      </w:pPr>
      <w:r>
        <w:rPr>
          <w:rFonts w:hint="eastAsia" w:ascii="楷体_GB2312" w:hAnsi="楷体_GB2312" w:eastAsia="楷体_GB2312" w:cs="楷体_GB2312"/>
          <w:b/>
          <w:bCs/>
          <w:sz w:val="32"/>
          <w:szCs w:val="32"/>
          <w:lang w:val="en-US" w:eastAsia="zh-CN"/>
        </w:rPr>
        <w:t>1.进一步抓环卫队伍建设。一是</w:t>
      </w:r>
      <w:r>
        <w:rPr>
          <w:rFonts w:hint="eastAsia" w:ascii="仿宋_GB2312" w:hAnsi="仿宋_GB2312" w:eastAsia="仿宋_GB2312" w:cs="仿宋_GB2312"/>
          <w:b w:val="0"/>
          <w:bCs w:val="0"/>
          <w:kern w:val="0"/>
          <w:sz w:val="32"/>
          <w:szCs w:val="32"/>
          <w:lang w:val="en-US" w:eastAsia="zh-CN"/>
        </w:rPr>
        <w:t>完成支部改选，发展入党积极分子，强化支部力量，以支部促干部队伍。</w:t>
      </w:r>
      <w:r>
        <w:rPr>
          <w:rFonts w:hint="eastAsia" w:ascii="仿宋_GB2312" w:hAnsi="仿宋_GB2312" w:eastAsia="仿宋_GB2312" w:cs="仿宋_GB2312"/>
          <w:b/>
          <w:bCs/>
          <w:kern w:val="0"/>
          <w:sz w:val="32"/>
          <w:szCs w:val="32"/>
          <w:lang w:val="en-US" w:eastAsia="zh-CN"/>
        </w:rPr>
        <w:t>二是</w:t>
      </w:r>
      <w:r>
        <w:rPr>
          <w:rFonts w:hint="eastAsia" w:ascii="仿宋_GB2312" w:hAnsi="仿宋_GB2312" w:eastAsia="仿宋_GB2312" w:cs="仿宋_GB2312"/>
          <w:b w:val="0"/>
          <w:bCs w:val="0"/>
          <w:kern w:val="0"/>
          <w:sz w:val="32"/>
          <w:szCs w:val="32"/>
          <w:lang w:val="en-US" w:eastAsia="zh-CN"/>
        </w:rPr>
        <w:t>继续发扬环卫人吃苦耐劳的精神，抓干部职工学习教育，以开展干部作风纪律整顿为契机提升干部执行力，力促干部作风纪律转变。</w:t>
      </w:r>
    </w:p>
    <w:p>
      <w:pPr>
        <w:pStyle w:val="11"/>
        <w:ind w:firstLine="642" w:firstLineChars="200"/>
        <w:rPr>
          <w:rFonts w:hint="default"/>
          <w:lang w:val="en-US" w:eastAsia="zh-CN"/>
        </w:rPr>
      </w:pPr>
      <w:r>
        <w:rPr>
          <w:rFonts w:hint="eastAsia"/>
          <w:lang w:val="en-US" w:eastAsia="zh-CN"/>
        </w:rPr>
        <w:t>2.</w:t>
      </w:r>
      <w:r>
        <w:rPr>
          <w:rFonts w:hint="eastAsia" w:ascii="楷体_GB2312" w:hAnsi="楷体_GB2312" w:eastAsia="楷体_GB2312" w:cs="楷体_GB2312"/>
          <w:b/>
          <w:bCs/>
          <w:sz w:val="32"/>
          <w:szCs w:val="32"/>
          <w:lang w:val="en-US" w:eastAsia="zh-CN"/>
        </w:rPr>
        <w:t>进一步开展环境卫生整治。一是</w:t>
      </w:r>
      <w:r>
        <w:rPr>
          <w:rFonts w:hint="eastAsia" w:ascii="仿宋_GB2312" w:hAnsi="仿宋_GB2312" w:cs="仿宋_GB2312"/>
          <w:b w:val="0"/>
          <w:bCs/>
          <w:sz w:val="32"/>
          <w:szCs w:val="32"/>
          <w:lang w:val="en-US" w:eastAsia="zh-CN"/>
        </w:rPr>
        <w:t>常态化抓道路日常保洁、垃圾收集、清运、处置，确保路段干净整洁。</w:t>
      </w:r>
      <w:r>
        <w:rPr>
          <w:rFonts w:hint="eastAsia" w:ascii="楷体_GB2312" w:hAnsi="楷体_GB2312" w:eastAsia="楷体_GB2312" w:cs="楷体_GB2312"/>
          <w:b/>
          <w:bCs/>
          <w:sz w:val="32"/>
          <w:szCs w:val="32"/>
          <w:lang w:val="en-US" w:eastAsia="zh-CN"/>
        </w:rPr>
        <w:t>二是</w:t>
      </w:r>
      <w:r>
        <w:rPr>
          <w:rFonts w:hint="eastAsia" w:ascii="仿宋_GB2312" w:hAnsi="仿宋_GB2312" w:cs="仿宋_GB2312"/>
          <w:b w:val="0"/>
          <w:bCs/>
          <w:sz w:val="32"/>
          <w:szCs w:val="32"/>
          <w:lang w:val="en-US" w:eastAsia="zh-CN"/>
        </w:rPr>
        <w:t>开展环境卫生专项整治。针对背街小巷、卫生死角，集中力量开展专项整治。</w:t>
      </w:r>
      <w:r>
        <w:rPr>
          <w:rFonts w:hint="eastAsia" w:ascii="楷体_GB2312" w:hAnsi="楷体_GB2312" w:eastAsia="楷体_GB2312" w:cs="楷体_GB2312"/>
          <w:b/>
          <w:bCs/>
          <w:sz w:val="32"/>
          <w:szCs w:val="32"/>
          <w:lang w:val="en-US" w:eastAsia="zh-CN"/>
        </w:rPr>
        <w:t>三是</w:t>
      </w:r>
      <w:r>
        <w:rPr>
          <w:rFonts w:hint="eastAsia" w:ascii="仿宋_GB2312" w:hAnsi="仿宋_GB2312" w:cs="仿宋_GB2312"/>
          <w:b w:val="0"/>
          <w:bCs/>
          <w:sz w:val="32"/>
          <w:szCs w:val="32"/>
          <w:lang w:val="en-US" w:eastAsia="zh-CN"/>
        </w:rPr>
        <w:t>提升城市公厕管理，争取资金完成公厕提升改造。</w:t>
      </w:r>
      <w:r>
        <w:rPr>
          <w:rFonts w:hint="eastAsia" w:ascii="楷体_GB2312" w:hAnsi="楷体_GB2312" w:eastAsia="楷体_GB2312" w:cs="楷体_GB2312"/>
          <w:b/>
          <w:bCs/>
          <w:sz w:val="32"/>
          <w:szCs w:val="32"/>
          <w:lang w:val="en-US" w:eastAsia="zh-CN"/>
        </w:rPr>
        <w:t>四是</w:t>
      </w:r>
      <w:r>
        <w:rPr>
          <w:rFonts w:hint="eastAsia" w:ascii="仿宋_GB2312" w:hAnsi="仿宋_GB2312" w:cs="仿宋_GB2312"/>
          <w:b w:val="0"/>
          <w:bCs/>
          <w:sz w:val="32"/>
          <w:szCs w:val="32"/>
          <w:lang w:val="en-US" w:eastAsia="zh-CN"/>
        </w:rPr>
        <w:t>加大沿街单位、商铺、社区、小区物业等沟通协调力度，落实好‘门前五包’，共同推进环境卫生大改善。</w:t>
      </w:r>
    </w:p>
    <w:p>
      <w:pPr>
        <w:pStyle w:val="11"/>
        <w:ind w:firstLine="642" w:firstLineChars="200"/>
        <w:rPr>
          <w:rFonts w:hint="eastAsia" w:ascii="仿宋_GB2312" w:hAnsi="仿宋_GB2312" w:eastAsia="仿宋_GB2312" w:cs="仿宋_GB2312"/>
          <w:b w:val="0"/>
          <w:bCs w:val="0"/>
          <w:kern w:val="0"/>
          <w:sz w:val="32"/>
          <w:szCs w:val="32"/>
          <w:lang w:val="en-US" w:eastAsia="zh-CN"/>
        </w:rPr>
      </w:pPr>
      <w:r>
        <w:rPr>
          <w:rFonts w:hint="eastAsia"/>
          <w:lang w:val="en-US" w:eastAsia="zh-CN"/>
        </w:rPr>
        <w:t>3.</w:t>
      </w:r>
      <w:r>
        <w:rPr>
          <w:rFonts w:hint="eastAsia" w:ascii="楷体_GB2312" w:hAnsi="楷体_GB2312" w:eastAsia="楷体_GB2312" w:cs="楷体_GB2312"/>
          <w:b/>
          <w:bCs/>
          <w:sz w:val="32"/>
          <w:szCs w:val="32"/>
          <w:lang w:val="en-US" w:eastAsia="zh-CN"/>
        </w:rPr>
        <w:t>进一步创新管理举措。</w:t>
      </w:r>
      <w:r>
        <w:rPr>
          <w:rFonts w:hint="eastAsia" w:ascii="仿宋_GB2312" w:hAnsi="仿宋_GB2312" w:eastAsia="仿宋_GB2312" w:cs="仿宋_GB2312"/>
          <w:b/>
          <w:bCs/>
          <w:kern w:val="0"/>
          <w:sz w:val="32"/>
          <w:szCs w:val="32"/>
          <w:lang w:val="en-US" w:eastAsia="zh-CN"/>
        </w:rPr>
        <w:t>一是</w:t>
      </w:r>
      <w:r>
        <w:rPr>
          <w:rFonts w:hint="eastAsia" w:ascii="仿宋_GB2312" w:hAnsi="仿宋_GB2312" w:eastAsia="仿宋_GB2312" w:cs="仿宋_GB2312"/>
          <w:b w:val="0"/>
          <w:bCs w:val="0"/>
          <w:kern w:val="0"/>
          <w:sz w:val="32"/>
          <w:szCs w:val="32"/>
          <w:lang w:val="en-US" w:eastAsia="zh-CN"/>
        </w:rPr>
        <w:t>落实环境卫生网格化管理，开展精细化作业，将城区实行划片，每片明确责任人，负责包片区域环境卫生问题的巡查和督促整改。加强同城管大队的协作，共同抓好城市管理。</w:t>
      </w:r>
      <w:r>
        <w:rPr>
          <w:rFonts w:hint="eastAsia" w:ascii="仿宋_GB2312" w:hAnsi="仿宋_GB2312" w:eastAsia="仿宋_GB2312" w:cs="仿宋_GB2312"/>
          <w:b/>
          <w:bCs/>
          <w:kern w:val="0"/>
          <w:sz w:val="32"/>
          <w:szCs w:val="32"/>
          <w:lang w:val="en-US" w:eastAsia="zh-CN"/>
        </w:rPr>
        <w:t>二是</w:t>
      </w:r>
      <w:r>
        <w:rPr>
          <w:rFonts w:hint="eastAsia" w:ascii="仿宋_GB2312" w:hAnsi="仿宋_GB2312" w:eastAsia="仿宋_GB2312" w:cs="仿宋_GB2312"/>
          <w:b w:val="0"/>
          <w:bCs w:val="0"/>
          <w:kern w:val="0"/>
          <w:sz w:val="32"/>
          <w:szCs w:val="32"/>
          <w:lang w:val="en-US" w:eastAsia="zh-CN"/>
        </w:rPr>
        <w:t>加大对风险点位的管控。重点加强垃圾场、中转站、环卫车辆及路灯的管理，排查和消除安全隐患，做好基础设施的</w:t>
      </w:r>
      <w:r>
        <w:rPr>
          <w:rFonts w:hint="default" w:ascii="仿宋_GB2312" w:hAnsi="仿宋_GB2312" w:eastAsia="仿宋_GB2312" w:cs="仿宋_GB2312"/>
          <w:b w:val="0"/>
          <w:bCs w:val="0"/>
          <w:kern w:val="0"/>
          <w:sz w:val="32"/>
          <w:szCs w:val="32"/>
          <w:lang w:val="en-US" w:eastAsia="zh-CN"/>
        </w:rPr>
        <w:t>日常维护工作,确保设施的整洁完好和正常运行</w:t>
      </w:r>
      <w:r>
        <w:rPr>
          <w:rFonts w:hint="eastAsia" w:ascii="仿宋_GB2312" w:hAnsi="仿宋_GB2312" w:eastAsia="仿宋_GB2312" w:cs="仿宋_GB2312"/>
          <w:b w:val="0"/>
          <w:bCs w:val="0"/>
          <w:kern w:val="0"/>
          <w:sz w:val="32"/>
          <w:szCs w:val="32"/>
          <w:lang w:val="en-US" w:eastAsia="zh-CN"/>
        </w:rPr>
        <w:t>。</w:t>
      </w:r>
      <w:r>
        <w:rPr>
          <w:rFonts w:hint="eastAsia" w:ascii="仿宋_GB2312" w:hAnsi="仿宋_GB2312" w:eastAsia="仿宋_GB2312" w:cs="仿宋_GB2312"/>
          <w:b/>
          <w:bCs/>
          <w:kern w:val="0"/>
          <w:sz w:val="32"/>
          <w:szCs w:val="32"/>
          <w:lang w:val="en-US" w:eastAsia="zh-CN"/>
        </w:rPr>
        <w:t>三是</w:t>
      </w:r>
      <w:r>
        <w:rPr>
          <w:rFonts w:hint="eastAsia" w:ascii="仿宋_GB2312" w:hAnsi="仿宋_GB2312" w:eastAsia="仿宋_GB2312" w:cs="仿宋_GB2312"/>
          <w:b w:val="0"/>
          <w:bCs w:val="0"/>
          <w:kern w:val="0"/>
          <w:sz w:val="32"/>
          <w:szCs w:val="32"/>
          <w:lang w:val="en-US" w:eastAsia="zh-CN"/>
        </w:rPr>
        <w:t>改革尝试环卫服务市场化运营模式，由政府购买服务，市场化运作，从而降低管理成本，提高管理质量。</w:t>
      </w:r>
    </w:p>
    <w:p>
      <w:pPr>
        <w:pStyle w:val="11"/>
        <w:ind w:firstLine="642" w:firstLineChars="200"/>
        <w:rPr>
          <w:rFonts w:hint="eastAsia" w:ascii="仿宋_GB2312" w:hAnsi="仿宋_GB2312" w:eastAsia="仿宋_GB2312" w:cs="仿宋_GB2312"/>
          <w:b w:val="0"/>
          <w:bCs w:val="0"/>
          <w:kern w:val="0"/>
          <w:sz w:val="32"/>
          <w:szCs w:val="32"/>
          <w:lang w:eastAsia="zh-CN"/>
        </w:rPr>
      </w:pPr>
      <w:r>
        <w:rPr>
          <w:rFonts w:hint="eastAsia"/>
          <w:lang w:val="en-US" w:eastAsia="zh-CN"/>
        </w:rPr>
        <w:t>4.进一步推进项目建设。一是</w:t>
      </w:r>
      <w:r>
        <w:rPr>
          <w:rFonts w:hint="eastAsia" w:ascii="仿宋_GB2312" w:hAnsi="仿宋_GB2312" w:eastAsia="仿宋_GB2312" w:cs="仿宋_GB2312"/>
          <w:b w:val="0"/>
          <w:bCs w:val="0"/>
          <w:kern w:val="0"/>
          <w:sz w:val="32"/>
          <w:szCs w:val="32"/>
          <w:lang w:val="en-US" w:eastAsia="zh-CN"/>
        </w:rPr>
        <w:t>加快推进生活垃圾分类转运设施、餐厨垃圾项目、热解气化项目实施，指导、督导国有平台公司建筑垃圾项目，确保完成全年目标任务。</w:t>
      </w:r>
      <w:r>
        <w:rPr>
          <w:rFonts w:hint="eastAsia"/>
          <w:lang w:val="en-US" w:eastAsia="zh-CN"/>
        </w:rPr>
        <w:t>二是</w:t>
      </w:r>
      <w:r>
        <w:rPr>
          <w:rFonts w:hint="eastAsia" w:ascii="仿宋_GB2312" w:hAnsi="仿宋_GB2312" w:eastAsia="仿宋_GB2312" w:cs="仿宋_GB2312"/>
          <w:b w:val="0"/>
          <w:bCs w:val="0"/>
          <w:kern w:val="0"/>
          <w:sz w:val="32"/>
          <w:szCs w:val="32"/>
          <w:lang w:val="en-US" w:eastAsia="zh-CN"/>
        </w:rPr>
        <w:t>抓项目包装，积极向上争取中央预算资金、地方债券和省级预算资金，助推环卫基础设施再提升，人居生活环境再改善。</w:t>
      </w:r>
      <w:r>
        <w:rPr>
          <w:rFonts w:hint="eastAsia" w:ascii="仿宋_GB2312" w:hAnsi="仿宋_GB2312" w:eastAsia="仿宋_GB2312" w:cs="仿宋_GB2312"/>
          <w:b/>
          <w:bCs/>
          <w:kern w:val="0"/>
          <w:sz w:val="32"/>
          <w:szCs w:val="32"/>
          <w:lang w:val="en-US" w:eastAsia="zh-CN"/>
        </w:rPr>
        <w:t>三是</w:t>
      </w:r>
      <w:r>
        <w:rPr>
          <w:rFonts w:hint="eastAsia" w:ascii="仿宋_GB2312" w:hAnsi="仿宋_GB2312" w:eastAsia="仿宋_GB2312" w:cs="仿宋_GB2312"/>
          <w:b w:val="0"/>
          <w:bCs w:val="0"/>
          <w:kern w:val="0"/>
          <w:sz w:val="32"/>
          <w:szCs w:val="32"/>
          <w:lang w:eastAsia="zh-CN"/>
        </w:rPr>
        <w:t>抓项目落实，</w:t>
      </w:r>
      <w:r>
        <w:rPr>
          <w:rFonts w:hint="eastAsia" w:ascii="仿宋_GB2312" w:hAnsi="仿宋_GB2312" w:eastAsia="仿宋_GB2312" w:cs="仿宋_GB2312"/>
          <w:b w:val="0"/>
          <w:bCs w:val="0"/>
          <w:kern w:val="0"/>
          <w:sz w:val="32"/>
          <w:szCs w:val="32"/>
        </w:rPr>
        <w:t>要在严格做好疫情防控的基础上，加大力度推进项目建设，强化目标导向抓调度，强化问题导向解难题，强化结果导向求实效，坚持质量第一、效益优先，严把安全关、环保关、质量关</w:t>
      </w:r>
      <w:r>
        <w:rPr>
          <w:rFonts w:hint="eastAsia" w:ascii="仿宋_GB2312" w:hAnsi="仿宋_GB2312" w:eastAsia="仿宋_GB2312" w:cs="仿宋_GB2312"/>
          <w:b w:val="0"/>
          <w:bCs w:val="0"/>
          <w:kern w:val="0"/>
          <w:sz w:val="32"/>
          <w:szCs w:val="32"/>
          <w:lang w:eastAsia="zh-CN"/>
        </w:rPr>
        <w:t>。</w:t>
      </w:r>
    </w:p>
    <w:p>
      <w:pPr>
        <w:pStyle w:val="7"/>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bookmarkEnd w:id="14"/>
    <w:bookmarkEnd w:id="15"/>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剑阁县环境卫生事务中心无下属二级单位，无纳入2022年度部门预算编制范围的二级预算单位。</w:t>
      </w:r>
    </w:p>
    <w:p>
      <w:pPr>
        <w:widowControl/>
        <w:jc w:val="left"/>
        <w:rPr>
          <w:rFonts w:ascii="仿宋" w:hAnsi="仿宋" w:eastAsia="仿宋"/>
          <w:kern w:val="0"/>
          <w:sz w:val="32"/>
          <w:szCs w:val="32"/>
        </w:rPr>
      </w:pPr>
      <w:r>
        <w:rPr>
          <w:rFonts w:ascii="仿宋" w:hAnsi="仿宋" w:eastAsia="仿宋"/>
          <w:sz w:val="32"/>
          <w:szCs w:val="32"/>
        </w:rPr>
        <w:br w:type="page"/>
      </w:r>
    </w:p>
    <w:p>
      <w:pPr>
        <w:pStyle w:val="6"/>
        <w:ind w:right="440"/>
        <w:jc w:val="center"/>
        <w:rPr>
          <w:rStyle w:val="30"/>
          <w:rFonts w:ascii="黑体" w:hAnsi="黑体" w:eastAsia="黑体"/>
          <w:b w:val="0"/>
          <w:bCs/>
        </w:rPr>
      </w:pPr>
      <w:bookmarkStart w:id="20" w:name="_Toc15377204"/>
      <w:bookmarkStart w:id="21" w:name="_Toc15396602"/>
      <w:r>
        <w:rPr>
          <w:rFonts w:hint="eastAsia" w:ascii="黑体" w:hAnsi="黑体" w:eastAsia="黑体"/>
          <w:b w:val="0"/>
        </w:rPr>
        <w:t>第二部分 2022年度</w:t>
      </w:r>
      <w:r>
        <w:rPr>
          <w:rStyle w:val="30"/>
          <w:rFonts w:hint="eastAsia" w:ascii="黑体" w:hAnsi="黑体" w:eastAsia="黑体"/>
          <w:b w:val="0"/>
          <w:bCs/>
        </w:rPr>
        <w:t>单位决算情况说明</w:t>
      </w:r>
      <w:bookmarkEnd w:id="20"/>
      <w:bookmarkEnd w:id="21"/>
    </w:p>
    <w:p/>
    <w:p>
      <w:pPr>
        <w:pStyle w:val="29"/>
        <w:numPr>
          <w:ilvl w:val="0"/>
          <w:numId w:val="2"/>
        </w:numPr>
        <w:spacing w:line="600" w:lineRule="exact"/>
        <w:ind w:firstLineChars="0"/>
        <w:outlineLvl w:val="1"/>
        <w:rPr>
          <w:rStyle w:val="31"/>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31"/>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eastAsia="zh-CN"/>
        </w:rPr>
        <w:t>入</w:t>
      </w:r>
      <w:r>
        <w:rPr>
          <w:rFonts w:hint="eastAsia" w:ascii="仿宋" w:hAnsi="仿宋" w:eastAsia="仿宋"/>
          <w:sz w:val="32"/>
          <w:szCs w:val="32"/>
          <w:lang w:val="en-US" w:eastAsia="zh-CN"/>
        </w:rPr>
        <w:t>1503.13万元，</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lang w:val="en-US" w:eastAsia="zh-CN"/>
        </w:rPr>
        <w:t>1503.13</w:t>
      </w:r>
      <w:r>
        <w:rPr>
          <w:rFonts w:hint="eastAsia" w:ascii="仿宋" w:hAnsi="仿宋" w:eastAsia="仿宋"/>
          <w:sz w:val="32"/>
          <w:szCs w:val="32"/>
        </w:rPr>
        <w:t>万元。与2021年相比，收</w:t>
      </w:r>
      <w:r>
        <w:rPr>
          <w:rFonts w:hint="eastAsia" w:ascii="仿宋" w:hAnsi="仿宋" w:eastAsia="仿宋"/>
          <w:sz w:val="32"/>
          <w:szCs w:val="32"/>
          <w:lang w:eastAsia="zh-CN"/>
        </w:rPr>
        <w:t>入</w:t>
      </w:r>
      <w:r>
        <w:rPr>
          <w:rFonts w:hint="eastAsia" w:ascii="仿宋" w:hAnsi="仿宋" w:eastAsia="仿宋"/>
          <w:sz w:val="32"/>
          <w:szCs w:val="32"/>
        </w:rPr>
        <w:t>减少</w:t>
      </w:r>
      <w:r>
        <w:rPr>
          <w:rFonts w:hint="eastAsia" w:ascii="仿宋" w:hAnsi="仿宋" w:eastAsia="仿宋"/>
          <w:sz w:val="32"/>
          <w:szCs w:val="32"/>
          <w:lang w:val="en-US" w:eastAsia="zh-CN"/>
        </w:rPr>
        <w:t>2181.82</w:t>
      </w:r>
      <w:r>
        <w:rPr>
          <w:rFonts w:hint="eastAsia" w:ascii="仿宋" w:hAnsi="仿宋" w:eastAsia="仿宋"/>
          <w:sz w:val="32"/>
          <w:szCs w:val="32"/>
        </w:rPr>
        <w:t>万元，下降</w:t>
      </w:r>
      <w:r>
        <w:rPr>
          <w:rFonts w:hint="eastAsia" w:ascii="仿宋" w:hAnsi="仿宋" w:eastAsia="仿宋"/>
          <w:sz w:val="32"/>
          <w:szCs w:val="32"/>
          <w:lang w:val="en-US" w:eastAsia="zh-CN"/>
        </w:rPr>
        <w:t>59.21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eastAsia="zh-CN"/>
        </w:rPr>
        <w:t>项目资金收入减少；支出</w:t>
      </w:r>
      <w:r>
        <w:rPr>
          <w:rFonts w:hint="eastAsia" w:ascii="仿宋" w:hAnsi="仿宋" w:eastAsia="仿宋"/>
          <w:sz w:val="32"/>
          <w:szCs w:val="32"/>
        </w:rPr>
        <w:t>减少</w:t>
      </w:r>
      <w:r>
        <w:rPr>
          <w:rFonts w:hint="eastAsia" w:ascii="仿宋" w:hAnsi="仿宋" w:eastAsia="仿宋"/>
          <w:sz w:val="32"/>
          <w:szCs w:val="32"/>
          <w:lang w:val="en-US" w:eastAsia="zh-CN"/>
        </w:rPr>
        <w:t>2181.82</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59.21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r>
        <w:rPr>
          <w:rFonts w:hint="eastAsia" w:ascii="仿宋" w:hAnsi="仿宋" w:eastAsia="仿宋"/>
          <w:sz w:val="32"/>
          <w:szCs w:val="32"/>
        </w:rPr>
        <w:t>。</w:t>
      </w:r>
    </w:p>
    <w:p>
      <w:pPr>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drawing>
          <wp:anchor distT="0" distB="0" distL="114300" distR="114300" simplePos="0" relativeHeight="251660288" behindDoc="0" locked="0" layoutInCell="1" allowOverlap="1">
            <wp:simplePos x="0" y="0"/>
            <wp:positionH relativeFrom="column">
              <wp:posOffset>220980</wp:posOffset>
            </wp:positionH>
            <wp:positionV relativeFrom="paragraph">
              <wp:posOffset>30480</wp:posOffset>
            </wp:positionV>
            <wp:extent cx="4893945" cy="2303780"/>
            <wp:effectExtent l="5080" t="4445" r="15875" b="1587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
        <w:rPr>
          <w:rFonts w:hint="eastAsia" w:ascii="仿宋_GB2312" w:eastAsia="仿宋_GB2312"/>
          <w:sz w:val="32"/>
          <w:szCs w:val="32"/>
          <w:lang w:eastAsia="zh-CN"/>
        </w:rPr>
      </w:pPr>
    </w:p>
    <w:p>
      <w:pPr>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rPr>
          <w:rFonts w:hint="eastAsia" w:ascii="仿宋_GB2312" w:eastAsia="仿宋_GB2312"/>
          <w:sz w:val="32"/>
          <w:szCs w:val="32"/>
          <w:lang w:eastAsia="zh-CN"/>
        </w:rPr>
      </w:pPr>
    </w:p>
    <w:p>
      <w:pPr>
        <w:pStyle w:val="2"/>
        <w:ind w:left="0" w:leftChars="0" w:firstLine="0" w:firstLineChars="0"/>
        <w:rPr>
          <w:rFonts w:hint="eastAsia"/>
          <w:lang w:eastAsia="zh-CN"/>
        </w:rPr>
      </w:pPr>
    </w:p>
    <w:p>
      <w:pPr>
        <w:pStyle w:val="29"/>
        <w:numPr>
          <w:ilvl w:val="0"/>
          <w:numId w:val="2"/>
        </w:numPr>
        <w:spacing w:line="600" w:lineRule="exact"/>
        <w:ind w:firstLineChars="0"/>
        <w:outlineLvl w:val="1"/>
        <w:rPr>
          <w:rStyle w:val="31"/>
          <w:rFonts w:ascii="黑体" w:hAnsi="黑体" w:eastAsia="黑体"/>
          <w:b w:val="0"/>
        </w:rPr>
      </w:pPr>
      <w:bookmarkStart w:id="24" w:name="_Toc15377206"/>
      <w:bookmarkStart w:id="25" w:name="_Toc15396604"/>
      <w:r>
        <w:rPr>
          <w:rFonts w:hint="eastAsia" w:ascii="黑体" w:hAnsi="黑体" w:eastAsia="黑体"/>
          <w:sz w:val="32"/>
          <w:szCs w:val="32"/>
        </w:rPr>
        <w:t>收</w:t>
      </w:r>
      <w:r>
        <w:rPr>
          <w:rStyle w:val="31"/>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1503.13</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1503.13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drawing>
          <wp:anchor distT="0" distB="0" distL="114300" distR="114300" simplePos="0" relativeHeight="251659264" behindDoc="0" locked="0" layoutInCell="1" allowOverlap="1">
            <wp:simplePos x="0" y="0"/>
            <wp:positionH relativeFrom="column">
              <wp:posOffset>238760</wp:posOffset>
            </wp:positionH>
            <wp:positionV relativeFrom="paragraph">
              <wp:posOffset>64135</wp:posOffset>
            </wp:positionV>
            <wp:extent cx="4945380" cy="2287905"/>
            <wp:effectExtent l="4445" t="4445" r="22225" b="1270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rPr>
          <w:rFonts w:ascii="仿宋_GB2312" w:eastAsia="仿宋_GB2312"/>
          <w:sz w:val="32"/>
          <w:szCs w:val="32"/>
        </w:rPr>
      </w:pPr>
    </w:p>
    <w:p>
      <w:pPr>
        <w:rPr>
          <w:rFonts w:ascii="仿宋_GB2312" w:eastAsia="仿宋_GB2312"/>
          <w:sz w:val="32"/>
          <w:szCs w:val="32"/>
        </w:rPr>
      </w:pPr>
    </w:p>
    <w:p>
      <w:pPr>
        <w:pStyle w:val="2"/>
        <w:rPr>
          <w:rFonts w:ascii="仿宋_GB2312" w:eastAsia="仿宋_GB2312"/>
          <w:sz w:val="32"/>
          <w:szCs w:val="32"/>
        </w:rPr>
      </w:pPr>
    </w:p>
    <w:p/>
    <w:p>
      <w:pPr>
        <w:pStyle w:val="2"/>
        <w:ind w:left="0" w:leftChars="0" w:firstLine="0" w:firstLineChars="0"/>
      </w:pPr>
    </w:p>
    <w:p>
      <w:pPr>
        <w:pStyle w:val="29"/>
        <w:numPr>
          <w:ilvl w:val="0"/>
          <w:numId w:val="2"/>
        </w:numPr>
        <w:spacing w:line="600" w:lineRule="exact"/>
        <w:ind w:firstLineChars="0"/>
        <w:outlineLvl w:val="1"/>
        <w:rPr>
          <w:rStyle w:val="31"/>
          <w:rFonts w:ascii="黑体" w:hAnsi="黑体" w:eastAsia="黑体"/>
          <w:b w:val="0"/>
        </w:rPr>
      </w:pPr>
      <w:bookmarkStart w:id="26" w:name="_Toc15396605"/>
      <w:bookmarkStart w:id="27" w:name="_Toc15377207"/>
      <w:r>
        <w:rPr>
          <w:rFonts w:hint="eastAsia" w:ascii="黑体" w:hAnsi="黑体" w:eastAsia="黑体"/>
          <w:sz w:val="32"/>
          <w:szCs w:val="32"/>
        </w:rPr>
        <w:t>支</w:t>
      </w:r>
      <w:r>
        <w:rPr>
          <w:rStyle w:val="31"/>
          <w:rFonts w:hint="eastAsia" w:ascii="黑体" w:hAnsi="黑体" w:eastAsia="黑体"/>
          <w:b w:val="0"/>
        </w:rPr>
        <w:t>出决算情况说明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1503.13</w:t>
      </w:r>
      <w:r>
        <w:rPr>
          <w:rFonts w:hint="eastAsia" w:ascii="仿宋" w:hAnsi="仿宋" w:eastAsia="仿宋"/>
          <w:sz w:val="32"/>
          <w:szCs w:val="32"/>
        </w:rPr>
        <w:t>万元，其中：基本支出</w:t>
      </w:r>
      <w:r>
        <w:rPr>
          <w:rFonts w:hint="eastAsia" w:ascii="仿宋" w:hAnsi="仿宋" w:eastAsia="仿宋"/>
          <w:sz w:val="32"/>
          <w:szCs w:val="32"/>
          <w:lang w:val="en-US" w:eastAsia="zh-CN"/>
        </w:rPr>
        <w:t>671.23</w:t>
      </w:r>
      <w:r>
        <w:rPr>
          <w:rFonts w:hint="eastAsia" w:ascii="仿宋" w:hAnsi="仿宋" w:eastAsia="仿宋"/>
          <w:sz w:val="32"/>
          <w:szCs w:val="32"/>
        </w:rPr>
        <w:t>万元，占</w:t>
      </w:r>
      <w:r>
        <w:rPr>
          <w:rFonts w:hint="eastAsia" w:ascii="仿宋" w:hAnsi="仿宋" w:eastAsia="仿宋"/>
          <w:sz w:val="32"/>
          <w:szCs w:val="32"/>
          <w:lang w:val="en-US" w:eastAsia="zh-CN"/>
        </w:rPr>
        <w:t>44.66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831.90</w:t>
      </w:r>
      <w:r>
        <w:rPr>
          <w:rFonts w:hint="eastAsia" w:ascii="仿宋" w:hAnsi="仿宋" w:eastAsia="仿宋"/>
          <w:sz w:val="32"/>
          <w:szCs w:val="32"/>
        </w:rPr>
        <w:t>万元，占</w:t>
      </w:r>
      <w:r>
        <w:rPr>
          <w:rFonts w:hint="eastAsia" w:ascii="仿宋" w:hAnsi="仿宋" w:eastAsia="仿宋"/>
          <w:sz w:val="32"/>
          <w:szCs w:val="32"/>
          <w:lang w:val="en-US" w:eastAsia="zh-CN"/>
        </w:rPr>
        <w:t>55.34</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hint="eastAsia" w:ascii="仿宋" w:hAnsi="仿宋" w:eastAsia="仿宋"/>
          <w:b/>
          <w:sz w:val="32"/>
          <w:szCs w:val="32"/>
        </w:rPr>
      </w:pPr>
      <w:r>
        <w:rPr>
          <w:rFonts w:hint="eastAsia" w:ascii="仿宋" w:hAnsi="仿宋" w:eastAsia="仿宋"/>
          <w:sz w:val="32"/>
          <w:szCs w:val="32"/>
          <w:shd w:val="pct10" w:color="auto" w:fill="FFFFFF"/>
          <w:lang w:eastAsia="zh-CN"/>
        </w:rPr>
        <w:drawing>
          <wp:anchor distT="0" distB="0" distL="114300" distR="114300" simplePos="0" relativeHeight="251661312" behindDoc="0" locked="0" layoutInCell="1" allowOverlap="1">
            <wp:simplePos x="0" y="0"/>
            <wp:positionH relativeFrom="column">
              <wp:posOffset>65405</wp:posOffset>
            </wp:positionH>
            <wp:positionV relativeFrom="paragraph">
              <wp:posOffset>44450</wp:posOffset>
            </wp:positionV>
            <wp:extent cx="5101590" cy="2780030"/>
            <wp:effectExtent l="4445" t="4445" r="18415" b="1587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2" w:firstLineChars="200"/>
        <w:outlineLvl w:val="1"/>
        <w:rPr>
          <w:rFonts w:hint="eastAsia" w:ascii="仿宋" w:hAnsi="仿宋" w:eastAsia="仿宋"/>
          <w:b/>
          <w:sz w:val="32"/>
          <w:szCs w:val="32"/>
        </w:rPr>
      </w:pPr>
    </w:p>
    <w:p>
      <w:pPr>
        <w:spacing w:line="600" w:lineRule="exact"/>
        <w:ind w:firstLine="642" w:firstLineChars="200"/>
        <w:outlineLvl w:val="1"/>
        <w:rPr>
          <w:rFonts w:hint="eastAsia" w:ascii="仿宋" w:hAnsi="仿宋" w:eastAsia="仿宋"/>
          <w:b/>
          <w:sz w:val="32"/>
          <w:szCs w:val="32"/>
        </w:rPr>
      </w:pPr>
    </w:p>
    <w:p>
      <w:pPr>
        <w:spacing w:line="600" w:lineRule="exact"/>
        <w:ind w:firstLine="642" w:firstLineChars="200"/>
        <w:outlineLvl w:val="1"/>
        <w:rPr>
          <w:rFonts w:hint="eastAsia" w:ascii="仿宋" w:hAnsi="仿宋" w:eastAsia="仿宋"/>
          <w:b/>
          <w:sz w:val="32"/>
          <w:szCs w:val="32"/>
        </w:rPr>
      </w:pPr>
    </w:p>
    <w:p>
      <w:pPr>
        <w:spacing w:line="600" w:lineRule="exact"/>
        <w:ind w:firstLine="642" w:firstLineChars="200"/>
        <w:outlineLvl w:val="1"/>
        <w:rPr>
          <w:rFonts w:hint="eastAsia" w:ascii="仿宋" w:hAnsi="仿宋" w:eastAsia="仿宋"/>
          <w:b/>
          <w:sz w:val="32"/>
          <w:szCs w:val="32"/>
        </w:rPr>
      </w:pPr>
    </w:p>
    <w:p>
      <w:pPr>
        <w:spacing w:line="600" w:lineRule="exact"/>
        <w:ind w:firstLine="642" w:firstLineChars="200"/>
        <w:outlineLvl w:val="1"/>
        <w:rPr>
          <w:rFonts w:hint="eastAsia" w:ascii="仿宋" w:hAnsi="仿宋" w:eastAsia="仿宋"/>
          <w:b/>
          <w:sz w:val="32"/>
          <w:szCs w:val="32"/>
        </w:rPr>
      </w:pPr>
    </w:p>
    <w:p>
      <w:pPr>
        <w:pStyle w:val="2"/>
        <w:ind w:left="0" w:leftChars="0" w:firstLine="0" w:firstLineChars="0"/>
      </w:pPr>
    </w:p>
    <w:p/>
    <w:p>
      <w:pPr>
        <w:spacing w:line="600" w:lineRule="exact"/>
        <w:ind w:firstLine="640" w:firstLineChars="200"/>
        <w:outlineLvl w:val="1"/>
        <w:rPr>
          <w:rStyle w:val="31"/>
          <w:rFonts w:ascii="黑体" w:hAnsi="黑体" w:eastAsia="黑体"/>
          <w:b w:val="0"/>
        </w:rPr>
      </w:pPr>
      <w:bookmarkStart w:id="28" w:name="_Toc15377208"/>
      <w:bookmarkStart w:id="29"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8"/>
      <w:bookmarkEnd w:id="29"/>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w:t>
      </w:r>
      <w:r>
        <w:rPr>
          <w:rFonts w:hint="eastAsia" w:ascii="仿宋" w:hAnsi="仿宋" w:eastAsia="仿宋"/>
          <w:sz w:val="32"/>
          <w:szCs w:val="32"/>
          <w:lang w:eastAsia="zh-CN"/>
        </w:rPr>
        <w:t>入、支出</w:t>
      </w:r>
      <w:r>
        <w:rPr>
          <w:rFonts w:hint="eastAsia" w:ascii="仿宋" w:hAnsi="仿宋" w:eastAsia="仿宋"/>
          <w:sz w:val="32"/>
          <w:szCs w:val="32"/>
          <w:lang w:val="en-US" w:eastAsia="zh-CN"/>
        </w:rPr>
        <w:t>1503.13万元</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21年相比，财政拨款收、支总计</w:t>
      </w:r>
      <w:r>
        <w:rPr>
          <w:rFonts w:hint="eastAsia" w:ascii="仿宋" w:hAnsi="仿宋" w:eastAsia="仿宋"/>
          <w:sz w:val="32"/>
          <w:szCs w:val="32"/>
          <w:lang w:eastAsia="zh-CN"/>
        </w:rPr>
        <w:t>各减少</w:t>
      </w:r>
      <w:r>
        <w:rPr>
          <w:rFonts w:hint="eastAsia" w:ascii="仿宋" w:hAnsi="仿宋" w:eastAsia="仿宋"/>
          <w:sz w:val="32"/>
          <w:szCs w:val="32"/>
          <w:lang w:val="en-US" w:eastAsia="zh-CN"/>
        </w:rPr>
        <w:t>2181.82</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59.21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项目资金、支出减少</w:t>
      </w:r>
      <w:r>
        <w:rPr>
          <w:rFonts w:hint="eastAsia" w:ascii="仿宋" w:hAnsi="仿宋" w:eastAsia="仿宋"/>
          <w:sz w:val="32"/>
          <w:szCs w:val="32"/>
        </w:rPr>
        <w:t>。</w:t>
      </w:r>
    </w:p>
    <w:p>
      <w:pPr>
        <w:pStyle w:val="2"/>
        <w:rPr>
          <w:rFonts w:hint="eastAsia" w:eastAsia="仿宋"/>
          <w:lang w:eastAsia="zh-CN"/>
        </w:rPr>
      </w:pPr>
      <w:r>
        <w:rPr>
          <w:rFonts w:hint="eastAsia" w:eastAsia="仿宋"/>
          <w:lang w:eastAsia="zh-CN"/>
        </w:rPr>
        <w:drawing>
          <wp:anchor distT="0" distB="0" distL="114300" distR="114300" simplePos="0" relativeHeight="251662336" behindDoc="0" locked="0" layoutInCell="1" allowOverlap="1">
            <wp:simplePos x="0" y="0"/>
            <wp:positionH relativeFrom="column">
              <wp:posOffset>96520</wp:posOffset>
            </wp:positionH>
            <wp:positionV relativeFrom="paragraph">
              <wp:posOffset>119380</wp:posOffset>
            </wp:positionV>
            <wp:extent cx="5256530" cy="2988310"/>
            <wp:effectExtent l="5080" t="4445" r="15240" b="1714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rPr>
          <w:rFonts w:ascii="仿宋" w:hAnsi="仿宋" w:eastAsia="仿宋"/>
          <w:b/>
          <w:sz w:val="32"/>
          <w:szCs w:val="32"/>
        </w:rPr>
      </w:pPr>
    </w:p>
    <w:p>
      <w:pPr>
        <w:spacing w:line="600" w:lineRule="exact"/>
        <w:ind w:firstLine="640" w:firstLineChars="200"/>
        <w:outlineLvl w:val="1"/>
        <w:rPr>
          <w:rStyle w:val="31"/>
          <w:rFonts w:ascii="黑体" w:hAnsi="黑体" w:eastAsia="黑体"/>
          <w:b w:val="0"/>
        </w:rPr>
      </w:pPr>
      <w:bookmarkStart w:id="30" w:name="_Toc15377209"/>
      <w:bookmarkStart w:id="31" w:name="_Toc15396607"/>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0"/>
      <w:bookmarkEnd w:id="31"/>
    </w:p>
    <w:p>
      <w:pPr>
        <w:spacing w:line="600" w:lineRule="exact"/>
        <w:ind w:firstLine="642"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1503.13</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lang w:val="en-US" w:eastAsia="zh-CN"/>
        </w:rPr>
        <w:t>2181.82</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59.21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r>
        <w:rPr>
          <w:rFonts w:hint="eastAsia" w:ascii="仿宋" w:hAnsi="仿宋" w:eastAsia="仿宋"/>
          <w:sz w:val="32"/>
          <w:szCs w:val="32"/>
        </w:rPr>
        <w:t>。</w:t>
      </w:r>
    </w:p>
    <w:p>
      <w:pPr>
        <w:pStyle w:val="2"/>
        <w:rPr>
          <w:rFonts w:hint="eastAsia" w:ascii="仿宋" w:hAnsi="仿宋" w:eastAsia="仿宋"/>
          <w:sz w:val="32"/>
          <w:szCs w:val="32"/>
          <w:lang w:eastAsia="zh-CN"/>
        </w:rPr>
      </w:pPr>
      <w:r>
        <w:rPr>
          <w:rFonts w:hint="eastAsia" w:ascii="仿宋" w:hAnsi="仿宋" w:eastAsia="仿宋"/>
          <w:sz w:val="32"/>
          <w:szCs w:val="32"/>
        </w:rPr>
        <w:t>一般公共预算财政拨款支出决算变动情况</w:t>
      </w:r>
      <w:r>
        <w:rPr>
          <w:rFonts w:hint="eastAsia" w:eastAsia="仿宋"/>
          <w:lang w:eastAsia="zh-CN"/>
        </w:rPr>
        <w:drawing>
          <wp:anchor distT="0" distB="0" distL="114300" distR="114300" simplePos="0" relativeHeight="251663360" behindDoc="0" locked="0" layoutInCell="1" allowOverlap="1">
            <wp:simplePos x="0" y="0"/>
            <wp:positionH relativeFrom="column">
              <wp:posOffset>112395</wp:posOffset>
            </wp:positionH>
            <wp:positionV relativeFrom="paragraph">
              <wp:posOffset>29845</wp:posOffset>
            </wp:positionV>
            <wp:extent cx="5256530" cy="2988310"/>
            <wp:effectExtent l="5080" t="4445" r="15240" b="1714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spacing w:line="600" w:lineRule="exact"/>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1503.13</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sz w:val="32"/>
          <w:szCs w:val="32"/>
          <w:lang w:eastAsia="zh-CN"/>
        </w:rPr>
        <w:t>（类）</w:t>
      </w:r>
      <w:r>
        <w:rPr>
          <w:rFonts w:hint="eastAsia" w:ascii="仿宋" w:hAnsi="仿宋" w:eastAsia="仿宋"/>
          <w:b/>
          <w:bCs/>
          <w:sz w:val="32"/>
          <w:szCs w:val="32"/>
        </w:rPr>
        <w:t>支出</w:t>
      </w:r>
      <w:r>
        <w:rPr>
          <w:rFonts w:hint="eastAsia" w:ascii="仿宋" w:hAnsi="仿宋" w:eastAsia="仿宋"/>
          <w:sz w:val="32"/>
          <w:szCs w:val="32"/>
          <w:lang w:val="en-US" w:eastAsia="zh-CN"/>
        </w:rPr>
        <w:t>25.56</w:t>
      </w:r>
      <w:r>
        <w:rPr>
          <w:rFonts w:hint="eastAsia" w:ascii="仿宋" w:hAnsi="仿宋" w:eastAsia="仿宋"/>
          <w:sz w:val="32"/>
          <w:szCs w:val="32"/>
        </w:rPr>
        <w:t>万元，占</w:t>
      </w:r>
      <w:r>
        <w:rPr>
          <w:rFonts w:hint="eastAsia" w:ascii="仿宋" w:hAnsi="仿宋" w:eastAsia="仿宋"/>
          <w:sz w:val="32"/>
          <w:szCs w:val="32"/>
          <w:lang w:val="en-US" w:eastAsia="zh-CN"/>
        </w:rPr>
        <w:t>1.70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w:t>
      </w:r>
      <w:r>
        <w:rPr>
          <w:rFonts w:hint="eastAsia" w:ascii="仿宋" w:hAnsi="仿宋" w:eastAsia="仿宋"/>
          <w:b/>
          <w:sz w:val="32"/>
          <w:szCs w:val="32"/>
          <w:lang w:eastAsia="zh-CN"/>
        </w:rPr>
        <w:t>（类）</w:t>
      </w:r>
      <w:r>
        <w:rPr>
          <w:rFonts w:hint="eastAsia" w:ascii="仿宋" w:hAnsi="仿宋" w:eastAsia="仿宋"/>
          <w:b/>
          <w:bCs/>
          <w:sz w:val="32"/>
          <w:szCs w:val="32"/>
        </w:rPr>
        <w:t>支出</w:t>
      </w:r>
      <w:r>
        <w:rPr>
          <w:rFonts w:hint="eastAsia" w:ascii="仿宋" w:hAnsi="仿宋" w:eastAsia="仿宋"/>
          <w:sz w:val="32"/>
          <w:szCs w:val="32"/>
          <w:lang w:val="en-US" w:eastAsia="zh-CN"/>
        </w:rPr>
        <w:t>17.69</w:t>
      </w:r>
      <w:r>
        <w:rPr>
          <w:rFonts w:hint="eastAsia" w:ascii="仿宋" w:hAnsi="仿宋" w:eastAsia="仿宋"/>
          <w:sz w:val="32"/>
          <w:szCs w:val="32"/>
        </w:rPr>
        <w:t>万元，占</w:t>
      </w:r>
      <w:r>
        <w:rPr>
          <w:rFonts w:hint="eastAsia" w:ascii="仿宋" w:hAnsi="仿宋" w:eastAsia="仿宋"/>
          <w:sz w:val="32"/>
          <w:szCs w:val="32"/>
          <w:lang w:val="en-US" w:eastAsia="zh-CN"/>
        </w:rPr>
        <w:t>1.17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城乡社区</w:t>
      </w:r>
      <w:r>
        <w:rPr>
          <w:rFonts w:hint="eastAsia" w:ascii="仿宋" w:hAnsi="仿宋" w:eastAsia="仿宋"/>
          <w:b/>
          <w:sz w:val="32"/>
          <w:szCs w:val="32"/>
          <w:lang w:eastAsia="zh-CN"/>
        </w:rPr>
        <w:t>（类）</w:t>
      </w:r>
      <w:r>
        <w:rPr>
          <w:rFonts w:hint="eastAsia" w:ascii="仿宋" w:hAnsi="仿宋" w:eastAsia="仿宋"/>
          <w:b/>
          <w:bCs/>
          <w:sz w:val="32"/>
          <w:szCs w:val="32"/>
        </w:rPr>
        <w:t>支出</w:t>
      </w:r>
      <w:r>
        <w:rPr>
          <w:rFonts w:hint="eastAsia" w:ascii="仿宋" w:hAnsi="仿宋" w:eastAsia="仿宋"/>
          <w:sz w:val="32"/>
          <w:szCs w:val="32"/>
          <w:lang w:val="en-US" w:eastAsia="zh-CN"/>
        </w:rPr>
        <w:t>1433.35</w:t>
      </w:r>
      <w:r>
        <w:rPr>
          <w:rFonts w:hint="eastAsia" w:ascii="仿宋" w:hAnsi="仿宋" w:eastAsia="仿宋"/>
          <w:sz w:val="32"/>
          <w:szCs w:val="32"/>
        </w:rPr>
        <w:t>万元，占</w:t>
      </w:r>
      <w:r>
        <w:rPr>
          <w:rFonts w:hint="eastAsia" w:ascii="仿宋" w:hAnsi="仿宋" w:eastAsia="仿宋"/>
          <w:sz w:val="32"/>
          <w:szCs w:val="32"/>
          <w:lang w:val="en-US" w:eastAsia="zh-CN"/>
        </w:rPr>
        <w:t>95.36</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bCs/>
          <w:sz w:val="32"/>
          <w:szCs w:val="32"/>
        </w:rPr>
        <w:t>住房保障</w:t>
      </w:r>
      <w:r>
        <w:rPr>
          <w:rFonts w:hint="eastAsia" w:ascii="仿宋" w:hAnsi="仿宋" w:eastAsia="仿宋"/>
          <w:b/>
          <w:sz w:val="32"/>
          <w:szCs w:val="32"/>
          <w:lang w:eastAsia="zh-CN"/>
        </w:rPr>
        <w:t>（类）</w:t>
      </w:r>
      <w:r>
        <w:rPr>
          <w:rFonts w:hint="eastAsia" w:ascii="仿宋" w:hAnsi="仿宋" w:eastAsia="仿宋"/>
          <w:b/>
          <w:bCs/>
          <w:sz w:val="32"/>
          <w:szCs w:val="32"/>
        </w:rPr>
        <w:t>支出</w:t>
      </w:r>
      <w:r>
        <w:rPr>
          <w:rFonts w:hint="eastAsia" w:ascii="仿宋" w:hAnsi="仿宋" w:eastAsia="仿宋"/>
          <w:sz w:val="32"/>
          <w:szCs w:val="32"/>
          <w:lang w:val="en-US" w:eastAsia="zh-CN"/>
        </w:rPr>
        <w:t>26.53</w:t>
      </w:r>
      <w:r>
        <w:rPr>
          <w:rFonts w:hint="eastAsia" w:ascii="仿宋" w:hAnsi="仿宋" w:eastAsia="仿宋"/>
          <w:sz w:val="32"/>
          <w:szCs w:val="32"/>
        </w:rPr>
        <w:t>万元，占</w:t>
      </w:r>
      <w:r>
        <w:rPr>
          <w:rFonts w:hint="eastAsia" w:ascii="仿宋" w:hAnsi="仿宋" w:eastAsia="仿宋"/>
          <w:sz w:val="32"/>
          <w:szCs w:val="32"/>
          <w:lang w:val="en-US" w:eastAsia="zh-CN"/>
        </w:rPr>
        <w:t>1.77</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p>
    <w:p>
      <w:pPr>
        <w:pStyle w:val="2"/>
        <w:rPr>
          <w:rFonts w:ascii="仿宋" w:hAnsi="仿宋" w:eastAsia="仿宋"/>
          <w:b/>
          <w:sz w:val="32"/>
          <w:szCs w:val="32"/>
        </w:rPr>
      </w:pPr>
    </w:p>
    <w:p>
      <w:pPr>
        <w:rPr>
          <w:rFonts w:ascii="仿宋" w:hAnsi="仿宋" w:eastAsia="仿宋"/>
          <w:b/>
          <w:sz w:val="32"/>
          <w:szCs w:val="32"/>
        </w:rPr>
      </w:pPr>
    </w:p>
    <w:p>
      <w:pPr>
        <w:pStyle w:val="2"/>
        <w:rPr>
          <w:rFonts w:ascii="仿宋" w:hAnsi="仿宋" w:eastAsia="仿宋"/>
          <w:b/>
          <w:sz w:val="32"/>
          <w:szCs w:val="32"/>
        </w:rPr>
      </w:pPr>
    </w:p>
    <w:p>
      <w:pPr>
        <w:rPr>
          <w:rFonts w:hint="eastAsia" w:eastAsia="仿宋"/>
          <w:lang w:eastAsia="zh-CN"/>
        </w:rPr>
      </w:pPr>
      <w:r>
        <w:rPr>
          <w:rFonts w:hint="eastAsia" w:eastAsia="仿宋"/>
          <w:lang w:eastAsia="zh-CN"/>
        </w:rPr>
        <w:drawing>
          <wp:inline distT="0" distB="0" distL="114300" distR="114300">
            <wp:extent cx="5560060" cy="4062095"/>
            <wp:effectExtent l="4445" t="4445" r="17145" b="1016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pPr>
        <w:spacing w:line="600" w:lineRule="exact"/>
        <w:ind w:firstLine="642" w:firstLineChars="200"/>
        <w:outlineLvl w:val="2"/>
        <w:rPr>
          <w:rFonts w:ascii="仿宋" w:hAnsi="仿宋" w:eastAsia="仿宋"/>
          <w:sz w:val="32"/>
          <w:szCs w:val="32"/>
        </w:rPr>
      </w:pPr>
      <w:bookmarkStart w:id="35" w:name="_Toc15378460"/>
      <w:bookmarkStart w:id="36" w:name="_Toc15377213"/>
      <w:bookmarkStart w:id="37"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1503.13万元</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5"/>
      <w:bookmarkEnd w:id="36"/>
      <w:bookmarkEnd w:id="37"/>
    </w:p>
    <w:p>
      <w:pPr>
        <w:spacing w:line="600" w:lineRule="exact"/>
        <w:ind w:firstLine="642" w:firstLineChars="200"/>
        <w:rPr>
          <w:rFonts w:ascii="仿宋" w:hAnsi="仿宋" w:eastAsia="仿宋"/>
          <w:b/>
          <w:sz w:val="32"/>
          <w:szCs w:val="32"/>
        </w:rPr>
      </w:pPr>
      <w:r>
        <w:rPr>
          <w:rStyle w:val="20"/>
          <w:rFonts w:ascii="仿宋" w:hAnsi="仿宋" w:eastAsia="仿宋"/>
          <w:bCs/>
          <w:sz w:val="32"/>
          <w:szCs w:val="32"/>
        </w:rPr>
        <w:t>1.</w:t>
      </w:r>
      <w:r>
        <w:rPr>
          <w:rStyle w:val="20"/>
          <w:rFonts w:hint="eastAsia" w:ascii="仿宋" w:hAnsi="仿宋" w:eastAsia="仿宋"/>
          <w:bCs/>
          <w:sz w:val="32"/>
          <w:szCs w:val="32"/>
        </w:rPr>
        <w:t>社会保障和就业（类）</w:t>
      </w:r>
      <w:r>
        <w:rPr>
          <w:rStyle w:val="20"/>
          <w:rFonts w:hint="eastAsia" w:ascii="仿宋" w:hAnsi="仿宋" w:eastAsia="仿宋"/>
          <w:bCs/>
          <w:sz w:val="32"/>
          <w:szCs w:val="32"/>
          <w:lang w:eastAsia="zh-CN"/>
        </w:rPr>
        <w:t>行</w:t>
      </w:r>
      <w:r>
        <w:rPr>
          <w:rStyle w:val="20"/>
          <w:rFonts w:hint="eastAsia" w:ascii="仿宋" w:hAnsi="仿宋" w:eastAsia="仿宋"/>
          <w:bCs/>
          <w:sz w:val="32"/>
          <w:szCs w:val="32"/>
        </w:rPr>
        <w:t>政事业单位离退休（款）机关事业单位基本养老保险缴费支出（项）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Fonts w:hint="eastAsia" w:ascii="仿宋" w:hAnsi="仿宋" w:eastAsia="仿宋"/>
          <w:sz w:val="32"/>
          <w:szCs w:val="32"/>
          <w:lang w:val="en-US" w:eastAsia="zh-CN"/>
        </w:rPr>
        <w:t>25.56</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20"/>
          <w:rFonts w:ascii="仿宋" w:hAnsi="仿宋" w:eastAsia="仿宋"/>
          <w:bCs/>
          <w:sz w:val="32"/>
          <w:szCs w:val="32"/>
        </w:rPr>
        <w:t>2.</w:t>
      </w:r>
      <w:r>
        <w:rPr>
          <w:rStyle w:val="20"/>
          <w:rFonts w:hint="eastAsia" w:ascii="仿宋" w:hAnsi="仿宋" w:eastAsia="仿宋"/>
          <w:bCs/>
          <w:sz w:val="32"/>
          <w:szCs w:val="32"/>
        </w:rPr>
        <w:t>卫生健康（类）行政事业单位医疗（款）行政事业单位医疗（项）</w:t>
      </w:r>
      <w:r>
        <w:rPr>
          <w:rStyle w:val="20"/>
          <w:rFonts w:ascii="仿宋" w:hAnsi="仿宋" w:eastAsia="仿宋"/>
          <w:bCs/>
          <w:sz w:val="32"/>
          <w:szCs w:val="32"/>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17.69</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20"/>
          <w:rFonts w:hint="eastAsia" w:ascii="仿宋" w:hAnsi="仿宋" w:eastAsia="仿宋"/>
          <w:bCs/>
          <w:sz w:val="32"/>
          <w:szCs w:val="32"/>
        </w:rPr>
        <w:t>3.</w:t>
      </w:r>
      <w:r>
        <w:rPr>
          <w:rStyle w:val="20"/>
          <w:rFonts w:hint="eastAsia" w:ascii="仿宋" w:hAnsi="仿宋" w:eastAsia="仿宋"/>
          <w:bCs/>
          <w:sz w:val="32"/>
          <w:szCs w:val="32"/>
          <w:lang w:val="en-US" w:eastAsia="zh-CN"/>
        </w:rPr>
        <w:t>城乡社区支出（类）城乡社区环境卫生（款）城乡社区环境卫生（项）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1433.35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20"/>
          <w:rFonts w:ascii="仿宋" w:hAnsi="仿宋" w:eastAsia="仿宋"/>
          <w:bCs/>
          <w:sz w:val="32"/>
          <w:szCs w:val="32"/>
        </w:rPr>
        <w:t>4.</w:t>
      </w:r>
      <w:r>
        <w:rPr>
          <w:rStyle w:val="20"/>
          <w:rFonts w:hint="eastAsia" w:ascii="仿宋" w:hAnsi="仿宋" w:eastAsia="仿宋"/>
          <w:bCs/>
          <w:sz w:val="32"/>
          <w:szCs w:val="32"/>
          <w:lang w:eastAsia="zh-CN"/>
        </w:rPr>
        <w:t>住房保障</w:t>
      </w:r>
      <w:r>
        <w:rPr>
          <w:rStyle w:val="20"/>
          <w:rFonts w:hint="eastAsia" w:ascii="仿宋" w:hAnsi="仿宋" w:eastAsia="仿宋"/>
          <w:bCs/>
          <w:sz w:val="32"/>
          <w:szCs w:val="32"/>
        </w:rPr>
        <w:t>（类）</w:t>
      </w:r>
      <w:r>
        <w:rPr>
          <w:rStyle w:val="20"/>
          <w:rFonts w:hint="eastAsia" w:ascii="仿宋" w:hAnsi="仿宋" w:eastAsia="仿宋"/>
          <w:bCs/>
          <w:sz w:val="32"/>
          <w:szCs w:val="32"/>
          <w:lang w:eastAsia="zh-CN"/>
        </w:rPr>
        <w:t>住房改革</w:t>
      </w:r>
      <w:r>
        <w:rPr>
          <w:rStyle w:val="20"/>
          <w:rFonts w:hint="eastAsia" w:ascii="仿宋" w:hAnsi="仿宋" w:eastAsia="仿宋"/>
          <w:bCs/>
          <w:sz w:val="32"/>
          <w:szCs w:val="32"/>
        </w:rPr>
        <w:t>支出（款）</w:t>
      </w:r>
      <w:r>
        <w:rPr>
          <w:rStyle w:val="20"/>
          <w:rFonts w:hint="eastAsia" w:ascii="仿宋" w:hAnsi="仿宋" w:eastAsia="仿宋"/>
          <w:bCs/>
          <w:sz w:val="32"/>
          <w:szCs w:val="32"/>
          <w:lang w:eastAsia="zh-CN"/>
        </w:rPr>
        <w:t>住房公积金</w:t>
      </w:r>
      <w:r>
        <w:rPr>
          <w:rStyle w:val="20"/>
          <w:rFonts w:hint="eastAsia" w:ascii="仿宋" w:hAnsi="仿宋" w:eastAsia="仿宋"/>
          <w:bCs/>
          <w:sz w:val="32"/>
          <w:szCs w:val="32"/>
        </w:rPr>
        <w:t>（项）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26.53</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tabs>
          <w:tab w:val="right" w:pos="8306"/>
        </w:tabs>
        <w:spacing w:line="600" w:lineRule="exact"/>
        <w:ind w:firstLine="640"/>
        <w:outlineLvl w:val="1"/>
        <w:rPr>
          <w:rStyle w:val="31"/>
        </w:rPr>
      </w:pPr>
      <w:bookmarkStart w:id="38" w:name="_Toc15396608"/>
      <w:bookmarkStart w:id="3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8"/>
      <w:bookmarkEnd w:id="39"/>
      <w:r>
        <w:rPr>
          <w:rStyle w:val="31"/>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671.23</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648.51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22.72</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等。</w:t>
      </w:r>
    </w:p>
    <w:p>
      <w:pPr>
        <w:spacing w:line="600" w:lineRule="exact"/>
        <w:ind w:firstLine="640"/>
        <w:outlineLvl w:val="1"/>
        <w:rPr>
          <w:rStyle w:val="31"/>
          <w:rFonts w:ascii="黑体" w:hAnsi="黑体" w:eastAsia="黑体"/>
          <w:b w:val="0"/>
        </w:rPr>
      </w:pPr>
      <w:bookmarkStart w:id="40" w:name="_Toc15396609"/>
      <w:bookmarkStart w:id="41" w:name="_Toc15377215"/>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40"/>
      <w:bookmarkEnd w:id="41"/>
    </w:p>
    <w:p>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145.20</w:t>
      </w:r>
      <w:r>
        <w:rPr>
          <w:rFonts w:hint="eastAsia" w:ascii="仿宋" w:hAnsi="仿宋" w:eastAsia="仿宋"/>
          <w:sz w:val="32"/>
          <w:szCs w:val="32"/>
        </w:rPr>
        <w:t>万元，完成预算</w:t>
      </w:r>
      <w:r>
        <w:rPr>
          <w:rFonts w:hint="eastAsia" w:ascii="仿宋" w:hAnsi="仿宋" w:eastAsia="仿宋"/>
          <w:sz w:val="32"/>
          <w:szCs w:val="32"/>
          <w:lang w:val="en-US" w:eastAsia="zh-CN"/>
        </w:rPr>
        <w:t>99.99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color w:val="000000"/>
          <w:sz w:val="32"/>
          <w:szCs w:val="32"/>
        </w:rPr>
        <w:t>决算数小于预算数（或与预算数持平）的主要原因是严格按照预算执行规定。</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600" w:lineRule="exact"/>
        <w:ind w:firstLine="640"/>
        <w:rPr>
          <w:rFonts w:hint="eastAsia"/>
        </w:rPr>
      </w:pPr>
      <w:r>
        <w:rPr>
          <w:rFonts w:ascii="仿宋" w:hAnsi="仿宋" w:eastAsia="仿宋"/>
          <w:sz w:val="32"/>
          <w:szCs w:val="32"/>
        </w:rPr>
        <w:t>20</w:t>
      </w:r>
      <w:r>
        <w:rPr>
          <w:rFonts w:hint="eastAsia" w:ascii="仿宋" w:hAnsi="仿宋" w:eastAsia="仿宋"/>
          <w:sz w:val="32"/>
          <w:szCs w:val="32"/>
        </w:rPr>
        <w:t>22年</w:t>
      </w:r>
      <w:r>
        <w:rPr>
          <w:rFonts w:hint="eastAsia" w:ascii="仿宋_GB2312" w:hAnsi="仿宋" w:eastAsia="仿宋_GB2312"/>
          <w:sz w:val="32"/>
          <w:szCs w:val="32"/>
        </w:rPr>
        <w:t>“三公”经费支出情况：</w:t>
      </w:r>
      <w:r>
        <w:rPr>
          <w:rFonts w:ascii="仿宋" w:hAnsi="仿宋" w:eastAsia="仿宋" w:cs="仿宋"/>
          <w:color w:val="000000"/>
          <w:sz w:val="32"/>
          <w:szCs w:val="32"/>
        </w:rPr>
        <w:t>20</w:t>
      </w: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年“三公”经费财政拨款支出决算中，因公出国（境）费支出决算0万元，</w:t>
      </w:r>
    </w:p>
    <w:p>
      <w:pPr>
        <w:spacing w:line="600" w:lineRule="exact"/>
        <w:rPr>
          <w:rFonts w:hint="eastAsia" w:ascii="仿宋" w:hAnsi="仿宋" w:eastAsia="仿宋"/>
          <w:sz w:val="32"/>
          <w:szCs w:val="32"/>
        </w:rPr>
      </w:pPr>
      <w:r>
        <w:rPr>
          <w:rFonts w:hint="eastAsia" w:ascii="仿宋" w:hAnsi="仿宋" w:eastAsia="仿宋" w:cs="仿宋"/>
          <w:color w:val="000000"/>
          <w:sz w:val="32"/>
          <w:szCs w:val="32"/>
        </w:rPr>
        <w:t>占0</w:t>
      </w:r>
      <w:r>
        <w:rPr>
          <w:rFonts w:ascii="仿宋" w:hAnsi="仿宋" w:eastAsia="仿宋" w:cs="仿宋"/>
          <w:color w:val="000000"/>
          <w:sz w:val="32"/>
          <w:szCs w:val="32"/>
        </w:rPr>
        <w:t>%</w:t>
      </w:r>
      <w:r>
        <w:rPr>
          <w:rFonts w:hint="eastAsia" w:ascii="仿宋" w:hAnsi="仿宋" w:eastAsia="仿宋" w:cs="仿宋"/>
          <w:color w:val="000000"/>
          <w:sz w:val="32"/>
          <w:szCs w:val="32"/>
        </w:rPr>
        <w:t>；公务用车购置及运行维护费支出决算</w:t>
      </w:r>
      <w:r>
        <w:rPr>
          <w:rFonts w:hint="eastAsia" w:ascii="仿宋" w:hAnsi="仿宋" w:eastAsia="仿宋" w:cs="仿宋"/>
          <w:color w:val="000000"/>
          <w:sz w:val="32"/>
          <w:szCs w:val="32"/>
          <w:lang w:val="en-US" w:eastAsia="zh-CN"/>
        </w:rPr>
        <w:t>144.62</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99.60</w:t>
      </w:r>
      <w:r>
        <w:rPr>
          <w:rFonts w:ascii="仿宋" w:hAnsi="仿宋" w:eastAsia="仿宋" w:cs="仿宋"/>
          <w:color w:val="000000"/>
          <w:sz w:val="32"/>
          <w:szCs w:val="32"/>
        </w:rPr>
        <w:t>%</w:t>
      </w:r>
      <w:r>
        <w:rPr>
          <w:rFonts w:hint="eastAsia" w:ascii="仿宋" w:hAnsi="仿宋" w:eastAsia="仿宋" w:cs="仿宋"/>
          <w:color w:val="000000"/>
          <w:sz w:val="32"/>
          <w:szCs w:val="32"/>
        </w:rPr>
        <w:t>；公务接待费支出决算0.</w:t>
      </w:r>
      <w:r>
        <w:rPr>
          <w:rFonts w:hint="eastAsia" w:ascii="仿宋" w:hAnsi="仿宋" w:eastAsia="仿宋" w:cs="仿宋"/>
          <w:color w:val="000000"/>
          <w:sz w:val="32"/>
          <w:szCs w:val="32"/>
          <w:lang w:val="en-US" w:eastAsia="zh-CN"/>
        </w:rPr>
        <w:t>59</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0.39</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sz w:val="32"/>
          <w:szCs w:val="32"/>
        </w:rPr>
        <w:t>具体情况如下：</w:t>
      </w:r>
    </w:p>
    <w:p>
      <w:pPr>
        <w:spacing w:line="560" w:lineRule="exact"/>
        <w:ind w:firstLine="642" w:firstLineChars="200"/>
        <w:rPr>
          <w:rFonts w:ascii="仿宋_GB2312" w:eastAsia="仿宋_GB2312" w:cs="仿宋_GB2312"/>
          <w:color w:val="000000"/>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cs="仿宋_GB2312"/>
          <w:color w:val="000000"/>
          <w:sz w:val="32"/>
          <w:szCs w:val="32"/>
        </w:rPr>
        <w:t>主要原因是</w:t>
      </w:r>
      <w:r>
        <w:rPr>
          <w:rFonts w:hint="eastAsia" w:ascii="仿宋_GB2312" w:eastAsia="仿宋_GB2312" w:cs="仿宋_GB2312"/>
          <w:color w:val="000000"/>
          <w:sz w:val="32"/>
          <w:szCs w:val="32"/>
          <w:lang w:eastAsia="zh-CN"/>
        </w:rPr>
        <w:t>环卫中心</w:t>
      </w:r>
      <w:r>
        <w:rPr>
          <w:rFonts w:hint="eastAsia" w:ascii="仿宋_GB2312" w:eastAsia="仿宋_GB2312" w:cs="仿宋_GB2312"/>
          <w:color w:val="000000"/>
          <w:sz w:val="32"/>
          <w:szCs w:val="32"/>
        </w:rPr>
        <w:t>无因公出国业务。</w:t>
      </w:r>
    </w:p>
    <w:p>
      <w:pPr>
        <w:spacing w:line="560" w:lineRule="exact"/>
        <w:ind w:firstLine="642"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cs="仿宋_GB2312"/>
          <w:color w:val="000000"/>
          <w:sz w:val="32"/>
          <w:szCs w:val="32"/>
          <w:lang w:val="en-US" w:eastAsia="zh-CN"/>
        </w:rPr>
        <w:t>144.62</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主要原因是</w:t>
      </w:r>
      <w:r>
        <w:rPr>
          <w:rFonts w:hint="eastAsia" w:ascii="仿宋_GB2312" w:eastAsia="仿宋_GB2312" w:cs="仿宋_GB2312"/>
          <w:color w:val="000000"/>
          <w:sz w:val="32"/>
          <w:szCs w:val="32"/>
          <w:lang w:eastAsia="zh-CN"/>
        </w:rPr>
        <w:t>环卫中心</w:t>
      </w:r>
      <w:r>
        <w:rPr>
          <w:rFonts w:hint="eastAsia" w:ascii="仿宋_GB2312" w:eastAsia="仿宋_GB2312" w:cs="仿宋_GB2312"/>
          <w:color w:val="000000"/>
          <w:sz w:val="32"/>
          <w:szCs w:val="32"/>
          <w:lang w:val="en-US" w:eastAsia="zh-CN"/>
        </w:rPr>
        <w:t>43辆环卫特种专业技术用车</w:t>
      </w:r>
      <w:r>
        <w:rPr>
          <w:rFonts w:hint="eastAsia" w:ascii="仿宋_GB2312" w:eastAsia="仿宋_GB2312" w:cs="仿宋_GB2312"/>
          <w:color w:val="000000"/>
          <w:sz w:val="32"/>
          <w:szCs w:val="32"/>
        </w:rPr>
        <w:t>。</w:t>
      </w:r>
    </w:p>
    <w:p>
      <w:pPr>
        <w:spacing w:line="600" w:lineRule="exact"/>
        <w:ind w:firstLine="640"/>
        <w:rPr>
          <w:rFonts w:hint="eastAsia"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0.59</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1.21</w:t>
      </w:r>
      <w:r>
        <w:rPr>
          <w:rFonts w:hint="eastAsia" w:ascii="仿宋_GB2312" w:eastAsia="仿宋_GB2312"/>
          <w:sz w:val="32"/>
          <w:szCs w:val="32"/>
        </w:rPr>
        <w:t>万元，下降</w:t>
      </w:r>
      <w:r>
        <w:rPr>
          <w:rFonts w:hint="eastAsia" w:ascii="仿宋_GB2312" w:eastAsia="仿宋_GB2312"/>
          <w:sz w:val="32"/>
          <w:szCs w:val="32"/>
          <w:lang w:val="en-US" w:eastAsia="zh-CN"/>
        </w:rPr>
        <w:t>54.63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cs="仿宋_GB2312"/>
          <w:color w:val="000000"/>
          <w:sz w:val="32"/>
          <w:szCs w:val="32"/>
        </w:rPr>
        <w:t>公务接待</w:t>
      </w:r>
      <w:r>
        <w:rPr>
          <w:rFonts w:hint="eastAsia" w:ascii="仿宋_GB2312" w:eastAsia="仿宋_GB2312" w:cs="仿宋_GB2312"/>
          <w:color w:val="000000"/>
          <w:sz w:val="32"/>
          <w:szCs w:val="32"/>
          <w:lang w:eastAsia="zh-CN"/>
        </w:rPr>
        <w:t>减少</w:t>
      </w:r>
      <w:r>
        <w:rPr>
          <w:rFonts w:hint="eastAsia" w:ascii="仿宋_GB2312" w:eastAsia="仿宋_GB2312"/>
          <w:sz w:val="32"/>
          <w:szCs w:val="32"/>
        </w:rPr>
        <w:t>。</w:t>
      </w:r>
    </w:p>
    <w:p>
      <w:pPr>
        <w:pStyle w:val="2"/>
        <w:jc w:val="center"/>
        <w:rPr>
          <w:rFonts w:hint="eastAsia"/>
        </w:rPr>
      </w:pPr>
      <w:r>
        <w:rPr>
          <w:rFonts w:hint="eastAsia"/>
          <w:sz w:val="28"/>
          <w:szCs w:val="36"/>
        </w:rPr>
        <w:t>图7：“三公”经费财政拨款支出结构图</w:t>
      </w:r>
      <w:r>
        <w:drawing>
          <wp:inline distT="0" distB="0" distL="114300" distR="114300">
            <wp:extent cx="4847590" cy="2695575"/>
            <wp:effectExtent l="4445" t="5080" r="5715" b="444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pPr>
    </w:p>
    <w:p>
      <w:pPr>
        <w:spacing w:line="600" w:lineRule="exact"/>
        <w:ind w:firstLine="640"/>
        <w:outlineLvl w:val="1"/>
        <w:rPr>
          <w:rStyle w:val="31"/>
          <w:rFonts w:ascii="黑体" w:hAnsi="黑体" w:eastAsia="黑体"/>
        </w:rPr>
      </w:pPr>
      <w:bookmarkStart w:id="44" w:name="_Toc15377218"/>
      <w:bookmarkStart w:id="45" w:name="_Toc15396610"/>
      <w:r>
        <w:rPr>
          <w:rFonts w:hint="eastAsia" w:ascii="黑体" w:eastAsia="黑体"/>
          <w:sz w:val="32"/>
          <w:szCs w:val="32"/>
        </w:rPr>
        <w:t>八、</w:t>
      </w:r>
      <w:r>
        <w:rPr>
          <w:rStyle w:val="31"/>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46" w:name="_Toc15396611"/>
      <w:bookmarkStart w:id="47" w:name="_Toc15377219"/>
      <w:r>
        <w:rPr>
          <w:rStyle w:val="31"/>
          <w:rFonts w:hint="eastAsia" w:ascii="黑体" w:hAnsi="黑体" w:eastAsia="黑体"/>
          <w:b w:val="0"/>
        </w:rPr>
        <w:t>国有资本经营预算支出决算情况说明</w:t>
      </w:r>
      <w:bookmarkEnd w:id="46"/>
      <w:bookmarkEnd w:id="47"/>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48" w:name="_Toc15377221"/>
      <w:bookmarkStart w:id="49" w:name="_Toc15396612"/>
      <w:r>
        <w:rPr>
          <w:rStyle w:val="31"/>
          <w:rFonts w:hint="eastAsia" w:ascii="黑体" w:hAnsi="黑体" w:eastAsia="黑体"/>
          <w:b w:val="0"/>
        </w:rPr>
        <w:t>其他重要事项的情况说明</w:t>
      </w:r>
      <w:bookmarkEnd w:id="48"/>
      <w:bookmarkEnd w:id="49"/>
    </w:p>
    <w:p>
      <w:pPr>
        <w:spacing w:line="600" w:lineRule="exact"/>
        <w:ind w:firstLine="642"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cs="仿宋_GB2312"/>
          <w:color w:val="000000"/>
          <w:sz w:val="32"/>
          <w:szCs w:val="32"/>
        </w:rPr>
        <w:t>县</w:t>
      </w:r>
      <w:r>
        <w:rPr>
          <w:rFonts w:hint="eastAsia" w:ascii="仿宋_GB2312" w:eastAsia="仿宋_GB2312" w:cs="仿宋_GB2312"/>
          <w:color w:val="000000"/>
          <w:sz w:val="32"/>
          <w:szCs w:val="32"/>
          <w:lang w:eastAsia="zh-CN"/>
        </w:rPr>
        <w:t>环卫</w:t>
      </w:r>
      <w:r>
        <w:rPr>
          <w:rFonts w:hint="eastAsia" w:ascii="仿宋_GB2312" w:eastAsia="仿宋_GB2312" w:cs="仿宋_GB2312"/>
          <w:color w:val="000000"/>
          <w:sz w:val="32"/>
          <w:szCs w:val="32"/>
        </w:rPr>
        <w:t>中心</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环卫中心</w:t>
      </w:r>
      <w:r>
        <w:rPr>
          <w:rFonts w:hint="eastAsia" w:ascii="仿宋_GB2312" w:eastAsia="仿宋_GB2312" w:cs="仿宋_GB2312"/>
          <w:color w:val="000000"/>
          <w:sz w:val="32"/>
          <w:szCs w:val="32"/>
        </w:rPr>
        <w:t>政府采购支出总额0万元，其中：政府采购货物支出0万元、政府采购工程支出0万元、政府采购服务支出0万元。授予中小企业合同金额0万元，占政府采购支出总额的0</w:t>
      </w:r>
      <w:r>
        <w:rPr>
          <w:rFonts w:ascii="仿宋_GB2312" w:eastAsia="仿宋_GB2312" w:cs="仿宋_GB2312"/>
          <w:color w:val="000000"/>
          <w:sz w:val="32"/>
          <w:szCs w:val="32"/>
        </w:rPr>
        <w:t>%</w:t>
      </w:r>
      <w:r>
        <w:rPr>
          <w:rFonts w:hint="eastAsia" w:ascii="仿宋_GB2312" w:eastAsia="仿宋_GB2312" w:cs="仿宋_GB2312"/>
          <w:color w:val="000000"/>
          <w:sz w:val="32"/>
          <w:szCs w:val="32"/>
        </w:rPr>
        <w:t>，其中：授予小微企业合同金额0万元，占政府采购支出总额的0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pPr>
        <w:pStyle w:val="11"/>
        <w:numPr>
          <w:ilvl w:val="0"/>
          <w:numId w:val="0"/>
        </w:numPr>
        <w:ind w:firstLine="640" w:firstLineChars="200"/>
        <w:rPr>
          <w:rFonts w:hint="eastAsia" w:ascii="仿宋" w:hAnsi="仿宋" w:eastAsia="仿宋_GB2312"/>
          <w:b/>
          <w:sz w:val="32"/>
          <w:szCs w:val="32"/>
          <w:lang w:eastAsia="zh-CN"/>
        </w:rPr>
      </w:pPr>
      <w:r>
        <w:rPr>
          <w:rFonts w:hint="default" w:ascii="仿宋_GB2312" w:hAnsi="仿宋_GB2312" w:cs="仿宋_GB2312"/>
          <w:b w:val="0"/>
          <w:bCs/>
          <w:sz w:val="32"/>
          <w:szCs w:val="32"/>
          <w:lang w:val="en-US" w:eastAsia="zh-CN"/>
        </w:rPr>
        <w:t>截至202</w:t>
      </w:r>
      <w:r>
        <w:rPr>
          <w:rFonts w:hint="eastAsia" w:ascii="仿宋_GB2312" w:hAnsi="仿宋_GB2312" w:cs="仿宋_GB2312"/>
          <w:b w:val="0"/>
          <w:bCs/>
          <w:sz w:val="32"/>
          <w:szCs w:val="32"/>
          <w:lang w:val="en-US" w:eastAsia="zh-CN"/>
        </w:rPr>
        <w:t>2</w:t>
      </w:r>
      <w:r>
        <w:rPr>
          <w:rFonts w:hint="default" w:ascii="仿宋_GB2312" w:hAnsi="仿宋_GB2312" w:cs="仿宋_GB2312"/>
          <w:b w:val="0"/>
          <w:bCs/>
          <w:sz w:val="32"/>
          <w:szCs w:val="32"/>
          <w:lang w:val="en-US" w:eastAsia="zh-CN"/>
        </w:rPr>
        <w:t>年底，</w:t>
      </w:r>
      <w:r>
        <w:rPr>
          <w:rFonts w:hint="eastAsia" w:ascii="仿宋_GB2312" w:hAnsi="仿宋_GB2312" w:cs="仿宋_GB2312"/>
          <w:b w:val="0"/>
          <w:bCs/>
          <w:sz w:val="32"/>
          <w:szCs w:val="32"/>
          <w:lang w:val="en-US" w:eastAsia="zh-CN"/>
        </w:rPr>
        <w:t>环卫中心</w:t>
      </w:r>
      <w:r>
        <w:rPr>
          <w:rFonts w:hint="default" w:ascii="仿宋_GB2312" w:hAnsi="仿宋_GB2312" w:cs="仿宋_GB2312"/>
          <w:b w:val="0"/>
          <w:bCs/>
          <w:sz w:val="32"/>
          <w:szCs w:val="32"/>
          <w:lang w:val="en-US" w:eastAsia="zh-CN"/>
        </w:rPr>
        <w:t>预算单位共有车辆</w:t>
      </w:r>
      <w:r>
        <w:rPr>
          <w:rFonts w:hint="eastAsia" w:ascii="仿宋_GB2312" w:hAnsi="仿宋_GB2312" w:cs="仿宋_GB2312"/>
          <w:b w:val="0"/>
          <w:bCs/>
          <w:sz w:val="32"/>
          <w:szCs w:val="32"/>
          <w:lang w:val="en-US" w:eastAsia="zh-CN"/>
        </w:rPr>
        <w:t>39辆</w:t>
      </w:r>
      <w:r>
        <w:rPr>
          <w:rFonts w:hint="default" w:ascii="仿宋_GB2312" w:hAnsi="仿宋_GB2312" w:cs="仿宋_GB2312"/>
          <w:b w:val="0"/>
          <w:bCs/>
          <w:sz w:val="32"/>
          <w:szCs w:val="32"/>
          <w:lang w:val="en-US" w:eastAsia="zh-CN"/>
        </w:rPr>
        <w:t>，其中，</w:t>
      </w:r>
      <w:r>
        <w:rPr>
          <w:rFonts w:hint="eastAsia" w:ascii="仿宋_GB2312" w:hAnsi="仿宋_GB2312" w:cs="仿宋_GB2312"/>
          <w:b w:val="0"/>
          <w:bCs/>
          <w:sz w:val="32"/>
          <w:szCs w:val="32"/>
          <w:lang w:val="en-US" w:eastAsia="zh-CN"/>
        </w:rPr>
        <w:t>业务用车3</w:t>
      </w:r>
      <w:r>
        <w:rPr>
          <w:rFonts w:hint="default" w:ascii="仿宋_GB2312" w:hAnsi="仿宋_GB2312" w:cs="仿宋_GB2312"/>
          <w:b w:val="0"/>
          <w:bCs/>
          <w:sz w:val="32"/>
          <w:szCs w:val="32"/>
          <w:lang w:val="en-US" w:eastAsia="zh-CN"/>
        </w:rPr>
        <w:t>辆、</w:t>
      </w:r>
      <w:r>
        <w:rPr>
          <w:rFonts w:hint="eastAsia" w:ascii="仿宋_GB2312" w:hAnsi="仿宋_GB2312" w:cs="仿宋_GB2312"/>
          <w:b w:val="0"/>
          <w:bCs/>
          <w:sz w:val="32"/>
          <w:szCs w:val="32"/>
          <w:lang w:val="en-US" w:eastAsia="zh-CN"/>
        </w:rPr>
        <w:t>特种专业技术用车36辆</w:t>
      </w:r>
      <w:r>
        <w:rPr>
          <w:rFonts w:hint="default" w:ascii="仿宋_GB2312" w:hAnsi="仿宋_GB2312" w:cs="仿宋_GB2312"/>
          <w:b w:val="0"/>
          <w:bCs/>
          <w:sz w:val="32"/>
          <w:szCs w:val="32"/>
          <w:lang w:val="en-US" w:eastAsia="zh-CN"/>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11"/>
        <w:numPr>
          <w:ilvl w:val="0"/>
          <w:numId w:val="0"/>
        </w:numPr>
        <w:ind w:firstLine="640" w:firstLineChars="200"/>
        <w:rPr>
          <w:highlight w:val="yellow"/>
        </w:rPr>
      </w:pPr>
      <w:r>
        <w:rPr>
          <w:rFonts w:hint="default" w:ascii="仿宋_GB2312" w:hAnsi="仿宋_GB2312" w:cs="仿宋_GB2312"/>
          <w:b w:val="0"/>
          <w:bCs/>
          <w:sz w:val="32"/>
          <w:szCs w:val="32"/>
          <w:lang w:val="en-US" w:eastAsia="zh-CN"/>
        </w:rPr>
        <w:t>202</w:t>
      </w:r>
      <w:r>
        <w:rPr>
          <w:rFonts w:hint="eastAsia" w:ascii="仿宋_GB2312" w:hAnsi="仿宋_GB2312" w:cs="仿宋_GB2312"/>
          <w:b w:val="0"/>
          <w:bCs/>
          <w:sz w:val="32"/>
          <w:szCs w:val="32"/>
          <w:lang w:val="en-US" w:eastAsia="zh-CN"/>
        </w:rPr>
        <w:t>2</w:t>
      </w:r>
      <w:r>
        <w:rPr>
          <w:rFonts w:hint="default" w:ascii="仿宋_GB2312" w:hAnsi="仿宋_GB2312" w:cs="仿宋_GB2312"/>
          <w:b w:val="0"/>
          <w:bCs/>
          <w:sz w:val="32"/>
          <w:szCs w:val="32"/>
          <w:lang w:val="en-US" w:eastAsia="zh-CN"/>
        </w:rPr>
        <w:t>年</w:t>
      </w:r>
      <w:r>
        <w:rPr>
          <w:rFonts w:hint="eastAsia" w:ascii="仿宋_GB2312" w:hAnsi="仿宋_GB2312" w:cs="仿宋_GB2312"/>
          <w:b w:val="0"/>
          <w:bCs/>
          <w:sz w:val="32"/>
          <w:szCs w:val="32"/>
          <w:lang w:val="en-US" w:eastAsia="zh-CN"/>
        </w:rPr>
        <w:t>剑阁县环境卫生事务中心开展绩效目标管理的项目11个，其中：人员类项目0个，涉及预算0万元；运转类项目0个，涉及预算0万元；特定目标类项目11个，涉及预算690万元，绩效自评表详见第四部分附件。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30"/>
          <w:rFonts w:ascii="黑体" w:hAnsi="黑体" w:eastAsia="黑体"/>
          <w:b w:val="0"/>
        </w:rPr>
      </w:pPr>
      <w:bookmarkStart w:id="53" w:name="_Toc15377225"/>
      <w:bookmarkStart w:id="54" w:name="_Toc15396613"/>
      <w:r>
        <w:rPr>
          <w:rFonts w:hint="eastAsia" w:ascii="黑体" w:hAnsi="黑体" w:eastAsia="黑体"/>
          <w:sz w:val="44"/>
          <w:szCs w:val="44"/>
        </w:rPr>
        <w:t>名</w:t>
      </w:r>
      <w:r>
        <w:rPr>
          <w:rStyle w:val="30"/>
          <w:rFonts w:hint="eastAsia" w:ascii="黑体" w:hAnsi="黑体" w:eastAsia="黑体"/>
          <w:b w:val="0"/>
        </w:rPr>
        <w:t>词解释</w:t>
      </w:r>
      <w:bookmarkEnd w:id="53"/>
      <w:bookmarkEnd w:id="54"/>
    </w:p>
    <w:p>
      <w:pPr>
        <w:spacing w:line="600" w:lineRule="exact"/>
        <w:jc w:val="left"/>
        <w:rPr>
          <w:rFonts w:ascii="宋体"/>
          <w:b/>
          <w:sz w:val="44"/>
          <w:szCs w:val="44"/>
        </w:rPr>
      </w:pPr>
    </w:p>
    <w:p>
      <w:pPr>
        <w:pStyle w:val="11"/>
        <w:keepNext w:val="0"/>
        <w:keepLines w:val="0"/>
        <w:pageBreakBefore w:val="0"/>
        <w:widowControl w:val="0"/>
        <w:numPr>
          <w:ilvl w:val="0"/>
          <w:numId w:val="0"/>
        </w:numPr>
        <w:kinsoku/>
        <w:wordWrap/>
        <w:overflowPunct/>
        <w:autoSpaceDE/>
        <w:autoSpaceDN/>
        <w:bidi w:val="0"/>
        <w:adjustRightInd/>
        <w:snapToGrid/>
        <w:ind w:firstLine="640" w:firstLineChars="200"/>
        <w:textAlignment w:val="auto"/>
        <w:rPr>
          <w:rFonts w:hint="default" w:ascii="仿宋_GB2312" w:hAnsi="仿宋_GB2312" w:cs="仿宋_GB2312"/>
          <w:b w:val="0"/>
          <w:bCs/>
          <w:sz w:val="32"/>
          <w:szCs w:val="32"/>
          <w:lang w:val="en-US" w:eastAsia="zh-CN"/>
        </w:rPr>
      </w:pPr>
      <w:bookmarkStart w:id="55" w:name="_Toc15377226"/>
      <w:r>
        <w:rPr>
          <w:rFonts w:hint="default" w:ascii="仿宋_GB2312" w:hAnsi="仿宋_GB2312" w:cs="仿宋_GB2312"/>
          <w:b w:val="0"/>
          <w:bCs/>
          <w:sz w:val="32"/>
          <w:szCs w:val="32"/>
          <w:lang w:val="en-US" w:eastAsia="zh-CN"/>
        </w:rPr>
        <w:t>（一）一般公共预算拨款收入：指县级财政当年拨付的资金。</w:t>
      </w:r>
    </w:p>
    <w:p>
      <w:pPr>
        <w:pStyle w:val="11"/>
        <w:keepNext w:val="0"/>
        <w:keepLines w:val="0"/>
        <w:pageBreakBefore w:val="0"/>
        <w:widowControl w:val="0"/>
        <w:numPr>
          <w:ilvl w:val="0"/>
          <w:numId w:val="0"/>
        </w:numPr>
        <w:kinsoku/>
        <w:wordWrap/>
        <w:overflowPunct/>
        <w:autoSpaceDE/>
        <w:autoSpaceDN/>
        <w:bidi w:val="0"/>
        <w:adjustRightInd/>
        <w:snapToGrid/>
        <w:ind w:firstLine="640" w:firstLineChars="200"/>
        <w:textAlignment w:val="auto"/>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（二）上年结转：指以前年度尚未完成，结转到本年仍按原规定用途继续使用的资金。</w:t>
      </w:r>
    </w:p>
    <w:p>
      <w:pPr>
        <w:keepNext w:val="0"/>
        <w:keepLines w:val="0"/>
        <w:pageBreakBefore w:val="0"/>
        <w:widowControl w:val="0"/>
        <w:kinsoku/>
        <w:wordWrap/>
        <w:overflowPunct/>
        <w:topLinePunct/>
        <w:autoSpaceDE/>
        <w:autoSpaceDN/>
        <w:bidi w:val="0"/>
        <w:adjustRightInd/>
        <w:snapToGrid/>
        <w:spacing w:line="540" w:lineRule="exact"/>
        <w:ind w:firstLine="640" w:firstLineChars="200"/>
        <w:jc w:val="left"/>
        <w:textAlignment w:val="auto"/>
        <w:rPr>
          <w:rFonts w:hint="default" w:ascii="仿宋_GB2312" w:hAnsi="仿宋_GB2312" w:cs="仿宋_GB2312"/>
          <w:b w:val="0"/>
          <w:bCs/>
          <w:sz w:val="32"/>
          <w:szCs w:val="32"/>
          <w:lang w:val="en-US" w:eastAsia="zh-CN"/>
        </w:rPr>
      </w:pPr>
      <w:r>
        <w:rPr>
          <w:rFonts w:hint="eastAsia" w:ascii="仿宋_GB2312" w:hAnsi="仿宋_GB2312" w:eastAsia="仿宋_GB2312" w:cs="仿宋_GB2312"/>
          <w:b w:val="0"/>
          <w:bCs/>
          <w:kern w:val="2"/>
          <w:sz w:val="32"/>
          <w:szCs w:val="32"/>
          <w:lang w:val="en-US" w:eastAsia="zh-CN" w:bidi="ar-SA"/>
        </w:rPr>
        <w:t>（三）城乡社区支出（类）城乡社区环境卫生（款）城乡社区环境卫生（项）：指我中心道路清扫、垃圾清运与处理支出。</w:t>
      </w:r>
    </w:p>
    <w:p>
      <w:pPr>
        <w:pStyle w:val="11"/>
        <w:keepNext w:val="0"/>
        <w:keepLines w:val="0"/>
        <w:pageBreakBefore w:val="0"/>
        <w:widowControl w:val="0"/>
        <w:numPr>
          <w:ilvl w:val="0"/>
          <w:numId w:val="0"/>
        </w:numPr>
        <w:kinsoku/>
        <w:wordWrap/>
        <w:overflowPunct/>
        <w:autoSpaceDE/>
        <w:autoSpaceDN/>
        <w:bidi w:val="0"/>
        <w:adjustRightInd/>
        <w:snapToGrid/>
        <w:ind w:firstLine="640" w:firstLineChars="200"/>
        <w:textAlignment w:val="auto"/>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四</w:t>
      </w:r>
      <w:r>
        <w:rPr>
          <w:rFonts w:hint="default" w:ascii="仿宋_GB2312" w:hAnsi="仿宋_GB2312" w:cs="仿宋_GB2312"/>
          <w:b w:val="0"/>
          <w:bCs/>
          <w:sz w:val="32"/>
          <w:szCs w:val="32"/>
          <w:lang w:val="en-US" w:eastAsia="zh-CN"/>
        </w:rPr>
        <w:t>）社会保障和就业（类）行政事业单位离退休（款）机关事业单位基本养老保险缴费支出（项）：指部门实施养老保险制度由单位缴纳的养老保险费的支出。</w:t>
      </w:r>
    </w:p>
    <w:p>
      <w:pPr>
        <w:pStyle w:val="11"/>
        <w:keepNext w:val="0"/>
        <w:keepLines w:val="0"/>
        <w:pageBreakBefore w:val="0"/>
        <w:widowControl w:val="0"/>
        <w:numPr>
          <w:ilvl w:val="0"/>
          <w:numId w:val="0"/>
        </w:numPr>
        <w:kinsoku/>
        <w:wordWrap/>
        <w:overflowPunct/>
        <w:autoSpaceDE/>
        <w:autoSpaceDN/>
        <w:bidi w:val="0"/>
        <w:adjustRightInd/>
        <w:snapToGrid/>
        <w:ind w:firstLine="640" w:firstLineChars="200"/>
        <w:textAlignment w:val="auto"/>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五</w:t>
      </w:r>
      <w:r>
        <w:rPr>
          <w:rFonts w:hint="default" w:ascii="仿宋_GB2312" w:hAnsi="仿宋_GB2312" w:cs="仿宋_GB2312"/>
          <w:b w:val="0"/>
          <w:bCs/>
          <w:sz w:val="32"/>
          <w:szCs w:val="32"/>
          <w:lang w:val="en-US" w:eastAsia="zh-CN"/>
        </w:rPr>
        <w:t>）社会保障和就业（类）行政事业单位离退休（款）机关事业单位职业年金缴费支出（项）：指部门实施养老保险制度由单位缴纳的职业年金的支出。</w:t>
      </w:r>
    </w:p>
    <w:p>
      <w:pPr>
        <w:pStyle w:val="11"/>
        <w:keepNext w:val="0"/>
        <w:keepLines w:val="0"/>
        <w:pageBreakBefore w:val="0"/>
        <w:widowControl w:val="0"/>
        <w:numPr>
          <w:ilvl w:val="0"/>
          <w:numId w:val="0"/>
        </w:numPr>
        <w:kinsoku/>
        <w:wordWrap/>
        <w:overflowPunct/>
        <w:autoSpaceDE/>
        <w:autoSpaceDN/>
        <w:bidi w:val="0"/>
        <w:adjustRightInd/>
        <w:snapToGrid/>
        <w:ind w:firstLine="640" w:firstLineChars="200"/>
        <w:textAlignment w:val="auto"/>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六</w:t>
      </w:r>
      <w:r>
        <w:rPr>
          <w:rFonts w:hint="default" w:ascii="仿宋_GB2312" w:hAnsi="仿宋_GB2312" w:cs="仿宋_GB2312"/>
          <w:b w:val="0"/>
          <w:bCs/>
          <w:sz w:val="32"/>
          <w:szCs w:val="32"/>
          <w:lang w:val="en-US" w:eastAsia="zh-CN"/>
        </w:rPr>
        <w:t>）社会保障和就业（类）其他社会保障和就业（款）其他社会保障和就业支出（项）：指除上述项目外，其他用于行政事业单位离退休方面的支出。</w:t>
      </w:r>
    </w:p>
    <w:p>
      <w:pPr>
        <w:pStyle w:val="11"/>
        <w:keepNext w:val="0"/>
        <w:keepLines w:val="0"/>
        <w:pageBreakBefore w:val="0"/>
        <w:widowControl w:val="0"/>
        <w:numPr>
          <w:ilvl w:val="0"/>
          <w:numId w:val="0"/>
        </w:numPr>
        <w:kinsoku/>
        <w:wordWrap/>
        <w:overflowPunct/>
        <w:autoSpaceDE/>
        <w:autoSpaceDN/>
        <w:bidi w:val="0"/>
        <w:adjustRightInd/>
        <w:snapToGrid/>
        <w:ind w:firstLine="640" w:firstLineChars="200"/>
        <w:textAlignment w:val="auto"/>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七</w:t>
      </w:r>
      <w:r>
        <w:rPr>
          <w:rFonts w:hint="default" w:ascii="仿宋_GB2312" w:hAnsi="仿宋_GB2312" w:cs="仿宋_GB2312"/>
          <w:b w:val="0"/>
          <w:bCs/>
          <w:sz w:val="32"/>
          <w:szCs w:val="32"/>
          <w:lang w:val="en-US" w:eastAsia="zh-CN"/>
        </w:rPr>
        <w:t>）卫生健康（类）行政事业单位医疗（款）事业单位医疗（项）：指事业单位用于缴纳单位基本医疗保险支出。</w:t>
      </w:r>
    </w:p>
    <w:p>
      <w:pPr>
        <w:pStyle w:val="11"/>
        <w:keepNext w:val="0"/>
        <w:keepLines w:val="0"/>
        <w:pageBreakBefore w:val="0"/>
        <w:widowControl w:val="0"/>
        <w:numPr>
          <w:ilvl w:val="0"/>
          <w:numId w:val="0"/>
        </w:numPr>
        <w:kinsoku/>
        <w:wordWrap/>
        <w:overflowPunct/>
        <w:autoSpaceDE/>
        <w:autoSpaceDN/>
        <w:bidi w:val="0"/>
        <w:adjustRightInd/>
        <w:snapToGrid/>
        <w:ind w:firstLine="640" w:firstLineChars="200"/>
        <w:textAlignment w:val="auto"/>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八</w:t>
      </w:r>
      <w:r>
        <w:rPr>
          <w:rFonts w:hint="default" w:ascii="仿宋_GB2312" w:hAnsi="仿宋_GB2312" w:cs="仿宋_GB2312"/>
          <w:b w:val="0"/>
          <w:bCs/>
          <w:sz w:val="32"/>
          <w:szCs w:val="32"/>
          <w:lang w:val="en-US" w:eastAsia="zh-CN"/>
        </w:rPr>
        <w:t>）住房保障（类）住房改革支出（款）住房公积金（项）：指按照《住房公积金管理条例》的规定，由单位及其在职职工缴存的长期住房储金。</w:t>
      </w:r>
    </w:p>
    <w:p>
      <w:pPr>
        <w:pStyle w:val="11"/>
        <w:keepNext w:val="0"/>
        <w:keepLines w:val="0"/>
        <w:pageBreakBefore w:val="0"/>
        <w:widowControl w:val="0"/>
        <w:numPr>
          <w:ilvl w:val="0"/>
          <w:numId w:val="0"/>
        </w:numPr>
        <w:kinsoku/>
        <w:wordWrap/>
        <w:overflowPunct/>
        <w:autoSpaceDE/>
        <w:autoSpaceDN/>
        <w:bidi w:val="0"/>
        <w:adjustRightInd/>
        <w:snapToGrid/>
        <w:ind w:firstLine="640" w:firstLineChars="200"/>
        <w:textAlignment w:val="auto"/>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（九）基本支出：指为保证机构正常运转，完成日常工作任务而发生的人员支出和公用支出。</w:t>
      </w:r>
    </w:p>
    <w:p>
      <w:pPr>
        <w:pStyle w:val="11"/>
        <w:keepNext w:val="0"/>
        <w:keepLines w:val="0"/>
        <w:pageBreakBefore w:val="0"/>
        <w:widowControl w:val="0"/>
        <w:numPr>
          <w:ilvl w:val="0"/>
          <w:numId w:val="0"/>
        </w:numPr>
        <w:kinsoku/>
        <w:wordWrap/>
        <w:overflowPunct/>
        <w:autoSpaceDE/>
        <w:autoSpaceDN/>
        <w:bidi w:val="0"/>
        <w:adjustRightInd/>
        <w:snapToGrid/>
        <w:ind w:firstLine="640" w:firstLineChars="200"/>
        <w:textAlignment w:val="auto"/>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（十）项目支出：指在基本支出之外为完成特定行政任务和事业发展目标所发生的支出。</w:t>
      </w:r>
    </w:p>
    <w:p>
      <w:pPr>
        <w:pStyle w:val="11"/>
        <w:keepNext w:val="0"/>
        <w:keepLines w:val="0"/>
        <w:pageBreakBefore w:val="0"/>
        <w:widowControl w:val="0"/>
        <w:numPr>
          <w:ilvl w:val="0"/>
          <w:numId w:val="0"/>
        </w:numPr>
        <w:kinsoku/>
        <w:wordWrap/>
        <w:overflowPunct/>
        <w:autoSpaceDE/>
        <w:autoSpaceDN/>
        <w:bidi w:val="0"/>
        <w:adjustRightInd/>
        <w:snapToGrid/>
        <w:ind w:firstLine="640" w:firstLineChars="200"/>
        <w:textAlignment w:val="auto"/>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十一</w:t>
      </w:r>
      <w:r>
        <w:rPr>
          <w:rFonts w:hint="default" w:ascii="仿宋_GB2312" w:hAnsi="仿宋_GB2312" w:cs="仿宋_GB2312"/>
          <w:b w:val="0"/>
          <w:bCs/>
          <w:sz w:val="32"/>
          <w:szCs w:val="32"/>
          <w:lang w:val="en-US" w:eastAsia="zh-CN"/>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30"/>
          <w:rFonts w:hint="eastAsia" w:ascii="黑体" w:hAnsi="黑体" w:eastAsia="黑体"/>
          <w:b w:val="0"/>
        </w:rPr>
      </w:pPr>
      <w:r>
        <w:rPr>
          <w:rFonts w:ascii="宋体"/>
          <w:b/>
          <w:sz w:val="44"/>
          <w:szCs w:val="44"/>
        </w:rPr>
        <w:br w:type="page"/>
      </w:r>
      <w:bookmarkStart w:id="56" w:name="_Toc15396614"/>
      <w:r>
        <w:rPr>
          <w:rFonts w:hint="eastAsia" w:ascii="黑体" w:hAnsi="黑体" w:eastAsia="黑体"/>
          <w:sz w:val="44"/>
          <w:szCs w:val="44"/>
        </w:rPr>
        <w:t>第</w:t>
      </w:r>
      <w:r>
        <w:rPr>
          <w:rStyle w:val="30"/>
          <w:rFonts w:hint="eastAsia" w:ascii="黑体" w:hAnsi="黑体" w:eastAsia="黑体"/>
          <w:b w:val="0"/>
        </w:rPr>
        <w:t>四部分 附件</w:t>
      </w:r>
      <w:bookmarkEnd w:id="56"/>
    </w:p>
    <w:tbl>
      <w:tblPr>
        <w:tblStyle w:val="18"/>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645"/>
        <w:gridCol w:w="15"/>
        <w:gridCol w:w="862"/>
        <w:gridCol w:w="1987"/>
        <w:gridCol w:w="280"/>
        <w:gridCol w:w="713"/>
        <w:gridCol w:w="758"/>
        <w:gridCol w:w="267"/>
        <w:gridCol w:w="633"/>
        <w:gridCol w:w="267"/>
        <w:gridCol w:w="266"/>
        <w:gridCol w:w="267"/>
        <w:gridCol w:w="813"/>
        <w:gridCol w:w="267"/>
        <w:gridCol w:w="361"/>
        <w:gridCol w:w="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405" w:hRule="atLeast"/>
        </w:trPr>
        <w:tc>
          <w:tcPr>
            <w:tcW w:w="9076" w:type="dxa"/>
            <w:gridSpan w:val="1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 w:type="dxa"/>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环卫车辆驾驶员劳务派遣经费</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项目负责人及电话</w:t>
            </w:r>
          </w:p>
        </w:tc>
        <w:tc>
          <w:tcPr>
            <w:tcW w:w="2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何军 13808123207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剑阁县综合行政执法局</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剑阁县环境卫生事务中心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56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其中：中央、省、市财政资金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县级财政资金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年初设定目标</w:t>
            </w:r>
          </w:p>
        </w:tc>
        <w:tc>
          <w:tcPr>
            <w:tcW w:w="389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5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为进一步改善城乡生活环境、美化城乡形象、提升城乡品味，努力为广大居民营造整洁、优美、舒适的人居环境。</w:t>
            </w:r>
          </w:p>
        </w:tc>
        <w:tc>
          <w:tcPr>
            <w:tcW w:w="389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总体目标完成情况较好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实际值</w:t>
            </w: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产出指标（50分）</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完成全县生活垃圾转运</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转运及时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2022年12月底之前</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总费用</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50万元</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财政追减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推动旅游业发展</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利用良好环境带动经济效益</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4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营造环境</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营造良好人居环境</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良好</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美化城市，展现旅游城市良好的生态环境</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3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增强城市载体功能</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维持可持续发展</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城市居民满意度</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(10分)</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460" w:hRule="atLeast"/>
        </w:trPr>
        <w:tc>
          <w:tcPr>
            <w:tcW w:w="9076"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460" w:hRule="atLeast"/>
        </w:trPr>
        <w:tc>
          <w:tcPr>
            <w:tcW w:w="9076"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460" w:hRule="atLeast"/>
        </w:trPr>
        <w:tc>
          <w:tcPr>
            <w:tcW w:w="9076"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405" w:hRule="atLeast"/>
        </w:trPr>
        <w:tc>
          <w:tcPr>
            <w:tcW w:w="9076" w:type="dxa"/>
            <w:gridSpan w:val="1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 w:type="dxa"/>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环卫车辆运行经费</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项目负责人及电话</w:t>
            </w:r>
          </w:p>
        </w:tc>
        <w:tc>
          <w:tcPr>
            <w:tcW w:w="2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何军 13808123207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剑阁县综合行政执法局</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剑阁县环境卫生事务中心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56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其中：中央、省、市财政资金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县级财政资金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年初设定目标</w:t>
            </w:r>
          </w:p>
        </w:tc>
        <w:tc>
          <w:tcPr>
            <w:tcW w:w="389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5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保障环卫工作正常运行，及时维护车辆损坏。</w:t>
            </w:r>
          </w:p>
        </w:tc>
        <w:tc>
          <w:tcPr>
            <w:tcW w:w="389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总体目标完成情况较好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实际值</w:t>
            </w: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产出指标（50分）</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完成全县生活垃圾转运</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环卫车辆数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39辆</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39辆</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2022年12月底之前</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车辆运行维护费</w:t>
            </w:r>
          </w:p>
        </w:tc>
        <w:tc>
          <w:tcPr>
            <w:tcW w:w="7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≦30万元</w:t>
            </w:r>
          </w:p>
        </w:tc>
        <w:tc>
          <w:tcPr>
            <w:tcW w:w="900"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533"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4"/>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垃圾压缩转运站维护费</w:t>
            </w:r>
          </w:p>
        </w:tc>
        <w:tc>
          <w:tcPr>
            <w:tcW w:w="7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≦10万元</w:t>
            </w:r>
          </w:p>
        </w:tc>
        <w:tc>
          <w:tcPr>
            <w:tcW w:w="90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车辆燃油费</w:t>
            </w:r>
          </w:p>
        </w:tc>
        <w:tc>
          <w:tcPr>
            <w:tcW w:w="7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≦50万元</w:t>
            </w:r>
          </w:p>
        </w:tc>
        <w:tc>
          <w:tcPr>
            <w:tcW w:w="90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车辆保险费</w:t>
            </w:r>
          </w:p>
        </w:tc>
        <w:tc>
          <w:tcPr>
            <w:tcW w:w="7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≦10万元</w:t>
            </w:r>
          </w:p>
        </w:tc>
        <w:tc>
          <w:tcPr>
            <w:tcW w:w="90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3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推动旅游业发展</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利用良好环境带动经济效益</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营造环境</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营造良好人居环境</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良好</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美化城市，展现旅游城市良好的生态环境</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3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增强城市载体功能</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维持可持续发展</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城市居民满意度</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(10分)</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27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460" w:hRule="atLeast"/>
        </w:trPr>
        <w:tc>
          <w:tcPr>
            <w:tcW w:w="9076"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460" w:hRule="atLeast"/>
        </w:trPr>
        <w:tc>
          <w:tcPr>
            <w:tcW w:w="9076"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460" w:hRule="atLeast"/>
        </w:trPr>
        <w:tc>
          <w:tcPr>
            <w:tcW w:w="9076"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 w:type="dxa"/>
          <w:trHeight w:val="405" w:hRule="atLeast"/>
        </w:trPr>
        <w:tc>
          <w:tcPr>
            <w:tcW w:w="9076" w:type="dxa"/>
            <w:gridSpan w:val="1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城乡垃圾处置及清运经费</w:t>
            </w:r>
          </w:p>
        </w:tc>
        <w:tc>
          <w:tcPr>
            <w:tcW w:w="1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项目负责人及电话</w:t>
            </w:r>
          </w:p>
        </w:tc>
        <w:tc>
          <w:tcPr>
            <w:tcW w:w="2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何军 13808123207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剑阁县综合行政执法局</w:t>
            </w:r>
          </w:p>
        </w:tc>
        <w:tc>
          <w:tcPr>
            <w:tcW w:w="1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剑阁县环境卫生事务中心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其中：中央、省、市财政资金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县级财政资金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年初设定目标</w:t>
            </w:r>
          </w:p>
        </w:tc>
        <w:tc>
          <w:tcPr>
            <w:tcW w:w="41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保障城市中生活垃圾、餐厨垃圾的清运、处理工作正常运转，及时清理新老县城的生活垃圾，集中运输到广元进行处理，提升新老县城人居环境卫生。</w:t>
            </w:r>
          </w:p>
        </w:tc>
        <w:tc>
          <w:tcPr>
            <w:tcW w:w="41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总体目标完成情况较好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实际值</w:t>
            </w: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压缩垃圾转运站（往广元运输）</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新老县城各1座</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新老县城各1座</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环卫车辆数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39辆</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39辆</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垃圾无害化处理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垃圾处理完成时间</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日产日清</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垃圾处理成本</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100万元</w:t>
            </w: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提升旅游城市形象，优化经济发展环境。</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提升旅游经济收入</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提升居民幸福感，改善人居环境</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生活环境卫生质量提升</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参与城市市容管理</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提升城市环境质量</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加快无害化处理，保护生态环境</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提升环卫工作影响</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巩固提升卫生县城成果</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城市居民满意度</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(10分)</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pStyle w:val="2"/>
        <w:rPr>
          <w:rStyle w:val="30"/>
          <w:rFonts w:hint="eastAsia" w:ascii="黑体" w:hAnsi="黑体" w:eastAsia="黑体"/>
          <w:b w:val="0"/>
        </w:rPr>
      </w:pPr>
    </w:p>
    <w:tbl>
      <w:tblPr>
        <w:tblStyle w:val="18"/>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645"/>
        <w:gridCol w:w="15"/>
        <w:gridCol w:w="862"/>
        <w:gridCol w:w="1987"/>
        <w:gridCol w:w="280"/>
        <w:gridCol w:w="713"/>
        <w:gridCol w:w="1025"/>
        <w:gridCol w:w="900"/>
        <w:gridCol w:w="533"/>
        <w:gridCol w:w="1080"/>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城市环境卫生维护运转费</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项目负责人及电话</w:t>
            </w: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何军 13808123207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剑阁县综合行政执法局</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剑阁县环境卫生事务中心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63.2</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其中：中央、省、市财政资金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县级财政资金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63.2</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年初设定目标</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保障新老县城环境卫生正常维护，建立良好的城市形象，给群众带来舒适的生活、工作环境。</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总体目标完成情况较好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卫生区域</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县城区、普安镇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干净卫生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普安镇、县城区干净卫生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完成年度</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2022年12月底之前</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本着节约原则，严格控制成本</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63.2万元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63.2万元</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提升旅游城市形象，优化经济发展环境。</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提升旅游收入</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2021年全面完成</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提升居民幸福感，改善人居环境</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营造良好人居环境</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提升环境质量</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卫生县城</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巩固提升卫生县城成果</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城市居民满意度</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(10分)</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路灯电费、维修维护费</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项目负责人及电话</w:t>
            </w: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何军 13808123207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剑阁县综合行政执法局</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剑阁县环境卫生事务中心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其中：中央、省、市财政资金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县级财政资金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年初设定目标</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保障新老县城城市照明、光亮正常运行，保障夜间人员、车辆出行安全，提升城市形象。</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总体目标完成情况较好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新老县城路灯</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≥3千余盏</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≥3千余盏及光亮设施</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路灯、光亮维护</w:t>
            </w: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维护消耗材料</w:t>
            </w:r>
          </w:p>
        </w:tc>
        <w:tc>
          <w:tcPr>
            <w:tcW w:w="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新老县城显示屏</w:t>
            </w: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5座</w:t>
            </w:r>
          </w:p>
        </w:tc>
        <w:tc>
          <w:tcPr>
            <w:tcW w:w="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5座</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城市照明率，路灯、光亮维修质量</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及时发现、排查、维修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2022年12月底前</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成本投入</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221万元</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完善路灯等基础设施，提供良好照明，提升经济水平</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提升旅游、经济发展</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提升旅游、经济发展</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市容市貌整洁明亮</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保障人、财安全，提升城市形象</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丰富城市风貌</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提升环境质量</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良好的环境卫生为我县经济可持续发展提供了良好的软环境。</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提升城市形象</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提升城市形象</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城市居民满意度</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(10分)</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pStyle w:val="4"/>
        <w:rPr>
          <w:rStyle w:val="30"/>
          <w:rFonts w:hint="eastAsia" w:ascii="黑体" w:hAnsi="黑体" w:eastAsia="黑体"/>
          <w:b w:val="0"/>
        </w:rPr>
      </w:pPr>
    </w:p>
    <w:p>
      <w:pPr>
        <w:pStyle w:val="4"/>
        <w:rPr>
          <w:rStyle w:val="30"/>
          <w:rFonts w:hint="eastAsia" w:ascii="黑体" w:hAnsi="黑体" w:eastAsia="黑体"/>
          <w:b w:val="0"/>
        </w:rPr>
      </w:pPr>
    </w:p>
    <w:tbl>
      <w:tblPr>
        <w:tblStyle w:val="18"/>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645"/>
        <w:gridCol w:w="15"/>
        <w:gridCol w:w="862"/>
        <w:gridCol w:w="1987"/>
        <w:gridCol w:w="280"/>
        <w:gridCol w:w="713"/>
        <w:gridCol w:w="1025"/>
        <w:gridCol w:w="900"/>
        <w:gridCol w:w="533"/>
        <w:gridCol w:w="1080"/>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新老垃圾场及渗滤液系统运转经费</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项目负责人及电话</w:t>
            </w: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何军 13808123207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剑阁县综合行政执法局</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剑阁县环境卫生事务中心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其中：中央、省、市财政资金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县级财政资金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年初设定目标</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垃圾场渗滤液运转系统主要解决垃圾场因降雨、地下水浸入及垃圾压实发酵产生的污水进行净化处理，达到环保标准排放，减少对周边环境、植被、人畜的伤害。</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总体目标完成情况较好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产出指标（50分）</w:t>
            </w:r>
          </w:p>
        </w:tc>
        <w:tc>
          <w:tcPr>
            <w:tcW w:w="877"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渗滤液处理站</w:t>
            </w:r>
          </w:p>
        </w:tc>
        <w:tc>
          <w:tcPr>
            <w:tcW w:w="7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2座</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2座</w:t>
            </w:r>
          </w:p>
        </w:tc>
        <w:tc>
          <w:tcPr>
            <w:tcW w:w="53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环保达标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排放水质达到国家环保要求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2022年12月底之前</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成本控制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10万元</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提升生活环境水平</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提升环境卫生质量</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环境卫生质量提高</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提升城市环境质量，无害化处理垃圾。</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实现生态保护，人居环境无害化</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良好的环境卫生为我县经济可持续发展提供了良好的软环境。</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提升城市形象</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提升城市形象</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城市居民满意度</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(10分)</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餐厨垃圾处理服务费</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项目负责人及电话</w:t>
            </w: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何军 13808123207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剑阁县综合行政执法局</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剑阁县环境卫生事务中心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44.59</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其中：中央、省、市财政资金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县级财政资金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44.59</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年初设定目标</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目标1：保证餐厨垃圾及时处理，做到日产日清，全程密闭化运输。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目标2：建立覆盖主城区餐饮单位餐厨垃圾收运网络。</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目标1完成情况：及时处理市区餐厨垃圾，做到了日产日清，实行密闭化运输。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目标2完成情况：建立了覆盖主城区餐饮单位餐厨垃圾收运网络。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产出指标（50分）</w:t>
            </w:r>
          </w:p>
        </w:tc>
        <w:tc>
          <w:tcPr>
            <w:tcW w:w="877"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餐厨垃圾转运量</w:t>
            </w:r>
          </w:p>
        </w:tc>
        <w:tc>
          <w:tcPr>
            <w:tcW w:w="7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2515吨</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2550吨</w:t>
            </w:r>
          </w:p>
        </w:tc>
        <w:tc>
          <w:tcPr>
            <w:tcW w:w="53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餐厨垃圾保洁质量</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良好</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良好</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餐厨垃圾中转站处理情况</w:t>
            </w: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良好</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良好</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餐厨垃圾处置情况</w:t>
            </w: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良好</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良好</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餐厨垃圾处理及时性 </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成本控制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50万元</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工作人员劳动生产率</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有所提升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有所提升</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带动就业增长率</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有所提升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有所提升</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空气质量优良率</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有所提升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有所提升</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良好的环境卫生为我县经济可持续发展提供了良好的软环境。</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有所提升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有所提升</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城市居民满意度</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(10分)</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城乡垃圾处置及清运经费</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项目负责人及电话</w:t>
            </w: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何军 13808123207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剑阁县综合行政执法局</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剑阁县环境卫生事务中心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其中：中央、省、市财政资金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县级财政资金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年初设定目标</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保障新老县城公厕正常使用，改善公厕环境卫生，提高公厕服务质量。</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总体目标完成情况较好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公厕数量</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普安8座，下寺17座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公厕经费用途范围</w:t>
            </w: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公厕冲洗水费、电费，设施维护费。公厕标识标牌制作，部分公厕周边绿化补植。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公厕运行保障</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洁厕用品</w:t>
            </w: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洁厕剂、拖把等用品</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确保公厕正常使用率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2022年12月底之前</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项目运行成本</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5万元</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财政追减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加强基础设施建设，提升旅游城市形象，优化经济发展环境。</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提升旅游收入</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2022年全面完成</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解决入厕难问题</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营造良好人居环境</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入厕环境改善</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提升城市环境质量</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有效推动</w:t>
            </w:r>
            <w:r>
              <w:rPr>
                <w:rFonts w:hint="default" w:ascii="宋体" w:hAnsi="宋体" w:cs="宋体"/>
                <w:i w:val="0"/>
                <w:iCs w:val="0"/>
                <w:color w:val="000000"/>
                <w:kern w:val="0"/>
                <w:sz w:val="16"/>
                <w:szCs w:val="16"/>
                <w:u w:val="none"/>
                <w:lang w:val="en" w:eastAsia="zh-CN" w:bidi="ar"/>
              </w:rPr>
              <w:t>厕所革命</w:t>
            </w:r>
            <w:r>
              <w:rPr>
                <w:rFonts w:hint="eastAsia" w:ascii="宋体" w:hAnsi="宋体" w:eastAsia="宋体" w:cs="宋体"/>
                <w:i w:val="0"/>
                <w:iCs w:val="0"/>
                <w:color w:val="000000"/>
                <w:kern w:val="0"/>
                <w:sz w:val="16"/>
                <w:szCs w:val="16"/>
                <w:u w:val="none"/>
                <w:lang w:val="en-US" w:eastAsia="zh-CN" w:bidi="ar"/>
              </w:rPr>
              <w:t>，打造人性化第三卫生间</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巩固提升卫生县城成果</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(10分)</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环卫作业工具、劳保用品、环卫服装和防暑药品</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项目负责人及电话</w:t>
            </w: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何军 13808123207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剑阁县综合行政执法局</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剑阁县环境卫生事务中心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其中：中央、省、市财政资金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县级财政资金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年初设定目标</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为环卫工人提供后勤保障，确保环卫工人工作正常运行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总体目标完成情况较好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发放率</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采购质量合格的清扫作业工具、劳保用品、环卫服装、防暑药品等产品</w:t>
            </w: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项目运行成本</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10万元</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加强基础设施建设，提升旅游城市形象，优化经济发展环境。</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提升旅游收入</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2022年全面完成</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提升城市环境质量</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环卫工人满意度</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pStyle w:val="4"/>
        <w:rPr>
          <w:rStyle w:val="30"/>
          <w:rFonts w:hint="eastAsia" w:ascii="黑体" w:hAnsi="黑体" w:eastAsia="黑体"/>
          <w:b w:val="0"/>
        </w:rPr>
      </w:pPr>
    </w:p>
    <w:tbl>
      <w:tblPr>
        <w:tblStyle w:val="18"/>
        <w:tblW w:w="9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645"/>
        <w:gridCol w:w="15"/>
        <w:gridCol w:w="861"/>
        <w:gridCol w:w="1983"/>
        <w:gridCol w:w="279"/>
        <w:gridCol w:w="713"/>
        <w:gridCol w:w="1023"/>
        <w:gridCol w:w="899"/>
        <w:gridCol w:w="533"/>
        <w:gridCol w:w="1078"/>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环卫工人保险</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项目负责人及电话</w:t>
            </w: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何军 13808123207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剑阁县综合行政执法局</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剑阁县环境卫生事务中心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其中：中央、省、市财政资金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县级财政资金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年初设定目标</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确保新老县城环卫工人各种保险得到保障</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总体目标完成情况较好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产出指标（50分）</w:t>
            </w:r>
          </w:p>
        </w:tc>
        <w:tc>
          <w:tcPr>
            <w:tcW w:w="877"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参保率</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符合参保条件纳入参保对象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10万元</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加强基础设施建设，提升旅游城市形象，优化经济发展环境。</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提升旅游收入</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2022年全面完成</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提升城市环境质量</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满意度指标（10分）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环卫工人满意度</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4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pStyle w:val="4"/>
        <w:rPr>
          <w:rStyle w:val="30"/>
          <w:rFonts w:hint="eastAsia" w:ascii="黑体" w:hAnsi="黑体" w:eastAsia="黑体"/>
          <w:b w:val="0"/>
        </w:rPr>
      </w:pPr>
    </w:p>
    <w:p>
      <w:pPr>
        <w:pStyle w:val="4"/>
        <w:rPr>
          <w:rStyle w:val="30"/>
          <w:rFonts w:hint="eastAsia" w:ascii="黑体" w:hAnsi="黑体" w:eastAsia="黑体"/>
          <w:b w:val="0"/>
        </w:rPr>
      </w:pPr>
    </w:p>
    <w:p>
      <w:pPr>
        <w:pStyle w:val="4"/>
        <w:rPr>
          <w:rStyle w:val="30"/>
          <w:rFonts w:hint="eastAsia" w:ascii="黑体" w:hAnsi="黑体" w:eastAsia="黑体"/>
          <w:b w:val="0"/>
        </w:rPr>
      </w:pPr>
    </w:p>
    <w:p>
      <w:pPr>
        <w:pStyle w:val="4"/>
        <w:rPr>
          <w:rStyle w:val="30"/>
          <w:rFonts w:hint="eastAsia" w:ascii="黑体" w:hAnsi="黑体" w:eastAsia="黑体"/>
          <w:b w:val="0"/>
        </w:rPr>
      </w:pPr>
    </w:p>
    <w:p>
      <w:pPr>
        <w:pStyle w:val="4"/>
        <w:rPr>
          <w:rStyle w:val="30"/>
          <w:rFonts w:hint="eastAsia" w:ascii="黑体" w:hAnsi="黑体" w:eastAsia="黑体"/>
          <w:b w:val="0"/>
        </w:rPr>
      </w:pPr>
    </w:p>
    <w:p>
      <w:pPr>
        <w:pStyle w:val="4"/>
        <w:rPr>
          <w:rStyle w:val="30"/>
          <w:rFonts w:hint="eastAsia" w:ascii="黑体" w:hAnsi="黑体" w:eastAsia="黑体"/>
          <w:b w:val="0"/>
        </w:rPr>
      </w:pPr>
    </w:p>
    <w:p>
      <w:pPr>
        <w:pStyle w:val="4"/>
        <w:rPr>
          <w:rStyle w:val="30"/>
          <w:rFonts w:hint="eastAsia" w:ascii="黑体" w:hAnsi="黑体" w:eastAsia="黑体"/>
          <w:b w:val="0"/>
        </w:rPr>
      </w:pPr>
    </w:p>
    <w:bookmarkEnd w:id="55"/>
    <w:p>
      <w:pPr>
        <w:spacing w:line="600" w:lineRule="exact"/>
        <w:jc w:val="center"/>
        <w:outlineLvl w:val="0"/>
        <w:rPr>
          <w:rStyle w:val="30"/>
          <w:rFonts w:hint="eastAsia" w:ascii="黑体" w:hAnsi="黑体" w:eastAsia="黑体"/>
          <w:b w:val="0"/>
        </w:rPr>
      </w:pPr>
      <w:r>
        <w:rPr>
          <w:rFonts w:hint="eastAsia" w:ascii="黑体" w:hAnsi="黑体" w:eastAsia="黑体"/>
          <w:sz w:val="44"/>
          <w:szCs w:val="44"/>
        </w:rPr>
        <w:t>第</w:t>
      </w:r>
      <w:r>
        <w:rPr>
          <w:rStyle w:val="30"/>
          <w:rFonts w:hint="eastAsia" w:ascii="黑体" w:hAnsi="黑体" w:eastAsia="黑体"/>
          <w:b w:val="0"/>
        </w:rPr>
        <w:t>五部分 附表</w:t>
      </w:r>
    </w:p>
    <w:p>
      <w:pPr>
        <w:pStyle w:val="2"/>
      </w:pPr>
    </w:p>
    <w:p>
      <w:pPr>
        <w:pStyle w:val="7"/>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p>
    <w:p>
      <w:pPr>
        <w:pStyle w:val="7"/>
        <w:rPr>
          <w:rFonts w:ascii="仿宋" w:hAnsi="仿宋" w:eastAsia="仿宋"/>
        </w:rPr>
      </w:pPr>
      <w:bookmarkStart w:id="57" w:name="_Toc15396620"/>
      <w:r>
        <w:rPr>
          <w:rFonts w:hint="eastAsia" w:ascii="仿宋" w:hAnsi="仿宋" w:eastAsia="仿宋"/>
          <w:b w:val="0"/>
        </w:rPr>
        <w:t>二、收</w:t>
      </w:r>
      <w:r>
        <w:rPr>
          <w:rStyle w:val="31"/>
          <w:rFonts w:hint="eastAsia" w:ascii="仿宋" w:hAnsi="仿宋" w:eastAsia="仿宋"/>
          <w:b w:val="0"/>
          <w:bCs w:val="0"/>
        </w:rPr>
        <w:t>入决算表</w:t>
      </w:r>
      <w:bookmarkEnd w:id="57"/>
    </w:p>
    <w:p>
      <w:pPr>
        <w:pStyle w:val="7"/>
        <w:rPr>
          <w:rFonts w:ascii="仿宋" w:hAnsi="仿宋" w:eastAsia="仿宋"/>
        </w:rPr>
      </w:pPr>
      <w:bookmarkStart w:id="58"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58"/>
    </w:p>
    <w:p>
      <w:pPr>
        <w:pStyle w:val="7"/>
        <w:rPr>
          <w:rFonts w:ascii="仿宋" w:hAnsi="仿宋" w:eastAsia="仿宋"/>
          <w:b w:val="0"/>
        </w:rPr>
      </w:pPr>
      <w:bookmarkStart w:id="59"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59"/>
    </w:p>
    <w:p>
      <w:pPr>
        <w:pStyle w:val="7"/>
        <w:rPr>
          <w:rStyle w:val="31"/>
          <w:rFonts w:ascii="仿宋" w:hAnsi="仿宋" w:eastAsia="仿宋"/>
          <w:b w:val="0"/>
          <w:bCs w:val="0"/>
        </w:rPr>
      </w:pPr>
      <w:bookmarkStart w:id="60"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60"/>
      <w:bookmarkStart w:id="61" w:name="_Toc15396624"/>
    </w:p>
    <w:p>
      <w:pPr>
        <w:pStyle w:val="7"/>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61"/>
    </w:p>
    <w:p>
      <w:pPr>
        <w:pStyle w:val="7"/>
        <w:rPr>
          <w:rFonts w:ascii="仿宋" w:hAnsi="仿宋" w:eastAsia="仿宋"/>
        </w:rPr>
      </w:pPr>
      <w:bookmarkStart w:id="62"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62"/>
    </w:p>
    <w:p>
      <w:pPr>
        <w:pStyle w:val="7"/>
        <w:rPr>
          <w:rFonts w:ascii="仿宋" w:hAnsi="仿宋" w:eastAsia="仿宋"/>
        </w:rPr>
      </w:pPr>
      <w:bookmarkStart w:id="63"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63"/>
    </w:p>
    <w:p>
      <w:pPr>
        <w:pStyle w:val="7"/>
        <w:rPr>
          <w:rFonts w:ascii="仿宋" w:hAnsi="仿宋" w:eastAsia="仿宋"/>
        </w:rPr>
      </w:pPr>
      <w:bookmarkStart w:id="64"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64"/>
    </w:p>
    <w:p>
      <w:pPr>
        <w:pStyle w:val="7"/>
        <w:rPr>
          <w:rFonts w:ascii="仿宋" w:hAnsi="仿宋" w:eastAsia="仿宋"/>
        </w:rPr>
      </w:pPr>
      <w:bookmarkStart w:id="65" w:name="_Toc15396628"/>
      <w:r>
        <w:rPr>
          <w:rStyle w:val="31"/>
          <w:rFonts w:hint="eastAsia" w:ascii="仿宋" w:hAnsi="仿宋" w:eastAsia="仿宋"/>
          <w:b w:val="0"/>
          <w:bCs w:val="0"/>
        </w:rPr>
        <w:t>十、</w:t>
      </w:r>
      <w:bookmarkEnd w:id="65"/>
      <w:r>
        <w:rPr>
          <w:rFonts w:hint="eastAsia" w:ascii="仿宋" w:hAnsi="仿宋" w:eastAsia="仿宋"/>
          <w:b w:val="0"/>
        </w:rPr>
        <w:t>政</w:t>
      </w:r>
      <w:r>
        <w:rPr>
          <w:rStyle w:val="31"/>
          <w:rFonts w:hint="eastAsia" w:ascii="仿宋" w:hAnsi="仿宋" w:eastAsia="仿宋"/>
          <w:b w:val="0"/>
          <w:bCs w:val="0"/>
        </w:rPr>
        <w:t>府性基金预算财政拨款收入支出决算表</w:t>
      </w:r>
    </w:p>
    <w:p>
      <w:pPr>
        <w:pStyle w:val="7"/>
        <w:rPr>
          <w:rFonts w:ascii="仿宋" w:hAnsi="仿宋" w:eastAsia="仿宋"/>
        </w:rPr>
      </w:pPr>
      <w:bookmarkStart w:id="66" w:name="_Toc15396629"/>
      <w:r>
        <w:rPr>
          <w:rStyle w:val="31"/>
          <w:rFonts w:hint="eastAsia" w:ascii="仿宋" w:hAnsi="仿宋" w:eastAsia="仿宋"/>
          <w:b w:val="0"/>
          <w:bCs w:val="0"/>
        </w:rPr>
        <w:t>十一、</w:t>
      </w:r>
      <w:bookmarkEnd w:id="66"/>
      <w:r>
        <w:rPr>
          <w:rFonts w:hint="eastAsia" w:ascii="仿宋" w:hAnsi="仿宋" w:eastAsia="仿宋"/>
          <w:b w:val="0"/>
        </w:rPr>
        <w:t>国</w:t>
      </w:r>
      <w:r>
        <w:rPr>
          <w:rStyle w:val="31"/>
          <w:rFonts w:hint="eastAsia" w:ascii="仿宋" w:hAnsi="仿宋" w:eastAsia="仿宋"/>
          <w:b w:val="0"/>
          <w:bCs w:val="0"/>
        </w:rPr>
        <w:t>有资本经营预算财政拨款收入支出决算表</w:t>
      </w:r>
    </w:p>
    <w:p>
      <w:pPr>
        <w:pStyle w:val="7"/>
        <w:rPr>
          <w:rFonts w:ascii="仿宋" w:hAnsi="仿宋" w:eastAsia="仿宋"/>
        </w:rPr>
      </w:pPr>
      <w:bookmarkStart w:id="67" w:name="_Toc15396630"/>
      <w:r>
        <w:rPr>
          <w:rStyle w:val="31"/>
          <w:rFonts w:hint="eastAsia" w:ascii="仿宋" w:hAnsi="仿宋" w:eastAsia="仿宋"/>
          <w:b w:val="0"/>
          <w:bCs w:val="0"/>
        </w:rPr>
        <w:t>十二、</w:t>
      </w:r>
      <w:bookmarkEnd w:id="67"/>
      <w:r>
        <w:rPr>
          <w:rStyle w:val="31"/>
          <w:rFonts w:hint="eastAsia" w:ascii="仿宋" w:hAnsi="仿宋" w:eastAsia="仿宋"/>
          <w:b w:val="0"/>
          <w:bCs w:val="0"/>
        </w:rPr>
        <w:t>国有资本经营预算财政拨款支出决算表</w:t>
      </w:r>
    </w:p>
    <w:p>
      <w:pPr>
        <w:pStyle w:val="7"/>
        <w:rPr>
          <w:rFonts w:eastAsia="仿宋"/>
        </w:rPr>
      </w:pPr>
      <w:bookmarkStart w:id="68" w:name="_Toc15396631"/>
      <w:r>
        <w:rPr>
          <w:rStyle w:val="31"/>
          <w:rFonts w:hint="eastAsia" w:ascii="仿宋" w:hAnsi="仿宋" w:eastAsia="仿宋"/>
          <w:b w:val="0"/>
          <w:bCs w:val="0"/>
        </w:rPr>
        <w:t>十三、</w:t>
      </w:r>
      <w:bookmarkEnd w:id="68"/>
      <w:r>
        <w:rPr>
          <w:rStyle w:val="31"/>
          <w:rFonts w:hint="eastAsia" w:ascii="仿宋" w:hAnsi="仿宋" w:eastAsia="仿宋"/>
          <w:b w:val="0"/>
          <w:bCs w:val="0"/>
        </w:rPr>
        <w:t>财政拨款“三公”经费支出决算表</w:t>
      </w:r>
    </w:p>
    <w:p>
      <w:pPr>
        <w:pStyle w:val="7"/>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M2EwZjhkNGRiYjUxZmExMGQxZjU5NjlhY2VkNTY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0BCB7D33"/>
    <w:rsid w:val="0D197F67"/>
    <w:rsid w:val="10C055FF"/>
    <w:rsid w:val="118107EC"/>
    <w:rsid w:val="11DD6519"/>
    <w:rsid w:val="16BB723D"/>
    <w:rsid w:val="18015F3F"/>
    <w:rsid w:val="1BE8440E"/>
    <w:rsid w:val="1D155CEE"/>
    <w:rsid w:val="20F57F95"/>
    <w:rsid w:val="240371BF"/>
    <w:rsid w:val="25711CC6"/>
    <w:rsid w:val="25C741E6"/>
    <w:rsid w:val="27842671"/>
    <w:rsid w:val="284A37C5"/>
    <w:rsid w:val="29FD04D3"/>
    <w:rsid w:val="2ABE7A3E"/>
    <w:rsid w:val="2CA234A8"/>
    <w:rsid w:val="2CFC3310"/>
    <w:rsid w:val="2EFA178C"/>
    <w:rsid w:val="30B46D73"/>
    <w:rsid w:val="319F7F4E"/>
    <w:rsid w:val="383D272C"/>
    <w:rsid w:val="39AE70AB"/>
    <w:rsid w:val="3ABF744B"/>
    <w:rsid w:val="3C0C0783"/>
    <w:rsid w:val="3D004E2F"/>
    <w:rsid w:val="3F9F3A96"/>
    <w:rsid w:val="48BF60AB"/>
    <w:rsid w:val="493C27E9"/>
    <w:rsid w:val="496F39ED"/>
    <w:rsid w:val="49FF41D3"/>
    <w:rsid w:val="4BE068DB"/>
    <w:rsid w:val="4BF6002B"/>
    <w:rsid w:val="4ECE2238"/>
    <w:rsid w:val="4EFA204F"/>
    <w:rsid w:val="51DB4B86"/>
    <w:rsid w:val="53E16F0A"/>
    <w:rsid w:val="55333C3E"/>
    <w:rsid w:val="55410A90"/>
    <w:rsid w:val="56AB6FEB"/>
    <w:rsid w:val="58420BAE"/>
    <w:rsid w:val="600339F4"/>
    <w:rsid w:val="64CA39A1"/>
    <w:rsid w:val="69630ADE"/>
    <w:rsid w:val="6C4A05C8"/>
    <w:rsid w:val="6D3B1A89"/>
    <w:rsid w:val="71BF4EC2"/>
    <w:rsid w:val="72734D90"/>
    <w:rsid w:val="7412278C"/>
    <w:rsid w:val="7833FDA2"/>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ody Text First Indent"/>
    <w:basedOn w:val="5"/>
    <w:qFormat/>
    <w:uiPriority w:val="0"/>
    <w:pPr>
      <w:ind w:firstLine="420" w:firstLineChars="100"/>
    </w:pPr>
  </w:style>
  <w:style w:type="paragraph" w:styleId="5">
    <w:name w:val="Body Text"/>
    <w:basedOn w:val="1"/>
    <w:link w:val="27"/>
    <w:qFormat/>
    <w:uiPriority w:val="99"/>
    <w:pPr>
      <w:spacing w:beforeLines="30"/>
    </w:pPr>
    <w:rPr>
      <w:rFonts w:ascii="仿宋_GB2312" w:eastAsia="仿宋_GB2312"/>
      <w:kern w:val="0"/>
      <w:sz w:val="30"/>
    </w:rPr>
  </w:style>
  <w:style w:type="paragraph" w:styleId="9">
    <w:name w:val="Salutation"/>
    <w:basedOn w:val="1"/>
    <w:next w:val="1"/>
    <w:unhideWhenUsed/>
    <w:qFormat/>
    <w:uiPriority w:val="99"/>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qFormat/>
    <w:uiPriority w:val="99"/>
    <w:rPr>
      <w:rFonts w:ascii="宋体" w:hAnsi="Courier New" w:eastAsia="仿宋_GB2312" w:cs="Courier New"/>
      <w:b/>
      <w:sz w:val="32"/>
      <w:szCs w:val="21"/>
    </w:rPr>
  </w:style>
  <w:style w:type="paragraph" w:styleId="12">
    <w:name w:val="Balloon Text"/>
    <w:basedOn w:val="1"/>
    <w:link w:val="33"/>
    <w:semiHidden/>
    <w:unhideWhenUsed/>
    <w:qFormat/>
    <w:uiPriority w:val="99"/>
    <w:rPr>
      <w:sz w:val="18"/>
      <w:szCs w:val="18"/>
    </w:rPr>
  </w:style>
  <w:style w:type="paragraph" w:styleId="13">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字符"/>
    <w:link w:val="14"/>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字符"/>
    <w:link w:val="13"/>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字符"/>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9"/>
    <w:link w:val="6"/>
    <w:qFormat/>
    <w:uiPriority w:val="9"/>
    <w:rPr>
      <w:rFonts w:ascii="Times New Roman" w:hAnsi="Times New Roman"/>
      <w:b/>
      <w:bCs/>
      <w:kern w:val="44"/>
      <w:sz w:val="44"/>
      <w:szCs w:val="44"/>
    </w:rPr>
  </w:style>
  <w:style w:type="character" w:customStyle="1" w:styleId="31">
    <w:name w:val="标题 2 字符"/>
    <w:basedOn w:val="19"/>
    <w:link w:val="7"/>
    <w:qFormat/>
    <w:uiPriority w:val="9"/>
    <w:rPr>
      <w:rFonts w:asciiTheme="majorHAnsi" w:hAnsiTheme="majorHAnsi" w:eastAsiaTheme="majorEastAsia" w:cstheme="majorBidi"/>
      <w:b/>
      <w:bCs/>
      <w:kern w:val="2"/>
      <w:sz w:val="32"/>
      <w:szCs w:val="32"/>
    </w:rPr>
  </w:style>
  <w:style w:type="paragraph" w:customStyle="1" w:styleId="32">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9"/>
    <w:link w:val="12"/>
    <w:semiHidden/>
    <w:qFormat/>
    <w:uiPriority w:val="99"/>
    <w:rPr>
      <w:rFonts w:ascii="Times New Roman" w:hAnsi="Times New Roman"/>
      <w:kern w:val="2"/>
      <w:sz w:val="18"/>
      <w:szCs w:val="18"/>
    </w:rPr>
  </w:style>
  <w:style w:type="character" w:customStyle="1" w:styleId="34">
    <w:name w:val="标题 3 字符"/>
    <w:basedOn w:val="19"/>
    <w:link w:val="8"/>
    <w:qFormat/>
    <w:uiPriority w:val="9"/>
    <w:rPr>
      <w:rFonts w:ascii="Times New Roman" w:hAnsi="Times New Roman"/>
      <w:b/>
      <w:bCs/>
      <w:kern w:val="2"/>
      <w:sz w:val="32"/>
      <w:szCs w:val="32"/>
    </w:rPr>
  </w:style>
  <w:style w:type="paragraph" w:customStyle="1" w:styleId="35">
    <w:name w:val="TOC 标题2"/>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p0"/>
    <w:basedOn w:val="1"/>
    <w:qFormat/>
    <w:uiPriority w:val="0"/>
    <w:pPr>
      <w:widowControl/>
    </w:pPr>
    <w:rPr>
      <w:rFonts w:ascii="Calibri" w:hAnsi="Calibri"/>
      <w:kern w:val="0"/>
      <w:szCs w:val="21"/>
    </w:rPr>
  </w:style>
  <w:style w:type="paragraph" w:customStyle="1" w:styleId="37">
    <w:name w:val="Heading #3|1"/>
    <w:basedOn w:val="1"/>
    <w:qFormat/>
    <w:uiPriority w:val="0"/>
    <w:pPr>
      <w:spacing w:after="90"/>
      <w:outlineLvl w:val="2"/>
    </w:pPr>
    <w:rPr>
      <w:rFonts w:ascii="宋体" w:hAnsi="宋体" w:eastAsia="宋体" w:cs="宋体"/>
      <w:sz w:val="32"/>
      <w:szCs w:val="32"/>
      <w:lang w:val="zh-TW" w:eastAsia="zh-TW" w:bidi="zh-TW"/>
    </w:rPr>
  </w:style>
  <w:style w:type="paragraph" w:customStyle="1" w:styleId="38">
    <w:name w:val="Heading #4|1"/>
    <w:basedOn w:val="1"/>
    <w:qFormat/>
    <w:uiPriority w:val="0"/>
    <w:pPr>
      <w:spacing w:line="604" w:lineRule="exact"/>
      <w:ind w:firstLine="720"/>
      <w:outlineLvl w:val="3"/>
    </w:pPr>
    <w:rPr>
      <w:rFonts w:ascii="宋体" w:hAnsi="宋体" w:eastAsia="宋体" w:cs="宋体"/>
      <w:b/>
      <w:bCs/>
      <w:sz w:val="30"/>
      <w:szCs w:val="30"/>
      <w:lang w:val="zh-TW" w:eastAsia="zh-TW" w:bidi="zh-TW"/>
    </w:rPr>
  </w:style>
  <w:style w:type="paragraph" w:customStyle="1" w:styleId="39">
    <w:name w:val="Body text|1"/>
    <w:basedOn w:val="1"/>
    <w:qFormat/>
    <w:uiPriority w:val="0"/>
    <w:pPr>
      <w:spacing w:line="425" w:lineRule="auto"/>
      <w:ind w:firstLine="400"/>
    </w:pPr>
    <w:rPr>
      <w:rFonts w:ascii="宋体" w:hAnsi="宋体" w:eastAsia="宋体" w:cs="宋体"/>
      <w:sz w:val="30"/>
      <w:szCs w:val="30"/>
      <w:lang w:val="zh-TW" w:eastAsia="zh-TW" w:bidi="zh-TW"/>
    </w:rPr>
  </w:style>
  <w:style w:type="paragraph" w:customStyle="1" w:styleId="40">
    <w:name w:val="Header or footer|1"/>
    <w:basedOn w:val="1"/>
    <w:qFormat/>
    <w:uiPriority w:val="0"/>
    <w:rPr>
      <w:sz w:val="17"/>
      <w:szCs w:val="17"/>
      <w:lang w:val="zh-TW" w:eastAsia="zh-TW" w:bidi="zh-TW"/>
    </w:rPr>
  </w:style>
  <w:style w:type="character" w:customStyle="1" w:styleId="41">
    <w:name w:val="font81"/>
    <w:basedOn w:val="19"/>
    <w:qFormat/>
    <w:uiPriority w:val="0"/>
    <w:rPr>
      <w:rFonts w:ascii="Wingdings" w:hAnsi="Wingdings" w:cs="Wingdings"/>
      <w:color w:val="000000"/>
      <w:sz w:val="19"/>
      <w:szCs w:val="19"/>
      <w:u w:val="none"/>
    </w:rPr>
  </w:style>
  <w:style w:type="character" w:customStyle="1" w:styleId="42">
    <w:name w:val="font31"/>
    <w:basedOn w:val="19"/>
    <w:qFormat/>
    <w:uiPriority w:val="0"/>
    <w:rPr>
      <w:rFonts w:hint="eastAsia" w:ascii="宋体" w:hAnsi="宋体" w:eastAsia="宋体" w:cs="宋体"/>
      <w:color w:val="000000"/>
      <w:sz w:val="19"/>
      <w:szCs w:val="19"/>
      <w:u w:val="none"/>
    </w:rPr>
  </w:style>
  <w:style w:type="character" w:customStyle="1" w:styleId="43">
    <w:name w:val="NormalCharacter"/>
    <w:qFormat/>
    <w:uiPriority w:val="99"/>
  </w:style>
  <w:style w:type="character" w:customStyle="1" w:styleId="44">
    <w:name w:val="font91"/>
    <w:basedOn w:val="19"/>
    <w:qFormat/>
    <w:uiPriority w:val="0"/>
    <w:rPr>
      <w:rFonts w:hint="eastAsia" w:ascii="宋体" w:hAnsi="宋体" w:eastAsia="宋体" w:cs="宋体"/>
      <w:color w:val="000000"/>
      <w:sz w:val="19"/>
      <w:szCs w:val="19"/>
      <w:u w:val="none"/>
    </w:rPr>
  </w:style>
  <w:style w:type="character" w:customStyle="1" w:styleId="45">
    <w:name w:val="font101"/>
    <w:basedOn w:val="19"/>
    <w:qFormat/>
    <w:uiPriority w:val="0"/>
    <w:rPr>
      <w:rFonts w:ascii="Arial" w:hAnsi="Arial" w:cs="Arial"/>
      <w:color w:val="000000"/>
      <w:sz w:val="19"/>
      <w:szCs w:val="19"/>
      <w:u w:val="none"/>
    </w:rPr>
  </w:style>
  <w:style w:type="character" w:customStyle="1" w:styleId="46">
    <w:name w:val="font21"/>
    <w:basedOn w:val="19"/>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oleObject" Target="file:///F:\&#36130;&#25919;&#23616;&#25991;&#20214;\2022&#24180;&#20915;&#31639;&#32534;&#21046;\&#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收、支决算变动情况图</a:t>
            </a:r>
            <a:r>
              <a:rPr lang="en-US" altLang="zh-CN"/>
              <a:t>  </a:t>
            </a:r>
            <a:r>
              <a:rPr altLang="en-US"/>
              <a:t>（单位：万元）</a:t>
            </a:r>
            <a:endParaRPr altLang="en-US"/>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收入</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3684.95</c:v>
                </c:pt>
                <c:pt idx="1">
                  <c:v>3684.95</c:v>
                </c:pt>
              </c:numCache>
            </c:numRef>
          </c:val>
        </c:ser>
        <c:ser>
          <c:idx val="1"/>
          <c:order val="1"/>
          <c:tx>
            <c:strRef>
              <c:f>Sheet1!$C$1</c:f>
              <c:strCache>
                <c:ptCount val="1"/>
                <c:pt idx="0">
                  <c:v>支出</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Sheet1!$C$2:$C$3</c:f>
              <c:numCache>
                <c:formatCode>General</c:formatCode>
                <c:ptCount val="2"/>
                <c:pt idx="0">
                  <c:v>1503.13</c:v>
                </c:pt>
                <c:pt idx="1">
                  <c:v>1503.13</c:v>
                </c:pt>
              </c:numCache>
            </c:numRef>
          </c:val>
        </c:ser>
        <c:dLbls>
          <c:showLegendKey val="false"/>
          <c:showVal val="true"/>
          <c:showCatName val="false"/>
          <c:showSerName val="false"/>
          <c:showPercent val="false"/>
          <c:showBubbleSize val="false"/>
        </c:dLbls>
        <c:gapWidth val="246"/>
        <c:overlap val="-28"/>
        <c:axId val="813165605"/>
        <c:axId val="340425406"/>
      </c:barChart>
      <c:catAx>
        <c:axId val="813165605"/>
        <c:scaling>
          <c:orientation val="minMax"/>
        </c:scaling>
        <c:delete val="false"/>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40425406"/>
        <c:crosses val="autoZero"/>
        <c:auto val="true"/>
        <c:lblAlgn val="ctr"/>
        <c:lblOffset val="100"/>
        <c:noMultiLvlLbl val="false"/>
      </c:catAx>
      <c:valAx>
        <c:axId val="340425406"/>
        <c:scaling>
          <c:orientation val="minMax"/>
        </c:scaling>
        <c:delete val="false"/>
        <c:axPos val="l"/>
        <c:minorGridlines>
          <c:spPr>
            <a:ln w="9525" cap="flat" cmpd="sng" algn="ctr">
              <a:solidFill>
                <a:schemeClr val="tx1">
                  <a:lumMod val="5000"/>
                  <a:lumOff val="95000"/>
                </a:schemeClr>
              </a:solidFill>
              <a:round/>
            </a:ln>
            <a:effectLst/>
          </c:spPr>
        </c:minorGridlines>
        <c:numFmt formatCode="General"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13165605"/>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  （单位：万元）</a:t>
            </a:r>
          </a:p>
        </c:rich>
      </c:tx>
      <c:layout>
        <c:manualLayout>
          <c:xMode val="edge"/>
          <c:yMode val="edge"/>
          <c:x val="0.27452491011813"/>
          <c:y val="0.0105467665834027"/>
        </c:manualLayout>
      </c:layout>
      <c:overlay val="false"/>
      <c:spPr>
        <a:noFill/>
        <a:ln>
          <a:noFill/>
        </a:ln>
        <a:effectLst/>
      </c:spPr>
    </c:title>
    <c:autoTitleDeleted val="false"/>
    <c:plotArea>
      <c:layout/>
      <c:pieChart>
        <c:varyColors val="true"/>
        <c:ser>
          <c:idx val="0"/>
          <c:order val="0"/>
          <c:tx>
            <c:strRef>
              <c:f>Sheet1!$B$1</c:f>
              <c:strCache>
                <c:ptCount val="1"/>
                <c:pt idx="0">
                  <c:v>收入决算结构图  单位：万元</c:v>
                </c:pt>
              </c:strCache>
            </c:strRef>
          </c:tx>
          <c:spPr/>
          <c:explosion val="0"/>
          <c:dPt>
            <c:idx val="0"/>
            <c:bubble3D val="false"/>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一般公共预算拨款收入</c:v>
                </c:pt>
              </c:strCache>
            </c:strRef>
          </c:cat>
          <c:val>
            <c:numRef>
              <c:f>Sheet1!$B$2</c:f>
              <c:numCache>
                <c:formatCode>General</c:formatCode>
                <c:ptCount val="1"/>
                <c:pt idx="0">
                  <c:v>1461.15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3</a:t>
            </a:r>
            <a:r>
              <a:t>：支出决算结构图  （单位：元）</a:t>
            </a:r>
          </a:p>
        </c:rich>
      </c:tx>
      <c:layout/>
      <c:overlay val="false"/>
      <c:spPr>
        <a:noFill/>
        <a:ln>
          <a:noFill/>
        </a:ln>
        <a:effectLst/>
      </c:spPr>
    </c:title>
    <c:autoTitleDeleted val="false"/>
    <c:plotArea>
      <c:layout/>
      <c:pieChart>
        <c:varyColors val="true"/>
        <c:ser>
          <c:idx val="0"/>
          <c:order val="0"/>
          <c:tx>
            <c:strRef>
              <c:f>Sheet1!$B$1</c:f>
              <c:strCache>
                <c:ptCount val="1"/>
                <c:pt idx="0">
                  <c:v>支出决算结构图  （单位：元）</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671.23</c:v>
                </c:pt>
                <c:pt idx="1">
                  <c:v>831.9</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图4：财政拨款收、支决算总计变动情况                                    （单位：万元）</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3684.95</c:v>
                </c:pt>
                <c:pt idx="1">
                  <c:v>1503.13</c:v>
                </c:pt>
              </c:numCache>
            </c:numRef>
          </c:val>
        </c:ser>
        <c:dLbls>
          <c:showLegendKey val="false"/>
          <c:showVal val="true"/>
          <c:showCatName val="false"/>
          <c:showSerName val="false"/>
          <c:showPercent val="false"/>
          <c:showBubbleSize val="false"/>
        </c:dLbls>
        <c:gapWidth val="246"/>
        <c:overlap val="-28"/>
        <c:axId val="655814160"/>
        <c:axId val="659629856"/>
      </c:barChart>
      <c:catAx>
        <c:axId val="65581416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59629856"/>
        <c:crosses val="autoZero"/>
        <c:auto val="true"/>
        <c:lblAlgn val="ctr"/>
        <c:lblOffset val="100"/>
        <c:noMultiLvlLbl val="false"/>
      </c:catAx>
      <c:valAx>
        <c:axId val="659629856"/>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5581416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5</a:t>
            </a:r>
            <a:r>
              <a:t>：一般公共预算财政拨款支出决算变动情况                                    （单位：万元）</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图4：财政拨款收、支决算总计变动情况                                    （单位：万元）</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3684.95</c:v>
                </c:pt>
                <c:pt idx="1">
                  <c:v>1503.13</c:v>
                </c:pt>
              </c:numCache>
            </c:numRef>
          </c:val>
        </c:ser>
        <c:dLbls>
          <c:showLegendKey val="false"/>
          <c:showVal val="true"/>
          <c:showCatName val="false"/>
          <c:showSerName val="false"/>
          <c:showPercent val="false"/>
          <c:showBubbleSize val="false"/>
        </c:dLbls>
        <c:gapWidth val="246"/>
        <c:overlap val="-28"/>
        <c:axId val="655814160"/>
        <c:axId val="659629856"/>
      </c:barChart>
      <c:catAx>
        <c:axId val="65581416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59629856"/>
        <c:crosses val="autoZero"/>
        <c:auto val="true"/>
        <c:lblAlgn val="ctr"/>
        <c:lblOffset val="100"/>
        <c:noMultiLvlLbl val="false"/>
      </c:catAx>
      <c:valAx>
        <c:axId val="659629856"/>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5581416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图6：一般公共预算财政拨款支出决算结构表              （单位:万元）</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城乡社区支出</c:v>
                </c:pt>
                <c:pt idx="3">
                  <c:v>住房保障支出</c:v>
                </c:pt>
              </c:strCache>
            </c:strRef>
          </c:cat>
          <c:val>
            <c:numRef>
              <c:f>Sheet1!$B$2:$B$5</c:f>
              <c:numCache>
                <c:formatCode>General</c:formatCode>
                <c:ptCount val="4"/>
                <c:pt idx="0">
                  <c:v>25.56</c:v>
                </c:pt>
                <c:pt idx="1">
                  <c:v>17.69</c:v>
                </c:pt>
                <c:pt idx="2">
                  <c:v>1433.35</c:v>
                </c:pt>
                <c:pt idx="3">
                  <c:v>26.53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144.62</c:v>
                </c:pt>
                <c:pt idx="2">
                  <c:v>0.59</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21</TotalTime>
  <ScaleCrop>false</ScaleCrop>
  <LinksUpToDate>false</LinksUpToDate>
  <CharactersWithSpaces>5889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2025-01-15T15:16:50Z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AD138273F94C4010A4F294CC0687F053_13</vt:lpwstr>
  </property>
</Properties>
</file>