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7193"/>
      <w:bookmarkStart w:id="1" w:name="_Toc15378441"/>
      <w:bookmarkStart w:id="2" w:name="_Toc15377425"/>
      <w:bookmarkStart w:id="3" w:name="_Toc15396475"/>
      <w:bookmarkStart w:id="4" w:name="_Toc15396597"/>
      <w:bookmarkStart w:id="5" w:name="_Toc15306267"/>
      <w:bookmarkStart w:id="67" w:name="_GoBack"/>
      <w:bookmarkEnd w:id="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pStyle w:val="2"/>
        <w:ind w:left="840" w:hanging="420"/>
      </w:pPr>
    </w:p>
    <w:p/>
    <w:p>
      <w:pPr>
        <w:pStyle w:val="2"/>
        <w:ind w:left="840" w:hanging="420"/>
      </w:pPr>
    </w:p>
    <w:p/>
    <w:p>
      <w:pPr>
        <w:adjustRightInd w:val="0"/>
        <w:snapToGrid w:val="0"/>
        <w:jc w:val="center"/>
        <w:outlineLvl w:val="0"/>
        <w:rPr>
          <w:rFonts w:ascii="方正小标宋简体" w:hAnsi="方正小标宋简体" w:eastAsia="方正小标宋简体" w:cs="方正小标宋简体"/>
          <w:b/>
          <w:w w:val="90"/>
          <w:sz w:val="72"/>
          <w:szCs w:val="72"/>
        </w:rPr>
      </w:pPr>
      <w:r>
        <w:rPr>
          <w:rFonts w:hint="eastAsia" w:ascii="方正小标宋简体" w:hAnsi="方正小标宋简体" w:eastAsia="方正小标宋简体" w:cs="方正小标宋简体"/>
          <w:b/>
          <w:w w:val="90"/>
          <w:sz w:val="72"/>
          <w:szCs w:val="72"/>
        </w:rPr>
        <w:t>2022年度</w:t>
      </w:r>
      <w:bookmarkEnd w:id="0"/>
      <w:bookmarkEnd w:id="1"/>
      <w:bookmarkEnd w:id="2"/>
      <w:bookmarkEnd w:id="3"/>
      <w:bookmarkEnd w:id="4"/>
      <w:bookmarkStart w:id="6" w:name="_Toc15378442"/>
      <w:bookmarkStart w:id="7" w:name="_Toc15377426"/>
      <w:bookmarkStart w:id="8" w:name="_Toc15396598"/>
      <w:bookmarkStart w:id="9" w:name="_Toc15377194"/>
      <w:bookmarkStart w:id="10" w:name="_Toc15396476"/>
    </w:p>
    <w:p>
      <w:pPr>
        <w:adjustRightInd w:val="0"/>
        <w:snapToGrid w:val="0"/>
        <w:jc w:val="center"/>
        <w:outlineLvl w:val="0"/>
        <w:rPr>
          <w:rFonts w:ascii="方正小标宋简体" w:hAnsi="方正小标宋简体" w:eastAsia="方正小标宋简体" w:cs="方正小标宋简体"/>
          <w:b/>
          <w:w w:val="90"/>
          <w:sz w:val="72"/>
          <w:szCs w:val="72"/>
        </w:rPr>
      </w:pPr>
      <w:r>
        <w:rPr>
          <w:rFonts w:hint="eastAsia" w:ascii="方正小标宋简体" w:hAnsi="方正小标宋简体" w:eastAsia="方正小标宋简体" w:cs="方正小标宋简体"/>
          <w:b/>
          <w:w w:val="90"/>
          <w:sz w:val="72"/>
          <w:szCs w:val="72"/>
        </w:rPr>
        <w:t>剑阁县</w:t>
      </w:r>
      <w:bookmarkEnd w:id="5"/>
      <w:bookmarkStart w:id="11" w:name="_Toc15306268"/>
      <w:r>
        <w:rPr>
          <w:rFonts w:hint="eastAsia" w:ascii="方正小标宋简体" w:hAnsi="方正小标宋简体" w:eastAsia="方正小标宋简体" w:cs="方正小标宋简体"/>
          <w:b/>
          <w:w w:val="90"/>
          <w:sz w:val="72"/>
          <w:szCs w:val="72"/>
        </w:rPr>
        <w:t>卫生健康局部门决算</w:t>
      </w:r>
      <w:bookmarkEnd w:id="6"/>
      <w:bookmarkEnd w:id="7"/>
      <w:bookmarkEnd w:id="8"/>
      <w:bookmarkEnd w:id="9"/>
      <w:bookmarkEnd w:id="10"/>
      <w:bookmarkEnd w:id="11"/>
    </w:p>
    <w:p>
      <w:pPr>
        <w:spacing w:line="576" w:lineRule="exact"/>
        <w:jc w:val="center"/>
        <w:rPr>
          <w:rFonts w:ascii="方正小标宋简体" w:hAnsi="黑体" w:eastAsia="方正小标宋简体"/>
          <w:b/>
          <w:sz w:val="44"/>
          <w:szCs w:val="44"/>
        </w:rPr>
      </w:pPr>
      <w:r>
        <w:rPr>
          <w:rFonts w:ascii="方正小标宋简体" w:hAnsi="宋体" w:eastAsia="方正小标宋简体"/>
          <w:sz w:val="36"/>
          <w:szCs w:val="36"/>
        </w:rPr>
        <w:br w:type="page"/>
      </w:r>
      <w:r>
        <w:rPr>
          <w:rFonts w:hint="eastAsia" w:ascii="方正小标宋简体" w:hAnsi="黑体" w:eastAsia="方正小标宋简体"/>
          <w:b/>
          <w:sz w:val="44"/>
          <w:szCs w:val="44"/>
        </w:rPr>
        <w:t>目     录</w:t>
      </w:r>
    </w:p>
    <w:p>
      <w:pPr>
        <w:spacing w:line="576" w:lineRule="exact"/>
        <w:ind w:firstLine="560" w:firstLineChars="200"/>
        <w:rPr>
          <w:rFonts w:ascii="黑体" w:hAnsi="黑体" w:eastAsia="黑体" w:cstheme="minorBidi"/>
          <w:sz w:val="28"/>
          <w:szCs w:val="28"/>
        </w:rPr>
      </w:pPr>
    </w:p>
    <w:p>
      <w:pPr>
        <w:pStyle w:val="12"/>
        <w:adjustRightInd w:val="0"/>
        <w:snapToGrid w:val="0"/>
        <w:spacing w:before="0" w:line="576" w:lineRule="exact"/>
        <w:ind w:left="640" w:hanging="640" w:hangingChars="200"/>
        <w:jc w:val="right"/>
        <w:rPr>
          <w:rFonts w:ascii="楷体_GB2312" w:eastAsia="楷体_GB2312"/>
          <w:sz w:val="32"/>
          <w:szCs w:val="32"/>
        </w:rPr>
      </w:pPr>
      <w:r>
        <w:rPr>
          <w:rFonts w:hint="eastAsia" w:ascii="楷体_GB2312" w:eastAsia="楷体_GB2312"/>
          <w:sz w:val="32"/>
          <w:szCs w:val="32"/>
        </w:rPr>
        <w:t>公开时间：2023年 月 日</w:t>
      </w:r>
    </w:p>
    <w:p>
      <w:pPr>
        <w:spacing w:line="576" w:lineRule="exact"/>
        <w:ind w:left="640" w:hanging="640" w:hangingChars="200"/>
        <w:rPr>
          <w:rFonts w:ascii="楷体_GB2312" w:eastAsia="楷体_GB2312"/>
          <w:sz w:val="32"/>
          <w:szCs w:val="32"/>
        </w:rPr>
      </w:pPr>
    </w:p>
    <w:p>
      <w:pPr>
        <w:pStyle w:val="12"/>
        <w:adjustRightInd w:val="0"/>
        <w:snapToGrid w:val="0"/>
        <w:spacing w:before="0" w:line="576" w:lineRule="exact"/>
        <w:ind w:left="640" w:hanging="640" w:hangingChars="200"/>
        <w:jc w:val="distribute"/>
        <w:rPr>
          <w:rFonts w:ascii="黑体" w:hAnsi="黑体" w:eastAsia="黑体" w:cstheme="minorBidi"/>
          <w:sz w:val="32"/>
          <w:szCs w:val="32"/>
        </w:rPr>
      </w:pPr>
      <w:r>
        <w:rPr>
          <w:rFonts w:hint="eastAsia" w:ascii="黑体" w:hAnsi="黑体" w:eastAsia="黑体"/>
          <w:sz w:val="32"/>
          <w:szCs w:val="32"/>
        </w:rPr>
        <w:t>第一部分 部门概况………………………………………………4</w:t>
      </w:r>
    </w:p>
    <w:p>
      <w:pPr>
        <w:pStyle w:val="13"/>
        <w:adjustRightInd w:val="0"/>
        <w:snapToGrid w:val="0"/>
        <w:spacing w:line="576" w:lineRule="exact"/>
        <w:ind w:left="640" w:leftChars="0" w:hanging="640" w:hangingChars="200"/>
        <w:jc w:val="distribute"/>
        <w:rPr>
          <w:rFonts w:ascii="楷体_GB2312" w:eastAsia="楷体_GB2312"/>
          <w:sz w:val="32"/>
          <w:szCs w:val="32"/>
        </w:rPr>
      </w:pPr>
      <w:r>
        <w:rPr>
          <w:rFonts w:hint="eastAsia" w:ascii="楷体_GB2312" w:eastAsia="楷体_GB2312"/>
          <w:sz w:val="32"/>
          <w:szCs w:val="32"/>
        </w:rPr>
        <w:t>一、部门职责及重点工作</w:t>
      </w:r>
      <w:r>
        <w:rPr>
          <w:rFonts w:hint="eastAsia" w:ascii="黑体" w:hAnsi="黑体" w:eastAsia="黑体"/>
          <w:sz w:val="32"/>
          <w:szCs w:val="32"/>
        </w:rPr>
        <w:t>…………………………………………4</w:t>
      </w:r>
    </w:p>
    <w:p>
      <w:pPr>
        <w:pStyle w:val="12"/>
        <w:adjustRightInd w:val="0"/>
        <w:snapToGrid w:val="0"/>
        <w:spacing w:before="0" w:line="576" w:lineRule="exact"/>
        <w:ind w:left="640" w:hanging="640" w:hangingChars="200"/>
        <w:jc w:val="distribute"/>
        <w:rPr>
          <w:rFonts w:ascii="楷体_GB2312" w:eastAsia="楷体_GB2312"/>
          <w:sz w:val="32"/>
          <w:szCs w:val="32"/>
        </w:rPr>
      </w:pPr>
      <w:r>
        <w:rPr>
          <w:rFonts w:hint="eastAsia" w:ascii="楷体_GB2312" w:eastAsia="楷体_GB2312"/>
          <w:sz w:val="32"/>
          <w:szCs w:val="32"/>
        </w:rPr>
        <w:t>（一）部门职责</w:t>
      </w:r>
      <w:r>
        <w:rPr>
          <w:rFonts w:hint="eastAsia" w:ascii="黑体" w:hAnsi="黑体" w:eastAsia="黑体"/>
          <w:sz w:val="32"/>
          <w:szCs w:val="32"/>
        </w:rPr>
        <w:t>……………………………………………………4</w:t>
      </w:r>
    </w:p>
    <w:p>
      <w:pPr>
        <w:pStyle w:val="12"/>
        <w:adjustRightInd w:val="0"/>
        <w:snapToGrid w:val="0"/>
        <w:spacing w:before="0" w:line="576" w:lineRule="exact"/>
        <w:ind w:left="640" w:hanging="640" w:hangingChars="200"/>
        <w:jc w:val="distribute"/>
        <w:rPr>
          <w:rFonts w:ascii="楷体_GB2312" w:eastAsia="楷体_GB2312"/>
          <w:sz w:val="32"/>
          <w:szCs w:val="32"/>
        </w:rPr>
      </w:pPr>
      <w:r>
        <w:rPr>
          <w:rFonts w:hint="eastAsia" w:ascii="楷体_GB2312" w:eastAsia="楷体_GB2312"/>
          <w:sz w:val="32"/>
          <w:szCs w:val="32"/>
        </w:rPr>
        <w:t>（二）2022年重点工作完成情况</w:t>
      </w:r>
      <w:r>
        <w:rPr>
          <w:rFonts w:hint="eastAsia" w:ascii="黑体" w:hAnsi="黑体" w:eastAsia="黑体"/>
          <w:sz w:val="32"/>
          <w:szCs w:val="32"/>
        </w:rPr>
        <w:t>………………………………8</w:t>
      </w:r>
    </w:p>
    <w:p>
      <w:pPr>
        <w:pStyle w:val="13"/>
        <w:adjustRightInd w:val="0"/>
        <w:snapToGrid w:val="0"/>
        <w:spacing w:line="576" w:lineRule="exact"/>
        <w:ind w:left="640" w:leftChars="0" w:hanging="640" w:hangingChars="200"/>
        <w:jc w:val="distribute"/>
        <w:rPr>
          <w:rFonts w:ascii="楷体_GB2312" w:hAnsi="仿宋" w:eastAsia="楷体_GB2312" w:cstheme="minorBidi"/>
          <w:sz w:val="32"/>
          <w:szCs w:val="32"/>
        </w:rPr>
      </w:pPr>
      <w:r>
        <w:rPr>
          <w:rFonts w:hint="eastAsia" w:ascii="楷体_GB2312" w:eastAsia="楷体_GB2312"/>
          <w:sz w:val="32"/>
          <w:szCs w:val="32"/>
        </w:rPr>
        <w:t>二、机构设置</w:t>
      </w:r>
      <w:r>
        <w:rPr>
          <w:rFonts w:hint="eastAsia" w:ascii="黑体" w:hAnsi="黑体" w:eastAsia="黑体"/>
          <w:sz w:val="32"/>
          <w:szCs w:val="32"/>
        </w:rPr>
        <w:t>………………………………………………………11</w:t>
      </w:r>
    </w:p>
    <w:p>
      <w:pPr>
        <w:pStyle w:val="12"/>
        <w:adjustRightInd w:val="0"/>
        <w:snapToGrid w:val="0"/>
        <w:spacing w:before="0" w:line="576" w:lineRule="exact"/>
        <w:ind w:left="640" w:hanging="640" w:hangingChars="200"/>
        <w:jc w:val="distribute"/>
        <w:rPr>
          <w:rFonts w:ascii="黑体" w:hAnsi="黑体" w:eastAsia="黑体"/>
          <w:sz w:val="32"/>
          <w:szCs w:val="32"/>
        </w:rPr>
      </w:pPr>
      <w:r>
        <w:rPr>
          <w:rFonts w:hint="eastAsia" w:ascii="黑体" w:hAnsi="黑体" w:eastAsia="黑体"/>
          <w:sz w:val="32"/>
          <w:szCs w:val="32"/>
        </w:rPr>
        <w:t>第二部分 2022年度部门决算情况说明…………………………13</w:t>
      </w:r>
    </w:p>
    <w:p>
      <w:pPr>
        <w:pStyle w:val="13"/>
        <w:adjustRightInd w:val="0"/>
        <w:snapToGrid w:val="0"/>
        <w:spacing w:line="576" w:lineRule="exact"/>
        <w:ind w:left="640" w:leftChars="0" w:hanging="640" w:hangingChars="200"/>
        <w:jc w:val="distribute"/>
        <w:rPr>
          <w:rFonts w:ascii="楷体_GB2312" w:hAnsi="仿宋" w:eastAsia="楷体_GB2312" w:cstheme="minorBidi"/>
          <w:sz w:val="32"/>
          <w:szCs w:val="32"/>
        </w:rPr>
      </w:pPr>
      <w:r>
        <w:rPr>
          <w:rFonts w:hint="eastAsia" w:ascii="楷体_GB2312" w:eastAsia="楷体_GB2312"/>
          <w:sz w:val="32"/>
          <w:szCs w:val="32"/>
        </w:rPr>
        <w:t>一、收入支出决算总体情况说明</w:t>
      </w:r>
      <w:r>
        <w:rPr>
          <w:rFonts w:hint="eastAsia" w:ascii="黑体" w:hAnsi="黑体" w:eastAsia="黑体"/>
          <w:sz w:val="32"/>
          <w:szCs w:val="32"/>
        </w:rPr>
        <w:t>…………………………………13</w:t>
      </w:r>
    </w:p>
    <w:p>
      <w:pPr>
        <w:pStyle w:val="13"/>
        <w:adjustRightInd w:val="0"/>
        <w:snapToGrid w:val="0"/>
        <w:spacing w:line="576" w:lineRule="exact"/>
        <w:ind w:left="640" w:leftChars="0" w:hanging="640" w:hangingChars="200"/>
        <w:jc w:val="distribute"/>
        <w:rPr>
          <w:rFonts w:ascii="楷体_GB2312" w:hAnsi="仿宋" w:eastAsia="楷体_GB2312" w:cstheme="minorBidi"/>
          <w:sz w:val="32"/>
          <w:szCs w:val="32"/>
        </w:rPr>
      </w:pPr>
      <w:r>
        <w:rPr>
          <w:rFonts w:hint="eastAsia" w:ascii="楷体_GB2312" w:eastAsia="楷体_GB2312"/>
          <w:sz w:val="32"/>
          <w:szCs w:val="32"/>
        </w:rPr>
        <w:t>二、收入决算情况说明</w:t>
      </w:r>
      <w:r>
        <w:rPr>
          <w:rFonts w:hint="eastAsia" w:ascii="黑体" w:hAnsi="黑体" w:eastAsia="黑体"/>
          <w:sz w:val="32"/>
          <w:szCs w:val="32"/>
        </w:rPr>
        <w:t>……………………………………………13</w:t>
      </w:r>
    </w:p>
    <w:p>
      <w:pPr>
        <w:pStyle w:val="13"/>
        <w:adjustRightInd w:val="0"/>
        <w:snapToGrid w:val="0"/>
        <w:spacing w:line="576" w:lineRule="exact"/>
        <w:ind w:left="640" w:leftChars="0" w:hanging="640" w:hangingChars="200"/>
        <w:jc w:val="distribute"/>
        <w:rPr>
          <w:rFonts w:ascii="楷体_GB2312" w:hAnsi="仿宋" w:eastAsia="楷体_GB2312" w:cstheme="minorBidi"/>
          <w:sz w:val="32"/>
          <w:szCs w:val="32"/>
        </w:rPr>
      </w:pPr>
      <w:r>
        <w:rPr>
          <w:rFonts w:hint="eastAsia" w:ascii="楷体_GB2312" w:eastAsia="楷体_GB2312"/>
          <w:sz w:val="32"/>
          <w:szCs w:val="32"/>
        </w:rPr>
        <w:t>三、支出决算情况说明</w:t>
      </w:r>
      <w:r>
        <w:rPr>
          <w:rFonts w:hint="eastAsia" w:ascii="黑体" w:hAnsi="黑体" w:eastAsia="黑体"/>
          <w:sz w:val="32"/>
          <w:szCs w:val="32"/>
        </w:rPr>
        <w:t>……………………………………………14</w:t>
      </w:r>
    </w:p>
    <w:p>
      <w:pPr>
        <w:pStyle w:val="13"/>
        <w:adjustRightInd w:val="0"/>
        <w:snapToGrid w:val="0"/>
        <w:spacing w:line="576" w:lineRule="exact"/>
        <w:ind w:left="640" w:leftChars="0" w:hanging="640" w:hangingChars="200"/>
        <w:jc w:val="distribute"/>
        <w:rPr>
          <w:rFonts w:ascii="楷体_GB2312" w:hAnsi="仿宋" w:eastAsia="楷体_GB2312" w:cstheme="minorBidi"/>
          <w:sz w:val="32"/>
          <w:szCs w:val="32"/>
        </w:rPr>
      </w:pPr>
      <w:r>
        <w:rPr>
          <w:rFonts w:hint="eastAsia" w:ascii="楷体_GB2312" w:eastAsia="楷体_GB2312"/>
          <w:sz w:val="32"/>
          <w:szCs w:val="32"/>
        </w:rPr>
        <w:t>四、财政拨款收入支出决算总体情况说明</w:t>
      </w:r>
      <w:r>
        <w:rPr>
          <w:rFonts w:hint="eastAsia" w:ascii="黑体" w:hAnsi="黑体" w:eastAsia="黑体"/>
          <w:sz w:val="32"/>
          <w:szCs w:val="32"/>
        </w:rPr>
        <w:t>………………………14</w:t>
      </w:r>
    </w:p>
    <w:p>
      <w:pPr>
        <w:pStyle w:val="13"/>
        <w:adjustRightInd w:val="0"/>
        <w:snapToGrid w:val="0"/>
        <w:spacing w:line="576" w:lineRule="exact"/>
        <w:ind w:left="640" w:leftChars="0" w:hanging="640" w:hangingChars="200"/>
        <w:jc w:val="distribute"/>
        <w:rPr>
          <w:rFonts w:ascii="楷体_GB2312" w:hAnsi="仿宋" w:eastAsia="楷体_GB2312" w:cstheme="minorBidi"/>
          <w:sz w:val="32"/>
          <w:szCs w:val="32"/>
        </w:rPr>
      </w:pPr>
      <w:r>
        <w:rPr>
          <w:rFonts w:hint="eastAsia" w:ascii="楷体_GB2312" w:eastAsia="楷体_GB2312"/>
          <w:sz w:val="32"/>
          <w:szCs w:val="32"/>
        </w:rPr>
        <w:t>五、一般公共预算财政拨款支出决算情况说明</w:t>
      </w:r>
      <w:r>
        <w:rPr>
          <w:rFonts w:hint="eastAsia" w:ascii="黑体" w:hAnsi="黑体" w:eastAsia="黑体"/>
          <w:sz w:val="32"/>
          <w:szCs w:val="32"/>
        </w:rPr>
        <w:t>…………………15</w:t>
      </w:r>
    </w:p>
    <w:p>
      <w:pPr>
        <w:pStyle w:val="13"/>
        <w:adjustRightInd w:val="0"/>
        <w:snapToGrid w:val="0"/>
        <w:spacing w:line="576" w:lineRule="exact"/>
        <w:ind w:left="640" w:leftChars="0" w:hanging="640" w:hangingChars="200"/>
        <w:jc w:val="distribute"/>
        <w:rPr>
          <w:rFonts w:ascii="楷体_GB2312" w:hAnsi="仿宋" w:eastAsia="楷体_GB2312" w:cstheme="minorBidi"/>
          <w:sz w:val="32"/>
          <w:szCs w:val="32"/>
        </w:rPr>
      </w:pPr>
      <w:r>
        <w:rPr>
          <w:rFonts w:hint="eastAsia" w:ascii="楷体_GB2312" w:eastAsia="楷体_GB2312"/>
          <w:sz w:val="32"/>
          <w:szCs w:val="32"/>
        </w:rPr>
        <w:t>六、一般公共预算财政拨款基本支出决算情况说明</w:t>
      </w:r>
      <w:r>
        <w:rPr>
          <w:rFonts w:hint="eastAsia" w:ascii="黑体" w:hAnsi="黑体" w:eastAsia="黑体"/>
          <w:sz w:val="32"/>
          <w:szCs w:val="32"/>
        </w:rPr>
        <w:t>……………18</w:t>
      </w:r>
    </w:p>
    <w:p>
      <w:pPr>
        <w:pStyle w:val="13"/>
        <w:adjustRightInd w:val="0"/>
        <w:snapToGrid w:val="0"/>
        <w:spacing w:line="576" w:lineRule="exact"/>
        <w:ind w:left="640" w:leftChars="0" w:hanging="640" w:hangingChars="200"/>
        <w:jc w:val="distribute"/>
        <w:rPr>
          <w:rFonts w:ascii="楷体_GB2312" w:hAnsi="仿宋" w:eastAsia="楷体_GB2312" w:cstheme="minorBidi"/>
          <w:sz w:val="32"/>
          <w:szCs w:val="32"/>
        </w:rPr>
      </w:pPr>
      <w:r>
        <w:rPr>
          <w:rFonts w:hint="eastAsia" w:ascii="楷体_GB2312" w:eastAsia="楷体_GB2312"/>
          <w:sz w:val="32"/>
          <w:szCs w:val="32"/>
        </w:rPr>
        <w:t>七、财政拨款“三公”经费支出决算情况说明</w:t>
      </w:r>
      <w:r>
        <w:rPr>
          <w:rFonts w:hint="eastAsia" w:ascii="黑体" w:hAnsi="黑体" w:eastAsia="黑体"/>
          <w:sz w:val="32"/>
          <w:szCs w:val="32"/>
        </w:rPr>
        <w:t>…………………19</w:t>
      </w:r>
    </w:p>
    <w:p>
      <w:pPr>
        <w:pStyle w:val="13"/>
        <w:adjustRightInd w:val="0"/>
        <w:snapToGrid w:val="0"/>
        <w:spacing w:line="576" w:lineRule="exact"/>
        <w:ind w:left="640" w:leftChars="0" w:hanging="640" w:hangingChars="200"/>
        <w:jc w:val="distribute"/>
        <w:rPr>
          <w:rFonts w:ascii="楷体_GB2312" w:hAnsi="仿宋" w:eastAsia="楷体_GB2312" w:cstheme="minorBidi"/>
          <w:sz w:val="32"/>
          <w:szCs w:val="32"/>
        </w:rPr>
      </w:pPr>
      <w:r>
        <w:rPr>
          <w:rFonts w:hint="eastAsia" w:ascii="楷体_GB2312" w:eastAsia="楷体_GB2312"/>
          <w:sz w:val="32"/>
          <w:szCs w:val="32"/>
        </w:rPr>
        <w:t>八、政府性基金预算支出决算情况说明</w:t>
      </w:r>
      <w:r>
        <w:rPr>
          <w:rFonts w:hint="eastAsia" w:ascii="黑体" w:hAnsi="黑体" w:eastAsia="黑体"/>
          <w:sz w:val="32"/>
          <w:szCs w:val="32"/>
        </w:rPr>
        <w:t>…………………………21</w:t>
      </w:r>
    </w:p>
    <w:p>
      <w:pPr>
        <w:pStyle w:val="13"/>
        <w:adjustRightInd w:val="0"/>
        <w:snapToGrid w:val="0"/>
        <w:spacing w:line="576" w:lineRule="exact"/>
        <w:ind w:left="640" w:leftChars="0" w:hanging="640" w:hangingChars="200"/>
        <w:jc w:val="distribute"/>
        <w:rPr>
          <w:rFonts w:ascii="楷体_GB2312" w:eastAsia="楷体_GB2312" w:hAnsiTheme="minorEastAsia" w:cstheme="minorEastAsia"/>
          <w:sz w:val="32"/>
          <w:szCs w:val="32"/>
        </w:rPr>
      </w:pPr>
      <w:r>
        <w:rPr>
          <w:rFonts w:hint="eastAsia" w:ascii="楷体_GB2312" w:eastAsia="楷体_GB2312" w:hAnsiTheme="minorEastAsia" w:cstheme="minorEastAsia"/>
          <w:sz w:val="32"/>
          <w:szCs w:val="32"/>
        </w:rPr>
        <w:t>九、国有资本经营预算支出决算情况说明</w:t>
      </w:r>
      <w:r>
        <w:rPr>
          <w:rFonts w:hint="eastAsia" w:ascii="黑体" w:hAnsi="黑体" w:eastAsia="黑体"/>
          <w:sz w:val="32"/>
          <w:szCs w:val="32"/>
        </w:rPr>
        <w:t>………………………21</w:t>
      </w:r>
    </w:p>
    <w:p>
      <w:pPr>
        <w:adjustRightInd w:val="0"/>
        <w:snapToGrid w:val="0"/>
        <w:spacing w:line="576" w:lineRule="exact"/>
        <w:ind w:left="640" w:hanging="640" w:hangingChars="200"/>
        <w:jc w:val="distribute"/>
        <w:rPr>
          <w:rFonts w:ascii="楷体_GB2312" w:eastAsia="楷体_GB2312" w:hAnsiTheme="minorEastAsia" w:cstheme="minorEastAsia"/>
          <w:sz w:val="32"/>
          <w:szCs w:val="32"/>
        </w:rPr>
      </w:pPr>
      <w:r>
        <w:rPr>
          <w:rStyle w:val="19"/>
          <w:rFonts w:hint="eastAsia" w:ascii="楷体_GB2312" w:eastAsia="楷体_GB2312" w:hAnsiTheme="minorEastAsia" w:cstheme="minorEastAsia"/>
          <w:color w:val="auto"/>
          <w:sz w:val="32"/>
          <w:szCs w:val="32"/>
          <w:u w:val="none"/>
        </w:rPr>
        <w:t>十、</w:t>
      </w:r>
      <w:r>
        <w:rPr>
          <w:rFonts w:hint="eastAsia" w:ascii="楷体_GB2312" w:eastAsia="楷体_GB2312" w:hAnsiTheme="minorEastAsia" w:cstheme="minorEastAsia"/>
          <w:sz w:val="32"/>
          <w:szCs w:val="32"/>
        </w:rPr>
        <w:t>其他重要事项的情况说明</w:t>
      </w:r>
      <w:r>
        <w:rPr>
          <w:rFonts w:hint="eastAsia" w:ascii="楷体_GB2312" w:eastAsia="楷体_GB2312" w:hAnsiTheme="minorEastAsia" w:cstheme="minorEastAsia"/>
          <w:sz w:val="32"/>
          <w:szCs w:val="32"/>
        </w:rPr>
        <w:tab/>
      </w:r>
      <w:r>
        <w:rPr>
          <w:rFonts w:hint="eastAsia" w:ascii="黑体" w:hAnsi="黑体" w:eastAsia="黑体"/>
          <w:sz w:val="32"/>
          <w:szCs w:val="32"/>
        </w:rPr>
        <w:t>…………………………………21</w:t>
      </w:r>
    </w:p>
    <w:p>
      <w:pPr>
        <w:pStyle w:val="12"/>
        <w:adjustRightInd w:val="0"/>
        <w:snapToGrid w:val="0"/>
        <w:spacing w:before="0" w:line="576" w:lineRule="exact"/>
        <w:ind w:left="640" w:hanging="640" w:hangingChars="200"/>
        <w:jc w:val="distribute"/>
        <w:rPr>
          <w:rFonts w:ascii="黑体" w:hAnsi="黑体" w:eastAsia="黑体"/>
          <w:sz w:val="32"/>
          <w:szCs w:val="32"/>
        </w:rPr>
      </w:pPr>
      <w:r>
        <w:rPr>
          <w:rFonts w:hint="eastAsia" w:ascii="黑体" w:hAnsi="黑体" w:eastAsia="黑体"/>
          <w:sz w:val="32"/>
          <w:szCs w:val="32"/>
        </w:rPr>
        <w:t>第三部分 名词解释………………………………………………23</w:t>
      </w:r>
    </w:p>
    <w:p>
      <w:pPr>
        <w:pStyle w:val="12"/>
        <w:adjustRightInd w:val="0"/>
        <w:snapToGrid w:val="0"/>
        <w:spacing w:before="0" w:line="576" w:lineRule="exact"/>
        <w:ind w:left="640" w:hanging="640" w:hangingChars="200"/>
        <w:jc w:val="distribute"/>
        <w:rPr>
          <w:rFonts w:ascii="黑体" w:hAnsi="黑体" w:eastAsia="黑体"/>
          <w:sz w:val="32"/>
          <w:szCs w:val="32"/>
        </w:rPr>
      </w:pPr>
      <w:r>
        <w:rPr>
          <w:rFonts w:hint="eastAsia" w:ascii="黑体" w:hAnsi="黑体" w:eastAsia="黑体"/>
          <w:sz w:val="32"/>
          <w:szCs w:val="32"/>
        </w:rPr>
        <w:t>第四部分 附件……………………………………………………27</w:t>
      </w:r>
    </w:p>
    <w:p>
      <w:pPr>
        <w:pStyle w:val="12"/>
        <w:adjustRightInd w:val="0"/>
        <w:snapToGrid w:val="0"/>
        <w:spacing w:before="0" w:line="576" w:lineRule="exact"/>
        <w:ind w:left="640" w:hanging="640" w:hangingChars="200"/>
        <w:jc w:val="distribute"/>
        <w:rPr>
          <w:rFonts w:ascii="黑体" w:hAnsi="黑体" w:eastAsia="黑体"/>
          <w:sz w:val="32"/>
          <w:szCs w:val="32"/>
        </w:rPr>
      </w:pPr>
      <w:r>
        <w:rPr>
          <w:rFonts w:hint="eastAsia" w:ascii="黑体" w:hAnsi="黑体" w:eastAsia="黑体"/>
          <w:sz w:val="32"/>
          <w:szCs w:val="32"/>
        </w:rPr>
        <w:t>第五部分 附表……………………………………………………53</w:t>
      </w:r>
    </w:p>
    <w:p>
      <w:pPr>
        <w:pStyle w:val="13"/>
        <w:adjustRightInd w:val="0"/>
        <w:snapToGrid w:val="0"/>
        <w:spacing w:line="576" w:lineRule="exact"/>
        <w:ind w:left="640" w:leftChars="0" w:hanging="640" w:hangingChars="200"/>
        <w:jc w:val="distribute"/>
        <w:rPr>
          <w:rFonts w:ascii="楷体_GB2312" w:eastAsia="楷体_GB2312"/>
          <w:sz w:val="32"/>
          <w:szCs w:val="32"/>
        </w:rPr>
      </w:pPr>
      <w:r>
        <w:rPr>
          <w:rFonts w:hint="eastAsia" w:ascii="楷体_GB2312" w:eastAsia="楷体_GB2312"/>
          <w:sz w:val="32"/>
          <w:szCs w:val="32"/>
        </w:rPr>
        <w:t>一、收入支出决算总表</w:t>
      </w:r>
      <w:r>
        <w:rPr>
          <w:rFonts w:hint="eastAsia" w:ascii="黑体" w:hAnsi="黑体" w:eastAsia="黑体"/>
          <w:sz w:val="32"/>
          <w:szCs w:val="32"/>
        </w:rPr>
        <w:t>……………………………………………</w:t>
      </w:r>
    </w:p>
    <w:p>
      <w:pPr>
        <w:pStyle w:val="13"/>
        <w:adjustRightInd w:val="0"/>
        <w:snapToGrid w:val="0"/>
        <w:spacing w:line="576" w:lineRule="exact"/>
        <w:ind w:left="640" w:leftChars="0" w:hanging="640" w:hangingChars="200"/>
        <w:jc w:val="distribute"/>
        <w:rPr>
          <w:rFonts w:ascii="楷体_GB2312" w:eastAsia="楷体_GB2312"/>
          <w:sz w:val="32"/>
          <w:szCs w:val="32"/>
        </w:rPr>
      </w:pPr>
      <w:r>
        <w:rPr>
          <w:rFonts w:hint="eastAsia" w:ascii="楷体_GB2312" w:eastAsia="楷体_GB2312"/>
          <w:sz w:val="32"/>
          <w:szCs w:val="32"/>
        </w:rPr>
        <w:t>二、收入决算表</w:t>
      </w:r>
      <w:r>
        <w:rPr>
          <w:rFonts w:hint="eastAsia" w:ascii="黑体" w:hAnsi="黑体" w:eastAsia="黑体"/>
          <w:sz w:val="32"/>
          <w:szCs w:val="32"/>
        </w:rPr>
        <w:t>……………………………………………………</w:t>
      </w:r>
    </w:p>
    <w:p>
      <w:pPr>
        <w:pStyle w:val="13"/>
        <w:adjustRightInd w:val="0"/>
        <w:snapToGrid w:val="0"/>
        <w:spacing w:line="576" w:lineRule="exact"/>
        <w:ind w:left="640" w:leftChars="0" w:hanging="640" w:hangingChars="200"/>
        <w:jc w:val="distribute"/>
        <w:rPr>
          <w:rFonts w:ascii="楷体_GB2312" w:eastAsia="楷体_GB2312"/>
          <w:sz w:val="32"/>
          <w:szCs w:val="32"/>
        </w:rPr>
      </w:pPr>
      <w:r>
        <w:rPr>
          <w:rFonts w:hint="eastAsia" w:ascii="楷体_GB2312" w:eastAsia="楷体_GB2312"/>
          <w:sz w:val="32"/>
          <w:szCs w:val="32"/>
        </w:rPr>
        <w:t>三、支出决算表</w:t>
      </w:r>
      <w:r>
        <w:rPr>
          <w:rFonts w:hint="eastAsia" w:ascii="黑体" w:hAnsi="黑体" w:eastAsia="黑体"/>
          <w:sz w:val="32"/>
          <w:szCs w:val="32"/>
        </w:rPr>
        <w:t>……………………………………………………</w:t>
      </w:r>
    </w:p>
    <w:p>
      <w:pPr>
        <w:pStyle w:val="13"/>
        <w:adjustRightInd w:val="0"/>
        <w:snapToGrid w:val="0"/>
        <w:spacing w:line="576" w:lineRule="exact"/>
        <w:ind w:left="640" w:leftChars="0" w:hanging="640" w:hangingChars="200"/>
        <w:jc w:val="distribute"/>
        <w:rPr>
          <w:rFonts w:ascii="楷体_GB2312" w:eastAsia="楷体_GB2312"/>
          <w:sz w:val="32"/>
          <w:szCs w:val="32"/>
        </w:rPr>
      </w:pPr>
      <w:r>
        <w:rPr>
          <w:rFonts w:hint="eastAsia" w:ascii="楷体_GB2312" w:eastAsia="楷体_GB2312"/>
          <w:sz w:val="32"/>
          <w:szCs w:val="32"/>
        </w:rPr>
        <w:t>四、财政拨款收入支出决算总表</w:t>
      </w:r>
      <w:r>
        <w:rPr>
          <w:rFonts w:hint="eastAsia" w:ascii="黑体" w:hAnsi="黑体" w:eastAsia="黑体"/>
          <w:sz w:val="32"/>
          <w:szCs w:val="32"/>
        </w:rPr>
        <w:t>…………………………………</w:t>
      </w:r>
    </w:p>
    <w:p>
      <w:pPr>
        <w:pStyle w:val="13"/>
        <w:adjustRightInd w:val="0"/>
        <w:snapToGrid w:val="0"/>
        <w:spacing w:line="576" w:lineRule="exact"/>
        <w:ind w:left="640" w:leftChars="0" w:hanging="640" w:hangingChars="200"/>
        <w:jc w:val="distribute"/>
        <w:rPr>
          <w:rFonts w:ascii="楷体_GB2312" w:eastAsia="楷体_GB2312"/>
          <w:sz w:val="32"/>
          <w:szCs w:val="32"/>
        </w:rPr>
      </w:pPr>
      <w:r>
        <w:rPr>
          <w:rFonts w:hint="eastAsia" w:ascii="楷体_GB2312" w:eastAsia="楷体_GB2312"/>
          <w:sz w:val="32"/>
          <w:szCs w:val="32"/>
        </w:rPr>
        <w:t>五、财政拨款支出决算明细表</w:t>
      </w:r>
      <w:r>
        <w:rPr>
          <w:rFonts w:hint="eastAsia" w:ascii="黑体" w:hAnsi="黑体" w:eastAsia="黑体"/>
          <w:sz w:val="32"/>
          <w:szCs w:val="32"/>
        </w:rPr>
        <w:t>……………………………………</w:t>
      </w:r>
    </w:p>
    <w:p>
      <w:pPr>
        <w:pStyle w:val="13"/>
        <w:adjustRightInd w:val="0"/>
        <w:snapToGrid w:val="0"/>
        <w:spacing w:line="576" w:lineRule="exact"/>
        <w:ind w:left="640" w:leftChars="0" w:hanging="640" w:hangingChars="200"/>
        <w:jc w:val="distribute"/>
        <w:rPr>
          <w:rFonts w:ascii="楷体_GB2312" w:eastAsia="楷体_GB2312"/>
          <w:sz w:val="32"/>
          <w:szCs w:val="32"/>
        </w:rPr>
      </w:pPr>
      <w:r>
        <w:rPr>
          <w:rFonts w:hint="eastAsia" w:ascii="楷体_GB2312" w:eastAsia="楷体_GB2312"/>
          <w:sz w:val="32"/>
          <w:szCs w:val="32"/>
        </w:rPr>
        <w:t>六、一般公共预算财政拨款支出决算表</w:t>
      </w:r>
      <w:r>
        <w:rPr>
          <w:rFonts w:hint="eastAsia" w:ascii="黑体" w:hAnsi="黑体" w:eastAsia="黑体"/>
          <w:sz w:val="32"/>
          <w:szCs w:val="32"/>
        </w:rPr>
        <w:t>…………………………</w:t>
      </w:r>
    </w:p>
    <w:p>
      <w:pPr>
        <w:pStyle w:val="13"/>
        <w:adjustRightInd w:val="0"/>
        <w:snapToGrid w:val="0"/>
        <w:spacing w:line="576" w:lineRule="exact"/>
        <w:ind w:left="640" w:leftChars="0" w:hanging="640" w:hangingChars="200"/>
        <w:jc w:val="distribute"/>
        <w:rPr>
          <w:rFonts w:ascii="楷体_GB2312" w:eastAsia="楷体_GB2312"/>
          <w:sz w:val="32"/>
          <w:szCs w:val="32"/>
        </w:rPr>
      </w:pPr>
      <w:r>
        <w:rPr>
          <w:rFonts w:hint="eastAsia" w:ascii="楷体_GB2312" w:eastAsia="楷体_GB2312"/>
          <w:sz w:val="32"/>
          <w:szCs w:val="32"/>
        </w:rPr>
        <w:t>七、一般公共预算财政拨款支出决算明细表</w:t>
      </w:r>
      <w:r>
        <w:rPr>
          <w:rFonts w:hint="eastAsia" w:ascii="黑体" w:hAnsi="黑体" w:eastAsia="黑体"/>
          <w:sz w:val="32"/>
          <w:szCs w:val="32"/>
        </w:rPr>
        <w:t>……………………</w:t>
      </w:r>
    </w:p>
    <w:p>
      <w:pPr>
        <w:pStyle w:val="13"/>
        <w:adjustRightInd w:val="0"/>
        <w:snapToGrid w:val="0"/>
        <w:spacing w:line="576" w:lineRule="exact"/>
        <w:ind w:left="640" w:leftChars="0" w:hanging="640" w:hangingChars="200"/>
        <w:jc w:val="distribute"/>
        <w:rPr>
          <w:rFonts w:ascii="楷体_GB2312" w:eastAsia="楷体_GB2312"/>
          <w:sz w:val="32"/>
          <w:szCs w:val="32"/>
        </w:rPr>
      </w:pPr>
      <w:r>
        <w:rPr>
          <w:rFonts w:hint="eastAsia" w:ascii="楷体_GB2312" w:eastAsia="楷体_GB2312"/>
          <w:sz w:val="32"/>
          <w:szCs w:val="32"/>
        </w:rPr>
        <w:t>八、一般公共预算财政拨款基本支出决算明细表</w:t>
      </w:r>
      <w:r>
        <w:rPr>
          <w:rFonts w:hint="eastAsia" w:ascii="黑体" w:hAnsi="黑体" w:eastAsia="黑体"/>
          <w:sz w:val="32"/>
          <w:szCs w:val="32"/>
        </w:rPr>
        <w:t>………………</w:t>
      </w:r>
    </w:p>
    <w:p>
      <w:pPr>
        <w:pStyle w:val="13"/>
        <w:adjustRightInd w:val="0"/>
        <w:snapToGrid w:val="0"/>
        <w:spacing w:line="576" w:lineRule="exact"/>
        <w:ind w:left="640" w:leftChars="0" w:hanging="640" w:hangingChars="200"/>
        <w:jc w:val="distribute"/>
        <w:rPr>
          <w:rFonts w:ascii="楷体_GB2312" w:eastAsia="楷体_GB2312"/>
          <w:sz w:val="32"/>
          <w:szCs w:val="32"/>
        </w:rPr>
      </w:pPr>
      <w:r>
        <w:rPr>
          <w:rFonts w:hint="eastAsia" w:ascii="楷体_GB2312" w:eastAsia="楷体_GB2312"/>
          <w:sz w:val="32"/>
          <w:szCs w:val="32"/>
        </w:rPr>
        <w:t>九、一般公共预算财政拨款项目支出决算表</w:t>
      </w:r>
      <w:r>
        <w:rPr>
          <w:rFonts w:hint="eastAsia" w:ascii="黑体" w:hAnsi="黑体" w:eastAsia="黑体"/>
          <w:sz w:val="32"/>
          <w:szCs w:val="32"/>
        </w:rPr>
        <w:t>……………………</w:t>
      </w:r>
    </w:p>
    <w:p>
      <w:pPr>
        <w:pStyle w:val="13"/>
        <w:adjustRightInd w:val="0"/>
        <w:snapToGrid w:val="0"/>
        <w:spacing w:line="576" w:lineRule="exact"/>
        <w:ind w:left="640" w:leftChars="0" w:hanging="640" w:hangingChars="200"/>
        <w:jc w:val="distribute"/>
        <w:rPr>
          <w:rFonts w:ascii="楷体_GB2312" w:eastAsia="楷体_GB2312"/>
          <w:sz w:val="32"/>
          <w:szCs w:val="32"/>
        </w:rPr>
      </w:pPr>
      <w:r>
        <w:rPr>
          <w:rFonts w:hint="eastAsia" w:ascii="楷体_GB2312" w:eastAsia="楷体_GB2312"/>
          <w:sz w:val="32"/>
          <w:szCs w:val="32"/>
        </w:rPr>
        <w:t>十、政府性基金预算财政拨款收入支出决算表</w:t>
      </w:r>
      <w:r>
        <w:rPr>
          <w:rFonts w:hint="eastAsia" w:ascii="黑体" w:hAnsi="黑体" w:eastAsia="黑体"/>
          <w:sz w:val="32"/>
          <w:szCs w:val="32"/>
        </w:rPr>
        <w:t>…………………</w:t>
      </w:r>
    </w:p>
    <w:p>
      <w:pPr>
        <w:pStyle w:val="13"/>
        <w:adjustRightInd w:val="0"/>
        <w:snapToGrid w:val="0"/>
        <w:spacing w:line="576" w:lineRule="exact"/>
        <w:ind w:left="640" w:leftChars="0" w:hanging="640" w:hangingChars="200"/>
        <w:jc w:val="distribute"/>
        <w:rPr>
          <w:rFonts w:ascii="楷体_GB2312" w:eastAsia="楷体_GB2312"/>
          <w:sz w:val="32"/>
          <w:szCs w:val="32"/>
        </w:rPr>
      </w:pPr>
      <w:r>
        <w:rPr>
          <w:rFonts w:hint="eastAsia" w:ascii="楷体_GB2312" w:eastAsia="楷体_GB2312"/>
          <w:sz w:val="32"/>
          <w:szCs w:val="32"/>
        </w:rPr>
        <w:t>十一、国有资本经营预算财政拨款收入支出决算表</w:t>
      </w:r>
      <w:r>
        <w:rPr>
          <w:rFonts w:hint="eastAsia" w:ascii="黑体" w:hAnsi="黑体" w:eastAsia="黑体"/>
          <w:sz w:val="32"/>
          <w:szCs w:val="32"/>
        </w:rPr>
        <w:t>……………</w:t>
      </w:r>
    </w:p>
    <w:p>
      <w:pPr>
        <w:pStyle w:val="13"/>
        <w:adjustRightInd w:val="0"/>
        <w:snapToGrid w:val="0"/>
        <w:spacing w:line="576" w:lineRule="exact"/>
        <w:ind w:left="640" w:leftChars="0" w:hanging="640" w:hangingChars="200"/>
        <w:jc w:val="distribute"/>
        <w:rPr>
          <w:rFonts w:ascii="楷体_GB2312" w:eastAsia="楷体_GB2312"/>
          <w:sz w:val="32"/>
          <w:szCs w:val="32"/>
        </w:rPr>
      </w:pPr>
      <w:r>
        <w:rPr>
          <w:rFonts w:hint="eastAsia" w:ascii="楷体_GB2312" w:eastAsia="楷体_GB2312"/>
          <w:sz w:val="32"/>
          <w:szCs w:val="32"/>
        </w:rPr>
        <w:t>十二、国有资本经营预算财政拨款支出决算表</w:t>
      </w:r>
      <w:r>
        <w:rPr>
          <w:rFonts w:hint="eastAsia" w:ascii="黑体" w:hAnsi="黑体" w:eastAsia="黑体"/>
          <w:sz w:val="32"/>
          <w:szCs w:val="32"/>
        </w:rPr>
        <w:t>…………………</w:t>
      </w:r>
    </w:p>
    <w:p>
      <w:pPr>
        <w:pStyle w:val="13"/>
        <w:adjustRightInd w:val="0"/>
        <w:snapToGrid w:val="0"/>
        <w:spacing w:line="576" w:lineRule="exact"/>
        <w:ind w:left="640" w:leftChars="0" w:hanging="640" w:hangingChars="200"/>
        <w:jc w:val="distribute"/>
        <w:rPr>
          <w:rFonts w:ascii="楷体_GB2312" w:eastAsia="楷体_GB2312" w:hAnsiTheme="minorEastAsia" w:cstheme="minorEastAsia"/>
          <w:sz w:val="32"/>
          <w:szCs w:val="32"/>
        </w:rPr>
      </w:pPr>
      <w:r>
        <w:rPr>
          <w:rFonts w:hint="eastAsia" w:ascii="楷体_GB2312" w:eastAsia="楷体_GB2312"/>
          <w:sz w:val="32"/>
          <w:szCs w:val="32"/>
        </w:rPr>
        <w:t>十三、财政拨款“三公”经费支出决算表</w:t>
      </w:r>
      <w:r>
        <w:rPr>
          <w:rFonts w:hint="eastAsia" w:ascii="黑体" w:hAnsi="黑体" w:eastAsia="黑体"/>
          <w:sz w:val="32"/>
          <w:szCs w:val="32"/>
        </w:rPr>
        <w:t>………………………</w:t>
      </w:r>
    </w:p>
    <w:p>
      <w:pPr>
        <w:spacing w:line="576" w:lineRule="exact"/>
        <w:ind w:left="643" w:hanging="642" w:hangingChars="200"/>
        <w:rPr>
          <w:rFonts w:ascii="楷体_GB2312" w:hAnsi="仿宋" w:eastAsia="楷体_GB2312"/>
          <w:bCs/>
          <w:kern w:val="44"/>
          <w:sz w:val="32"/>
          <w:szCs w:val="32"/>
        </w:rPr>
      </w:pPr>
      <w:bookmarkStart w:id="12" w:name="_Toc15377196"/>
      <w:bookmarkStart w:id="13" w:name="_Toc15396599"/>
      <w:r>
        <w:rPr>
          <w:rFonts w:hint="eastAsia" w:ascii="楷体_GB2312" w:hAnsi="仿宋" w:eastAsia="楷体_GB2312"/>
          <w:b/>
          <w:sz w:val="32"/>
          <w:szCs w:val="32"/>
        </w:rPr>
        <w:br w:type="page"/>
      </w:r>
    </w:p>
    <w:p>
      <w:pPr>
        <w:spacing w:line="576" w:lineRule="exact"/>
        <w:jc w:val="center"/>
        <w:rPr>
          <w:rFonts w:ascii="方正小标宋简体" w:hAnsi="仿宋_GB2312" w:eastAsia="方正小标宋简体" w:cs="仿宋_GB2312"/>
          <w:b/>
          <w:sz w:val="44"/>
          <w:szCs w:val="44"/>
        </w:rPr>
      </w:pPr>
      <w:r>
        <w:rPr>
          <w:rFonts w:hint="eastAsia" w:ascii="方正小标宋简体" w:hAnsi="仿宋_GB2312" w:eastAsia="方正小标宋简体" w:cs="仿宋_GB2312"/>
          <w:b/>
          <w:sz w:val="44"/>
          <w:szCs w:val="44"/>
        </w:rPr>
        <w:t>第一部分 部门概况</w:t>
      </w:r>
      <w:bookmarkEnd w:id="12"/>
      <w:bookmarkEnd w:id="13"/>
    </w:p>
    <w:p>
      <w:pPr>
        <w:spacing w:line="576" w:lineRule="exact"/>
        <w:ind w:firstLine="642" w:firstLineChars="200"/>
        <w:rPr>
          <w:rFonts w:ascii="黑体" w:hAnsi="黑体" w:eastAsia="黑体" w:cs="仿宋_GB2312"/>
          <w:b/>
          <w:sz w:val="32"/>
          <w:szCs w:val="32"/>
        </w:rPr>
      </w:pPr>
    </w:p>
    <w:p>
      <w:pPr>
        <w:spacing w:line="576" w:lineRule="exact"/>
        <w:ind w:firstLine="642" w:firstLineChars="200"/>
        <w:rPr>
          <w:rFonts w:hint="eastAsia" w:ascii="黑体" w:hAnsi="黑体" w:eastAsia="黑体" w:cs="仿宋_GB2312"/>
          <w:b/>
          <w:sz w:val="32"/>
          <w:szCs w:val="32"/>
        </w:rPr>
      </w:pPr>
      <w:r>
        <w:rPr>
          <w:rFonts w:hint="eastAsia" w:ascii="黑体" w:hAnsi="黑体" w:eastAsia="黑体" w:cs="仿宋_GB2312"/>
          <w:b/>
          <w:sz w:val="32"/>
          <w:szCs w:val="32"/>
        </w:rPr>
        <w:t>一、部门职责及重点</w:t>
      </w:r>
      <w:r>
        <w:rPr>
          <w:rFonts w:ascii="黑体" w:hAnsi="黑体" w:eastAsia="黑体" w:cs="仿宋_GB2312"/>
          <w:b/>
          <w:sz w:val="32"/>
          <w:szCs w:val="32"/>
        </w:rPr>
        <w:t>工作</w:t>
      </w:r>
    </w:p>
    <w:p>
      <w:pPr>
        <w:spacing w:line="576" w:lineRule="exact"/>
        <w:ind w:firstLine="642" w:firstLineChars="200"/>
        <w:rPr>
          <w:rFonts w:hint="eastAsia" w:ascii="楷体_GB2312" w:hAnsi="仿宋_GB2312" w:eastAsia="楷体_GB2312" w:cs="仿宋_GB2312"/>
          <w:b/>
          <w:sz w:val="32"/>
          <w:szCs w:val="32"/>
        </w:rPr>
      </w:pPr>
      <w:r>
        <w:rPr>
          <w:rFonts w:hint="eastAsia" w:ascii="楷体_GB2312" w:hAnsi="仿宋_GB2312" w:eastAsia="楷体_GB2312" w:cs="仿宋_GB2312"/>
          <w:b/>
          <w:sz w:val="32"/>
          <w:szCs w:val="32"/>
        </w:rPr>
        <w:t>（一）</w:t>
      </w:r>
      <w:r>
        <w:rPr>
          <w:rFonts w:hint="eastAsia" w:ascii="楷体_GB2312" w:hAnsi="黑体" w:eastAsia="楷体_GB2312" w:cs="仿宋_GB2312"/>
          <w:b/>
          <w:sz w:val="32"/>
          <w:szCs w:val="32"/>
        </w:rPr>
        <w:t>部门职责</w:t>
      </w:r>
    </w:p>
    <w:p>
      <w:pPr>
        <w:pStyle w:val="36"/>
        <w:shd w:val="clear" w:color="auto" w:fill="auto"/>
        <w:spacing w:before="0" w:after="0" w:line="576" w:lineRule="exact"/>
        <w:ind w:firstLine="640" w:firstLineChars="200"/>
        <w:jc w:val="both"/>
        <w:rPr>
          <w:rFonts w:ascii="仿宋_GB2312" w:eastAsia="仿宋_GB2312"/>
          <w:sz w:val="32"/>
          <w:szCs w:val="32"/>
        </w:rPr>
      </w:pPr>
      <w:r>
        <w:rPr>
          <w:rFonts w:hint="eastAsia" w:ascii="仿宋_GB2312" w:hAnsi="仿宋_GB2312" w:eastAsia="仿宋_GB2312" w:cs="仿宋_GB2312"/>
          <w:sz w:val="32"/>
          <w:szCs w:val="32"/>
        </w:rPr>
        <w:t>1.</w:t>
      </w:r>
      <w:r>
        <w:rPr>
          <w:rFonts w:hint="eastAsia" w:ascii="仿宋_GB2312" w:eastAsia="仿宋_GB2312"/>
          <w:sz w:val="32"/>
          <w:szCs w:val="32"/>
        </w:rPr>
        <w:t>组织拟订全县卫生健康政策。负责起草卫生健康事业发展规划和规范性文件，组织实施卫生健康政策标准与技术规范。统筹规划全县卫生健康资源配置。制定并组织实施推进卫生健康基本公共服务均等化、普惠化、便捷化和公共资源向基层延伸等政策措施。</w:t>
      </w:r>
    </w:p>
    <w:p>
      <w:pPr>
        <w:pStyle w:val="36"/>
        <w:shd w:val="clear" w:color="auto" w:fill="auto"/>
        <w:tabs>
          <w:tab w:val="left" w:pos="1541"/>
        </w:tabs>
        <w:spacing w:before="0" w:after="0"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2.牵头推进全县深化医药卫生体制改革。研究提出深化改革重大政策、措施的建议。协调组织全县分级诊疗、现代医院管理、全民医保、药品供应保障、综合监管</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项基本医疗卫生制度建设。制定并组织实施推动卫生健康公共服务提供主体多元化、提供方式多样化的政策措施。</w:t>
      </w:r>
    </w:p>
    <w:p>
      <w:pPr>
        <w:pStyle w:val="37"/>
        <w:spacing w:line="576" w:lineRule="exact"/>
        <w:ind w:firstLine="640" w:firstLineChars="200"/>
        <w:rPr>
          <w:rFonts w:ascii="仿宋_GB2312" w:eastAsia="仿宋_GB2312"/>
          <w:sz w:val="32"/>
          <w:szCs w:val="32"/>
        </w:rPr>
      </w:pPr>
      <w:r>
        <w:rPr>
          <w:rFonts w:hint="eastAsia" w:ascii="仿宋_GB2312" w:eastAsia="仿宋_GB2312"/>
          <w:sz w:val="32"/>
          <w:szCs w:val="32"/>
        </w:rPr>
        <w:t>3.制定并组织落实全县疾病预防控制规划、免疫规划以及严重危害人民健康的艾滋病等重大传染病、寄生虫病、地方病等公共卫生问题的干预措施。负责全县卫生应急工作，组织和指导全县突发公共卫生事件预防控制和各类突发公共事件的医疗卫生救援。发布法定报告传染病疫情信息、突发公共卫生事件应急处置信息。依照国家检疫传染病和监测传染病目录，参与开展检疫监测工作。</w:t>
      </w:r>
    </w:p>
    <w:p>
      <w:pPr>
        <w:pStyle w:val="37"/>
        <w:spacing w:line="576" w:lineRule="exact"/>
        <w:ind w:firstLine="640" w:firstLineChars="200"/>
        <w:rPr>
          <w:rFonts w:ascii="仿宋_GB2312" w:eastAsia="仿宋_GB2312"/>
          <w:sz w:val="32"/>
          <w:szCs w:val="32"/>
        </w:rPr>
      </w:pPr>
      <w:r>
        <w:rPr>
          <w:rFonts w:hint="eastAsia" w:ascii="仿宋_GB2312" w:eastAsia="仿宋_GB2312"/>
          <w:sz w:val="32"/>
          <w:szCs w:val="32"/>
        </w:rPr>
        <w:t>4.贯彻落实国家应对人口老龄化政策措施。负责推进老年健康服务体系建设和医养结合工作。承担县老龄工作委员会日常工作。</w:t>
      </w:r>
    </w:p>
    <w:p>
      <w:pPr>
        <w:pStyle w:val="37"/>
        <w:spacing w:line="576" w:lineRule="exact"/>
        <w:ind w:firstLine="640" w:firstLineChars="200"/>
        <w:rPr>
          <w:rFonts w:ascii="仿宋_GB2312" w:eastAsia="仿宋_GB2312"/>
          <w:sz w:val="32"/>
          <w:szCs w:val="32"/>
        </w:rPr>
      </w:pPr>
      <w:r>
        <w:rPr>
          <w:rFonts w:hint="eastAsia" w:ascii="仿宋_GB2312" w:eastAsia="仿宋_GB2312"/>
          <w:sz w:val="32"/>
          <w:szCs w:val="32"/>
        </w:rPr>
        <w:t>5.负责指导、协调、监督检查全县爱国卫生工作。承担县爱国卫生运动委员会日常工作。</w:t>
      </w:r>
    </w:p>
    <w:p>
      <w:pPr>
        <w:pStyle w:val="37"/>
        <w:spacing w:line="576" w:lineRule="exact"/>
        <w:ind w:firstLine="640" w:firstLineChars="200"/>
        <w:rPr>
          <w:rFonts w:ascii="仿宋_GB2312" w:eastAsia="仿宋_GB2312"/>
          <w:sz w:val="32"/>
          <w:szCs w:val="32"/>
        </w:rPr>
      </w:pPr>
      <w:r>
        <w:rPr>
          <w:rFonts w:hint="eastAsia" w:ascii="仿宋_GB2312" w:eastAsia="仿宋_GB2312"/>
          <w:sz w:val="32"/>
          <w:szCs w:val="32"/>
        </w:rPr>
        <w:t>6.贯彻落实国家药物政策和国家基本药物制度。开展药械使用监测、临床综合评价和短缺药品预警，组织执行国家药典和国家基本药物目录、省药品增补目录和基本药物使用的政策措施。组织实施食品安全风险监测。开展食品安全企业标准备案。</w:t>
      </w:r>
    </w:p>
    <w:p>
      <w:pPr>
        <w:pStyle w:val="37"/>
        <w:spacing w:line="576" w:lineRule="exact"/>
        <w:ind w:firstLine="640" w:firstLineChars="200"/>
        <w:rPr>
          <w:rFonts w:ascii="仿宋_GB2312" w:eastAsia="仿宋_GB2312"/>
          <w:sz w:val="32"/>
          <w:szCs w:val="32"/>
        </w:rPr>
      </w:pPr>
      <w:r>
        <w:rPr>
          <w:rFonts w:hint="eastAsia" w:ascii="仿宋_GB2312" w:eastAsia="仿宋_GB2312"/>
          <w:sz w:val="32"/>
          <w:szCs w:val="32"/>
        </w:rPr>
        <w:t>7.负责职责范围内的职业卫生、放射卫生、环境卫生、学校卫生、公共场所卫生、饮用水卫生等公共卫生的监督管理。负责传染病防治监督，健全卫生健康综合监管体系，规范卫生健康行政执法行为，监督检查有关法律法规和政策措施的落实，组织查处重大违法行为。</w:t>
      </w:r>
    </w:p>
    <w:p>
      <w:pPr>
        <w:pStyle w:val="37"/>
        <w:spacing w:line="576" w:lineRule="exact"/>
        <w:ind w:firstLine="640" w:firstLineChars="200"/>
        <w:rPr>
          <w:rFonts w:ascii="仿宋_GB2312" w:eastAsia="仿宋_GB2312"/>
          <w:sz w:val="32"/>
          <w:szCs w:val="32"/>
        </w:rPr>
      </w:pPr>
      <w:r>
        <w:rPr>
          <w:rFonts w:hint="eastAsia" w:ascii="仿宋_GB2312" w:eastAsia="仿宋_GB2312"/>
          <w:sz w:val="32"/>
          <w:szCs w:val="32"/>
        </w:rPr>
        <w:t>8.制定全县医疗机构、医疗服务行业管理办法并监督实施，建立医疗服务评价和监督管理体系。会同有关部门实施卫生健康专业技术人员资格标准。组织实施医疗服务规范、标准和卫生健康专业技术人员执业规则、服务规范。负责医疗机构、人员和行为的日常监管。</w:t>
      </w:r>
    </w:p>
    <w:p>
      <w:pPr>
        <w:pStyle w:val="36"/>
        <w:shd w:val="clear" w:color="auto" w:fill="auto"/>
        <w:tabs>
          <w:tab w:val="left" w:pos="1534"/>
        </w:tabs>
        <w:spacing w:before="0" w:after="0" w:line="576" w:lineRule="exact"/>
        <w:ind w:firstLine="640" w:firstLineChars="200"/>
        <w:jc w:val="both"/>
        <w:rPr>
          <w:rFonts w:ascii="仿宋_GB2312" w:hAnsi="仿宋_GB2312" w:eastAsia="仿宋_GB2312" w:cs="仿宋_GB2312"/>
          <w:sz w:val="32"/>
          <w:szCs w:val="32"/>
        </w:rPr>
      </w:pPr>
      <w:r>
        <w:rPr>
          <w:rFonts w:hint="eastAsia" w:ascii="仿宋_GB2312" w:hAnsi="Calibri" w:eastAsia="仿宋_GB2312"/>
          <w:sz w:val="32"/>
          <w:szCs w:val="32"/>
        </w:rPr>
        <w:t>9.负责全县计划生育管理和服务工作。开展人口监测预警，研究提出人口与家庭发展相关政策建议，依法实</w:t>
      </w:r>
      <w:r>
        <w:rPr>
          <w:rFonts w:hint="eastAsia" w:ascii="仿宋_GB2312" w:hAnsi="仿宋_GB2312" w:eastAsia="仿宋_GB2312" w:cs="仿宋_GB2312"/>
          <w:sz w:val="32"/>
          <w:szCs w:val="32"/>
        </w:rPr>
        <w:t>施计划生育政策。</w:t>
      </w:r>
    </w:p>
    <w:p>
      <w:pPr>
        <w:pStyle w:val="36"/>
        <w:shd w:val="clear" w:color="auto" w:fill="auto"/>
        <w:tabs>
          <w:tab w:val="left" w:pos="1534"/>
        </w:tabs>
        <w:spacing w:before="0" w:after="0" w:line="576" w:lineRule="exact"/>
        <w:ind w:firstLine="640" w:firstLineChars="200"/>
        <w:jc w:val="both"/>
        <w:rPr>
          <w:rFonts w:ascii="仿宋_GB2312" w:hAnsi="仿宋_GB2312" w:eastAsia="仿宋_GB2312" w:cs="仿宋_GB2312"/>
          <w:spacing w:val="-9"/>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pacing w:val="-9"/>
          <w:sz w:val="32"/>
          <w:szCs w:val="32"/>
        </w:rPr>
        <w:t>指导全县卫生健康工作。指导基层医疗卫生、妇幼健康服务体系和基层卫生队伍建设。推进卫生健康科技创新发展。</w:t>
      </w:r>
      <w:r>
        <w:rPr>
          <w:rFonts w:ascii="仿宋_GB2312" w:hAnsi="仿宋_GB2312" w:eastAsia="仿宋_GB2312" w:cs="仿宋_GB2312"/>
          <w:spacing w:val="-9"/>
          <w:sz w:val="32"/>
          <w:szCs w:val="32"/>
        </w:rPr>
        <w:t xml:space="preserve">     </w:t>
      </w:r>
    </w:p>
    <w:p>
      <w:pPr>
        <w:pStyle w:val="36"/>
        <w:shd w:val="clear" w:color="auto" w:fill="auto"/>
        <w:tabs>
          <w:tab w:val="left" w:pos="1534"/>
        </w:tabs>
        <w:spacing w:before="0" w:after="0"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11.贯彻执行国家、省促进中医药（含中西医结合和民族医药）事业发展的法律法规，</w:t>
      </w:r>
      <w:r>
        <w:rPr>
          <w:rFonts w:hint="eastAsia" w:ascii="仿宋_GB2312" w:eastAsia="仿宋_GB2312"/>
          <w:sz w:val="32"/>
          <w:szCs w:val="32"/>
        </w:rPr>
        <w:t>拟订全县中医药中长期发展规划并组织实施，促进中药资源的保护、开发和合理利用，拟订全县中</w:t>
      </w:r>
      <w:r>
        <w:rPr>
          <w:rFonts w:hint="eastAsia" w:ascii="仿宋_GB2312" w:eastAsia="仿宋_GB2312"/>
          <w:color w:val="000000"/>
          <w:sz w:val="32"/>
          <w:szCs w:val="32"/>
        </w:rPr>
        <w:t>药产业发展规划、产业政策和中药的扶持政策并组织实施，监督指导全县中医药工作。</w:t>
      </w:r>
    </w:p>
    <w:p>
      <w:pPr>
        <w:pStyle w:val="36"/>
        <w:shd w:val="clear" w:color="auto" w:fill="auto"/>
        <w:tabs>
          <w:tab w:val="left" w:pos="1534"/>
        </w:tabs>
        <w:spacing w:before="0" w:after="0" w:line="576" w:lineRule="exact"/>
        <w:ind w:firstLine="640" w:firstLineChars="200"/>
        <w:jc w:val="both"/>
        <w:rPr>
          <w:rFonts w:ascii="仿宋_GB2312" w:eastAsia="仿宋_GB2312"/>
          <w:sz w:val="32"/>
          <w:szCs w:val="32"/>
        </w:rPr>
      </w:pPr>
      <w:r>
        <w:rPr>
          <w:rFonts w:hint="eastAsia" w:ascii="仿宋_GB2312" w:hAnsi="仿宋_GB2312" w:eastAsia="仿宋_GB2312" w:cs="仿宋_GB2312"/>
          <w:sz w:val="32"/>
          <w:szCs w:val="32"/>
        </w:rPr>
        <w:t>12.</w:t>
      </w:r>
      <w:r>
        <w:rPr>
          <w:rFonts w:hint="eastAsia" w:ascii="仿宋_GB2312" w:eastAsia="仿宋_GB2312"/>
          <w:sz w:val="32"/>
          <w:szCs w:val="32"/>
        </w:rPr>
        <w:t>负责县确定的保健对象的医疗保健工作。负责县本级离休干部医疗管理工作。负责重要会议与重大活动的医疗卫生保障工作。</w:t>
      </w:r>
    </w:p>
    <w:p>
      <w:pPr>
        <w:pStyle w:val="36"/>
        <w:shd w:val="clear" w:color="auto" w:fill="auto"/>
        <w:spacing w:before="0" w:after="0"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13.指导县计划生育协会的业务工作。</w:t>
      </w:r>
    </w:p>
    <w:p>
      <w:pPr>
        <w:pStyle w:val="36"/>
        <w:shd w:val="clear" w:color="auto" w:fill="auto"/>
        <w:spacing w:before="0" w:after="0"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14.依法依规履行卫生健康行业安全生产监管职责。负责职责范围内的生态环境保护、审批服务便民化等工作。</w:t>
      </w:r>
    </w:p>
    <w:p>
      <w:pPr>
        <w:pStyle w:val="36"/>
        <w:shd w:val="clear" w:color="auto" w:fill="auto"/>
        <w:spacing w:before="0" w:after="0"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15.完成县委、县政府交办的其他任务。</w:t>
      </w:r>
    </w:p>
    <w:p>
      <w:pPr>
        <w:pStyle w:val="36"/>
        <w:shd w:val="clear" w:color="auto" w:fill="auto"/>
        <w:spacing w:before="0" w:after="0"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16.职能转变。牢固树立大卫生、大健康理念，推动实施健康中国、健康四川、健康广元和健康剑阁战略，助推中国生态康养旅游名县建设，以改革创新为动力，以促健康、转模式、强基层、重保障为着力点，把以治病为中心转变到以人民健康为中心，为人民群众提供全方位全周期卫生健康服务。一是更加注重预防为主和健康促进，提高健康意识，加强预防控制重大疾病工作，积极应对人口老龄化，健全卫生健康服务体系。二是更加注重卫生健康服务公平性和可及性，推动工作重心下移和资源下沉，推进卫生健康公共资源向基层延伸、向农村覆盖、向边远地区和生活困难群众倾斜。三是更加注重提高服务质量和水平，推动建设高质量健康服务基地和中医药强县。四是更加注重深化医药卫生体制改革的科学性和持续性，加快分级诊疗制度建设，加强医疗、医保、医药的联动改革，加大公立医院改革力度。</w:t>
      </w:r>
    </w:p>
    <w:p>
      <w:pPr>
        <w:pStyle w:val="36"/>
        <w:shd w:val="clear" w:color="auto" w:fill="auto"/>
        <w:spacing w:before="0" w:after="0"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17.有关职责分工。</w:t>
      </w:r>
    </w:p>
    <w:p>
      <w:pPr>
        <w:pStyle w:val="36"/>
        <w:shd w:val="clear" w:color="auto" w:fill="auto"/>
        <w:spacing w:before="0" w:after="0" w:line="576" w:lineRule="exact"/>
        <w:ind w:firstLine="640" w:firstLineChars="200"/>
        <w:jc w:val="both"/>
        <w:rPr>
          <w:rFonts w:ascii="仿宋_GB2312" w:hAnsi="仿宋_GB2312" w:eastAsia="仿宋_GB2312" w:cs="仿宋_GB2312"/>
          <w:spacing w:val="-9"/>
          <w:sz w:val="32"/>
          <w:szCs w:val="32"/>
        </w:rPr>
      </w:pPr>
      <w:r>
        <w:rPr>
          <w:rFonts w:hint="eastAsia" w:ascii="仿宋_GB2312" w:hAnsi="仿宋_GB2312" w:eastAsia="仿宋_GB2312" w:cs="仿宋_GB2312"/>
          <w:sz w:val="32"/>
          <w:szCs w:val="32"/>
        </w:rPr>
        <w:t>（1）与县发展改革局的有关职责分工。县卫生健康局负责开</w:t>
      </w:r>
      <w:r>
        <w:rPr>
          <w:rFonts w:hint="eastAsia" w:ascii="仿宋_GB2312" w:hAnsi="仿宋_GB2312" w:eastAsia="仿宋_GB2312" w:cs="仿宋_GB2312"/>
          <w:spacing w:val="-9"/>
          <w:sz w:val="32"/>
          <w:szCs w:val="32"/>
        </w:rPr>
        <w:t>展全县人口监测预警工作，执行相关生育政策，研究提出与生育相关的人口数量、素质、结构、分布方面的政策建议，促进生育政策和相关经济社会政策配套衔接，参与制定全县人口发展规划和政策，落实人口发展规划中的有关任务。县发展改革局负责全县人口结构及变化趋势分析，建立人口预测预报制度，开展重大决策人口影响评估，研究提出全县人口发展战略，拟订人口发展规划，研究提出人口与经济、社会、资源、环境协调可持续发展以及统筹促进人口长期均衡发展的政策建议。</w:t>
      </w:r>
    </w:p>
    <w:p>
      <w:pPr>
        <w:pStyle w:val="36"/>
        <w:shd w:val="clear" w:color="auto" w:fill="auto"/>
        <w:spacing w:before="0" w:after="0"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（2）与县民政局的有关职责分工。县卫生健康局负责拟订应对人口老龄化、医养结合政策措施，综合协调、督促指导、组织推进老龄</w:t>
      </w:r>
      <w:r>
        <w:rPr>
          <w:rFonts w:hint="eastAsia" w:ascii="仿宋_GB2312" w:eastAsia="仿宋_GB2312"/>
          <w:sz w:val="32"/>
          <w:szCs w:val="32"/>
        </w:rPr>
        <w:t>健康</w:t>
      </w:r>
      <w:r>
        <w:rPr>
          <w:rFonts w:hint="eastAsia" w:ascii="仿宋_GB2312" w:hAnsi="仿宋_GB2312" w:eastAsia="仿宋_GB2312" w:cs="仿宋_GB2312"/>
          <w:sz w:val="32"/>
          <w:szCs w:val="32"/>
        </w:rPr>
        <w:t>事业发展，承担老年疾病防治、老年人医疗照护、老年人心理健康与关怀服务等老年健康工作。县民政局负责统筹推进、督促指导、监督管理养老服务工作，拟订养老服务体系建设规划和规范性文件并组织实施，承担老年人福利和特殊困难老年人救助工作。</w:t>
      </w:r>
    </w:p>
    <w:p>
      <w:pPr>
        <w:pStyle w:val="36"/>
        <w:shd w:val="clear" w:color="auto" w:fill="auto"/>
        <w:spacing w:before="0" w:after="0"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与县市场监管局的有关职责分工。县卫生健康局负责食品安全企业标准备案工作，会同县市场监管局等部门制定、实施食品安全风险监测计划。县卫生健康局对通过食品安全风险监测或者接到举报发现食品可能存在安全隐患的，应当立即组织进行检验和食品安全风险论证，并及时向县市场监管局等部门通报食品安全风险论证结果，对得出不安全结论的食品，县市场监管局等部门应当立即采取措施。县市场监管局会同县卫生健康局组织执行国家药典，建立重大药品不良反应和医疗器械不良事件相互通报机制和联合处置机制。县市场监管局等部门在监督管理中发现需要进行食品安全风险监测的，应当及时向县卫生健康局提出建议。</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（4）与县医保局的有关职责分工。两部门在医疗、医保、医药等方面加强制度、政策衔接，建立沟通协商机制，协同推进改革，提高医疗资源使用效率和医疗保障水平。</w:t>
      </w:r>
    </w:p>
    <w:p>
      <w:pPr>
        <w:spacing w:line="576"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（二）2022年重点工作完成情况</w:t>
      </w:r>
    </w:p>
    <w:p>
      <w:pPr>
        <w:spacing w:line="576" w:lineRule="exact"/>
        <w:ind w:firstLine="642" w:firstLineChars="200"/>
        <w:rPr>
          <w:rFonts w:ascii="仿宋_GB2312" w:hAnsi="仿宋_GB2312" w:eastAsia="仿宋_GB2312" w:cs="仿宋_GB2312"/>
          <w:sz w:val="32"/>
          <w:szCs w:val="32"/>
        </w:rPr>
      </w:pPr>
      <w:r>
        <w:rPr>
          <w:rFonts w:hint="eastAsia" w:ascii="仿宋_GB2312" w:hAnsi="楷体_GB2312" w:eastAsia="仿宋_GB2312" w:cs="楷体_GB2312"/>
          <w:b/>
          <w:bCs/>
          <w:sz w:val="32"/>
          <w:szCs w:val="32"/>
        </w:rPr>
        <w:t>1.科学精准落实疫情防控措施。</w:t>
      </w:r>
      <w:r>
        <w:rPr>
          <w:rFonts w:hint="eastAsia" w:ascii="仿宋_GB2312" w:hAnsi="仿宋_GB2312" w:eastAsia="仿宋_GB2312" w:cs="仿宋_GB2312"/>
          <w:sz w:val="32"/>
          <w:szCs w:val="32"/>
        </w:rPr>
        <w:t>强化流调溯源及区域协查。成立极端条件下县乡两级流调溯源队伍30支204人，累计开展流调溯源培训14期2106人次。今年</w:t>
      </w:r>
      <w:r>
        <w:rPr>
          <w:rFonts w:hint="eastAsia" w:ascii="仿宋_GB2312" w:hAnsi="仿宋_GB2312" w:eastAsia="仿宋_GB2312" w:cs="仿宋_GB2312"/>
          <w:sz w:val="32"/>
          <w:szCs w:val="32"/>
          <w:lang w:eastAsia="zh-CN"/>
        </w:rPr>
        <w:t>截至</w:t>
      </w:r>
      <w:r>
        <w:rPr>
          <w:rFonts w:hint="eastAsia" w:ascii="仿宋_GB2312" w:hAnsi="仿宋_GB2312" w:eastAsia="仿宋_GB2312" w:cs="仿宋_GB2312"/>
          <w:sz w:val="32"/>
          <w:szCs w:val="32"/>
        </w:rPr>
        <w:t>目前协查流调805起，排查密接705人，次密5546人、风险人员480人。全县共报告确诊病例15例，无症状感染者60例，其中本土疫情7例无症状感染者，排查密接者1607人，次密6214人、风险人员24人。强化风险监测预警。重点人群检测1031444人次，重点环境监测25564份。累计接种新冠病毒疫苗922164剂次。发放中药“大锅汤”55793人份。加强医疗机构院感防控工作，全年发出10期督查通报，开展知识培训12期，参训3782人次。全面提升核酸检测能力，累计建成核酸检测实验室12家，培养102名实验室资质人员，实际检测能力达4.4万管/天。成立298人的县级院感专家库和感控督导员人才库。“10.11”本土疫情发生后，迅速及时管控涉疫地区，市县一体高效开展全员核酸检测，强化院感防控督导检查，全力保障群众基本就医需求，以最短时间、最小代价实现了社会面清零见底。</w:t>
      </w:r>
    </w:p>
    <w:p>
      <w:pPr>
        <w:pStyle w:val="14"/>
        <w:shd w:val="clear" w:color="auto" w:fill="FFFFFF"/>
        <w:spacing w:before="0" w:beforeAutospacing="0" w:after="0" w:afterAutospacing="0" w:line="576" w:lineRule="exact"/>
        <w:ind w:firstLine="642" w:firstLineChars="200"/>
        <w:jc w:val="both"/>
        <w:rPr>
          <w:rFonts w:ascii="仿宋_GB2312" w:hAnsi="仿宋" w:eastAsia="仿宋_GB2312" w:cs="仿宋"/>
          <w:sz w:val="32"/>
          <w:szCs w:val="32"/>
        </w:rPr>
      </w:pPr>
      <w:r>
        <w:rPr>
          <w:rFonts w:hint="eastAsia" w:ascii="仿宋_GB2312" w:hAnsi="楷体_GB2312" w:eastAsia="仿宋_GB2312" w:cs="楷体_GB2312"/>
          <w:b/>
          <w:bCs/>
          <w:sz w:val="32"/>
          <w:szCs w:val="32"/>
        </w:rPr>
        <w:t>2.</w:t>
      </w:r>
      <w:r>
        <w:rPr>
          <w:rFonts w:hint="eastAsia" w:ascii="仿宋_GB2312" w:hAnsi="仿宋_GB2312" w:eastAsia="仿宋_GB2312" w:cs="仿宋_GB2312"/>
          <w:b/>
          <w:bCs/>
          <w:sz w:val="32"/>
          <w:szCs w:val="32"/>
        </w:rPr>
        <w:t>着力提升医疗卫生服务水平。</w:t>
      </w:r>
      <w:r>
        <w:rPr>
          <w:rFonts w:hint="eastAsia" w:ascii="仿宋_GB2312" w:hAnsi="仿宋" w:eastAsia="仿宋_GB2312" w:cs="仿宋"/>
          <w:sz w:val="32"/>
          <w:szCs w:val="32"/>
        </w:rPr>
        <w:t>持续深化医药卫生体制改革，</w:t>
      </w:r>
      <w:r>
        <w:rPr>
          <w:rFonts w:hint="eastAsia" w:ascii="仿宋_GB2312" w:hAnsi="仿宋_GB2312" w:eastAsia="仿宋_GB2312" w:cs="仿宋_GB2312"/>
          <w:sz w:val="32"/>
          <w:szCs w:val="32"/>
        </w:rPr>
        <w:t>加快发展“互联网＋医疗健康”。</w:t>
      </w:r>
      <w:r>
        <w:rPr>
          <w:rFonts w:hint="eastAsia" w:ascii="仿宋_GB2312" w:hAnsi="仿宋" w:eastAsia="仿宋_GB2312" w:cs="仿宋"/>
          <w:sz w:val="32"/>
          <w:szCs w:val="32"/>
          <w:u w:val="single"/>
        </w:rPr>
        <w:t>县第一人民医院成功挂牌并顺利开</w:t>
      </w:r>
      <w:r>
        <w:rPr>
          <w:rFonts w:hint="eastAsia" w:ascii="仿宋_GB2312" w:hAnsi="仿宋_GB2312" w:eastAsia="仿宋_GB2312" w:cs="仿宋_GB2312"/>
          <w:sz w:val="32"/>
          <w:szCs w:val="32"/>
          <w:u w:val="single"/>
        </w:rPr>
        <w:t>诊，元山县域医疗卫生次中心综</w:t>
      </w:r>
      <w:r>
        <w:rPr>
          <w:rFonts w:hint="eastAsia" w:ascii="仿宋_GB2312" w:hAnsi="仿宋" w:eastAsia="仿宋_GB2312" w:cs="仿宋"/>
          <w:sz w:val="32"/>
          <w:szCs w:val="32"/>
          <w:u w:val="single"/>
        </w:rPr>
        <w:t>合住院楼开工完成市定民生实事目标。</w:t>
      </w:r>
      <w:r>
        <w:rPr>
          <w:rFonts w:hint="eastAsia" w:ascii="仿宋_GB2312" w:hAnsi="仿宋" w:eastAsia="仿宋_GB2312" w:cs="仿宋"/>
          <w:sz w:val="32"/>
          <w:szCs w:val="32"/>
        </w:rPr>
        <w:t>深入开展东西部协作和省内对口帮扶，推动优质医疗资源下沉，先后培养业务骨干和管理人员420余人，引进新项目新技术20余项。县人民医院充分利用绵阳市中心医院组团式帮扶、广元市第一人民医院院地合作等契机强化人才培养、拓展业务发展；县中医医院持续巩固儿科等市级重点专科建设成果，推进危急重症救治能力项目；县妇幼保健院与华西妇女儿童医院、成都市妇女儿童中心医院经常性开展“传、帮、带”活动，不断提升专科救治能力；全县乡镇卫生院继续开展“优质服务基层行”活动，4家乡镇卫生院达到优质服务基层行活动基本标准。截至目前，全年总诊疗200.23万人次，出院7.67万人。</w:t>
      </w:r>
    </w:p>
    <w:p>
      <w:pPr>
        <w:pStyle w:val="14"/>
        <w:shd w:val="clear" w:color="auto" w:fill="FFFFFF"/>
        <w:spacing w:before="0" w:beforeAutospacing="0" w:after="0" w:afterAutospacing="0" w:line="576" w:lineRule="exact"/>
        <w:ind w:firstLine="642" w:firstLineChars="200"/>
        <w:jc w:val="both"/>
        <w:rPr>
          <w:rFonts w:ascii="仿宋_GB2312" w:hAnsi="Times New Roman" w:eastAsia="仿宋_GB2312" w:cs="仿宋_GB2312"/>
          <w:kern w:val="24"/>
          <w:sz w:val="32"/>
          <w:szCs w:val="32"/>
        </w:rPr>
      </w:pPr>
      <w:r>
        <w:rPr>
          <w:rFonts w:hint="eastAsia" w:ascii="仿宋_GB2312" w:hAnsi="楷体_GB2312" w:eastAsia="仿宋_GB2312" w:cs="楷体_GB2312"/>
          <w:b/>
          <w:bCs/>
          <w:sz w:val="32"/>
          <w:szCs w:val="32"/>
        </w:rPr>
        <w:t>3.规范实施基本公共卫生服务。</w:t>
      </w:r>
      <w:r>
        <w:rPr>
          <w:rFonts w:hint="eastAsia" w:ascii="仿宋_GB2312" w:eastAsia="仿宋_GB2312" w:cs="仿宋_GB2312"/>
          <w:kern w:val="24"/>
          <w:sz w:val="32"/>
          <w:szCs w:val="32"/>
        </w:rPr>
        <w:t>全县建立居民电子健康档案423288人，电子建档率99.83%。</w:t>
      </w:r>
      <w:r>
        <w:rPr>
          <w:rFonts w:hint="eastAsia" w:ascii="仿宋_GB2312" w:hAnsi="Times New Roman" w:eastAsia="仿宋_GB2312" w:cs="仿宋_GB2312"/>
          <w:kern w:val="24"/>
          <w:sz w:val="32"/>
          <w:szCs w:val="32"/>
        </w:rPr>
        <w:t>全县常住人口</w:t>
      </w:r>
      <w:r>
        <w:rPr>
          <w:rFonts w:hint="eastAsia" w:ascii="仿宋_GB2312" w:eastAsia="仿宋_GB2312" w:cs="仿宋_GB2312"/>
          <w:kern w:val="24"/>
          <w:sz w:val="32"/>
          <w:szCs w:val="32"/>
        </w:rPr>
        <w:t>家庭医生</w:t>
      </w:r>
      <w:r>
        <w:rPr>
          <w:rFonts w:hint="eastAsia" w:ascii="仿宋_GB2312" w:hAnsi="Times New Roman" w:eastAsia="仿宋_GB2312" w:cs="仿宋_GB2312"/>
          <w:kern w:val="24"/>
          <w:sz w:val="32"/>
          <w:szCs w:val="32"/>
        </w:rPr>
        <w:t>签约率为70.86%，重点人群签约率达88.37%。强化</w:t>
      </w:r>
      <w:r>
        <w:rPr>
          <w:rFonts w:hint="eastAsia" w:ascii="仿宋_GB2312" w:hAnsi="仿宋_GB2312" w:eastAsia="仿宋_GB2312" w:cs="仿宋_GB2312"/>
          <w:sz w:val="32"/>
          <w:szCs w:val="32"/>
        </w:rPr>
        <w:t>国家免疫规划和传染病管理，</w:t>
      </w:r>
      <w:r>
        <w:rPr>
          <w:rFonts w:hint="eastAsia" w:ascii="仿宋_GB2312" w:hAnsi="Times New Roman" w:eastAsia="仿宋_GB2312" w:cs="仿宋_GB2312"/>
          <w:kern w:val="24"/>
          <w:sz w:val="32"/>
          <w:szCs w:val="32"/>
        </w:rPr>
        <w:t>免疫规划疫苗报告接种率95％以上。严格落实母婴安全五</w:t>
      </w:r>
      <w:r>
        <w:rPr>
          <w:rFonts w:hint="eastAsia" w:ascii="仿宋_GB2312" w:hAnsi="仿宋_GB2312" w:eastAsia="仿宋_GB2312" w:cs="仿宋_GB2312"/>
          <w:sz w:val="32"/>
          <w:szCs w:val="32"/>
        </w:rPr>
        <w:t>项制度，两癌筛查超额完成市下目标任务。</w:t>
      </w:r>
      <w:r>
        <w:rPr>
          <w:rFonts w:hint="eastAsia" w:ascii="仿宋_GB2312" w:hAnsi="仿宋_GB2312" w:eastAsia="仿宋_GB2312" w:cs="仿宋_GB2312"/>
          <w:sz w:val="32"/>
          <w:szCs w:val="32"/>
          <w:u w:val="single"/>
        </w:rPr>
        <w:t>严重精神障碍管理治疗工作综合评分排名全市第二，长效针剂门诊治疗项目推进情况位列</w:t>
      </w:r>
      <w:r>
        <w:rPr>
          <w:rFonts w:hint="eastAsia" w:ascii="仿宋_GB2312" w:hAnsi="Times New Roman" w:eastAsia="仿宋_GB2312" w:cs="仿宋_GB2312"/>
          <w:kern w:val="24"/>
          <w:sz w:val="32"/>
          <w:szCs w:val="32"/>
          <w:u w:val="single"/>
        </w:rPr>
        <w:t>全市第一。</w:t>
      </w:r>
      <w:r>
        <w:rPr>
          <w:rFonts w:hint="eastAsia" w:ascii="仿宋_GB2312" w:hAnsi="Times New Roman" w:eastAsia="仿宋_GB2312" w:cs="仿宋_GB2312"/>
          <w:kern w:val="24"/>
          <w:sz w:val="32"/>
          <w:szCs w:val="32"/>
        </w:rPr>
        <w:t>发展多元化养老托育服务。</w:t>
      </w:r>
      <w:r>
        <w:rPr>
          <w:rFonts w:hint="eastAsia" w:ascii="仿宋_GB2312" w:hAnsi="宋体" w:eastAsia="仿宋_GB2312" w:cs="宋体"/>
          <w:bCs/>
          <w:sz w:val="32"/>
          <w:szCs w:val="32"/>
        </w:rPr>
        <w:t>全县共有9家养老院与当地乡镇卫生院签定医养服务协议，2家县级医院和5家中心卫生院成功创建为老年友善医疗机构，10家乡镇卫生院52个家庭医生团队为1097名65岁以上失能老年人开展“健康敲门行动”。</w:t>
      </w:r>
      <w:r>
        <w:rPr>
          <w:rFonts w:hint="eastAsia" w:ascii="仿宋_GB2312" w:hAnsi="Times New Roman" w:eastAsia="仿宋_GB2312" w:cs="仿宋_GB2312"/>
          <w:kern w:val="24"/>
          <w:sz w:val="32"/>
          <w:szCs w:val="32"/>
        </w:rPr>
        <w:t>全县达到国家托育服务标准的有14家，共招收3岁以下幼儿363人。</w:t>
      </w:r>
    </w:p>
    <w:p>
      <w:pPr>
        <w:pStyle w:val="14"/>
        <w:shd w:val="clear" w:color="auto" w:fill="FFFFFF"/>
        <w:spacing w:before="0" w:beforeAutospacing="0" w:after="0" w:afterAutospacing="0" w:line="576" w:lineRule="exact"/>
        <w:ind w:firstLine="642" w:firstLineChars="200"/>
        <w:jc w:val="both"/>
        <w:rPr>
          <w:rFonts w:ascii="仿宋_GB2312" w:hAnsi="仿宋_GB2312" w:eastAsia="仿宋_GB2312" w:cs="仿宋_GB2312"/>
          <w:sz w:val="32"/>
          <w:szCs w:val="32"/>
        </w:rPr>
      </w:pPr>
      <w:r>
        <w:rPr>
          <w:rFonts w:hint="eastAsia" w:ascii="仿宋_GB2312" w:hAnsi="楷体_GB2312" w:eastAsia="仿宋_GB2312" w:cs="楷体_GB2312"/>
          <w:b/>
          <w:bCs/>
          <w:sz w:val="32"/>
          <w:szCs w:val="32"/>
        </w:rPr>
        <w:t>4.扎实做好卫生健康重点工作。</w:t>
      </w:r>
      <w:r>
        <w:rPr>
          <w:rFonts w:hint="eastAsia" w:ascii="仿宋_GB2312" w:hAnsi="Times New Roman" w:eastAsia="仿宋_GB2312" w:cs="仿宋_GB2312"/>
          <w:kern w:val="24"/>
          <w:sz w:val="32"/>
          <w:szCs w:val="32"/>
        </w:rPr>
        <w:t>圆满完成县委、县政府各项重大活动的疫情防控和医疗卫生保障工作，全年没有出现越级上访、群体性上访事件，没有发生安全生产事故。</w:t>
      </w:r>
      <w:r>
        <w:rPr>
          <w:rFonts w:hint="eastAsia" w:ascii="仿宋_GB2312" w:hAnsi="仿宋" w:eastAsia="仿宋_GB2312" w:cs="仿宋"/>
          <w:bCs/>
          <w:sz w:val="32"/>
          <w:szCs w:val="32"/>
        </w:rPr>
        <w:t>深入开展爱国卫生运动，加快创建省级健康促进县，建成健康细胞50569个，累计开展健康教育宣传活动1500余次，发放宣传资料500万余份。</w:t>
      </w:r>
      <w:r>
        <w:rPr>
          <w:rFonts w:hint="eastAsia" w:ascii="仿宋_GB2312" w:hAnsi="宋体" w:eastAsia="仿宋_GB2312" w:cs="宋体"/>
          <w:bCs/>
          <w:sz w:val="32"/>
          <w:szCs w:val="32"/>
        </w:rPr>
        <w:t>完成“两奖两扶”资金拨付1922.86万元。</w:t>
      </w:r>
      <w:r>
        <w:rPr>
          <w:rFonts w:hint="eastAsia" w:ascii="仿宋_GB2312" w:eastAsia="仿宋_GB2312"/>
          <w:sz w:val="32"/>
          <w:szCs w:val="32"/>
        </w:rPr>
        <w:t>持续巩固拓展健康扶贫成果，建立风险人员动态管理台账，累计推送255条风险线索</w:t>
      </w:r>
      <w:r>
        <w:rPr>
          <w:rFonts w:hint="eastAsia" w:ascii="仿宋_GB2312" w:hAnsi="Times New Roman" w:eastAsia="仿宋_GB2312" w:cs="仿宋_GB2312"/>
          <w:kern w:val="24"/>
          <w:sz w:val="32"/>
          <w:szCs w:val="32"/>
        </w:rPr>
        <w:t>。</w:t>
      </w:r>
      <w:r>
        <w:rPr>
          <w:rFonts w:hint="eastAsia" w:ascii="仿宋_GB2312" w:hAnsi="仿宋_GB2312" w:eastAsia="仿宋_GB2312" w:cs="仿宋_GB2312"/>
          <w:sz w:val="32"/>
          <w:szCs w:val="32"/>
        </w:rPr>
        <w:t>规范医疗废物管理，督促落实12家医疗机构在今年年底前接入医废在线监管平台。切实提升卫生健康监督效能，全年共打击非法行医1家，坐堂行医3家，出具监督意见书238份，立案处罚49件，处罚款23.28万元，推送涉医问题线索429条，全部完成限时办结。持续深化干部纪律作风整顿工作，筑牢意识形态阵地。通过“健康剑阁”微信公众号等载体发布信息1224余条。全年撰写并发布网评文章108篇、宣传稿件90余篇。</w:t>
      </w:r>
      <w:bookmarkStart w:id="14" w:name="_Toc15377200"/>
      <w:bookmarkStart w:id="15" w:name="_Toc15396601"/>
    </w:p>
    <w:p>
      <w:pPr>
        <w:pStyle w:val="14"/>
        <w:shd w:val="clear" w:color="auto" w:fill="FFFFFF"/>
        <w:spacing w:before="0" w:beforeAutospacing="0" w:after="0" w:afterAutospacing="0" w:line="576" w:lineRule="exact"/>
        <w:ind w:firstLine="642" w:firstLineChars="200"/>
        <w:jc w:val="both"/>
        <w:rPr>
          <w:rFonts w:ascii="黑体" w:hAnsi="黑体" w:eastAsia="黑体"/>
          <w:b/>
          <w:sz w:val="32"/>
          <w:szCs w:val="32"/>
        </w:rPr>
      </w:pPr>
      <w:r>
        <w:rPr>
          <w:rFonts w:hint="eastAsia" w:ascii="黑体" w:hAnsi="黑体" w:eastAsia="黑体"/>
          <w:b/>
          <w:kern w:val="2"/>
          <w:sz w:val="32"/>
          <w:szCs w:val="32"/>
        </w:rPr>
        <w:t>二、机</w:t>
      </w:r>
      <w:r>
        <w:rPr>
          <w:rFonts w:hint="eastAsia" w:ascii="黑体" w:hAnsi="黑体" w:eastAsia="黑体"/>
          <w:b/>
          <w:sz w:val="32"/>
          <w:szCs w:val="32"/>
        </w:rPr>
        <w:t>构设置</w:t>
      </w:r>
      <w:bookmarkEnd w:id="14"/>
      <w:bookmarkEnd w:id="15"/>
    </w:p>
    <w:p>
      <w:pPr>
        <w:pStyle w:val="14"/>
        <w:shd w:val="clear" w:color="auto" w:fill="FFFFFF"/>
        <w:spacing w:before="0" w:beforeAutospacing="0" w:after="0" w:afterAutospacing="0" w:line="576" w:lineRule="exact"/>
        <w:ind w:firstLine="640" w:firstLineChars="200"/>
        <w:jc w:val="both"/>
        <w:rPr>
          <w:rFonts w:ascii="仿宋_GB2312" w:hAnsi="黑体" w:eastAsia="仿宋_GB2312"/>
          <w:bCs/>
          <w:sz w:val="32"/>
          <w:szCs w:val="32"/>
        </w:rPr>
      </w:pPr>
      <w:r>
        <w:rPr>
          <w:rFonts w:hint="eastAsia" w:ascii="仿宋_GB2312" w:hAnsi="黑体" w:eastAsia="仿宋_GB2312"/>
          <w:bCs/>
          <w:sz w:val="32"/>
          <w:szCs w:val="32"/>
        </w:rPr>
        <w:t>剑阁县卫生健康局下属二级预算单位36个，其中行政单位0个，参照公务员法管理的事业单位0个，其他事业单位36个。</w:t>
      </w:r>
    </w:p>
    <w:p>
      <w:pPr>
        <w:pStyle w:val="14"/>
        <w:shd w:val="clear" w:color="auto" w:fill="FFFFFF"/>
        <w:spacing w:before="0" w:beforeAutospacing="0" w:after="0" w:afterAutospacing="0" w:line="576" w:lineRule="exact"/>
        <w:ind w:firstLine="640" w:firstLineChars="200"/>
        <w:jc w:val="both"/>
        <w:rPr>
          <w:rFonts w:ascii="仿宋_GB2312" w:hAnsi="黑体" w:eastAsia="仿宋_GB2312"/>
          <w:bCs/>
          <w:sz w:val="32"/>
          <w:szCs w:val="32"/>
        </w:rPr>
      </w:pPr>
      <w:r>
        <w:rPr>
          <w:rFonts w:hint="eastAsia" w:ascii="仿宋_GB2312" w:hAnsi="黑体" w:eastAsia="仿宋_GB2312"/>
          <w:bCs/>
          <w:sz w:val="32"/>
          <w:szCs w:val="32"/>
        </w:rPr>
        <w:t>纳入剑阁县卫生系统2022年度部门决算编制范围的二级预算单位包括：</w:t>
      </w:r>
    </w:p>
    <w:p>
      <w:pPr>
        <w:pStyle w:val="14"/>
        <w:shd w:val="clear" w:color="auto" w:fill="FFFFFF"/>
        <w:spacing w:before="0" w:beforeAutospacing="0" w:after="0" w:afterAutospacing="0" w:line="576" w:lineRule="exact"/>
        <w:ind w:firstLine="640" w:firstLineChars="200"/>
        <w:jc w:val="both"/>
        <w:rPr>
          <w:rFonts w:ascii="仿宋_GB2312" w:hAnsi="黑体" w:eastAsia="仿宋_GB2312"/>
          <w:bCs/>
          <w:sz w:val="32"/>
          <w:szCs w:val="32"/>
        </w:rPr>
      </w:pPr>
      <w:r>
        <w:rPr>
          <w:rFonts w:hint="eastAsia" w:ascii="仿宋_GB2312" w:hAnsi="黑体" w:eastAsia="仿宋_GB2312"/>
          <w:bCs/>
          <w:sz w:val="32"/>
          <w:szCs w:val="32"/>
        </w:rPr>
        <w:t>1.剑阁县人民医院</w:t>
      </w:r>
    </w:p>
    <w:p>
      <w:pPr>
        <w:pStyle w:val="14"/>
        <w:shd w:val="clear" w:color="auto" w:fill="FFFFFF"/>
        <w:spacing w:before="0" w:beforeAutospacing="0" w:after="0" w:afterAutospacing="0" w:line="576" w:lineRule="exact"/>
        <w:ind w:firstLine="640" w:firstLineChars="200"/>
        <w:jc w:val="both"/>
        <w:rPr>
          <w:rFonts w:ascii="仿宋_GB2312" w:hAnsi="黑体" w:eastAsia="仿宋_GB2312"/>
          <w:bCs/>
          <w:sz w:val="32"/>
          <w:szCs w:val="32"/>
        </w:rPr>
      </w:pPr>
      <w:r>
        <w:rPr>
          <w:rFonts w:hint="eastAsia" w:ascii="仿宋_GB2312" w:hAnsi="黑体" w:eastAsia="仿宋_GB2312"/>
          <w:bCs/>
          <w:sz w:val="32"/>
          <w:szCs w:val="32"/>
        </w:rPr>
        <w:t>2.剑阁县中医院</w:t>
      </w:r>
    </w:p>
    <w:p>
      <w:pPr>
        <w:pStyle w:val="14"/>
        <w:shd w:val="clear" w:color="auto" w:fill="FFFFFF"/>
        <w:spacing w:before="0" w:beforeAutospacing="0" w:after="0" w:afterAutospacing="0" w:line="576" w:lineRule="exact"/>
        <w:ind w:firstLine="640" w:firstLineChars="200"/>
        <w:jc w:val="both"/>
        <w:rPr>
          <w:rFonts w:ascii="仿宋_GB2312" w:hAnsi="黑体" w:eastAsia="仿宋_GB2312"/>
          <w:bCs/>
          <w:sz w:val="32"/>
          <w:szCs w:val="32"/>
        </w:rPr>
      </w:pPr>
      <w:r>
        <w:rPr>
          <w:rFonts w:hint="eastAsia" w:ascii="仿宋_GB2312" w:hAnsi="黑体" w:eastAsia="仿宋_GB2312"/>
          <w:bCs/>
          <w:sz w:val="32"/>
          <w:szCs w:val="32"/>
        </w:rPr>
        <w:t>3.剑阁县第一人民医院</w:t>
      </w:r>
    </w:p>
    <w:p>
      <w:pPr>
        <w:pStyle w:val="14"/>
        <w:shd w:val="clear" w:color="auto" w:fill="FFFFFF"/>
        <w:spacing w:before="0" w:beforeAutospacing="0" w:after="0" w:afterAutospacing="0" w:line="576" w:lineRule="exact"/>
        <w:ind w:firstLine="640" w:firstLineChars="200"/>
        <w:jc w:val="both"/>
        <w:rPr>
          <w:rFonts w:ascii="仿宋_GB2312" w:hAnsi="黑体" w:eastAsia="仿宋_GB2312"/>
          <w:bCs/>
          <w:sz w:val="32"/>
          <w:szCs w:val="32"/>
        </w:rPr>
      </w:pPr>
      <w:r>
        <w:rPr>
          <w:rFonts w:hint="eastAsia" w:ascii="仿宋_GB2312" w:hAnsi="黑体" w:eastAsia="仿宋_GB2312"/>
          <w:bCs/>
          <w:sz w:val="32"/>
          <w:szCs w:val="32"/>
        </w:rPr>
        <w:t>4.剑阁县妇幼保健院</w:t>
      </w:r>
    </w:p>
    <w:p>
      <w:pPr>
        <w:pStyle w:val="14"/>
        <w:shd w:val="clear" w:color="auto" w:fill="FFFFFF"/>
        <w:spacing w:before="0" w:beforeAutospacing="0" w:after="0" w:afterAutospacing="0" w:line="576" w:lineRule="exact"/>
        <w:ind w:firstLine="640" w:firstLineChars="200"/>
        <w:jc w:val="both"/>
        <w:rPr>
          <w:rFonts w:ascii="仿宋_GB2312" w:hAnsi="黑体" w:eastAsia="仿宋_GB2312"/>
          <w:bCs/>
          <w:sz w:val="32"/>
          <w:szCs w:val="32"/>
        </w:rPr>
      </w:pPr>
      <w:r>
        <w:rPr>
          <w:rFonts w:hint="eastAsia" w:ascii="仿宋_GB2312" w:hAnsi="黑体" w:eastAsia="仿宋_GB2312"/>
          <w:bCs/>
          <w:sz w:val="32"/>
          <w:szCs w:val="32"/>
        </w:rPr>
        <w:t>5.剑阁县疾病预防控制中心</w:t>
      </w:r>
    </w:p>
    <w:p>
      <w:pPr>
        <w:pStyle w:val="14"/>
        <w:shd w:val="clear" w:color="auto" w:fill="FFFFFF"/>
        <w:spacing w:before="0" w:beforeAutospacing="0" w:after="0" w:afterAutospacing="0" w:line="576" w:lineRule="exact"/>
        <w:ind w:firstLine="640" w:firstLineChars="200"/>
        <w:jc w:val="both"/>
        <w:rPr>
          <w:rFonts w:ascii="仿宋_GB2312" w:hAnsi="黑体" w:eastAsia="仿宋_GB2312"/>
          <w:bCs/>
          <w:sz w:val="32"/>
          <w:szCs w:val="32"/>
        </w:rPr>
      </w:pPr>
      <w:r>
        <w:rPr>
          <w:rFonts w:hint="eastAsia" w:ascii="仿宋_GB2312" w:hAnsi="黑体" w:eastAsia="仿宋_GB2312"/>
          <w:bCs/>
          <w:sz w:val="32"/>
          <w:szCs w:val="32"/>
        </w:rPr>
        <w:t>6.剑阁县普安镇中心卫生院</w:t>
      </w:r>
    </w:p>
    <w:p>
      <w:pPr>
        <w:pStyle w:val="14"/>
        <w:shd w:val="clear" w:color="auto" w:fill="FFFFFF"/>
        <w:spacing w:before="0" w:beforeAutospacing="0" w:after="0" w:afterAutospacing="0" w:line="576" w:lineRule="exact"/>
        <w:ind w:firstLine="640" w:firstLineChars="200"/>
        <w:jc w:val="both"/>
        <w:rPr>
          <w:rFonts w:ascii="仿宋_GB2312" w:hAnsi="黑体" w:eastAsia="仿宋_GB2312"/>
          <w:bCs/>
          <w:sz w:val="32"/>
          <w:szCs w:val="32"/>
        </w:rPr>
      </w:pPr>
      <w:r>
        <w:rPr>
          <w:rFonts w:hint="eastAsia" w:ascii="仿宋_GB2312" w:hAnsi="黑体" w:eastAsia="仿宋_GB2312"/>
          <w:bCs/>
          <w:sz w:val="32"/>
          <w:szCs w:val="32"/>
        </w:rPr>
        <w:t>7.剑阁县龙源镇卫生院</w:t>
      </w:r>
    </w:p>
    <w:p>
      <w:pPr>
        <w:pStyle w:val="14"/>
        <w:shd w:val="clear" w:color="auto" w:fill="FFFFFF"/>
        <w:spacing w:before="0" w:beforeAutospacing="0" w:after="0" w:afterAutospacing="0" w:line="576" w:lineRule="exact"/>
        <w:ind w:firstLine="640" w:firstLineChars="200"/>
        <w:jc w:val="both"/>
        <w:rPr>
          <w:rFonts w:ascii="仿宋_GB2312" w:hAnsi="黑体" w:eastAsia="仿宋_GB2312"/>
          <w:bCs/>
          <w:sz w:val="32"/>
          <w:szCs w:val="32"/>
        </w:rPr>
      </w:pPr>
      <w:r>
        <w:rPr>
          <w:rFonts w:hint="eastAsia" w:ascii="仿宋_GB2312" w:hAnsi="黑体" w:eastAsia="仿宋_GB2312"/>
          <w:bCs/>
          <w:sz w:val="32"/>
          <w:szCs w:val="32"/>
        </w:rPr>
        <w:t>8.剑阁县姚家乡卫生院</w:t>
      </w:r>
    </w:p>
    <w:p>
      <w:pPr>
        <w:pStyle w:val="14"/>
        <w:shd w:val="clear" w:color="auto" w:fill="FFFFFF"/>
        <w:spacing w:before="0" w:beforeAutospacing="0" w:after="0" w:afterAutospacing="0" w:line="576" w:lineRule="exact"/>
        <w:ind w:firstLine="640" w:firstLineChars="200"/>
        <w:jc w:val="both"/>
        <w:rPr>
          <w:rFonts w:ascii="仿宋_GB2312" w:hAnsi="黑体" w:eastAsia="仿宋_GB2312"/>
          <w:bCs/>
          <w:sz w:val="32"/>
          <w:szCs w:val="32"/>
        </w:rPr>
      </w:pPr>
      <w:r>
        <w:rPr>
          <w:rFonts w:hint="eastAsia" w:ascii="仿宋_GB2312" w:hAnsi="黑体" w:eastAsia="仿宋_GB2312"/>
          <w:bCs/>
          <w:sz w:val="32"/>
          <w:szCs w:val="32"/>
        </w:rPr>
        <w:t>9.剑阁县柳沟镇中心卫生院</w:t>
      </w:r>
    </w:p>
    <w:p>
      <w:pPr>
        <w:pStyle w:val="14"/>
        <w:shd w:val="clear" w:color="auto" w:fill="FFFFFF"/>
        <w:spacing w:before="0" w:beforeAutospacing="0" w:after="0" w:afterAutospacing="0" w:line="576" w:lineRule="exact"/>
        <w:ind w:firstLine="640" w:firstLineChars="200"/>
        <w:jc w:val="both"/>
        <w:rPr>
          <w:rFonts w:ascii="仿宋_GB2312" w:hAnsi="黑体" w:eastAsia="仿宋_GB2312"/>
          <w:bCs/>
          <w:sz w:val="32"/>
          <w:szCs w:val="32"/>
        </w:rPr>
      </w:pPr>
      <w:r>
        <w:rPr>
          <w:rFonts w:hint="eastAsia" w:ascii="仿宋_GB2312" w:hAnsi="黑体" w:eastAsia="仿宋_GB2312"/>
          <w:bCs/>
          <w:sz w:val="32"/>
          <w:szCs w:val="32"/>
        </w:rPr>
        <w:t>10.剑阁县义兴镇卫生院</w:t>
      </w:r>
    </w:p>
    <w:p>
      <w:pPr>
        <w:pStyle w:val="14"/>
        <w:shd w:val="clear" w:color="auto" w:fill="FFFFFF"/>
        <w:spacing w:before="0" w:beforeAutospacing="0" w:after="0" w:afterAutospacing="0" w:line="576" w:lineRule="exact"/>
        <w:ind w:firstLine="640" w:firstLineChars="200"/>
        <w:jc w:val="both"/>
        <w:rPr>
          <w:rFonts w:ascii="仿宋_GB2312" w:hAnsi="黑体" w:eastAsia="仿宋_GB2312"/>
          <w:bCs/>
          <w:sz w:val="32"/>
          <w:szCs w:val="32"/>
        </w:rPr>
      </w:pPr>
      <w:r>
        <w:rPr>
          <w:rFonts w:hint="eastAsia" w:ascii="仿宋_GB2312" w:hAnsi="黑体" w:eastAsia="仿宋_GB2312"/>
          <w:bCs/>
          <w:sz w:val="32"/>
          <w:szCs w:val="32"/>
        </w:rPr>
        <w:t>11.剑阁县盐店镇卫生院</w:t>
      </w:r>
    </w:p>
    <w:p>
      <w:pPr>
        <w:pStyle w:val="14"/>
        <w:shd w:val="clear" w:color="auto" w:fill="FFFFFF"/>
        <w:spacing w:before="0" w:beforeAutospacing="0" w:after="0" w:afterAutospacing="0" w:line="576" w:lineRule="exact"/>
        <w:ind w:firstLine="640" w:firstLineChars="200"/>
        <w:jc w:val="both"/>
        <w:rPr>
          <w:rFonts w:ascii="仿宋_GB2312" w:hAnsi="黑体" w:eastAsia="仿宋_GB2312"/>
          <w:bCs/>
          <w:sz w:val="32"/>
          <w:szCs w:val="32"/>
        </w:rPr>
      </w:pPr>
      <w:r>
        <w:rPr>
          <w:rFonts w:hint="eastAsia" w:ascii="仿宋_GB2312" w:hAnsi="黑体" w:eastAsia="仿宋_GB2312"/>
          <w:bCs/>
          <w:sz w:val="32"/>
          <w:szCs w:val="32"/>
        </w:rPr>
        <w:t>12.剑阁县盐店镇西店卫生院</w:t>
      </w:r>
    </w:p>
    <w:p>
      <w:pPr>
        <w:pStyle w:val="14"/>
        <w:shd w:val="clear" w:color="auto" w:fill="FFFFFF"/>
        <w:spacing w:before="0" w:beforeAutospacing="0" w:after="0" w:afterAutospacing="0" w:line="576" w:lineRule="exact"/>
        <w:ind w:firstLine="640" w:firstLineChars="200"/>
        <w:jc w:val="both"/>
        <w:rPr>
          <w:rFonts w:ascii="仿宋_GB2312" w:hAnsi="黑体" w:eastAsia="仿宋_GB2312"/>
          <w:bCs/>
          <w:sz w:val="32"/>
          <w:szCs w:val="32"/>
        </w:rPr>
      </w:pPr>
      <w:r>
        <w:rPr>
          <w:rFonts w:hint="eastAsia" w:ascii="仿宋_GB2312" w:hAnsi="黑体" w:eastAsia="仿宋_GB2312"/>
          <w:bCs/>
          <w:sz w:val="32"/>
          <w:szCs w:val="32"/>
        </w:rPr>
        <w:t>13.剑阁县武连镇中心卫生院</w:t>
      </w:r>
    </w:p>
    <w:p>
      <w:pPr>
        <w:pStyle w:val="14"/>
        <w:shd w:val="clear" w:color="auto" w:fill="FFFFFF"/>
        <w:spacing w:before="0" w:beforeAutospacing="0" w:after="0" w:afterAutospacing="0" w:line="576" w:lineRule="exact"/>
        <w:ind w:firstLine="640" w:firstLineChars="200"/>
        <w:jc w:val="both"/>
        <w:rPr>
          <w:rFonts w:ascii="仿宋_GB2312" w:hAnsi="黑体" w:eastAsia="仿宋_GB2312"/>
          <w:bCs/>
          <w:sz w:val="32"/>
          <w:szCs w:val="32"/>
        </w:rPr>
      </w:pPr>
      <w:r>
        <w:rPr>
          <w:rFonts w:hint="eastAsia" w:ascii="仿宋_GB2312" w:hAnsi="黑体" w:eastAsia="仿宋_GB2312"/>
          <w:bCs/>
          <w:sz w:val="32"/>
          <w:szCs w:val="32"/>
        </w:rPr>
        <w:t>14.剑阁县东宝镇卫生院</w:t>
      </w:r>
    </w:p>
    <w:p>
      <w:pPr>
        <w:pStyle w:val="14"/>
        <w:shd w:val="clear" w:color="auto" w:fill="FFFFFF"/>
        <w:spacing w:before="0" w:beforeAutospacing="0" w:after="0" w:afterAutospacing="0" w:line="576" w:lineRule="exact"/>
        <w:ind w:firstLine="640" w:firstLineChars="200"/>
        <w:jc w:val="both"/>
        <w:rPr>
          <w:rFonts w:ascii="仿宋_GB2312" w:hAnsi="黑体" w:eastAsia="仿宋_GB2312"/>
          <w:bCs/>
          <w:sz w:val="32"/>
          <w:szCs w:val="32"/>
        </w:rPr>
      </w:pPr>
      <w:r>
        <w:rPr>
          <w:rFonts w:hint="eastAsia" w:ascii="仿宋_GB2312" w:hAnsi="黑体" w:eastAsia="仿宋_GB2312"/>
          <w:bCs/>
          <w:sz w:val="32"/>
          <w:szCs w:val="32"/>
        </w:rPr>
        <w:t>15.剑阁县秀钟乡卫生院</w:t>
      </w:r>
    </w:p>
    <w:p>
      <w:pPr>
        <w:pStyle w:val="14"/>
        <w:shd w:val="clear" w:color="auto" w:fill="FFFFFF"/>
        <w:spacing w:before="0" w:beforeAutospacing="0" w:after="0" w:afterAutospacing="0" w:line="576" w:lineRule="exact"/>
        <w:ind w:firstLine="640" w:firstLineChars="200"/>
        <w:jc w:val="both"/>
        <w:rPr>
          <w:rFonts w:ascii="仿宋_GB2312" w:hAnsi="黑体" w:eastAsia="仿宋_GB2312"/>
          <w:bCs/>
          <w:sz w:val="32"/>
          <w:szCs w:val="32"/>
        </w:rPr>
      </w:pPr>
      <w:r>
        <w:rPr>
          <w:rFonts w:hint="eastAsia" w:ascii="仿宋_GB2312" w:hAnsi="黑体" w:eastAsia="仿宋_GB2312"/>
          <w:bCs/>
          <w:sz w:val="32"/>
          <w:szCs w:val="32"/>
        </w:rPr>
        <w:t>16.剑阁县开封镇中心卫生院</w:t>
      </w:r>
    </w:p>
    <w:p>
      <w:pPr>
        <w:pStyle w:val="14"/>
        <w:shd w:val="clear" w:color="auto" w:fill="FFFFFF"/>
        <w:spacing w:before="0" w:beforeAutospacing="0" w:after="0" w:afterAutospacing="0" w:line="576" w:lineRule="exact"/>
        <w:ind w:firstLine="640" w:firstLineChars="200"/>
        <w:jc w:val="both"/>
        <w:rPr>
          <w:rFonts w:ascii="仿宋_GB2312" w:hAnsi="黑体" w:eastAsia="仿宋_GB2312"/>
          <w:bCs/>
          <w:sz w:val="32"/>
          <w:szCs w:val="32"/>
        </w:rPr>
      </w:pPr>
      <w:r>
        <w:rPr>
          <w:rFonts w:hint="eastAsia" w:ascii="仿宋_GB2312" w:hAnsi="黑体" w:eastAsia="仿宋_GB2312"/>
          <w:bCs/>
          <w:sz w:val="32"/>
          <w:szCs w:val="32"/>
        </w:rPr>
        <w:t>17.剑阁县元山镇中心卫生院</w:t>
      </w:r>
    </w:p>
    <w:p>
      <w:pPr>
        <w:pStyle w:val="14"/>
        <w:shd w:val="clear" w:color="auto" w:fill="FFFFFF"/>
        <w:spacing w:before="0" w:beforeAutospacing="0" w:after="0" w:afterAutospacing="0" w:line="576" w:lineRule="exact"/>
        <w:ind w:firstLine="640" w:firstLineChars="200"/>
        <w:jc w:val="both"/>
        <w:rPr>
          <w:rFonts w:ascii="仿宋_GB2312" w:hAnsi="黑体" w:eastAsia="仿宋_GB2312"/>
          <w:bCs/>
          <w:sz w:val="32"/>
          <w:szCs w:val="32"/>
        </w:rPr>
      </w:pPr>
      <w:r>
        <w:rPr>
          <w:rFonts w:hint="eastAsia" w:ascii="仿宋_GB2312" w:hAnsi="黑体" w:eastAsia="仿宋_GB2312"/>
          <w:bCs/>
          <w:sz w:val="32"/>
          <w:szCs w:val="32"/>
        </w:rPr>
        <w:t>18.剑阁县王河镇卫生院</w:t>
      </w:r>
    </w:p>
    <w:p>
      <w:pPr>
        <w:pStyle w:val="14"/>
        <w:shd w:val="clear" w:color="auto" w:fill="FFFFFF"/>
        <w:spacing w:before="0" w:beforeAutospacing="0" w:after="0" w:afterAutospacing="0" w:line="576" w:lineRule="exact"/>
        <w:ind w:firstLine="640" w:firstLineChars="200"/>
        <w:jc w:val="both"/>
        <w:rPr>
          <w:rFonts w:ascii="仿宋_GB2312" w:hAnsi="黑体" w:eastAsia="仿宋_GB2312"/>
          <w:bCs/>
          <w:sz w:val="32"/>
          <w:szCs w:val="32"/>
        </w:rPr>
      </w:pPr>
      <w:r>
        <w:rPr>
          <w:rFonts w:hint="eastAsia" w:ascii="仿宋_GB2312" w:hAnsi="黑体" w:eastAsia="仿宋_GB2312"/>
          <w:bCs/>
          <w:sz w:val="32"/>
          <w:szCs w:val="32"/>
        </w:rPr>
        <w:t>19.剑阁县演圣镇卫生院</w:t>
      </w:r>
    </w:p>
    <w:p>
      <w:pPr>
        <w:pStyle w:val="14"/>
        <w:shd w:val="clear" w:color="auto" w:fill="FFFFFF"/>
        <w:spacing w:before="0" w:beforeAutospacing="0" w:after="0" w:afterAutospacing="0" w:line="576" w:lineRule="exact"/>
        <w:ind w:firstLine="640" w:firstLineChars="200"/>
        <w:jc w:val="both"/>
        <w:rPr>
          <w:rFonts w:ascii="仿宋_GB2312" w:hAnsi="黑体" w:eastAsia="仿宋_GB2312"/>
          <w:bCs/>
          <w:sz w:val="32"/>
          <w:szCs w:val="32"/>
        </w:rPr>
      </w:pPr>
      <w:r>
        <w:rPr>
          <w:rFonts w:hint="eastAsia" w:ascii="仿宋_GB2312" w:hAnsi="黑体" w:eastAsia="仿宋_GB2312"/>
          <w:bCs/>
          <w:sz w:val="32"/>
          <w:szCs w:val="32"/>
        </w:rPr>
        <w:t>20.剑阁县公兴镇中心卫生院</w:t>
      </w:r>
    </w:p>
    <w:p>
      <w:pPr>
        <w:pStyle w:val="14"/>
        <w:shd w:val="clear" w:color="auto" w:fill="FFFFFF"/>
        <w:spacing w:before="0" w:beforeAutospacing="0" w:after="0" w:afterAutospacing="0" w:line="576" w:lineRule="exact"/>
        <w:ind w:firstLine="640" w:firstLineChars="200"/>
        <w:jc w:val="both"/>
        <w:rPr>
          <w:rFonts w:ascii="仿宋_GB2312" w:hAnsi="黑体" w:eastAsia="仿宋_GB2312"/>
          <w:bCs/>
          <w:sz w:val="32"/>
          <w:szCs w:val="32"/>
        </w:rPr>
      </w:pPr>
      <w:r>
        <w:rPr>
          <w:rFonts w:hint="eastAsia" w:ascii="仿宋_GB2312" w:hAnsi="黑体" w:eastAsia="仿宋_GB2312"/>
          <w:bCs/>
          <w:sz w:val="32"/>
          <w:szCs w:val="32"/>
        </w:rPr>
        <w:t>21.剑阁县金仙镇卫生院</w:t>
      </w:r>
    </w:p>
    <w:p>
      <w:pPr>
        <w:pStyle w:val="14"/>
        <w:shd w:val="clear" w:color="auto" w:fill="FFFFFF"/>
        <w:spacing w:before="0" w:beforeAutospacing="0" w:after="0" w:afterAutospacing="0" w:line="576" w:lineRule="exact"/>
        <w:ind w:firstLine="640" w:firstLineChars="200"/>
        <w:jc w:val="both"/>
        <w:rPr>
          <w:rFonts w:ascii="仿宋_GB2312" w:hAnsi="黑体" w:eastAsia="仿宋_GB2312"/>
          <w:bCs/>
          <w:sz w:val="32"/>
          <w:szCs w:val="32"/>
        </w:rPr>
      </w:pPr>
      <w:r>
        <w:rPr>
          <w:rFonts w:hint="eastAsia" w:ascii="仿宋_GB2312" w:hAnsi="黑体" w:eastAsia="仿宋_GB2312"/>
          <w:bCs/>
          <w:sz w:val="32"/>
          <w:szCs w:val="32"/>
        </w:rPr>
        <w:t>22.剑阁县金仙镇长岭卫生院</w:t>
      </w:r>
    </w:p>
    <w:p>
      <w:pPr>
        <w:pStyle w:val="14"/>
        <w:shd w:val="clear" w:color="auto" w:fill="FFFFFF"/>
        <w:spacing w:before="0" w:beforeAutospacing="0" w:after="0" w:afterAutospacing="0" w:line="576" w:lineRule="exact"/>
        <w:ind w:firstLine="640" w:firstLineChars="200"/>
        <w:jc w:val="both"/>
        <w:rPr>
          <w:rFonts w:ascii="仿宋_GB2312" w:hAnsi="黑体" w:eastAsia="仿宋_GB2312"/>
          <w:bCs/>
          <w:sz w:val="32"/>
          <w:szCs w:val="32"/>
        </w:rPr>
      </w:pPr>
      <w:r>
        <w:rPr>
          <w:rFonts w:hint="eastAsia" w:ascii="仿宋_GB2312" w:hAnsi="黑体" w:eastAsia="仿宋_GB2312"/>
          <w:bCs/>
          <w:sz w:val="32"/>
          <w:szCs w:val="32"/>
        </w:rPr>
        <w:t>23.剑阁县涂山镇卫生院</w:t>
      </w:r>
    </w:p>
    <w:p>
      <w:pPr>
        <w:pStyle w:val="14"/>
        <w:shd w:val="clear" w:color="auto" w:fill="FFFFFF"/>
        <w:spacing w:before="0" w:beforeAutospacing="0" w:after="0" w:afterAutospacing="0" w:line="576" w:lineRule="exact"/>
        <w:ind w:firstLine="640" w:firstLineChars="200"/>
        <w:jc w:val="both"/>
        <w:rPr>
          <w:rFonts w:ascii="仿宋_GB2312" w:hAnsi="黑体" w:eastAsia="仿宋_GB2312"/>
          <w:bCs/>
          <w:sz w:val="32"/>
          <w:szCs w:val="32"/>
        </w:rPr>
      </w:pPr>
      <w:r>
        <w:rPr>
          <w:rFonts w:hint="eastAsia" w:ascii="仿宋_GB2312" w:hAnsi="黑体" w:eastAsia="仿宋_GB2312"/>
          <w:bCs/>
          <w:sz w:val="32"/>
          <w:szCs w:val="32"/>
        </w:rPr>
        <w:t>24.剑阁县香沉镇卫生院</w:t>
      </w:r>
    </w:p>
    <w:p>
      <w:pPr>
        <w:pStyle w:val="14"/>
        <w:shd w:val="clear" w:color="auto" w:fill="FFFFFF"/>
        <w:spacing w:before="0" w:beforeAutospacing="0" w:after="0" w:afterAutospacing="0" w:line="576" w:lineRule="exact"/>
        <w:ind w:firstLine="640" w:firstLineChars="200"/>
        <w:jc w:val="both"/>
        <w:rPr>
          <w:rFonts w:ascii="仿宋_GB2312" w:hAnsi="黑体" w:eastAsia="仿宋_GB2312"/>
          <w:bCs/>
          <w:sz w:val="32"/>
          <w:szCs w:val="32"/>
        </w:rPr>
      </w:pPr>
      <w:r>
        <w:rPr>
          <w:rFonts w:hint="eastAsia" w:ascii="仿宋_GB2312" w:hAnsi="黑体" w:eastAsia="仿宋_GB2312"/>
          <w:bCs/>
          <w:sz w:val="32"/>
          <w:szCs w:val="32"/>
        </w:rPr>
        <w:t>25.剑阁县白龙镇中心卫生院</w:t>
      </w:r>
    </w:p>
    <w:p>
      <w:pPr>
        <w:pStyle w:val="14"/>
        <w:shd w:val="clear" w:color="auto" w:fill="FFFFFF"/>
        <w:spacing w:before="0" w:beforeAutospacing="0" w:after="0" w:afterAutospacing="0" w:line="576" w:lineRule="exact"/>
        <w:ind w:firstLine="640" w:firstLineChars="200"/>
        <w:jc w:val="both"/>
        <w:rPr>
          <w:rFonts w:ascii="仿宋_GB2312" w:hAnsi="黑体" w:eastAsia="仿宋_GB2312"/>
          <w:bCs/>
          <w:sz w:val="32"/>
          <w:szCs w:val="32"/>
        </w:rPr>
      </w:pPr>
      <w:r>
        <w:rPr>
          <w:rFonts w:hint="eastAsia" w:ascii="仿宋_GB2312" w:hAnsi="黑体" w:eastAsia="仿宋_GB2312"/>
          <w:bCs/>
          <w:sz w:val="32"/>
          <w:szCs w:val="32"/>
        </w:rPr>
        <w:t>26.剑阁县店子镇卫生院</w:t>
      </w:r>
    </w:p>
    <w:p>
      <w:pPr>
        <w:pStyle w:val="14"/>
        <w:shd w:val="clear" w:color="auto" w:fill="FFFFFF"/>
        <w:spacing w:before="0" w:beforeAutospacing="0" w:after="0" w:afterAutospacing="0" w:line="576" w:lineRule="exact"/>
        <w:ind w:firstLine="640" w:firstLineChars="200"/>
        <w:jc w:val="both"/>
        <w:rPr>
          <w:rFonts w:ascii="仿宋_GB2312" w:hAnsi="黑体" w:eastAsia="仿宋_GB2312"/>
          <w:bCs/>
          <w:sz w:val="32"/>
          <w:szCs w:val="32"/>
        </w:rPr>
      </w:pPr>
      <w:r>
        <w:rPr>
          <w:rFonts w:hint="eastAsia" w:ascii="仿宋_GB2312" w:hAnsi="黑体" w:eastAsia="仿宋_GB2312"/>
          <w:bCs/>
          <w:sz w:val="32"/>
          <w:szCs w:val="32"/>
        </w:rPr>
        <w:t>27.剑阁县鹤龄镇中心卫生院</w:t>
      </w:r>
    </w:p>
    <w:p>
      <w:pPr>
        <w:pStyle w:val="14"/>
        <w:shd w:val="clear" w:color="auto" w:fill="FFFFFF"/>
        <w:spacing w:before="0" w:beforeAutospacing="0" w:after="0" w:afterAutospacing="0" w:line="576" w:lineRule="exact"/>
        <w:ind w:firstLine="640" w:firstLineChars="200"/>
        <w:jc w:val="both"/>
        <w:rPr>
          <w:rFonts w:ascii="仿宋_GB2312" w:hAnsi="黑体" w:eastAsia="仿宋_GB2312"/>
          <w:bCs/>
          <w:sz w:val="32"/>
          <w:szCs w:val="32"/>
        </w:rPr>
      </w:pPr>
      <w:r>
        <w:rPr>
          <w:rFonts w:hint="eastAsia" w:ascii="仿宋_GB2312" w:hAnsi="黑体" w:eastAsia="仿宋_GB2312"/>
          <w:bCs/>
          <w:sz w:val="32"/>
          <w:szCs w:val="32"/>
        </w:rPr>
        <w:t>28.剑阁县杨村镇卫生院</w:t>
      </w:r>
    </w:p>
    <w:p>
      <w:pPr>
        <w:pStyle w:val="14"/>
        <w:shd w:val="clear" w:color="auto" w:fill="FFFFFF"/>
        <w:spacing w:before="0" w:beforeAutospacing="0" w:after="0" w:afterAutospacing="0" w:line="576" w:lineRule="exact"/>
        <w:ind w:firstLine="640" w:firstLineChars="200"/>
        <w:jc w:val="both"/>
        <w:rPr>
          <w:rFonts w:ascii="仿宋_GB2312" w:hAnsi="黑体" w:eastAsia="仿宋_GB2312"/>
          <w:bCs/>
          <w:sz w:val="32"/>
          <w:szCs w:val="32"/>
        </w:rPr>
      </w:pPr>
      <w:r>
        <w:rPr>
          <w:rFonts w:hint="eastAsia" w:ascii="仿宋_GB2312" w:hAnsi="黑体" w:eastAsia="仿宋_GB2312"/>
          <w:bCs/>
          <w:sz w:val="32"/>
          <w:szCs w:val="32"/>
        </w:rPr>
        <w:t>29.剑阁县羊岭镇卫生院</w:t>
      </w:r>
    </w:p>
    <w:p>
      <w:pPr>
        <w:pStyle w:val="14"/>
        <w:shd w:val="clear" w:color="auto" w:fill="FFFFFF"/>
        <w:spacing w:before="0" w:beforeAutospacing="0" w:after="0" w:afterAutospacing="0" w:line="576" w:lineRule="exact"/>
        <w:ind w:firstLine="640" w:firstLineChars="200"/>
        <w:jc w:val="both"/>
        <w:rPr>
          <w:rFonts w:ascii="仿宋_GB2312" w:hAnsi="黑体" w:eastAsia="仿宋_GB2312"/>
          <w:bCs/>
          <w:sz w:val="32"/>
          <w:szCs w:val="32"/>
        </w:rPr>
      </w:pPr>
      <w:r>
        <w:rPr>
          <w:rFonts w:hint="eastAsia" w:ascii="仿宋_GB2312" w:hAnsi="黑体" w:eastAsia="仿宋_GB2312"/>
          <w:bCs/>
          <w:sz w:val="32"/>
          <w:szCs w:val="32"/>
        </w:rPr>
        <w:t>30.剑阁县樵店乡卫生院</w:t>
      </w:r>
    </w:p>
    <w:p>
      <w:pPr>
        <w:pStyle w:val="14"/>
        <w:shd w:val="clear" w:color="auto" w:fill="FFFFFF"/>
        <w:spacing w:before="0" w:beforeAutospacing="0" w:after="0" w:afterAutospacing="0" w:line="576" w:lineRule="exact"/>
        <w:ind w:firstLine="640" w:firstLineChars="200"/>
        <w:jc w:val="both"/>
        <w:rPr>
          <w:rFonts w:ascii="仿宋_GB2312" w:hAnsi="黑体" w:eastAsia="仿宋_GB2312"/>
          <w:bCs/>
          <w:sz w:val="32"/>
          <w:szCs w:val="32"/>
        </w:rPr>
      </w:pPr>
      <w:r>
        <w:rPr>
          <w:rFonts w:hint="eastAsia" w:ascii="仿宋_GB2312" w:hAnsi="黑体" w:eastAsia="仿宋_GB2312"/>
          <w:bCs/>
          <w:sz w:val="32"/>
          <w:szCs w:val="32"/>
        </w:rPr>
        <w:t>31.剑阁县江口镇中心卫生院</w:t>
      </w:r>
    </w:p>
    <w:p>
      <w:pPr>
        <w:pStyle w:val="14"/>
        <w:shd w:val="clear" w:color="auto" w:fill="FFFFFF"/>
        <w:spacing w:before="0" w:beforeAutospacing="0" w:after="0" w:afterAutospacing="0" w:line="576" w:lineRule="exact"/>
        <w:ind w:firstLine="640" w:firstLineChars="200"/>
        <w:jc w:val="both"/>
        <w:rPr>
          <w:rFonts w:ascii="仿宋_GB2312" w:hAnsi="黑体" w:eastAsia="仿宋_GB2312"/>
          <w:bCs/>
          <w:sz w:val="32"/>
          <w:szCs w:val="32"/>
        </w:rPr>
      </w:pPr>
      <w:r>
        <w:rPr>
          <w:rFonts w:hint="eastAsia" w:ascii="仿宋_GB2312" w:hAnsi="黑体" w:eastAsia="仿宋_GB2312"/>
          <w:bCs/>
          <w:sz w:val="32"/>
          <w:szCs w:val="32"/>
        </w:rPr>
        <w:t>32.剑阁县木马镇卫生院</w:t>
      </w:r>
    </w:p>
    <w:p>
      <w:pPr>
        <w:pStyle w:val="14"/>
        <w:shd w:val="clear" w:color="auto" w:fill="FFFFFF"/>
        <w:spacing w:before="0" w:beforeAutospacing="0" w:after="0" w:afterAutospacing="0" w:line="576" w:lineRule="exact"/>
        <w:ind w:firstLine="640" w:firstLineChars="200"/>
        <w:jc w:val="both"/>
        <w:rPr>
          <w:rFonts w:ascii="仿宋_GB2312" w:hAnsi="黑体" w:eastAsia="仿宋_GB2312"/>
          <w:bCs/>
          <w:sz w:val="32"/>
          <w:szCs w:val="32"/>
        </w:rPr>
      </w:pPr>
      <w:r>
        <w:rPr>
          <w:rFonts w:hint="eastAsia" w:ascii="仿宋_GB2312" w:hAnsi="黑体" w:eastAsia="仿宋_GB2312"/>
          <w:bCs/>
          <w:sz w:val="32"/>
          <w:szCs w:val="32"/>
        </w:rPr>
        <w:t>33.剑阁县张王镇卫生院</w:t>
      </w:r>
    </w:p>
    <w:p>
      <w:pPr>
        <w:pStyle w:val="14"/>
        <w:shd w:val="clear" w:color="auto" w:fill="FFFFFF"/>
        <w:spacing w:before="0" w:beforeAutospacing="0" w:after="0" w:afterAutospacing="0" w:line="576" w:lineRule="exact"/>
        <w:ind w:firstLine="640" w:firstLineChars="200"/>
        <w:jc w:val="both"/>
        <w:rPr>
          <w:rFonts w:ascii="仿宋_GB2312" w:hAnsi="黑体" w:eastAsia="仿宋_GB2312"/>
          <w:bCs/>
          <w:sz w:val="32"/>
          <w:szCs w:val="32"/>
        </w:rPr>
      </w:pPr>
      <w:r>
        <w:rPr>
          <w:rFonts w:hint="eastAsia" w:ascii="仿宋_GB2312" w:hAnsi="黑体" w:eastAsia="仿宋_GB2312"/>
          <w:bCs/>
          <w:sz w:val="32"/>
          <w:szCs w:val="32"/>
        </w:rPr>
        <w:t>34.剑阁县下寺镇中心卫生院</w:t>
      </w:r>
    </w:p>
    <w:p>
      <w:pPr>
        <w:pStyle w:val="14"/>
        <w:shd w:val="clear" w:color="auto" w:fill="FFFFFF"/>
        <w:spacing w:before="0" w:beforeAutospacing="0" w:after="0" w:afterAutospacing="0" w:line="576" w:lineRule="exact"/>
        <w:ind w:firstLine="640" w:firstLineChars="200"/>
        <w:jc w:val="both"/>
        <w:rPr>
          <w:rFonts w:ascii="仿宋_GB2312" w:hAnsi="黑体" w:eastAsia="仿宋_GB2312"/>
          <w:bCs/>
          <w:sz w:val="32"/>
          <w:szCs w:val="32"/>
        </w:rPr>
      </w:pPr>
      <w:r>
        <w:rPr>
          <w:rFonts w:hint="eastAsia" w:ascii="仿宋_GB2312" w:hAnsi="黑体" w:eastAsia="仿宋_GB2312"/>
          <w:bCs/>
          <w:sz w:val="32"/>
          <w:szCs w:val="32"/>
        </w:rPr>
        <w:t>35.剑阁县剑门关镇中心卫生院</w:t>
      </w:r>
    </w:p>
    <w:p>
      <w:pPr>
        <w:pStyle w:val="14"/>
        <w:shd w:val="clear" w:color="auto" w:fill="FFFFFF"/>
        <w:spacing w:before="0" w:beforeAutospacing="0" w:after="0" w:afterAutospacing="0" w:line="576" w:lineRule="exact"/>
        <w:ind w:firstLine="640" w:firstLineChars="200"/>
        <w:jc w:val="both"/>
        <w:rPr>
          <w:rFonts w:ascii="仿宋_GB2312" w:hAnsi="黑体" w:eastAsia="仿宋_GB2312"/>
          <w:bCs/>
          <w:sz w:val="32"/>
          <w:szCs w:val="32"/>
        </w:rPr>
      </w:pPr>
      <w:r>
        <w:rPr>
          <w:rFonts w:hint="eastAsia" w:ascii="仿宋_GB2312" w:hAnsi="黑体" w:eastAsia="仿宋_GB2312"/>
          <w:bCs/>
          <w:sz w:val="32"/>
          <w:szCs w:val="32"/>
        </w:rPr>
        <w:t>36.剑阁县汉阳镇卫生院</w:t>
      </w:r>
    </w:p>
    <w:p>
      <w:pPr>
        <w:pStyle w:val="14"/>
        <w:shd w:val="clear" w:color="auto" w:fill="FFFFFF"/>
        <w:spacing w:before="0" w:beforeAutospacing="0" w:after="0" w:afterAutospacing="0" w:line="576" w:lineRule="exact"/>
        <w:ind w:firstLine="642" w:firstLineChars="200"/>
        <w:jc w:val="both"/>
        <w:rPr>
          <w:rFonts w:ascii="黑体" w:hAnsi="黑体" w:eastAsia="黑体"/>
          <w:b/>
          <w:bCs/>
          <w:sz w:val="32"/>
          <w:szCs w:val="32"/>
        </w:rPr>
      </w:pPr>
      <w:r>
        <w:rPr>
          <w:rFonts w:hint="eastAsia" w:ascii="MS Mincho" w:hAnsi="MS Mincho" w:eastAsia="MS Mincho" w:cs="MS Mincho"/>
          <w:b/>
          <w:bCs/>
          <w:sz w:val="32"/>
          <w:szCs w:val="32"/>
        </w:rPr>
        <w:t> </w:t>
      </w:r>
    </w:p>
    <w:p>
      <w:pPr>
        <w:spacing w:line="576" w:lineRule="exact"/>
        <w:jc w:val="center"/>
        <w:rPr>
          <w:rFonts w:ascii="方正小标宋简体" w:hAnsi="仿宋_GB2312" w:eastAsia="方正小标宋简体" w:cs="仿宋_GB2312"/>
          <w:b/>
          <w:sz w:val="44"/>
          <w:szCs w:val="44"/>
        </w:rPr>
      </w:pPr>
      <w:bookmarkStart w:id="16" w:name="_Toc15396602"/>
      <w:bookmarkStart w:id="17" w:name="_Toc15377204"/>
      <w:r>
        <w:rPr>
          <w:rFonts w:hint="eastAsia" w:ascii="方正小标宋简体" w:hAnsi="仿宋_GB2312" w:eastAsia="方正小标宋简体" w:cs="仿宋_GB2312"/>
          <w:b/>
          <w:sz w:val="44"/>
          <w:szCs w:val="44"/>
        </w:rPr>
        <w:t>第二部分 2022年度</w:t>
      </w:r>
      <w:r>
        <w:rPr>
          <w:rFonts w:hint="eastAsia" w:ascii="方正小标宋简体" w:hAnsi="仿宋_GB2312" w:eastAsia="方正小标宋简体" w:cs="仿宋_GB2312"/>
          <w:b/>
          <w:bCs/>
          <w:sz w:val="44"/>
          <w:szCs w:val="44"/>
        </w:rPr>
        <w:t>部门决算情况说明</w:t>
      </w:r>
      <w:bookmarkEnd w:id="16"/>
      <w:bookmarkEnd w:id="17"/>
    </w:p>
    <w:p>
      <w:pPr>
        <w:spacing w:line="576" w:lineRule="exact"/>
      </w:pPr>
    </w:p>
    <w:p>
      <w:pPr>
        <w:spacing w:line="576" w:lineRule="exact"/>
        <w:ind w:firstLine="642" w:firstLineChars="200"/>
        <w:rPr>
          <w:rFonts w:ascii="黑体" w:hAnsi="黑体" w:eastAsia="黑体"/>
          <w:b/>
          <w:bCs/>
          <w:sz w:val="32"/>
          <w:szCs w:val="32"/>
        </w:rPr>
      </w:pPr>
      <w:bookmarkStart w:id="18" w:name="_Toc15377205"/>
      <w:bookmarkStart w:id="19" w:name="_Toc15396603"/>
      <w:r>
        <w:rPr>
          <w:rFonts w:hint="eastAsia" w:ascii="黑体" w:hAnsi="黑体" w:eastAsia="黑体"/>
          <w:b/>
          <w:sz w:val="32"/>
          <w:szCs w:val="32"/>
        </w:rPr>
        <w:t>一、收</w:t>
      </w:r>
      <w:r>
        <w:rPr>
          <w:rFonts w:hint="eastAsia" w:ascii="黑体" w:hAnsi="黑体" w:eastAsia="黑体"/>
          <w:b/>
          <w:bCs/>
          <w:sz w:val="32"/>
          <w:szCs w:val="32"/>
        </w:rPr>
        <w:t>入支出决算总体情况说明</w:t>
      </w:r>
      <w:bookmarkEnd w:id="18"/>
      <w:bookmarkEnd w:id="19"/>
    </w:p>
    <w:p>
      <w:pPr>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2022年度收、支总计91844.04万元。与2021年相比，收、支总计各增加6261.83万元，增长7.32%。主要变动原因是新冠疫情影响各医疗机构医疗业务收入下降。</w:t>
      </w:r>
    </w:p>
    <w:p>
      <w:pPr>
        <w:widowControl/>
        <w:jc w:val="left"/>
      </w:pPr>
      <w:bookmarkStart w:id="20" w:name="_Toc15377206"/>
      <w:bookmarkStart w:id="21" w:name="_Toc15396604"/>
      <w:r>
        <w:rPr>
          <w:rFonts w:ascii="宋体" w:hAnsi="宋体" w:cs="宋体"/>
          <w:kern w:val="0"/>
          <w:sz w:val="24"/>
        </w:rPr>
        <w:drawing>
          <wp:inline distT="0" distB="0" distL="114300" distR="114300">
            <wp:extent cx="5325745" cy="3138805"/>
            <wp:effectExtent l="19050" t="0" r="7925" b="0"/>
            <wp:docPr id="1" name="图片 1"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true"/>
                    </pic:cNvPicPr>
                  </pic:nvPicPr>
                  <pic:blipFill>
                    <a:blip r:embed="rId7"/>
                    <a:stretch>
                      <a:fillRect/>
                    </a:stretch>
                  </pic:blipFill>
                  <pic:spPr>
                    <a:xfrm>
                      <a:off x="0" y="0"/>
                      <a:ext cx="5326648" cy="3139323"/>
                    </a:xfrm>
                    <a:prstGeom prst="rect">
                      <a:avLst/>
                    </a:prstGeom>
                    <a:noFill/>
                    <a:ln w="9525">
                      <a:noFill/>
                    </a:ln>
                  </pic:spPr>
                </pic:pic>
              </a:graphicData>
            </a:graphic>
          </wp:inline>
        </w:drawing>
      </w:r>
    </w:p>
    <w:p>
      <w:pPr>
        <w:spacing w:line="600" w:lineRule="exact"/>
        <w:ind w:left="640"/>
        <w:outlineLvl w:val="1"/>
        <w:rPr>
          <w:rStyle w:val="30"/>
          <w:rFonts w:ascii="黑体" w:hAnsi="黑体" w:eastAsia="黑体"/>
          <w:b w:val="0"/>
        </w:rPr>
      </w:pPr>
      <w:r>
        <w:rPr>
          <w:rFonts w:hint="eastAsia" w:ascii="黑体" w:hAnsi="黑体" w:eastAsia="黑体"/>
          <w:b/>
          <w:sz w:val="32"/>
          <w:szCs w:val="32"/>
        </w:rPr>
        <w:t>二、收</w:t>
      </w:r>
      <w:r>
        <w:rPr>
          <w:rStyle w:val="30"/>
          <w:rFonts w:hint="eastAsia" w:ascii="黑体" w:hAnsi="黑体" w:eastAsia="黑体"/>
          <w:b w:val="0"/>
        </w:rPr>
        <w:t>入决算情况说明</w:t>
      </w:r>
      <w:bookmarkEnd w:id="20"/>
      <w:bookmarkEnd w:id="21"/>
    </w:p>
    <w:p>
      <w:pPr>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2022年本年收入合计91844.04万元，其中：一般公共预算财政拨款收入19717.93万元，占21.47%；政府性基金预算财政拨款收入7000万元，占7.62%；国有资本经营预算财政拨款收入0万元，占0%；上级补助收入0万元，占0%；事业收入63653.6万元，占69.31%；经营收入0万元，占0%；附属单位上缴收入0万元，占0%；其他收入1472.51万元，占1.6%。</w:t>
      </w:r>
    </w:p>
    <w:p>
      <w:pPr>
        <w:widowControl/>
        <w:jc w:val="center"/>
        <w:rPr>
          <w:rFonts w:ascii="仿宋_GB2312" w:eastAsia="仿宋_GB2312"/>
          <w:sz w:val="32"/>
          <w:szCs w:val="32"/>
        </w:rPr>
      </w:pPr>
      <w:r>
        <w:rPr>
          <w:rFonts w:ascii="宋体" w:hAnsi="宋体" w:cs="宋体"/>
          <w:kern w:val="0"/>
          <w:sz w:val="24"/>
        </w:rPr>
        <w:drawing>
          <wp:inline distT="0" distB="0" distL="114300" distR="114300">
            <wp:extent cx="4237355" cy="2620010"/>
            <wp:effectExtent l="19050" t="0" r="0" b="0"/>
            <wp:docPr id="12" name="图片 12"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12" descr="IMG_256"/>
                    <pic:cNvPicPr>
                      <a:picLocks noChangeAspect="true"/>
                    </pic:cNvPicPr>
                  </pic:nvPicPr>
                  <pic:blipFill>
                    <a:blip r:embed="rId8"/>
                    <a:stretch>
                      <a:fillRect/>
                    </a:stretch>
                  </pic:blipFill>
                  <pic:spPr>
                    <a:xfrm>
                      <a:off x="0" y="0"/>
                      <a:ext cx="4249734" cy="2627625"/>
                    </a:xfrm>
                    <a:prstGeom prst="rect">
                      <a:avLst/>
                    </a:prstGeom>
                    <a:noFill/>
                    <a:ln w="9525">
                      <a:noFill/>
                    </a:ln>
                  </pic:spPr>
                </pic:pic>
              </a:graphicData>
            </a:graphic>
          </wp:inline>
        </w:drawing>
      </w:r>
    </w:p>
    <w:p>
      <w:pPr>
        <w:spacing w:line="576" w:lineRule="exact"/>
        <w:ind w:left="640"/>
        <w:outlineLvl w:val="1"/>
        <w:rPr>
          <w:rFonts w:ascii="黑体" w:hAnsi="黑体" w:eastAsia="黑体"/>
          <w:b/>
          <w:bCs/>
          <w:sz w:val="32"/>
          <w:szCs w:val="32"/>
        </w:rPr>
      </w:pPr>
      <w:bookmarkStart w:id="22" w:name="_Toc15396605"/>
      <w:bookmarkStart w:id="23" w:name="_Toc15377207"/>
      <w:r>
        <w:rPr>
          <w:rFonts w:hint="eastAsia" w:ascii="黑体" w:hAnsi="黑体" w:eastAsia="黑体"/>
          <w:b/>
          <w:sz w:val="32"/>
          <w:szCs w:val="32"/>
        </w:rPr>
        <w:t>三、支</w:t>
      </w:r>
      <w:r>
        <w:rPr>
          <w:rFonts w:hint="eastAsia" w:ascii="黑体" w:hAnsi="黑体" w:eastAsia="黑体"/>
          <w:b/>
          <w:bCs/>
          <w:sz w:val="32"/>
          <w:szCs w:val="32"/>
        </w:rPr>
        <w:t>出决算情况说明</w:t>
      </w:r>
      <w:bookmarkEnd w:id="22"/>
      <w:bookmarkEnd w:id="23"/>
    </w:p>
    <w:p>
      <w:pPr>
        <w:spacing w:line="576" w:lineRule="exact"/>
        <w:ind w:firstLine="640" w:firstLineChars="200"/>
        <w:outlineLvl w:val="1"/>
        <w:rPr>
          <w:rFonts w:ascii="仿宋_GB2312" w:hAnsi="仿宋" w:eastAsia="仿宋_GB2312"/>
          <w:sz w:val="32"/>
          <w:szCs w:val="32"/>
        </w:rPr>
      </w:pPr>
      <w:r>
        <w:rPr>
          <w:rFonts w:hint="eastAsia" w:ascii="仿宋_GB2312" w:hAnsi="仿宋" w:eastAsia="仿宋_GB2312"/>
          <w:sz w:val="32"/>
          <w:szCs w:val="32"/>
        </w:rPr>
        <w:t>2022年本年支出合计92296.41万元，其中：基本支出78402.03万元，占84.95%；项目支出13894.38万元，占15.05%；上缴上级支出0万元，占0%；经营支出0万元，占0%；对附属单位补助支出0万元，占0%。</w:t>
      </w:r>
    </w:p>
    <w:p>
      <w:pPr>
        <w:widowControl/>
        <w:jc w:val="center"/>
      </w:pPr>
      <w:bookmarkStart w:id="24" w:name="_Toc15377208"/>
      <w:bookmarkStart w:id="25" w:name="_Toc15396606"/>
      <w:r>
        <w:rPr>
          <w:rFonts w:ascii="宋体" w:hAnsi="宋体" w:cs="宋体"/>
          <w:kern w:val="0"/>
          <w:sz w:val="24"/>
        </w:rPr>
        <w:drawing>
          <wp:inline distT="0" distB="0" distL="114300" distR="114300">
            <wp:extent cx="4001135" cy="2383155"/>
            <wp:effectExtent l="19050" t="0" r="0" b="0"/>
            <wp:docPr id="13" name="图片 13"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图片 13" descr="IMG_256"/>
                    <pic:cNvPicPr>
                      <a:picLocks noChangeAspect="true"/>
                    </pic:cNvPicPr>
                  </pic:nvPicPr>
                  <pic:blipFill>
                    <a:blip r:embed="rId9"/>
                    <a:stretch>
                      <a:fillRect/>
                    </a:stretch>
                  </pic:blipFill>
                  <pic:spPr>
                    <a:xfrm>
                      <a:off x="0" y="0"/>
                      <a:ext cx="4008863" cy="2387887"/>
                    </a:xfrm>
                    <a:prstGeom prst="rect">
                      <a:avLst/>
                    </a:prstGeom>
                    <a:noFill/>
                    <a:ln w="9525">
                      <a:noFill/>
                    </a:ln>
                  </pic:spPr>
                </pic:pic>
              </a:graphicData>
            </a:graphic>
          </wp:inline>
        </w:drawing>
      </w:r>
    </w:p>
    <w:p>
      <w:pPr>
        <w:spacing w:line="576" w:lineRule="exact"/>
        <w:ind w:left="640"/>
        <w:outlineLvl w:val="1"/>
        <w:rPr>
          <w:rFonts w:ascii="黑体" w:hAnsi="黑体" w:eastAsia="黑体"/>
          <w:b/>
          <w:bCs/>
          <w:sz w:val="32"/>
          <w:szCs w:val="32"/>
        </w:rPr>
      </w:pPr>
      <w:r>
        <w:rPr>
          <w:rFonts w:hint="eastAsia" w:ascii="黑体" w:hAnsi="黑体" w:eastAsia="黑体"/>
          <w:b/>
          <w:sz w:val="32"/>
          <w:szCs w:val="32"/>
        </w:rPr>
        <w:t>四、财</w:t>
      </w:r>
      <w:r>
        <w:rPr>
          <w:rFonts w:hint="eastAsia" w:ascii="黑体" w:hAnsi="黑体" w:eastAsia="黑体"/>
          <w:b/>
          <w:bCs/>
          <w:sz w:val="32"/>
          <w:szCs w:val="32"/>
        </w:rPr>
        <w:t>政拨款收入支出决算总体情况说明</w:t>
      </w:r>
      <w:bookmarkEnd w:id="24"/>
      <w:bookmarkEnd w:id="25"/>
    </w:p>
    <w:p>
      <w:pPr>
        <w:spacing w:line="576" w:lineRule="exact"/>
        <w:ind w:firstLine="641"/>
        <w:rPr>
          <w:rFonts w:ascii="仿宋_GB2312" w:hAnsi="仿宋" w:eastAsia="仿宋_GB2312"/>
          <w:sz w:val="32"/>
          <w:szCs w:val="32"/>
        </w:rPr>
      </w:pPr>
      <w:r>
        <w:rPr>
          <w:rFonts w:ascii="仿宋_GB2312" w:hAnsi="仿宋" w:eastAsia="仿宋_GB2312"/>
          <w:sz w:val="32"/>
          <w:szCs w:val="32"/>
        </w:rPr>
        <w:t>20</w:t>
      </w:r>
      <w:r>
        <w:rPr>
          <w:rFonts w:hint="eastAsia" w:ascii="仿宋_GB2312" w:hAnsi="仿宋" w:eastAsia="仿宋_GB2312"/>
          <w:sz w:val="32"/>
          <w:szCs w:val="32"/>
        </w:rPr>
        <w:t>22年财政拨款收、支总计26717.93万元。与</w:t>
      </w:r>
      <w:r>
        <w:rPr>
          <w:rFonts w:ascii="仿宋_GB2312" w:hAnsi="仿宋" w:eastAsia="仿宋_GB2312"/>
          <w:sz w:val="32"/>
          <w:szCs w:val="32"/>
        </w:rPr>
        <w:t>20</w:t>
      </w:r>
      <w:r>
        <w:rPr>
          <w:rFonts w:hint="eastAsia" w:ascii="仿宋_GB2312" w:hAnsi="仿宋" w:eastAsia="仿宋_GB2312"/>
          <w:sz w:val="32"/>
          <w:szCs w:val="32"/>
        </w:rPr>
        <w:t>21年相比，财政拨款收、支总计增加5676.23万元，增加26.98</w:t>
      </w:r>
      <w:r>
        <w:rPr>
          <w:rFonts w:ascii="仿宋_GB2312" w:hAnsi="仿宋" w:eastAsia="仿宋_GB2312"/>
          <w:sz w:val="32"/>
          <w:szCs w:val="32"/>
        </w:rPr>
        <w:t>%</w:t>
      </w:r>
      <w:r>
        <w:rPr>
          <w:rFonts w:hint="eastAsia" w:ascii="仿宋_GB2312" w:hAnsi="仿宋" w:eastAsia="仿宋_GB2312"/>
          <w:sz w:val="32"/>
          <w:szCs w:val="32"/>
        </w:rPr>
        <w:t>。主要变动原因是疫情防控财政投入增加。</w:t>
      </w:r>
    </w:p>
    <w:p>
      <w:pPr>
        <w:widowControl/>
        <w:jc w:val="center"/>
      </w:pPr>
      <w:bookmarkStart w:id="26" w:name="_Toc15396607"/>
      <w:bookmarkStart w:id="27" w:name="_Toc15377209"/>
      <w:r>
        <w:rPr>
          <w:rFonts w:ascii="宋体" w:hAnsi="宋体" w:cs="宋体"/>
          <w:kern w:val="0"/>
          <w:sz w:val="24"/>
        </w:rPr>
        <w:drawing>
          <wp:inline distT="0" distB="0" distL="114300" distR="114300">
            <wp:extent cx="4381500" cy="2581275"/>
            <wp:effectExtent l="0" t="0" r="0" b="9525"/>
            <wp:docPr id="16" name="图片 16"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 name="图片 16" descr="IMG_256"/>
                    <pic:cNvPicPr>
                      <a:picLocks noChangeAspect="true"/>
                    </pic:cNvPicPr>
                  </pic:nvPicPr>
                  <pic:blipFill>
                    <a:blip r:embed="rId10"/>
                    <a:stretch>
                      <a:fillRect/>
                    </a:stretch>
                  </pic:blipFill>
                  <pic:spPr>
                    <a:xfrm>
                      <a:off x="0" y="0"/>
                      <a:ext cx="4381500" cy="2581275"/>
                    </a:xfrm>
                    <a:prstGeom prst="rect">
                      <a:avLst/>
                    </a:prstGeom>
                    <a:noFill/>
                    <a:ln w="9525">
                      <a:noFill/>
                    </a:ln>
                  </pic:spPr>
                </pic:pic>
              </a:graphicData>
            </a:graphic>
          </wp:inline>
        </w:drawing>
      </w:r>
    </w:p>
    <w:p>
      <w:pPr>
        <w:spacing w:line="576" w:lineRule="exact"/>
        <w:ind w:left="640"/>
        <w:outlineLvl w:val="1"/>
        <w:rPr>
          <w:rFonts w:ascii="黑体" w:hAnsi="黑体" w:eastAsia="黑体"/>
          <w:b/>
          <w:bCs/>
          <w:sz w:val="32"/>
          <w:szCs w:val="32"/>
        </w:rPr>
      </w:pPr>
      <w:r>
        <w:rPr>
          <w:rFonts w:hint="eastAsia" w:ascii="黑体" w:hAnsi="黑体" w:eastAsia="黑体"/>
          <w:b/>
          <w:sz w:val="32"/>
          <w:szCs w:val="32"/>
        </w:rPr>
        <w:t>五、一</w:t>
      </w:r>
      <w:r>
        <w:rPr>
          <w:rFonts w:hint="eastAsia" w:ascii="黑体" w:hAnsi="黑体" w:eastAsia="黑体"/>
          <w:b/>
          <w:bCs/>
          <w:sz w:val="32"/>
          <w:szCs w:val="32"/>
        </w:rPr>
        <w:t>般公共预算财政拨款支出决算情况说明</w:t>
      </w:r>
      <w:bookmarkEnd w:id="26"/>
      <w:bookmarkEnd w:id="27"/>
    </w:p>
    <w:p>
      <w:pPr>
        <w:spacing w:line="600" w:lineRule="exact"/>
        <w:ind w:firstLine="642" w:firstLineChars="200"/>
        <w:outlineLvl w:val="2"/>
        <w:rPr>
          <w:rFonts w:ascii="楷体_GB2312" w:hAnsi="仿宋" w:eastAsia="楷体_GB2312"/>
          <w:b/>
          <w:sz w:val="32"/>
          <w:szCs w:val="32"/>
        </w:rPr>
      </w:pPr>
      <w:bookmarkStart w:id="28" w:name="_Toc15377210"/>
      <w:r>
        <w:rPr>
          <w:rFonts w:hint="eastAsia" w:ascii="楷体_GB2312" w:hAnsi="仿宋" w:eastAsia="楷体_GB2312"/>
          <w:b/>
          <w:sz w:val="32"/>
          <w:szCs w:val="32"/>
        </w:rPr>
        <w:t>（一）一般公共预算财政拨款支出决算总体情况</w:t>
      </w:r>
      <w:bookmarkEnd w:id="28"/>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2022年一般公共预算财政拨款支出20360.58万元，占本年支出合计的22.06%。与2021年相比，一般公共预算财政拨款支出增加2124.88万元，增长11.65%。主要变动原因是疫情防控财政投入增加。</w:t>
      </w:r>
    </w:p>
    <w:p>
      <w:pPr>
        <w:widowControl/>
        <w:jc w:val="center"/>
      </w:pPr>
      <w:bookmarkStart w:id="29" w:name="_Toc15377211"/>
      <w:r>
        <w:rPr>
          <w:rFonts w:ascii="宋体" w:hAnsi="宋体" w:cs="宋体"/>
          <w:kern w:val="0"/>
          <w:sz w:val="24"/>
        </w:rPr>
        <w:drawing>
          <wp:inline distT="0" distB="0" distL="114300" distR="114300">
            <wp:extent cx="3858895" cy="2183765"/>
            <wp:effectExtent l="19050" t="0" r="7883" b="0"/>
            <wp:docPr id="15" name="图片 15"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 name="图片 15" descr="IMG_256"/>
                    <pic:cNvPicPr>
                      <a:picLocks noChangeAspect="true"/>
                    </pic:cNvPicPr>
                  </pic:nvPicPr>
                  <pic:blipFill>
                    <a:blip r:embed="rId11"/>
                    <a:stretch>
                      <a:fillRect/>
                    </a:stretch>
                  </pic:blipFill>
                  <pic:spPr>
                    <a:xfrm>
                      <a:off x="0" y="0"/>
                      <a:ext cx="3852001" cy="2180069"/>
                    </a:xfrm>
                    <a:prstGeom prst="rect">
                      <a:avLst/>
                    </a:prstGeom>
                    <a:noFill/>
                    <a:ln w="9525">
                      <a:noFill/>
                    </a:ln>
                  </pic:spPr>
                </pic:pic>
              </a:graphicData>
            </a:graphic>
          </wp:inline>
        </w:drawing>
      </w:r>
    </w:p>
    <w:p>
      <w:pPr>
        <w:spacing w:line="600" w:lineRule="exact"/>
        <w:ind w:firstLine="642" w:firstLineChars="200"/>
        <w:outlineLvl w:val="2"/>
        <w:rPr>
          <w:rFonts w:ascii="楷体_GB2312" w:hAnsi="仿宋" w:eastAsia="楷体_GB2312"/>
          <w:b/>
          <w:sz w:val="32"/>
          <w:szCs w:val="32"/>
        </w:rPr>
      </w:pPr>
      <w:r>
        <w:rPr>
          <w:rFonts w:hint="eastAsia" w:ascii="楷体_GB2312" w:hAnsi="仿宋" w:eastAsia="楷体_GB2312"/>
          <w:b/>
          <w:sz w:val="32"/>
          <w:szCs w:val="32"/>
        </w:rPr>
        <w:t>（二）一般公共预算财政拨款支出决算结构情况</w:t>
      </w:r>
      <w:bookmarkEnd w:id="29"/>
    </w:p>
    <w:p>
      <w:pPr>
        <w:spacing w:line="600" w:lineRule="exact"/>
        <w:ind w:firstLine="640"/>
        <w:rPr>
          <w:rFonts w:ascii="仿宋_GB2312" w:hAnsi="仿宋" w:eastAsia="仿宋_GB2312"/>
          <w:sz w:val="32"/>
          <w:szCs w:val="32"/>
        </w:rPr>
      </w:pPr>
      <w:r>
        <w:rPr>
          <w:rFonts w:ascii="仿宋_GB2312" w:hAnsi="仿宋" w:eastAsia="仿宋_GB2312"/>
          <w:sz w:val="32"/>
          <w:szCs w:val="32"/>
        </w:rPr>
        <w:t>20</w:t>
      </w:r>
      <w:r>
        <w:rPr>
          <w:rFonts w:hint="eastAsia" w:ascii="仿宋_GB2312" w:hAnsi="仿宋" w:eastAsia="仿宋_GB2312"/>
          <w:sz w:val="32"/>
          <w:szCs w:val="32"/>
        </w:rPr>
        <w:t>22年一般公共预算财政拨款支出20360.58万元，主要用于以下方面</w:t>
      </w:r>
      <w:r>
        <w:rPr>
          <w:rFonts w:ascii="仿宋_GB2312" w:hAnsi="仿宋" w:eastAsia="仿宋_GB2312"/>
          <w:sz w:val="32"/>
          <w:szCs w:val="32"/>
        </w:rPr>
        <w:t>:</w:t>
      </w:r>
      <w:r>
        <w:rPr>
          <w:rFonts w:hint="eastAsia" w:ascii="仿宋_GB2312" w:hAnsi="仿宋" w:eastAsia="仿宋_GB2312"/>
          <w:sz w:val="32"/>
          <w:szCs w:val="32"/>
        </w:rPr>
        <w:t>社会保障和就业支出1075.52万元，占5.45</w:t>
      </w:r>
      <w:r>
        <w:rPr>
          <w:rFonts w:ascii="仿宋_GB2312" w:hAnsi="仿宋" w:eastAsia="仿宋_GB2312"/>
          <w:sz w:val="32"/>
          <w:szCs w:val="32"/>
        </w:rPr>
        <w:t>%</w:t>
      </w:r>
      <w:r>
        <w:rPr>
          <w:rFonts w:hint="eastAsia" w:ascii="仿宋_GB2312" w:hAnsi="仿宋" w:eastAsia="仿宋_GB2312"/>
          <w:sz w:val="32"/>
          <w:szCs w:val="32"/>
        </w:rPr>
        <w:t>；卫生健康支出18166.61万元，占88.88</w:t>
      </w:r>
      <w:r>
        <w:rPr>
          <w:rFonts w:ascii="仿宋_GB2312" w:hAnsi="仿宋" w:eastAsia="仿宋_GB2312"/>
          <w:sz w:val="32"/>
          <w:szCs w:val="32"/>
        </w:rPr>
        <w:t>%</w:t>
      </w:r>
      <w:r>
        <w:rPr>
          <w:rFonts w:hint="eastAsia" w:ascii="仿宋_GB2312" w:hAnsi="仿宋" w:eastAsia="仿宋_GB2312"/>
          <w:sz w:val="32"/>
          <w:szCs w:val="32"/>
        </w:rPr>
        <w:t>；农林水支出466万元，占2.36%；住房保障支出652.45万元，占3.31</w:t>
      </w:r>
      <w:r>
        <w:rPr>
          <w:rFonts w:ascii="仿宋_GB2312" w:hAnsi="仿宋" w:eastAsia="仿宋_GB2312"/>
          <w:sz w:val="32"/>
          <w:szCs w:val="32"/>
        </w:rPr>
        <w:t>%</w:t>
      </w:r>
      <w:r>
        <w:rPr>
          <w:rFonts w:hint="eastAsia" w:ascii="仿宋_GB2312" w:hAnsi="仿宋" w:eastAsia="仿宋_GB2312"/>
          <w:sz w:val="32"/>
          <w:szCs w:val="32"/>
        </w:rPr>
        <w:t>。</w:t>
      </w:r>
    </w:p>
    <w:p>
      <w:pPr>
        <w:widowControl/>
        <w:jc w:val="left"/>
      </w:pPr>
      <w:bookmarkStart w:id="30" w:name="_Toc15377212"/>
      <w:r>
        <w:rPr>
          <w:rFonts w:ascii="宋体" w:hAnsi="宋体" w:cs="宋体"/>
          <w:kern w:val="0"/>
          <w:sz w:val="24"/>
        </w:rPr>
        <w:drawing>
          <wp:inline distT="0" distB="0" distL="114300" distR="114300">
            <wp:extent cx="4429125" cy="2514600"/>
            <wp:effectExtent l="0" t="0" r="9525" b="0"/>
            <wp:docPr id="17" name="图片 17"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 name="图片 17" descr="IMG_256"/>
                    <pic:cNvPicPr>
                      <a:picLocks noChangeAspect="true"/>
                    </pic:cNvPicPr>
                  </pic:nvPicPr>
                  <pic:blipFill>
                    <a:blip r:embed="rId12"/>
                    <a:stretch>
                      <a:fillRect/>
                    </a:stretch>
                  </pic:blipFill>
                  <pic:spPr>
                    <a:xfrm>
                      <a:off x="0" y="0"/>
                      <a:ext cx="4429125" cy="2514600"/>
                    </a:xfrm>
                    <a:prstGeom prst="rect">
                      <a:avLst/>
                    </a:prstGeom>
                    <a:noFill/>
                    <a:ln w="9525">
                      <a:noFill/>
                    </a:ln>
                  </pic:spPr>
                </pic:pic>
              </a:graphicData>
            </a:graphic>
          </wp:inline>
        </w:drawing>
      </w:r>
    </w:p>
    <w:p>
      <w:pPr>
        <w:spacing w:line="600" w:lineRule="exact"/>
        <w:ind w:firstLine="642" w:firstLineChars="200"/>
        <w:outlineLvl w:val="2"/>
        <w:rPr>
          <w:rFonts w:ascii="楷体_GB2312" w:hAnsi="仿宋" w:eastAsia="楷体_GB2312"/>
          <w:b/>
          <w:sz w:val="32"/>
          <w:szCs w:val="32"/>
        </w:rPr>
      </w:pPr>
      <w:r>
        <w:rPr>
          <w:rFonts w:hint="eastAsia" w:ascii="楷体_GB2312" w:hAnsi="仿宋" w:eastAsia="楷体_GB2312"/>
          <w:b/>
          <w:sz w:val="32"/>
          <w:szCs w:val="32"/>
        </w:rPr>
        <w:t>（三）一般公共预算财政拨款支出决算具体情况</w:t>
      </w:r>
      <w:bookmarkEnd w:id="30"/>
    </w:p>
    <w:p>
      <w:pPr>
        <w:spacing w:line="600" w:lineRule="exact"/>
        <w:ind w:firstLine="640" w:firstLineChars="200"/>
        <w:outlineLvl w:val="2"/>
        <w:rPr>
          <w:rFonts w:ascii="仿宋_GB2312" w:hAnsi="仿宋" w:eastAsia="仿宋_GB2312"/>
          <w:sz w:val="32"/>
          <w:szCs w:val="32"/>
        </w:rPr>
      </w:pPr>
      <w:bookmarkStart w:id="31" w:name="_Toc15377444"/>
      <w:bookmarkStart w:id="32" w:name="_Toc15378460"/>
      <w:bookmarkStart w:id="33" w:name="_Toc15377213"/>
      <w:r>
        <w:rPr>
          <w:rFonts w:hint="eastAsia" w:ascii="仿宋_GB2312" w:hAnsi="仿宋" w:eastAsia="仿宋_GB2312"/>
          <w:sz w:val="32"/>
          <w:szCs w:val="32"/>
        </w:rPr>
        <w:t>2022年一般公共预算支出决算数为20360.58，</w:t>
      </w:r>
      <w:r>
        <w:rPr>
          <w:rFonts w:hint="eastAsia" w:ascii="仿宋_GB2312" w:eastAsia="仿宋_GB2312"/>
          <w:sz w:val="32"/>
          <w:szCs w:val="32"/>
        </w:rPr>
        <w:t>完成预算100%。其中：</w:t>
      </w:r>
      <w:bookmarkEnd w:id="31"/>
      <w:bookmarkEnd w:id="32"/>
      <w:bookmarkEnd w:id="33"/>
    </w:p>
    <w:p>
      <w:pPr>
        <w:spacing w:line="600" w:lineRule="exact"/>
        <w:ind w:firstLine="640" w:firstLineChars="200"/>
        <w:rPr>
          <w:rFonts w:ascii="仿宋_GB2312" w:eastAsia="仿宋_GB2312"/>
          <w:sz w:val="32"/>
          <w:szCs w:val="32"/>
        </w:rPr>
      </w:pPr>
      <w:r>
        <w:rPr>
          <w:rFonts w:hint="eastAsia" w:ascii="仿宋_GB2312" w:eastAsia="仿宋_GB2312"/>
          <w:sz w:val="32"/>
          <w:szCs w:val="32"/>
        </w:rPr>
        <w:t>1.社会保障和就业（类）行政事业单位养老支出（款）机关事业单位基本养老保险缴费支出（项）: 支出决算为1068.05万元，完成预算100%。</w:t>
      </w:r>
    </w:p>
    <w:p>
      <w:pPr>
        <w:spacing w:line="600" w:lineRule="exact"/>
        <w:ind w:firstLine="640" w:firstLineChars="200"/>
        <w:rPr>
          <w:rFonts w:ascii="仿宋_GB2312" w:hAnsi="仿宋" w:eastAsia="仿宋_GB2312"/>
          <w:sz w:val="32"/>
          <w:szCs w:val="32"/>
        </w:rPr>
      </w:pPr>
      <w:r>
        <w:rPr>
          <w:rFonts w:hint="eastAsia" w:ascii="仿宋_GB2312" w:eastAsia="仿宋_GB2312"/>
          <w:sz w:val="32"/>
          <w:szCs w:val="32"/>
        </w:rPr>
        <w:t>2.社会保障和就业（类）其他社会保障和就业支出（款）其他社会保障和就业支出（项）: 支出决算为7.47万元，完成预算100%。</w:t>
      </w:r>
    </w:p>
    <w:p>
      <w:pPr>
        <w:spacing w:line="576" w:lineRule="exact"/>
        <w:ind w:firstLine="640" w:firstLineChars="200"/>
        <w:rPr>
          <w:rStyle w:val="18"/>
          <w:rFonts w:ascii="仿宋_GB2312" w:hAnsi="仿宋" w:eastAsia="仿宋_GB2312"/>
          <w:b w:val="0"/>
          <w:bCs/>
          <w:sz w:val="32"/>
          <w:szCs w:val="32"/>
        </w:rPr>
      </w:pPr>
      <w:r>
        <w:rPr>
          <w:rFonts w:hint="eastAsia" w:ascii="仿宋_GB2312" w:hAnsi="仿宋" w:eastAsia="仿宋_GB2312"/>
          <w:bCs/>
          <w:sz w:val="32"/>
          <w:szCs w:val="32"/>
        </w:rPr>
        <w:t>3.卫生健康支出</w:t>
      </w:r>
      <w:r>
        <w:rPr>
          <w:rStyle w:val="18"/>
          <w:rFonts w:hint="eastAsia" w:ascii="仿宋_GB2312" w:hAnsi="仿宋" w:eastAsia="仿宋_GB2312"/>
          <w:b w:val="0"/>
          <w:bCs/>
          <w:sz w:val="32"/>
          <w:szCs w:val="32"/>
        </w:rPr>
        <w:t>（类）卫生健康管理事务（款）行政运行（项）:支出决算为687.22万元，完成预算100%。</w:t>
      </w:r>
    </w:p>
    <w:p>
      <w:pPr>
        <w:pStyle w:val="6"/>
        <w:spacing w:beforeLines="0" w:line="576" w:lineRule="exact"/>
        <w:ind w:firstLine="640" w:firstLineChars="200"/>
      </w:pPr>
      <w:r>
        <w:rPr>
          <w:rFonts w:hint="eastAsia" w:hAnsi="仿宋"/>
          <w:bCs/>
          <w:sz w:val="32"/>
          <w:szCs w:val="32"/>
        </w:rPr>
        <w:t>4.卫生健康支出</w:t>
      </w:r>
      <w:r>
        <w:rPr>
          <w:rStyle w:val="18"/>
          <w:rFonts w:hint="eastAsia" w:hAnsi="仿宋"/>
          <w:b w:val="0"/>
          <w:bCs/>
          <w:sz w:val="32"/>
          <w:szCs w:val="32"/>
        </w:rPr>
        <w:t>（类）卫生健康管理事务（款）一般行政管理事务（项）:支出决算为3433.04万元，完成预算100%。</w:t>
      </w:r>
    </w:p>
    <w:p>
      <w:pPr>
        <w:spacing w:line="576" w:lineRule="exact"/>
        <w:ind w:firstLine="640" w:firstLineChars="200"/>
        <w:rPr>
          <w:rStyle w:val="18"/>
          <w:rFonts w:ascii="仿宋_GB2312" w:hAnsi="仿宋" w:eastAsia="仿宋_GB2312"/>
          <w:b w:val="0"/>
          <w:bCs/>
          <w:sz w:val="32"/>
          <w:szCs w:val="32"/>
        </w:rPr>
      </w:pPr>
      <w:r>
        <w:rPr>
          <w:rFonts w:hint="eastAsia" w:ascii="仿宋_GB2312" w:hAnsi="仿宋" w:eastAsia="仿宋_GB2312"/>
          <w:bCs/>
          <w:sz w:val="32"/>
          <w:szCs w:val="32"/>
        </w:rPr>
        <w:t>5.卫生健康支出</w:t>
      </w:r>
      <w:r>
        <w:rPr>
          <w:rStyle w:val="18"/>
          <w:rFonts w:hint="eastAsia" w:ascii="仿宋_GB2312" w:hAnsi="仿宋" w:eastAsia="仿宋_GB2312"/>
          <w:b w:val="0"/>
          <w:bCs/>
          <w:sz w:val="32"/>
          <w:szCs w:val="32"/>
        </w:rPr>
        <w:t>（类）公立医院（款）综合医院（项）:支出决算为442.58万元，完成预算100%。</w:t>
      </w:r>
    </w:p>
    <w:p>
      <w:pPr>
        <w:spacing w:line="576" w:lineRule="exact"/>
        <w:ind w:firstLine="640" w:firstLineChars="200"/>
        <w:rPr>
          <w:rStyle w:val="18"/>
          <w:rFonts w:ascii="仿宋_GB2312" w:hAnsi="仿宋" w:eastAsia="仿宋_GB2312"/>
          <w:b w:val="0"/>
          <w:bCs/>
          <w:sz w:val="32"/>
          <w:szCs w:val="32"/>
        </w:rPr>
      </w:pPr>
      <w:r>
        <w:rPr>
          <w:rFonts w:hint="eastAsia" w:ascii="仿宋_GB2312" w:hAnsi="仿宋" w:eastAsia="仿宋_GB2312"/>
          <w:bCs/>
          <w:sz w:val="32"/>
          <w:szCs w:val="32"/>
        </w:rPr>
        <w:t>6.卫生健康支出</w:t>
      </w:r>
      <w:r>
        <w:rPr>
          <w:rStyle w:val="18"/>
          <w:rFonts w:hint="eastAsia" w:ascii="仿宋_GB2312" w:hAnsi="仿宋" w:eastAsia="仿宋_GB2312"/>
          <w:b w:val="0"/>
          <w:bCs/>
          <w:sz w:val="32"/>
          <w:szCs w:val="32"/>
        </w:rPr>
        <w:t>（类）公立医院（款）中医（民族）医院（项）:支出决算为295.75万元，完成预算100%。</w:t>
      </w:r>
    </w:p>
    <w:p>
      <w:pPr>
        <w:spacing w:line="576" w:lineRule="exact"/>
        <w:ind w:firstLine="640" w:firstLineChars="200"/>
        <w:rPr>
          <w:rStyle w:val="18"/>
          <w:rFonts w:ascii="仿宋_GB2312" w:hAnsi="仿宋" w:eastAsia="仿宋_GB2312"/>
          <w:b w:val="0"/>
          <w:bCs/>
          <w:sz w:val="32"/>
          <w:szCs w:val="32"/>
        </w:rPr>
      </w:pPr>
      <w:r>
        <w:rPr>
          <w:rFonts w:hint="eastAsia" w:ascii="仿宋_GB2312" w:hAnsi="仿宋" w:eastAsia="仿宋_GB2312"/>
          <w:bCs/>
          <w:sz w:val="32"/>
          <w:szCs w:val="32"/>
        </w:rPr>
        <w:t>7.卫生健康支出</w:t>
      </w:r>
      <w:r>
        <w:rPr>
          <w:rStyle w:val="18"/>
          <w:rFonts w:hint="eastAsia" w:ascii="仿宋_GB2312" w:hAnsi="仿宋" w:eastAsia="仿宋_GB2312"/>
          <w:b w:val="0"/>
          <w:bCs/>
          <w:sz w:val="32"/>
          <w:szCs w:val="32"/>
        </w:rPr>
        <w:t>（类）公立医院（款）其他公立医院支出（项）:支出决算为67.25万元，完成预算100%。</w:t>
      </w:r>
    </w:p>
    <w:p>
      <w:pPr>
        <w:pStyle w:val="6"/>
        <w:spacing w:beforeLines="0" w:line="576" w:lineRule="exact"/>
        <w:ind w:firstLine="640" w:firstLineChars="200"/>
        <w:rPr>
          <w:rStyle w:val="18"/>
          <w:rFonts w:hAnsi="仿宋"/>
          <w:b w:val="0"/>
          <w:bCs/>
          <w:sz w:val="32"/>
          <w:szCs w:val="32"/>
        </w:rPr>
      </w:pPr>
      <w:r>
        <w:rPr>
          <w:rFonts w:hint="eastAsia" w:hAnsi="仿宋"/>
          <w:bCs/>
          <w:sz w:val="32"/>
          <w:szCs w:val="32"/>
        </w:rPr>
        <w:t>8.卫生健康支出</w:t>
      </w:r>
      <w:r>
        <w:rPr>
          <w:rStyle w:val="18"/>
          <w:rFonts w:hint="eastAsia" w:hAnsi="仿宋"/>
          <w:b w:val="0"/>
          <w:bCs/>
          <w:sz w:val="32"/>
          <w:szCs w:val="32"/>
        </w:rPr>
        <w:t>（类）基层医疗卫生机构（款）乡镇卫生院（项）:支出决算为6584.42万元，完成预算100%。</w:t>
      </w:r>
    </w:p>
    <w:p>
      <w:pPr>
        <w:spacing w:line="576" w:lineRule="exact"/>
        <w:ind w:firstLine="640" w:firstLineChars="200"/>
        <w:rPr>
          <w:rFonts w:ascii="仿宋_GB2312" w:eastAsia="仿宋_GB2312"/>
        </w:rPr>
      </w:pPr>
      <w:r>
        <w:rPr>
          <w:rFonts w:hint="eastAsia" w:ascii="仿宋_GB2312" w:hAnsi="仿宋" w:eastAsia="仿宋_GB2312"/>
          <w:bCs/>
          <w:sz w:val="32"/>
          <w:szCs w:val="32"/>
        </w:rPr>
        <w:t>9.卫生健康支出</w:t>
      </w:r>
      <w:r>
        <w:rPr>
          <w:rStyle w:val="18"/>
          <w:rFonts w:hint="eastAsia" w:ascii="仿宋_GB2312" w:hAnsi="仿宋" w:eastAsia="仿宋_GB2312"/>
          <w:b w:val="0"/>
          <w:bCs/>
          <w:sz w:val="32"/>
          <w:szCs w:val="32"/>
        </w:rPr>
        <w:t>（类）基层医疗卫生机构（款）其他基层医疗卫生机构支出（项）:支出决算为469.59万元，完成预算100%。</w:t>
      </w:r>
    </w:p>
    <w:p>
      <w:pPr>
        <w:spacing w:line="576" w:lineRule="exact"/>
        <w:ind w:firstLine="640" w:firstLineChars="200"/>
        <w:rPr>
          <w:rStyle w:val="18"/>
          <w:rFonts w:ascii="仿宋_GB2312" w:hAnsi="仿宋" w:eastAsia="仿宋_GB2312"/>
          <w:b w:val="0"/>
          <w:bCs/>
          <w:sz w:val="32"/>
          <w:szCs w:val="32"/>
        </w:rPr>
      </w:pPr>
      <w:r>
        <w:rPr>
          <w:rFonts w:hint="eastAsia" w:ascii="仿宋_GB2312" w:hAnsi="仿宋" w:eastAsia="仿宋_GB2312"/>
          <w:bCs/>
          <w:sz w:val="32"/>
          <w:szCs w:val="32"/>
        </w:rPr>
        <w:t>10.卫生健康支出</w:t>
      </w:r>
      <w:r>
        <w:rPr>
          <w:rStyle w:val="18"/>
          <w:rFonts w:hint="eastAsia" w:ascii="仿宋_GB2312" w:hAnsi="仿宋" w:eastAsia="仿宋_GB2312"/>
          <w:b w:val="0"/>
          <w:bCs/>
          <w:sz w:val="32"/>
          <w:szCs w:val="32"/>
        </w:rPr>
        <w:t>（类）公共卫生（款）疾病预防控制机构（项）:支出决算为665.23万元，完成预算100%。</w:t>
      </w:r>
    </w:p>
    <w:p>
      <w:pPr>
        <w:spacing w:line="576" w:lineRule="exact"/>
        <w:ind w:firstLine="640" w:firstLineChars="200"/>
        <w:rPr>
          <w:rStyle w:val="18"/>
          <w:rFonts w:ascii="仿宋_GB2312" w:hAnsi="仿宋" w:eastAsia="仿宋_GB2312"/>
          <w:b w:val="0"/>
          <w:bCs/>
          <w:sz w:val="32"/>
          <w:szCs w:val="32"/>
        </w:rPr>
      </w:pPr>
      <w:r>
        <w:rPr>
          <w:rFonts w:hint="eastAsia" w:ascii="仿宋_GB2312" w:hAnsi="仿宋" w:eastAsia="仿宋_GB2312"/>
          <w:bCs/>
          <w:sz w:val="32"/>
          <w:szCs w:val="32"/>
        </w:rPr>
        <w:t>11.卫生健康支出</w:t>
      </w:r>
      <w:r>
        <w:rPr>
          <w:rStyle w:val="18"/>
          <w:rFonts w:hint="eastAsia" w:ascii="仿宋_GB2312" w:hAnsi="仿宋" w:eastAsia="仿宋_GB2312"/>
          <w:b w:val="0"/>
          <w:bCs/>
          <w:sz w:val="32"/>
          <w:szCs w:val="32"/>
        </w:rPr>
        <w:t>（类）公共卫生（款）妇幼保健机构（项）:支出决算为1283.64万元，完成预算100%。</w:t>
      </w:r>
    </w:p>
    <w:p>
      <w:pPr>
        <w:spacing w:line="576" w:lineRule="exact"/>
        <w:ind w:firstLine="640" w:firstLineChars="200"/>
        <w:rPr>
          <w:rStyle w:val="18"/>
          <w:rFonts w:ascii="仿宋_GB2312" w:hAnsi="仿宋" w:eastAsia="仿宋_GB2312"/>
          <w:b w:val="0"/>
          <w:bCs/>
          <w:sz w:val="32"/>
          <w:szCs w:val="32"/>
        </w:rPr>
      </w:pPr>
      <w:r>
        <w:rPr>
          <w:rFonts w:hint="eastAsia" w:ascii="仿宋_GB2312" w:hAnsi="仿宋" w:eastAsia="仿宋_GB2312"/>
          <w:bCs/>
          <w:sz w:val="32"/>
          <w:szCs w:val="32"/>
        </w:rPr>
        <w:t>12.卫生健康支出</w:t>
      </w:r>
      <w:r>
        <w:rPr>
          <w:rStyle w:val="18"/>
          <w:rFonts w:hint="eastAsia" w:ascii="仿宋_GB2312" w:hAnsi="仿宋" w:eastAsia="仿宋_GB2312"/>
          <w:b w:val="0"/>
          <w:bCs/>
          <w:sz w:val="32"/>
          <w:szCs w:val="32"/>
        </w:rPr>
        <w:t>（类）公共卫生（款）基本公共卫生服务（项）:支出决算为2850.30万元，完成预算100%。</w:t>
      </w:r>
    </w:p>
    <w:p>
      <w:pPr>
        <w:spacing w:line="576" w:lineRule="exact"/>
        <w:ind w:firstLine="640" w:firstLineChars="200"/>
        <w:rPr>
          <w:rStyle w:val="18"/>
          <w:rFonts w:ascii="仿宋_GB2312" w:hAnsi="仿宋" w:eastAsia="仿宋_GB2312"/>
          <w:b w:val="0"/>
          <w:bCs/>
          <w:sz w:val="32"/>
          <w:szCs w:val="32"/>
        </w:rPr>
      </w:pPr>
      <w:r>
        <w:rPr>
          <w:rFonts w:hint="eastAsia" w:ascii="仿宋_GB2312" w:hAnsi="仿宋" w:eastAsia="仿宋_GB2312"/>
          <w:bCs/>
          <w:sz w:val="32"/>
          <w:szCs w:val="32"/>
        </w:rPr>
        <w:t>13.卫生健康支出</w:t>
      </w:r>
      <w:r>
        <w:rPr>
          <w:rStyle w:val="18"/>
          <w:rFonts w:hint="eastAsia" w:ascii="仿宋_GB2312" w:hAnsi="仿宋" w:eastAsia="仿宋_GB2312"/>
          <w:b w:val="0"/>
          <w:bCs/>
          <w:sz w:val="32"/>
          <w:szCs w:val="32"/>
        </w:rPr>
        <w:t>（类）公共卫生（款）重大公共卫生服务（项）:支出决算为522.53万元，完成预算100%。</w:t>
      </w:r>
    </w:p>
    <w:p>
      <w:pPr>
        <w:spacing w:line="576" w:lineRule="exact"/>
        <w:ind w:firstLine="640" w:firstLineChars="200"/>
        <w:rPr>
          <w:rStyle w:val="18"/>
          <w:rFonts w:ascii="仿宋_GB2312" w:hAnsi="仿宋" w:eastAsia="仿宋_GB2312"/>
          <w:b w:val="0"/>
          <w:bCs/>
          <w:sz w:val="32"/>
          <w:szCs w:val="32"/>
        </w:rPr>
      </w:pPr>
      <w:r>
        <w:rPr>
          <w:rFonts w:hint="eastAsia" w:ascii="仿宋_GB2312" w:hAnsi="仿宋" w:eastAsia="仿宋_GB2312"/>
          <w:bCs/>
          <w:sz w:val="32"/>
          <w:szCs w:val="32"/>
        </w:rPr>
        <w:t>14.卫生健康支出</w:t>
      </w:r>
      <w:r>
        <w:rPr>
          <w:rStyle w:val="18"/>
          <w:rFonts w:hint="eastAsia" w:ascii="仿宋_GB2312" w:hAnsi="仿宋" w:eastAsia="仿宋_GB2312"/>
          <w:b w:val="0"/>
          <w:bCs/>
          <w:sz w:val="32"/>
          <w:szCs w:val="32"/>
        </w:rPr>
        <w:t>（类）公共卫生（款）其他公共卫生支出（项）:支出决算为102.50万元，完成预算100%。</w:t>
      </w:r>
    </w:p>
    <w:p>
      <w:pPr>
        <w:spacing w:line="576" w:lineRule="exact"/>
        <w:ind w:firstLine="640" w:firstLineChars="200"/>
        <w:rPr>
          <w:rStyle w:val="18"/>
          <w:rFonts w:ascii="仿宋_GB2312" w:hAnsi="仿宋" w:eastAsia="仿宋_GB2312"/>
          <w:b w:val="0"/>
          <w:bCs/>
          <w:sz w:val="32"/>
          <w:szCs w:val="32"/>
        </w:rPr>
      </w:pPr>
      <w:r>
        <w:rPr>
          <w:rFonts w:hint="eastAsia" w:ascii="仿宋_GB2312" w:hAnsi="仿宋" w:eastAsia="仿宋_GB2312"/>
          <w:bCs/>
          <w:sz w:val="32"/>
          <w:szCs w:val="32"/>
        </w:rPr>
        <w:t>15.卫生健康支出</w:t>
      </w:r>
      <w:r>
        <w:rPr>
          <w:rStyle w:val="18"/>
          <w:rFonts w:hint="eastAsia" w:ascii="仿宋_GB2312" w:hAnsi="仿宋" w:eastAsia="仿宋_GB2312"/>
          <w:b w:val="0"/>
          <w:bCs/>
          <w:sz w:val="32"/>
          <w:szCs w:val="32"/>
        </w:rPr>
        <w:t>（类）行政事业单位医疗（款）行政事业单位医疗（项）:支出决算为554.06万元，完成预算100%。</w:t>
      </w:r>
    </w:p>
    <w:p>
      <w:pPr>
        <w:pStyle w:val="6"/>
        <w:spacing w:beforeLines="0" w:line="576" w:lineRule="exact"/>
        <w:ind w:firstLine="640" w:firstLineChars="200"/>
        <w:rPr>
          <w:rStyle w:val="18"/>
          <w:rFonts w:hAnsi="仿宋"/>
          <w:b w:val="0"/>
          <w:bCs/>
          <w:sz w:val="32"/>
          <w:szCs w:val="32"/>
        </w:rPr>
      </w:pPr>
      <w:r>
        <w:rPr>
          <w:rFonts w:hint="eastAsia" w:hAnsi="仿宋"/>
          <w:bCs/>
          <w:sz w:val="32"/>
          <w:szCs w:val="32"/>
        </w:rPr>
        <w:t>16.卫生健康支出</w:t>
      </w:r>
      <w:r>
        <w:rPr>
          <w:rStyle w:val="18"/>
          <w:rFonts w:hint="eastAsia" w:hAnsi="仿宋"/>
          <w:b w:val="0"/>
          <w:bCs/>
          <w:sz w:val="32"/>
          <w:szCs w:val="32"/>
        </w:rPr>
        <w:t>（类）其他卫生健康支出（款）其他卫生健康支出（项）:支出决算为208.5万元，完成预算100%。</w:t>
      </w:r>
    </w:p>
    <w:p>
      <w:pPr>
        <w:spacing w:line="576" w:lineRule="exact"/>
        <w:ind w:firstLine="640" w:firstLineChars="200"/>
        <w:rPr>
          <w:rStyle w:val="18"/>
          <w:rFonts w:ascii="仿宋_GB2312" w:hAnsi="仿宋" w:eastAsia="仿宋_GB2312"/>
          <w:b w:val="0"/>
          <w:bCs/>
          <w:sz w:val="32"/>
          <w:szCs w:val="32"/>
        </w:rPr>
      </w:pPr>
      <w:r>
        <w:rPr>
          <w:rFonts w:hint="eastAsia" w:ascii="仿宋_GB2312" w:hAnsi="仿宋" w:eastAsia="仿宋_GB2312"/>
          <w:bCs/>
          <w:sz w:val="32"/>
          <w:szCs w:val="32"/>
        </w:rPr>
        <w:t>17.农林水支出</w:t>
      </w:r>
      <w:r>
        <w:rPr>
          <w:rStyle w:val="18"/>
          <w:rFonts w:hint="eastAsia" w:ascii="仿宋_GB2312" w:hAnsi="仿宋" w:eastAsia="仿宋_GB2312"/>
          <w:b w:val="0"/>
          <w:bCs/>
          <w:sz w:val="32"/>
          <w:szCs w:val="32"/>
        </w:rPr>
        <w:t>（类）巩固脱贫衔接乡村振兴（款）社会发展（项）:支出决算为466万元，完成预算100%。</w:t>
      </w:r>
    </w:p>
    <w:p>
      <w:pPr>
        <w:pStyle w:val="6"/>
        <w:spacing w:beforeLines="0" w:line="576" w:lineRule="exact"/>
        <w:ind w:firstLine="640" w:firstLineChars="200"/>
        <w:rPr>
          <w:rFonts w:hAnsi="仿宋"/>
          <w:sz w:val="32"/>
          <w:szCs w:val="32"/>
        </w:rPr>
      </w:pPr>
      <w:r>
        <w:rPr>
          <w:rFonts w:hint="eastAsia" w:hAnsi="仿宋"/>
          <w:bCs/>
          <w:sz w:val="32"/>
          <w:szCs w:val="32"/>
        </w:rPr>
        <w:t>18.住房保障支出</w:t>
      </w:r>
      <w:r>
        <w:rPr>
          <w:rStyle w:val="18"/>
          <w:rFonts w:hint="eastAsia" w:hAnsi="仿宋"/>
          <w:b w:val="0"/>
          <w:bCs/>
          <w:sz w:val="32"/>
          <w:szCs w:val="32"/>
        </w:rPr>
        <w:t>（类）住房改革支出（款）住房公积金（项）:支出决算为652.45万元，完成预算100%。</w:t>
      </w:r>
    </w:p>
    <w:p>
      <w:pPr>
        <w:spacing w:line="576" w:lineRule="exact"/>
        <w:ind w:left="640"/>
        <w:outlineLvl w:val="1"/>
        <w:rPr>
          <w:rFonts w:ascii="黑体" w:hAnsi="黑体" w:eastAsia="黑体"/>
          <w:b/>
          <w:bCs/>
          <w:sz w:val="32"/>
          <w:szCs w:val="32"/>
        </w:rPr>
      </w:pPr>
      <w:bookmarkStart w:id="34" w:name="_Toc15377214"/>
      <w:bookmarkStart w:id="35" w:name="_Toc15396608"/>
      <w:r>
        <w:rPr>
          <w:rFonts w:hint="eastAsia" w:ascii="黑体" w:hAnsi="黑体" w:eastAsia="黑体"/>
          <w:b/>
          <w:sz w:val="32"/>
          <w:szCs w:val="32"/>
        </w:rPr>
        <w:t>六、一</w:t>
      </w:r>
      <w:r>
        <w:rPr>
          <w:rFonts w:hint="eastAsia" w:ascii="黑体" w:eastAsia="黑体"/>
          <w:b/>
          <w:bCs/>
          <w:sz w:val="32"/>
          <w:szCs w:val="32"/>
        </w:rPr>
        <w:t>般公共预算财政拨款基本支出决算情况说明</w:t>
      </w:r>
      <w:bookmarkEnd w:id="34"/>
      <w:bookmarkEnd w:id="35"/>
      <w:r>
        <w:rPr>
          <w:rFonts w:ascii="黑体" w:eastAsia="黑体"/>
          <w:b/>
          <w:bCs/>
          <w:sz w:val="32"/>
          <w:szCs w:val="32"/>
        </w:rPr>
        <w:tab/>
      </w:r>
    </w:p>
    <w:p>
      <w:pPr>
        <w:spacing w:line="576" w:lineRule="exact"/>
        <w:ind w:firstLine="645"/>
        <w:rPr>
          <w:rFonts w:ascii="仿宋_GB2312" w:hAnsi="仿宋" w:eastAsia="仿宋_GB2312"/>
          <w:sz w:val="32"/>
          <w:szCs w:val="32"/>
        </w:rPr>
      </w:pPr>
      <w:r>
        <w:rPr>
          <w:rFonts w:hint="eastAsia" w:ascii="仿宋_GB2312" w:hAnsi="仿宋" w:eastAsia="仿宋_GB2312"/>
          <w:sz w:val="32"/>
          <w:szCs w:val="32"/>
        </w:rPr>
        <w:t>2022年一般公共预算财政拨款基本支出14732.89元，其中：</w:t>
      </w:r>
    </w:p>
    <w:p>
      <w:pPr>
        <w:spacing w:line="576" w:lineRule="exact"/>
        <w:ind w:firstLine="645"/>
        <w:rPr>
          <w:rFonts w:hint="eastAsia" w:ascii="仿宋_GB2312" w:hAnsi="仿宋" w:eastAsia="仿宋_GB2312"/>
          <w:sz w:val="32"/>
          <w:szCs w:val="32"/>
          <w:lang w:eastAsia="zh-CN"/>
        </w:rPr>
      </w:pPr>
      <w:r>
        <w:rPr>
          <w:rFonts w:hint="eastAsia" w:ascii="仿宋_GB2312" w:hAnsi="仿宋" w:eastAsia="仿宋_GB2312"/>
          <w:sz w:val="32"/>
          <w:szCs w:val="32"/>
        </w:rPr>
        <w:t>人员经费11977.01万元，主要包括：基本工资、津贴补贴、奖金、绩效工资、机关事业单位基本养老保险缴费、职工基本医疗保险续费、其他社会保障缴费、住房公积金、医疗费、其他工资福利支出、生活补助、奖励金、其他对个人和家庭的补助支出等。</w:t>
      </w:r>
    </w:p>
    <w:p>
      <w:pPr>
        <w:spacing w:line="576" w:lineRule="exact"/>
        <w:ind w:firstLine="645"/>
        <w:rPr>
          <w:rFonts w:ascii="仿宋_GB2312" w:hAnsi="仿宋" w:eastAsia="仿宋_GB2312"/>
          <w:sz w:val="32"/>
          <w:szCs w:val="32"/>
        </w:rPr>
      </w:pPr>
      <w:r>
        <w:rPr>
          <w:rFonts w:hint="eastAsia" w:ascii="仿宋_GB2312" w:hAnsi="仿宋" w:eastAsia="仿宋_GB2312"/>
          <w:sz w:val="32"/>
          <w:szCs w:val="32"/>
        </w:rPr>
        <w:t>　　公用经费2755.88万元，主要包括：办公费、印刷费、咨询费、手续费、水费、电费、邮电费、物业管理费、差旅费、维修（护）费、租赁费、会议费、培训费、公务接待费、专用材料费、劳务费、委托业务费、工会经费、福利费、公务用车运行维护费、其他交通费、税金及附加费用、其他商品和服务支出等。</w:t>
      </w:r>
    </w:p>
    <w:p>
      <w:pPr>
        <w:spacing w:line="576" w:lineRule="exact"/>
        <w:ind w:left="640"/>
        <w:outlineLvl w:val="1"/>
        <w:rPr>
          <w:rFonts w:ascii="黑体" w:eastAsia="黑体"/>
          <w:b/>
          <w:bCs/>
          <w:sz w:val="32"/>
          <w:szCs w:val="32"/>
        </w:rPr>
      </w:pPr>
      <w:bookmarkStart w:id="36" w:name="_Toc15377215"/>
      <w:bookmarkStart w:id="37" w:name="_Toc15396609"/>
      <w:r>
        <w:rPr>
          <w:rFonts w:hint="eastAsia" w:ascii="黑体" w:hAnsi="黑体" w:eastAsia="黑体"/>
          <w:b/>
          <w:sz w:val="32"/>
          <w:szCs w:val="32"/>
        </w:rPr>
        <w:t>七、</w:t>
      </w:r>
      <w:r>
        <w:rPr>
          <w:rFonts w:hint="eastAsia" w:ascii="黑体" w:eastAsia="黑体"/>
          <w:b/>
          <w:bCs/>
          <w:sz w:val="32"/>
          <w:szCs w:val="32"/>
        </w:rPr>
        <w:t>财政拨款“三公”经费支出决算情况说明</w:t>
      </w:r>
      <w:bookmarkEnd w:id="36"/>
      <w:bookmarkEnd w:id="37"/>
    </w:p>
    <w:p>
      <w:pPr>
        <w:spacing w:line="576" w:lineRule="exact"/>
        <w:ind w:firstLine="640"/>
        <w:outlineLvl w:val="2"/>
        <w:rPr>
          <w:rFonts w:ascii="楷体_GB2312" w:hAnsi="仿宋" w:eastAsia="楷体_GB2312"/>
          <w:b/>
          <w:sz w:val="32"/>
          <w:szCs w:val="32"/>
        </w:rPr>
      </w:pPr>
      <w:bookmarkStart w:id="38" w:name="_Toc15377216"/>
      <w:r>
        <w:rPr>
          <w:rFonts w:hint="eastAsia" w:ascii="楷体_GB2312" w:hAnsi="仿宋" w:eastAsia="楷体_GB2312"/>
          <w:b/>
          <w:sz w:val="32"/>
          <w:szCs w:val="32"/>
        </w:rPr>
        <w:t>（一）“三公”经费财政拨款支出决算总体情况说明</w:t>
      </w:r>
      <w:bookmarkEnd w:id="38"/>
    </w:p>
    <w:p>
      <w:pPr>
        <w:spacing w:line="576" w:lineRule="exact"/>
        <w:ind w:firstLine="640"/>
        <w:rPr>
          <w:rFonts w:ascii="仿宋_GB2312" w:hAnsi="仿宋" w:eastAsia="仿宋_GB2312"/>
          <w:sz w:val="32"/>
          <w:szCs w:val="32"/>
        </w:rPr>
      </w:pPr>
      <w:r>
        <w:rPr>
          <w:rFonts w:hint="eastAsia" w:ascii="仿宋_GB2312" w:hAnsi="仿宋" w:eastAsia="仿宋_GB2312"/>
          <w:sz w:val="32"/>
          <w:szCs w:val="32"/>
        </w:rPr>
        <w:t>2022年“三公”经费财政拨款支出决算为87.22万元，完成预算100%，较上年增加60.92万元，增长231.63%。主要原因是2022年新冠</w:t>
      </w:r>
      <w:r>
        <w:rPr>
          <w:rFonts w:hint="eastAsia" w:ascii="仿宋_GB2312" w:hAnsi="仿宋" w:eastAsia="仿宋_GB2312"/>
          <w:sz w:val="32"/>
          <w:szCs w:val="32"/>
          <w:lang w:eastAsia="zh-CN"/>
        </w:rPr>
        <w:t>疫情暴发</w:t>
      </w:r>
      <w:r>
        <w:rPr>
          <w:rFonts w:hint="eastAsia" w:ascii="仿宋_GB2312" w:hAnsi="仿宋" w:eastAsia="仿宋_GB2312"/>
          <w:sz w:val="32"/>
          <w:szCs w:val="32"/>
        </w:rPr>
        <w:t>，各医疗卫生单位救护车满负荷运行，各级检查增多，公务接待费用增加。</w:t>
      </w:r>
    </w:p>
    <w:p>
      <w:pPr>
        <w:spacing w:line="576" w:lineRule="exact"/>
        <w:ind w:firstLine="640"/>
        <w:outlineLvl w:val="2"/>
        <w:rPr>
          <w:rFonts w:ascii="楷体_GB2312" w:hAnsi="仿宋" w:eastAsia="楷体_GB2312"/>
          <w:b/>
          <w:sz w:val="32"/>
          <w:szCs w:val="32"/>
        </w:rPr>
      </w:pPr>
      <w:bookmarkStart w:id="39" w:name="_Toc15377217"/>
      <w:r>
        <w:rPr>
          <w:rFonts w:hint="eastAsia" w:ascii="楷体_GB2312" w:hAnsi="仿宋" w:eastAsia="楷体_GB2312"/>
          <w:b/>
          <w:sz w:val="32"/>
          <w:szCs w:val="32"/>
        </w:rPr>
        <w:t>（二）“三公”经费财政拨款支出决算具体情况说明</w:t>
      </w:r>
      <w:bookmarkEnd w:id="39"/>
    </w:p>
    <w:p>
      <w:pPr>
        <w:spacing w:line="576" w:lineRule="exact"/>
        <w:ind w:firstLine="640"/>
        <w:rPr>
          <w:rFonts w:ascii="仿宋_GB2312" w:hAnsi="仿宋" w:eastAsia="仿宋_GB2312"/>
          <w:sz w:val="32"/>
          <w:szCs w:val="32"/>
        </w:rPr>
      </w:pPr>
      <w:r>
        <w:rPr>
          <w:rFonts w:hint="eastAsia" w:ascii="仿宋_GB2312" w:hAnsi="仿宋" w:eastAsia="仿宋_GB2312"/>
          <w:sz w:val="32"/>
          <w:szCs w:val="32"/>
        </w:rPr>
        <w:t>2022年“三公”经费财政拨款支出决算中，因公出国（境）费支出决算0万元，占0%；公务用车购置及运行维护费支出决算42.37万元，占48.58%；公务接待费支出决算44.85万元，占51.42%。具体情况如下：</w:t>
      </w:r>
    </w:p>
    <w:p>
      <w:pPr>
        <w:widowControl/>
        <w:jc w:val="center"/>
      </w:pPr>
      <w:r>
        <w:rPr>
          <w:rFonts w:ascii="宋体" w:hAnsi="宋体" w:cs="宋体"/>
          <w:kern w:val="0"/>
          <w:sz w:val="24"/>
        </w:rPr>
        <w:drawing>
          <wp:inline distT="0" distB="0" distL="114300" distR="114300">
            <wp:extent cx="5104130" cy="2731770"/>
            <wp:effectExtent l="19050" t="0" r="657" b="0"/>
            <wp:docPr id="22" name="图片 22"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 name="图片 22" descr="IMG_256"/>
                    <pic:cNvPicPr>
                      <a:picLocks noChangeAspect="true"/>
                    </pic:cNvPicPr>
                  </pic:nvPicPr>
                  <pic:blipFill>
                    <a:blip r:embed="rId13"/>
                    <a:stretch>
                      <a:fillRect/>
                    </a:stretch>
                  </pic:blipFill>
                  <pic:spPr>
                    <a:xfrm>
                      <a:off x="0" y="0"/>
                      <a:ext cx="5105804" cy="2732683"/>
                    </a:xfrm>
                    <a:prstGeom prst="rect">
                      <a:avLst/>
                    </a:prstGeom>
                    <a:noFill/>
                    <a:ln w="9525">
                      <a:noFill/>
                    </a:ln>
                  </pic:spPr>
                </pic:pic>
              </a:graphicData>
            </a:graphic>
          </wp:inline>
        </w:drawing>
      </w:r>
    </w:p>
    <w:p>
      <w:pPr>
        <w:spacing w:line="600" w:lineRule="exact"/>
        <w:ind w:firstLine="640"/>
        <w:rPr>
          <w:rFonts w:ascii="仿宋_GB2312" w:eastAsia="仿宋_GB2312"/>
          <w:sz w:val="32"/>
          <w:szCs w:val="32"/>
        </w:rPr>
      </w:pPr>
      <w:r>
        <w:rPr>
          <w:rFonts w:hint="eastAsia" w:ascii="仿宋_GB2312" w:eastAsia="仿宋_GB2312"/>
          <w:sz w:val="32"/>
          <w:szCs w:val="32"/>
        </w:rPr>
        <w:t>1.因公出国（境）经费支出0万元，</w:t>
      </w:r>
      <w:r>
        <w:rPr>
          <w:rStyle w:val="18"/>
          <w:rFonts w:hint="eastAsia" w:ascii="仿宋_GB2312" w:hAnsi="仿宋" w:eastAsia="仿宋_GB2312"/>
          <w:b w:val="0"/>
          <w:bCs/>
          <w:sz w:val="32"/>
          <w:szCs w:val="32"/>
        </w:rPr>
        <w:t>完成预算0%。</w:t>
      </w:r>
      <w:r>
        <w:rPr>
          <w:rFonts w:hint="eastAsia" w:ascii="仿宋_GB2312" w:eastAsia="仿宋_GB2312"/>
          <w:sz w:val="32"/>
          <w:szCs w:val="32"/>
        </w:rPr>
        <w:t>全年安排因公出国（境）团组0次，出国（境）0人。因公出国（境）支出决算比2021年增加/减少0万元，增长/下降0%。</w:t>
      </w:r>
    </w:p>
    <w:p>
      <w:pPr>
        <w:spacing w:line="576" w:lineRule="exact"/>
        <w:ind w:firstLine="640"/>
        <w:rPr>
          <w:rFonts w:ascii="仿宋_GB2312" w:eastAsia="仿宋_GB2312"/>
          <w:sz w:val="32"/>
          <w:szCs w:val="32"/>
        </w:rPr>
      </w:pPr>
      <w:r>
        <w:rPr>
          <w:rFonts w:hint="eastAsia" w:ascii="仿宋_GB2312" w:eastAsia="仿宋_GB2312"/>
          <w:sz w:val="32"/>
          <w:szCs w:val="32"/>
        </w:rPr>
        <w:t>开支内容包括：…（团组名称、出访地点、取得成效）等。</w:t>
      </w:r>
    </w:p>
    <w:p>
      <w:pPr>
        <w:spacing w:line="576" w:lineRule="exact"/>
        <w:ind w:firstLine="640"/>
        <w:rPr>
          <w:rFonts w:ascii="仿宋_GB2312" w:eastAsia="仿宋_GB2312"/>
          <w:sz w:val="32"/>
          <w:szCs w:val="32"/>
        </w:rPr>
      </w:pPr>
      <w:r>
        <w:rPr>
          <w:rFonts w:hint="eastAsia" w:ascii="仿宋_GB2312" w:eastAsia="仿宋_GB2312"/>
          <w:sz w:val="32"/>
          <w:szCs w:val="32"/>
        </w:rPr>
        <w:t>2.公务用车购置及运行维护费支出42.37万元,</w:t>
      </w:r>
      <w:r>
        <w:rPr>
          <w:rStyle w:val="18"/>
          <w:rFonts w:hint="eastAsia" w:ascii="仿宋_GB2312" w:hAnsi="仿宋" w:eastAsia="仿宋_GB2312"/>
          <w:b w:val="0"/>
          <w:bCs/>
          <w:sz w:val="32"/>
          <w:szCs w:val="32"/>
        </w:rPr>
        <w:t>完成预算100%。</w:t>
      </w:r>
      <w:r>
        <w:rPr>
          <w:rFonts w:hint="eastAsia" w:ascii="仿宋_GB2312" w:eastAsia="仿宋_GB2312"/>
          <w:sz w:val="32"/>
          <w:szCs w:val="32"/>
        </w:rPr>
        <w:t>公务用车购置及运行维护费支出决算比2021年增加20万元，增长100%。主要原因是剑阁县妇幼保健院2022年购置福特全顺救护车1辆。</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其中：公务用车购置支出20万元。全年按规定更新购置公务用车1辆，其中：轿车0辆、金额0万元，越野车0辆、金额0万元，载客汽车0辆、金额0万元，救护车1辆、金额20万元、主要用于医疗救助。截至2022年12月底，单位共有公务用车38辆，其中：轿车0辆、越野车0辆、载客汽车0辆、特种专业技术用车22辆、其他用车16辆。</w:t>
      </w:r>
    </w:p>
    <w:p>
      <w:pPr>
        <w:spacing w:line="576" w:lineRule="exact"/>
        <w:ind w:firstLine="640"/>
        <w:rPr>
          <w:rFonts w:ascii="仿宋_GB2312" w:eastAsia="仿宋_GB2312"/>
          <w:sz w:val="32"/>
          <w:szCs w:val="32"/>
        </w:rPr>
      </w:pPr>
      <w:r>
        <w:rPr>
          <w:rFonts w:hint="eastAsia" w:ascii="仿宋_GB2312" w:eastAsia="仿宋_GB2312"/>
          <w:sz w:val="32"/>
          <w:szCs w:val="32"/>
        </w:rPr>
        <w:t>公务用车运行维护费支出22.37万元。主要用于全县医疗救助（具体工作）等所需的公务用车燃料费、维修费、过路过桥费、保险费等支出。</w:t>
      </w:r>
    </w:p>
    <w:p>
      <w:pPr>
        <w:spacing w:line="576" w:lineRule="exact"/>
        <w:ind w:firstLine="640"/>
        <w:rPr>
          <w:rFonts w:ascii="仿宋_GB2312" w:eastAsia="仿宋_GB2312"/>
          <w:sz w:val="32"/>
          <w:szCs w:val="32"/>
        </w:rPr>
      </w:pPr>
      <w:r>
        <w:rPr>
          <w:rFonts w:hint="eastAsia" w:ascii="仿宋_GB2312" w:eastAsia="仿宋_GB2312"/>
          <w:sz w:val="32"/>
          <w:szCs w:val="32"/>
        </w:rPr>
        <w:t>3.公务接待费支出44.85万元，</w:t>
      </w:r>
      <w:r>
        <w:rPr>
          <w:rStyle w:val="18"/>
          <w:rFonts w:hint="eastAsia" w:ascii="仿宋_GB2312" w:hAnsi="仿宋" w:eastAsia="仿宋_GB2312"/>
          <w:b w:val="0"/>
          <w:bCs/>
          <w:sz w:val="32"/>
          <w:szCs w:val="32"/>
        </w:rPr>
        <w:t>完成预算100%。</w:t>
      </w:r>
      <w:r>
        <w:rPr>
          <w:rFonts w:hint="eastAsia" w:ascii="仿宋_GB2312" w:eastAsia="仿宋_GB2312"/>
          <w:sz w:val="32"/>
          <w:szCs w:val="32"/>
        </w:rPr>
        <w:t>公务接待费支出决算比2021年增加29.84万元，增长198.8%。主要原因是</w:t>
      </w:r>
      <w:r>
        <w:rPr>
          <w:rFonts w:hint="eastAsia" w:ascii="仿宋_GB2312" w:hAnsi="仿宋" w:eastAsia="仿宋_GB2312"/>
          <w:sz w:val="32"/>
          <w:szCs w:val="32"/>
        </w:rPr>
        <w:t>2022年新冠</w:t>
      </w:r>
      <w:r>
        <w:rPr>
          <w:rFonts w:hint="eastAsia" w:ascii="仿宋_GB2312" w:hAnsi="仿宋" w:eastAsia="仿宋_GB2312"/>
          <w:sz w:val="32"/>
          <w:szCs w:val="32"/>
          <w:lang w:eastAsia="zh-CN"/>
        </w:rPr>
        <w:t>疫情暴发</w:t>
      </w:r>
      <w:r>
        <w:rPr>
          <w:rFonts w:hint="eastAsia" w:ascii="仿宋_GB2312" w:hAnsi="仿宋" w:eastAsia="仿宋_GB2312"/>
          <w:sz w:val="32"/>
          <w:szCs w:val="32"/>
        </w:rPr>
        <w:t>，各级检查增多，公务接待费用增加</w:t>
      </w:r>
      <w:r>
        <w:rPr>
          <w:rFonts w:hint="eastAsia" w:ascii="仿宋_GB2312" w:eastAsia="仿宋_GB2312"/>
          <w:sz w:val="32"/>
          <w:szCs w:val="32"/>
        </w:rPr>
        <w:t>。其中：</w:t>
      </w:r>
    </w:p>
    <w:p>
      <w:pPr>
        <w:spacing w:line="576" w:lineRule="exact"/>
        <w:ind w:firstLine="640"/>
        <w:rPr>
          <w:rFonts w:ascii="仿宋_GB2312" w:eastAsia="仿宋_GB2312"/>
          <w:sz w:val="32"/>
          <w:szCs w:val="32"/>
        </w:rPr>
      </w:pPr>
      <w:r>
        <w:rPr>
          <w:rFonts w:hint="eastAsia" w:ascii="仿宋_GB2312" w:hAnsi="仿宋" w:eastAsia="仿宋_GB2312"/>
          <w:sz w:val="32"/>
          <w:szCs w:val="32"/>
        </w:rPr>
        <w:t>国内公务接待支出44.85</w:t>
      </w:r>
      <w:r>
        <w:rPr>
          <w:rFonts w:hint="eastAsia" w:ascii="仿宋_GB2312" w:eastAsia="仿宋_GB2312"/>
          <w:sz w:val="32"/>
          <w:szCs w:val="32"/>
        </w:rPr>
        <w:t>万元，主要用于各级相关业务检查等(执行公务、开展业务活动开支的交通费、住宿费、用餐费等)。国内公务接待879批次，6154人次（不包括陪同人员），共计支出44.85万元。</w:t>
      </w:r>
    </w:p>
    <w:p>
      <w:pPr>
        <w:spacing w:line="576" w:lineRule="exact"/>
        <w:ind w:firstLine="640" w:firstLineChars="200"/>
        <w:rPr>
          <w:rFonts w:ascii="仿宋_GB2312" w:eastAsia="仿宋_GB2312"/>
          <w:sz w:val="32"/>
          <w:szCs w:val="32"/>
        </w:rPr>
      </w:pPr>
      <w:r>
        <w:rPr>
          <w:rFonts w:hint="eastAsia" w:ascii="仿宋_GB2312" w:hAnsi="仿宋" w:eastAsia="仿宋_GB2312"/>
          <w:sz w:val="32"/>
          <w:szCs w:val="32"/>
        </w:rPr>
        <w:t>外事接待支出0</w:t>
      </w:r>
      <w:r>
        <w:rPr>
          <w:rFonts w:hint="eastAsia" w:ascii="仿宋_GB2312" w:eastAsia="仿宋_GB2312"/>
          <w:sz w:val="32"/>
          <w:szCs w:val="32"/>
        </w:rPr>
        <w:t>万元，主要用于接待…（具体项目）。外事接待0批次，0人次（不包括陪同人员），共计支出0万元。</w:t>
      </w:r>
    </w:p>
    <w:p>
      <w:pPr>
        <w:spacing w:line="576" w:lineRule="exact"/>
        <w:ind w:firstLine="640"/>
        <w:outlineLvl w:val="1"/>
        <w:rPr>
          <w:rStyle w:val="30"/>
          <w:rFonts w:ascii="黑体" w:hAnsi="黑体" w:eastAsia="黑体"/>
        </w:rPr>
      </w:pPr>
      <w:bookmarkStart w:id="40" w:name="_Toc15377218"/>
      <w:bookmarkStart w:id="41" w:name="_Toc15396610"/>
      <w:r>
        <w:rPr>
          <w:rFonts w:hint="eastAsia" w:ascii="黑体" w:eastAsia="黑体"/>
          <w:b/>
          <w:sz w:val="32"/>
          <w:szCs w:val="32"/>
        </w:rPr>
        <w:t>八、</w:t>
      </w:r>
      <w:r>
        <w:rPr>
          <w:rStyle w:val="30"/>
          <w:rFonts w:hint="eastAsia" w:ascii="黑体" w:hAnsi="黑体" w:eastAsia="黑体"/>
        </w:rPr>
        <w:t>政府性基金预算支出决算情况说明</w:t>
      </w:r>
      <w:bookmarkEnd w:id="40"/>
      <w:bookmarkEnd w:id="41"/>
    </w:p>
    <w:p>
      <w:pPr>
        <w:spacing w:line="576"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22年政府性基金预算财政拨款支出0万元。</w:t>
      </w:r>
    </w:p>
    <w:p>
      <w:pPr>
        <w:numPr>
          <w:ilvl w:val="0"/>
          <w:numId w:val="1"/>
        </w:numPr>
        <w:spacing w:line="576" w:lineRule="exact"/>
        <w:ind w:firstLine="640"/>
        <w:outlineLvl w:val="1"/>
        <w:rPr>
          <w:rStyle w:val="30"/>
          <w:rFonts w:ascii="黑体" w:hAnsi="黑体" w:eastAsia="黑体"/>
        </w:rPr>
      </w:pPr>
      <w:bookmarkStart w:id="42" w:name="_Toc15396611"/>
      <w:bookmarkStart w:id="43" w:name="_Toc15377219"/>
      <w:r>
        <w:rPr>
          <w:rStyle w:val="30"/>
          <w:rFonts w:hint="eastAsia" w:ascii="黑体" w:hAnsi="黑体" w:eastAsia="黑体"/>
        </w:rPr>
        <w:t>国有资本经营预算支出决算情况说明</w:t>
      </w:r>
      <w:bookmarkEnd w:id="42"/>
      <w:bookmarkEnd w:id="43"/>
    </w:p>
    <w:p>
      <w:pPr>
        <w:spacing w:line="576"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22年国有资本经营预算财政拨款支出0万元。</w:t>
      </w:r>
    </w:p>
    <w:p>
      <w:pPr>
        <w:numPr>
          <w:ilvl w:val="0"/>
          <w:numId w:val="1"/>
        </w:numPr>
        <w:spacing w:line="576" w:lineRule="exact"/>
        <w:ind w:firstLine="640"/>
        <w:outlineLvl w:val="1"/>
        <w:rPr>
          <w:rStyle w:val="30"/>
          <w:rFonts w:ascii="黑体" w:hAnsi="黑体" w:eastAsia="黑体"/>
        </w:rPr>
      </w:pPr>
      <w:bookmarkStart w:id="44" w:name="_Toc15377221"/>
      <w:bookmarkStart w:id="45" w:name="_Toc15396612"/>
      <w:r>
        <w:rPr>
          <w:rStyle w:val="30"/>
          <w:rFonts w:hint="eastAsia" w:ascii="黑体" w:hAnsi="黑体" w:eastAsia="黑体"/>
        </w:rPr>
        <w:t>其他重要事项的情况说明</w:t>
      </w:r>
      <w:bookmarkEnd w:id="44"/>
      <w:bookmarkEnd w:id="45"/>
    </w:p>
    <w:p>
      <w:pPr>
        <w:spacing w:line="576" w:lineRule="exact"/>
        <w:ind w:firstLine="642" w:firstLineChars="200"/>
        <w:outlineLvl w:val="2"/>
        <w:rPr>
          <w:rFonts w:ascii="楷体_GB2312" w:hAnsi="仿宋" w:eastAsia="楷体_GB2312"/>
          <w:sz w:val="32"/>
          <w:szCs w:val="32"/>
        </w:rPr>
      </w:pPr>
      <w:bookmarkStart w:id="46" w:name="_Toc15377222"/>
      <w:r>
        <w:rPr>
          <w:rFonts w:hint="eastAsia" w:ascii="楷体_GB2312" w:hAnsi="仿宋" w:eastAsia="楷体_GB2312"/>
          <w:b/>
          <w:sz w:val="32"/>
          <w:szCs w:val="32"/>
        </w:rPr>
        <w:t>（一）机关运行经费支出情况</w:t>
      </w:r>
      <w:bookmarkEnd w:id="46"/>
    </w:p>
    <w:p>
      <w:pPr>
        <w:spacing w:line="576" w:lineRule="exact"/>
        <w:ind w:firstLine="640" w:firstLineChars="200"/>
        <w:rPr>
          <w:rFonts w:ascii="仿宋_GB2312" w:eastAsia="仿宋_GB2312"/>
          <w:sz w:val="32"/>
          <w:szCs w:val="32"/>
        </w:rPr>
      </w:pPr>
      <w:r>
        <w:rPr>
          <w:rFonts w:hint="eastAsia" w:ascii="仿宋_GB2312" w:eastAsia="仿宋_GB2312"/>
          <w:sz w:val="32"/>
          <w:szCs w:val="32"/>
        </w:rPr>
        <w:t>2022年，剑阁县卫生健康系统机关运行经费支出242.45万元，比2021年增加242.45万元，增长100%。主要原因是2022年与2021年的填报口径改变。</w:t>
      </w:r>
    </w:p>
    <w:p>
      <w:pPr>
        <w:spacing w:line="576" w:lineRule="exact"/>
        <w:ind w:firstLine="642" w:firstLineChars="200"/>
        <w:outlineLvl w:val="2"/>
        <w:rPr>
          <w:rFonts w:ascii="楷体_GB2312" w:hAnsi="仿宋" w:eastAsia="楷体_GB2312"/>
          <w:b/>
          <w:sz w:val="32"/>
          <w:szCs w:val="32"/>
        </w:rPr>
      </w:pPr>
      <w:bookmarkStart w:id="47" w:name="_Toc15377223"/>
      <w:r>
        <w:rPr>
          <w:rFonts w:hint="eastAsia" w:ascii="楷体_GB2312" w:hAnsi="仿宋" w:eastAsia="楷体_GB2312"/>
          <w:b/>
          <w:sz w:val="32"/>
          <w:szCs w:val="32"/>
        </w:rPr>
        <w:t>（二）政府采购支出情况</w:t>
      </w:r>
      <w:bookmarkEnd w:id="47"/>
    </w:p>
    <w:p>
      <w:pPr>
        <w:spacing w:line="576" w:lineRule="exact"/>
        <w:ind w:firstLine="640" w:firstLineChars="200"/>
        <w:rPr>
          <w:rFonts w:ascii="仿宋_GB2312" w:eastAsia="仿宋_GB2312"/>
          <w:sz w:val="32"/>
          <w:szCs w:val="32"/>
        </w:rPr>
      </w:pPr>
      <w:r>
        <w:rPr>
          <w:rFonts w:hint="eastAsia" w:ascii="仿宋_GB2312" w:eastAsia="仿宋_GB2312"/>
          <w:sz w:val="32"/>
          <w:szCs w:val="32"/>
        </w:rPr>
        <w:t>2022年，剑阁县卫生健康系统政府采购支出总额4741.81万元，其中：政府采购货物支出4611.93万元、政府采购工程支出0万元、政府采购服务支出129.88万元。主要用于全县医疗业务的开展，医疗次中心的建设需要等（具体工作）。授予中小企业合同金额1676.09万元，占政府采购支出总额的35.35%，其中：授予小微企业合同金额1676.09万元，占政府采购支出总额的35.35%。</w:t>
      </w:r>
    </w:p>
    <w:p>
      <w:pPr>
        <w:spacing w:line="576" w:lineRule="exact"/>
        <w:ind w:firstLine="642" w:firstLineChars="200"/>
        <w:outlineLvl w:val="2"/>
        <w:rPr>
          <w:rFonts w:ascii="楷体_GB2312" w:hAnsi="仿宋" w:eastAsia="楷体_GB2312"/>
          <w:b/>
          <w:sz w:val="32"/>
          <w:szCs w:val="32"/>
        </w:rPr>
      </w:pPr>
      <w:bookmarkStart w:id="48" w:name="_Toc15377224"/>
      <w:r>
        <w:rPr>
          <w:rFonts w:hint="eastAsia" w:ascii="楷体_GB2312" w:hAnsi="仿宋" w:eastAsia="楷体_GB2312"/>
          <w:b/>
          <w:sz w:val="32"/>
          <w:szCs w:val="32"/>
        </w:rPr>
        <w:t>（三）国有资产占有使用情况</w:t>
      </w:r>
      <w:bookmarkEnd w:id="48"/>
    </w:p>
    <w:p>
      <w:pPr>
        <w:autoSpaceDE w:val="0"/>
        <w:autoSpaceDN w:val="0"/>
        <w:adjustRightInd w:val="0"/>
        <w:spacing w:line="576" w:lineRule="exact"/>
        <w:ind w:firstLine="640" w:firstLineChars="200"/>
        <w:jc w:val="left"/>
        <w:rPr>
          <w:rFonts w:ascii="仿宋_GB2312" w:eastAsia="仿宋_GB2312"/>
          <w:sz w:val="32"/>
          <w:szCs w:val="32"/>
        </w:rPr>
      </w:pPr>
      <w:r>
        <w:rPr>
          <w:rFonts w:hint="eastAsia" w:ascii="仿宋_GB2312" w:eastAsia="仿宋_GB2312"/>
          <w:sz w:val="32"/>
          <w:szCs w:val="32"/>
        </w:rPr>
        <w:t>截至2022年12月31日，剑阁县卫生健康系统共有车辆38辆，其中：主要领导干部用车0辆、机要通信用车0辆、应急保障用车0辆、特种专业技术用车22辆、其他用车16辆，其他用车主要是用于医疗应急和社会服务用车等。单价100万元以上专用设备23台（套）。</w:t>
      </w:r>
    </w:p>
    <w:p>
      <w:pPr>
        <w:spacing w:line="576" w:lineRule="exact"/>
        <w:ind w:firstLine="642" w:firstLineChars="200"/>
        <w:outlineLvl w:val="2"/>
        <w:rPr>
          <w:rFonts w:ascii="楷体_GB2312" w:hAnsi="仿宋" w:eastAsia="楷体_GB2312"/>
          <w:b/>
          <w:sz w:val="32"/>
          <w:szCs w:val="32"/>
        </w:rPr>
      </w:pPr>
      <w:r>
        <w:rPr>
          <w:rFonts w:hint="eastAsia" w:ascii="楷体_GB2312" w:hAnsi="仿宋" w:eastAsia="楷体_GB2312"/>
          <w:b/>
          <w:sz w:val="32"/>
          <w:szCs w:val="32"/>
        </w:rPr>
        <w:t>（四）预算绩效管理情况</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对计划生育服务、重大传染病防控、基本药物制度服务、医疗服务与保障能力提升、基本公共卫生服务项目（项目名称）等5个项目开展了预算事前绩效评估，对5个项目编制了绩效目标，预算执行过程中，选取5个项目开展绩效监控。</w:t>
      </w:r>
    </w:p>
    <w:p>
      <w:pPr>
        <w:widowControl/>
        <w:spacing w:line="576" w:lineRule="exact"/>
        <w:ind w:firstLine="642" w:firstLineChars="200"/>
        <w:jc w:val="left"/>
        <w:rPr>
          <w:rFonts w:ascii="仿宋_GB2312" w:eastAsia="仿宋_GB2312"/>
          <w:b/>
          <w:sz w:val="32"/>
          <w:szCs w:val="32"/>
        </w:rPr>
      </w:pPr>
      <w:r>
        <w:rPr>
          <w:rFonts w:ascii="仿宋_GB2312" w:eastAsia="仿宋_GB2312"/>
          <w:b/>
          <w:sz w:val="32"/>
          <w:szCs w:val="32"/>
        </w:rPr>
        <w:br w:type="page"/>
      </w:r>
    </w:p>
    <w:p>
      <w:pPr>
        <w:numPr>
          <w:ilvl w:val="0"/>
          <w:numId w:val="2"/>
        </w:numPr>
        <w:spacing w:line="600" w:lineRule="exact"/>
        <w:ind w:firstLine="662" w:firstLineChars="150"/>
        <w:jc w:val="center"/>
        <w:outlineLvl w:val="0"/>
        <w:rPr>
          <w:rStyle w:val="29"/>
          <w:rFonts w:ascii="方正小标宋简体" w:hAnsi="黑体" w:eastAsia="方正小标宋简体"/>
          <w:b w:val="0"/>
        </w:rPr>
      </w:pPr>
      <w:bookmarkStart w:id="49" w:name="_Toc15377225"/>
      <w:bookmarkStart w:id="50" w:name="_Toc15396613"/>
      <w:r>
        <w:rPr>
          <w:rFonts w:hint="eastAsia" w:ascii="方正小标宋简体" w:hAnsi="黑体" w:eastAsia="方正小标宋简体"/>
          <w:b/>
          <w:sz w:val="44"/>
          <w:szCs w:val="44"/>
        </w:rPr>
        <w:t>名</w:t>
      </w:r>
      <w:r>
        <w:rPr>
          <w:rStyle w:val="29"/>
          <w:rFonts w:hint="eastAsia" w:ascii="方正小标宋简体" w:hAnsi="黑体" w:eastAsia="方正小标宋简体"/>
        </w:rPr>
        <w:t>词解释</w:t>
      </w:r>
      <w:bookmarkEnd w:id="49"/>
      <w:bookmarkEnd w:id="50"/>
    </w:p>
    <w:p>
      <w:pPr>
        <w:spacing w:line="600" w:lineRule="exact"/>
        <w:jc w:val="left"/>
        <w:rPr>
          <w:rFonts w:ascii="宋体"/>
          <w:b/>
          <w:sz w:val="44"/>
          <w:szCs w:val="44"/>
        </w:rPr>
      </w:pPr>
    </w:p>
    <w:p>
      <w:pPr>
        <w:pStyle w:val="27"/>
        <w:spacing w:line="576" w:lineRule="exact"/>
        <w:ind w:firstLine="640" w:firstLineChars="200"/>
        <w:jc w:val="both"/>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7"/>
        <w:spacing w:line="576" w:lineRule="exact"/>
        <w:ind w:firstLine="640" w:firstLineChars="200"/>
        <w:jc w:val="both"/>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事业收入：指事业单位开展专业业务活动及辅助活动取得的收入。如…（二级预算单位事业收入情况）等。</w:t>
      </w:r>
    </w:p>
    <w:p>
      <w:pPr>
        <w:pStyle w:val="27"/>
        <w:spacing w:line="576"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3</w:t>
      </w:r>
      <w:r>
        <w:rPr>
          <w:rFonts w:ascii="仿宋_GB2312" w:eastAsia="仿宋_GB2312"/>
          <w:color w:val="auto"/>
          <w:sz w:val="32"/>
          <w:szCs w:val="32"/>
        </w:rPr>
        <w:t>.</w:t>
      </w:r>
      <w:r>
        <w:rPr>
          <w:rFonts w:hint="eastAsia" w:ascii="仿宋_GB2312" w:eastAsia="仿宋_GB2312"/>
          <w:color w:val="auto"/>
          <w:sz w:val="32"/>
          <w:szCs w:val="32"/>
        </w:rPr>
        <w:t>其他收入：指单位取得的除上述收入以外的各项收入。主要是…（收入类型）等。</w:t>
      </w:r>
      <w:r>
        <w:rPr>
          <w:rFonts w:ascii="仿宋_GB2312" w:eastAsia="仿宋_GB2312"/>
          <w:color w:val="auto"/>
          <w:sz w:val="32"/>
          <w:szCs w:val="32"/>
        </w:rPr>
        <w:t xml:space="preserve"> </w:t>
      </w:r>
    </w:p>
    <w:p>
      <w:pPr>
        <w:pStyle w:val="14"/>
        <w:spacing w:before="0" w:beforeAutospacing="0" w:after="0" w:afterAutospacing="0" w:line="576"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4.社会保障和就业（类）行政事业单位养老支出（款）机关事业单位基本养老保险缴费支出（项）</w:t>
      </w:r>
      <w:r>
        <w:rPr>
          <w:rFonts w:ascii="仿宋_GB2312" w:hAnsi="Times New Roman" w:eastAsia="仿宋_GB2312"/>
          <w:kern w:val="2"/>
          <w:sz w:val="32"/>
          <w:szCs w:val="32"/>
        </w:rPr>
        <w:t xml:space="preserve">: </w:t>
      </w:r>
      <w:r>
        <w:rPr>
          <w:rFonts w:hint="eastAsia" w:ascii="仿宋_GB2312" w:hAnsi="Times New Roman" w:eastAsia="仿宋_GB2312"/>
          <w:kern w:val="2"/>
          <w:sz w:val="32"/>
          <w:szCs w:val="32"/>
        </w:rPr>
        <w:t>指部门实施养老保险制度由单位缴纳的养老保险费的支出。</w:t>
      </w:r>
    </w:p>
    <w:p>
      <w:pPr>
        <w:pStyle w:val="27"/>
        <w:spacing w:line="576" w:lineRule="exact"/>
        <w:ind w:firstLine="640" w:firstLineChars="200"/>
        <w:jc w:val="both"/>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5.卫生健康支出（类）卫生健康管理事务（款）行政运行（项）</w:t>
      </w:r>
      <w:r>
        <w:rPr>
          <w:rFonts w:ascii="仿宋_GB2312" w:hAnsi="Times New Roman" w:eastAsia="仿宋_GB2312" w:cs="Times New Roman"/>
          <w:kern w:val="2"/>
          <w:sz w:val="32"/>
          <w:szCs w:val="32"/>
        </w:rPr>
        <w:t>:</w:t>
      </w:r>
      <w:r>
        <w:rPr>
          <w:rFonts w:hint="eastAsia" w:ascii="仿宋_GB2312" w:hAnsi="Times New Roman" w:eastAsia="仿宋_GB2312" w:cs="Times New Roman"/>
          <w:kern w:val="2"/>
          <w:sz w:val="32"/>
          <w:szCs w:val="32"/>
        </w:rPr>
        <w:t>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6"/>
        <w:spacing w:beforeLines="0" w:line="576" w:lineRule="exact"/>
        <w:ind w:firstLine="640" w:firstLineChars="200"/>
        <w:rPr>
          <w:kern w:val="2"/>
          <w:sz w:val="32"/>
          <w:szCs w:val="32"/>
        </w:rPr>
      </w:pPr>
      <w:r>
        <w:rPr>
          <w:rFonts w:hint="eastAsia"/>
          <w:kern w:val="2"/>
          <w:sz w:val="32"/>
          <w:szCs w:val="32"/>
        </w:rPr>
        <w:t>6.卫生健康支出（类）卫生健康管理事务（款）一般行政管理事务（项）</w:t>
      </w:r>
      <w:r>
        <w:rPr>
          <w:kern w:val="2"/>
          <w:sz w:val="32"/>
          <w:szCs w:val="32"/>
        </w:rPr>
        <w:t>:</w:t>
      </w:r>
      <w:r>
        <w:rPr>
          <w:rFonts w:hint="eastAsia"/>
          <w:kern w:val="2"/>
          <w:sz w:val="32"/>
          <w:szCs w:val="32"/>
        </w:rPr>
        <w:t>指行政单位未单独设置项级科目的其他项目支出。</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7.卫生健康支出（类）公立医院（款）综合医院（项）</w:t>
      </w:r>
      <w:r>
        <w:rPr>
          <w:rFonts w:ascii="仿宋_GB2312" w:eastAsia="仿宋_GB2312"/>
          <w:sz w:val="32"/>
          <w:szCs w:val="32"/>
        </w:rPr>
        <w:t>:</w:t>
      </w:r>
      <w:r>
        <w:rPr>
          <w:rFonts w:hint="eastAsia" w:ascii="仿宋_GB2312" w:eastAsia="仿宋_GB2312"/>
          <w:sz w:val="32"/>
          <w:szCs w:val="32"/>
        </w:rPr>
        <w:t>指反映卫生健康、中医部门所属的城市综合性医院、独立门诊、教学医院、疗养院和县医院的支出。</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8.卫生健康支出（类）公立医院（款）中医（民族）医院（项）</w:t>
      </w:r>
      <w:r>
        <w:rPr>
          <w:rFonts w:ascii="仿宋_GB2312" w:eastAsia="仿宋_GB2312"/>
          <w:sz w:val="32"/>
          <w:szCs w:val="32"/>
        </w:rPr>
        <w:t>:</w:t>
      </w:r>
      <w:r>
        <w:rPr>
          <w:rFonts w:hint="eastAsia" w:ascii="仿宋_GB2312" w:eastAsia="仿宋_GB2312"/>
          <w:sz w:val="32"/>
          <w:szCs w:val="32"/>
        </w:rPr>
        <w:t>指反映卫生健康、中医部门所属的中医院、中西医结合医院、民族医院的支出。</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9.卫生健康支出（类）公立医院（款）其他公立医院支出（项）</w:t>
      </w:r>
      <w:r>
        <w:rPr>
          <w:rFonts w:ascii="仿宋_GB2312" w:eastAsia="仿宋_GB2312"/>
          <w:sz w:val="32"/>
          <w:szCs w:val="32"/>
        </w:rPr>
        <w:t>:</w:t>
      </w:r>
      <w:r>
        <w:rPr>
          <w:rFonts w:hint="eastAsia" w:ascii="仿宋_GB2312" w:eastAsia="仿宋_GB2312"/>
          <w:sz w:val="32"/>
          <w:szCs w:val="32"/>
        </w:rPr>
        <w:t>反映除上述项目以外的其他用于公立医院方面的支出。</w:t>
      </w:r>
    </w:p>
    <w:p>
      <w:pPr>
        <w:pStyle w:val="6"/>
        <w:spacing w:beforeLines="0" w:line="576" w:lineRule="exact"/>
        <w:ind w:firstLine="640" w:firstLineChars="200"/>
        <w:rPr>
          <w:kern w:val="2"/>
          <w:sz w:val="32"/>
          <w:szCs w:val="32"/>
        </w:rPr>
      </w:pPr>
      <w:r>
        <w:rPr>
          <w:rFonts w:hint="eastAsia"/>
          <w:kern w:val="2"/>
          <w:sz w:val="32"/>
          <w:szCs w:val="32"/>
        </w:rPr>
        <w:t>10.卫生健康支出（类）基层医疗卫生机构（款）乡镇卫生院（项）</w:t>
      </w:r>
      <w:r>
        <w:rPr>
          <w:kern w:val="2"/>
          <w:sz w:val="32"/>
          <w:szCs w:val="32"/>
        </w:rPr>
        <w:t>:</w:t>
      </w:r>
      <w:r>
        <w:rPr>
          <w:rFonts w:hint="eastAsia"/>
          <w:kern w:val="2"/>
          <w:sz w:val="32"/>
          <w:szCs w:val="32"/>
        </w:rPr>
        <w:t>反映用于乡镇卫生院的支出。</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11.卫生健康支出（类）基层医疗卫生机构（款）其他基层医疗卫生机构支出（项）</w:t>
      </w:r>
      <w:r>
        <w:rPr>
          <w:rFonts w:ascii="仿宋_GB2312" w:eastAsia="仿宋_GB2312"/>
          <w:sz w:val="32"/>
          <w:szCs w:val="32"/>
        </w:rPr>
        <w:t>:</w:t>
      </w:r>
      <w:r>
        <w:rPr>
          <w:rFonts w:hint="eastAsia" w:ascii="仿宋_GB2312" w:eastAsia="仿宋_GB2312"/>
          <w:sz w:val="32"/>
          <w:szCs w:val="32"/>
        </w:rPr>
        <w:t>反映除上述项目以外的其他用于基层医疗卫生机构的支出</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12.卫生健康支出（类）公共卫生（款）疾病预防控制机构（项）</w:t>
      </w:r>
      <w:r>
        <w:rPr>
          <w:rFonts w:ascii="仿宋_GB2312" w:eastAsia="仿宋_GB2312"/>
          <w:sz w:val="32"/>
          <w:szCs w:val="32"/>
        </w:rPr>
        <w:t>:</w:t>
      </w:r>
      <w:r>
        <w:rPr>
          <w:rFonts w:hint="eastAsia" w:ascii="仿宋_GB2312" w:eastAsia="仿宋_GB2312"/>
          <w:sz w:val="32"/>
          <w:szCs w:val="32"/>
        </w:rPr>
        <w:t>反映卫生健康部门所属疾病预防控制机构的支出。</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13.卫生健康支出（类）公共卫生（款）妇幼保健机构（项）</w:t>
      </w:r>
      <w:r>
        <w:rPr>
          <w:rFonts w:ascii="仿宋_GB2312" w:eastAsia="仿宋_GB2312"/>
          <w:sz w:val="32"/>
          <w:szCs w:val="32"/>
        </w:rPr>
        <w:t>:</w:t>
      </w:r>
      <w:r>
        <w:rPr>
          <w:rFonts w:hint="eastAsia" w:ascii="仿宋_GB2312" w:eastAsia="仿宋_GB2312"/>
          <w:sz w:val="32"/>
          <w:szCs w:val="32"/>
        </w:rPr>
        <w:t>反映卫生健康部门所属妇幼保健机构的支出。</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14.卫生健康支出（类）公共卫生（款）基本公共卫生服务（项）</w:t>
      </w:r>
      <w:r>
        <w:rPr>
          <w:rFonts w:ascii="仿宋_GB2312" w:eastAsia="仿宋_GB2312"/>
          <w:sz w:val="32"/>
          <w:szCs w:val="32"/>
        </w:rPr>
        <w:t>:</w:t>
      </w:r>
      <w:r>
        <w:rPr>
          <w:rFonts w:hint="eastAsia" w:ascii="仿宋_GB2312" w:eastAsia="仿宋_GB2312"/>
          <w:sz w:val="32"/>
          <w:szCs w:val="32"/>
        </w:rPr>
        <w:t>反映基本公共卫生服务支出。</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15.卫生健康支出（类）公共卫生（款）重大公共卫生服务（项）</w:t>
      </w:r>
      <w:r>
        <w:rPr>
          <w:rFonts w:ascii="仿宋_GB2312" w:eastAsia="仿宋_GB2312"/>
          <w:sz w:val="32"/>
          <w:szCs w:val="32"/>
        </w:rPr>
        <w:t>:</w:t>
      </w:r>
      <w:r>
        <w:rPr>
          <w:rFonts w:hint="eastAsia" w:ascii="仿宋_GB2312" w:eastAsia="仿宋_GB2312"/>
          <w:sz w:val="32"/>
          <w:szCs w:val="32"/>
        </w:rPr>
        <w:t>反映重大疾病、重大传染病预防控制等重大公共卫生服务项目支出。</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16.卫生健康支出（类）公共卫生（款）其他公共卫生支出（项）</w:t>
      </w:r>
      <w:r>
        <w:rPr>
          <w:rFonts w:ascii="仿宋_GB2312" w:eastAsia="仿宋_GB2312"/>
          <w:sz w:val="32"/>
          <w:szCs w:val="32"/>
        </w:rPr>
        <w:t>:</w:t>
      </w:r>
      <w:r>
        <w:rPr>
          <w:rFonts w:hint="eastAsia" w:ascii="仿宋_GB2312" w:eastAsia="仿宋_GB2312"/>
          <w:sz w:val="32"/>
          <w:szCs w:val="32"/>
        </w:rPr>
        <w:t>反映除上述项目以外的其他用于公共卫生方面的支出。</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17.卫生健康支出（类）行政事业单位医疗（款）事业单位医疗（项）</w:t>
      </w:r>
      <w:r>
        <w:rPr>
          <w:rFonts w:ascii="仿宋_GB2312" w:eastAsia="仿宋_GB2312"/>
          <w:sz w:val="32"/>
          <w:szCs w:val="32"/>
        </w:rPr>
        <w:t>:</w:t>
      </w:r>
      <w:r>
        <w:rPr>
          <w:rFonts w:hint="eastAsia" w:ascii="仿宋_GB2312" w:eastAsia="仿宋_GB2312"/>
          <w:sz w:val="32"/>
          <w:szCs w:val="32"/>
        </w:rPr>
        <w:t>指事业单位用于缴纳单位基本医疗保险支出。</w:t>
      </w:r>
    </w:p>
    <w:p>
      <w:pPr>
        <w:pStyle w:val="6"/>
        <w:spacing w:beforeLines="0" w:line="576" w:lineRule="exact"/>
        <w:ind w:firstLine="640" w:firstLineChars="200"/>
        <w:rPr>
          <w:kern w:val="2"/>
          <w:sz w:val="32"/>
          <w:szCs w:val="32"/>
        </w:rPr>
      </w:pPr>
      <w:r>
        <w:rPr>
          <w:rFonts w:hint="eastAsia"/>
          <w:kern w:val="2"/>
          <w:sz w:val="32"/>
          <w:szCs w:val="32"/>
        </w:rPr>
        <w:t>18.卫生健康支出（类）其他卫生健康支出（款）其他卫生健康支出（项）</w:t>
      </w:r>
      <w:r>
        <w:rPr>
          <w:kern w:val="2"/>
          <w:sz w:val="32"/>
          <w:szCs w:val="32"/>
        </w:rPr>
        <w:t>:</w:t>
      </w:r>
      <w:r>
        <w:rPr>
          <w:rFonts w:hint="eastAsia"/>
          <w:kern w:val="2"/>
          <w:sz w:val="32"/>
          <w:szCs w:val="32"/>
        </w:rPr>
        <w:t>反映除上述项目以外其他用于卫生健康方面的支出。</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19.农林水支出（类）巩固脱贫衔接乡村振兴（款）社会发展（项）</w:t>
      </w:r>
      <w:r>
        <w:rPr>
          <w:rFonts w:ascii="仿宋_GB2312" w:eastAsia="仿宋_GB2312"/>
          <w:sz w:val="32"/>
          <w:szCs w:val="32"/>
        </w:rPr>
        <w:t>:</w:t>
      </w:r>
      <w:r>
        <w:rPr>
          <w:rFonts w:hint="eastAsia" w:ascii="仿宋_GB2312" w:eastAsia="仿宋_GB2312"/>
          <w:sz w:val="32"/>
          <w:szCs w:val="32"/>
        </w:rPr>
        <w:t>反映用于农村欠发达地区中小学教育、文化、广播、电视、卫生健康等方面的项目支出。</w:t>
      </w:r>
    </w:p>
    <w:p>
      <w:pPr>
        <w:pStyle w:val="27"/>
        <w:spacing w:line="576" w:lineRule="exact"/>
        <w:ind w:firstLine="640" w:firstLineChars="200"/>
        <w:jc w:val="both"/>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18.住房保障支出（类）住房改革支出（款）住房公积金（项）</w:t>
      </w:r>
      <w:r>
        <w:rPr>
          <w:rFonts w:ascii="仿宋_GB2312" w:hAnsi="Times New Roman" w:eastAsia="仿宋_GB2312" w:cs="Times New Roman"/>
          <w:kern w:val="2"/>
          <w:sz w:val="32"/>
          <w:szCs w:val="32"/>
        </w:rPr>
        <w:t>:</w:t>
      </w:r>
      <w:r>
        <w:rPr>
          <w:rFonts w:hint="eastAsia" w:ascii="仿宋_GB2312" w:hAnsi="Times New Roman" w:eastAsia="仿宋_GB2312" w:cs="Times New Roman"/>
          <w:kern w:val="2"/>
          <w:sz w:val="32"/>
          <w:szCs w:val="32"/>
        </w:rPr>
        <w:t>反映行政事业单位按人力资源和社会保障部、财政部规定的基本工资和津贴补贴以及规定比例为职工缴纳的住房公积金。</w:t>
      </w:r>
    </w:p>
    <w:p>
      <w:pPr>
        <w:spacing w:line="576"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0</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spacing w:line="576"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7"/>
        <w:spacing w:line="576"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22</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76"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23</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76" w:lineRule="exact"/>
        <w:ind w:firstLine="200"/>
        <w:rPr>
          <w:rFonts w:ascii="黑体" w:hAnsi="黑体" w:eastAsia="黑体"/>
          <w:sz w:val="44"/>
          <w:szCs w:val="44"/>
        </w:rPr>
      </w:pPr>
      <w:bookmarkStart w:id="51" w:name="_Toc15396614"/>
      <w:bookmarkStart w:id="52" w:name="_Toc15377226"/>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widowControl/>
        <w:jc w:val="left"/>
        <w:rPr>
          <w:rFonts w:ascii="黑体" w:hAnsi="黑体" w:eastAsia="黑体"/>
          <w:sz w:val="44"/>
          <w:szCs w:val="44"/>
        </w:rPr>
      </w:pPr>
      <w:r>
        <w:rPr>
          <w:rFonts w:ascii="黑体" w:hAnsi="黑体" w:eastAsia="黑体"/>
          <w:sz w:val="44"/>
          <w:szCs w:val="44"/>
        </w:rPr>
        <w:br w:type="page"/>
      </w:r>
    </w:p>
    <w:p>
      <w:pPr>
        <w:spacing w:line="550" w:lineRule="exact"/>
        <w:jc w:val="center"/>
        <w:rPr>
          <w:rStyle w:val="29"/>
          <w:rFonts w:ascii="方正小标宋简体" w:hAnsi="黑体" w:eastAsia="方正小标宋简体"/>
        </w:rPr>
      </w:pPr>
      <w:r>
        <w:rPr>
          <w:rFonts w:hint="eastAsia" w:ascii="方正小标宋简体" w:hAnsi="黑体" w:eastAsia="方正小标宋简体"/>
          <w:b/>
          <w:sz w:val="44"/>
          <w:szCs w:val="44"/>
        </w:rPr>
        <w:t>第</w:t>
      </w:r>
      <w:r>
        <w:rPr>
          <w:rStyle w:val="29"/>
          <w:rFonts w:hint="eastAsia" w:ascii="方正小标宋简体" w:hAnsi="黑体" w:eastAsia="方正小标宋简体"/>
        </w:rPr>
        <w:t>四部分 附件</w:t>
      </w:r>
      <w:bookmarkEnd w:id="51"/>
    </w:p>
    <w:p>
      <w:pPr>
        <w:spacing w:line="550" w:lineRule="exact"/>
        <w:rPr>
          <w:rFonts w:ascii="方正小标宋简体" w:hAnsi="方正小标宋简体" w:eastAsia="方正小标宋简体" w:cs="方正小标宋简体"/>
          <w:b/>
          <w:sz w:val="44"/>
          <w:szCs w:val="44"/>
        </w:rPr>
      </w:pPr>
      <w:r>
        <w:rPr>
          <w:rFonts w:hint="eastAsia" w:ascii="黑体" w:hAnsi="黑体" w:eastAsia="黑体" w:cs="黑体"/>
          <w:b/>
          <w:sz w:val="32"/>
          <w:szCs w:val="32"/>
        </w:rPr>
        <w:t>附件</w:t>
      </w:r>
    </w:p>
    <w:p>
      <w:pPr>
        <w:spacing w:line="550" w:lineRule="exact"/>
        <w:contextualSpacing/>
        <w:jc w:val="center"/>
        <w:rPr>
          <w:rFonts w:ascii="方正小标宋简体" w:hAnsi="宋体" w:eastAsia="方正小标宋简体"/>
          <w:b/>
          <w:sz w:val="36"/>
          <w:szCs w:val="36"/>
          <w:shd w:val="clear" w:color="auto" w:fill="FFFFFF"/>
        </w:rPr>
      </w:pPr>
      <w:r>
        <w:rPr>
          <w:rFonts w:hint="eastAsia" w:ascii="方正小标宋简体" w:hAnsi="宋体" w:eastAsia="方正小标宋简体"/>
          <w:b/>
          <w:sz w:val="36"/>
          <w:szCs w:val="36"/>
          <w:shd w:val="clear" w:color="auto" w:fill="FFFFFF"/>
        </w:rPr>
        <w:t>2023年省级部门整体绩效评价报告范本</w:t>
      </w:r>
    </w:p>
    <w:p>
      <w:pPr>
        <w:spacing w:line="550" w:lineRule="exact"/>
        <w:contextualSpacing/>
        <w:jc w:val="center"/>
        <w:rPr>
          <w:rFonts w:ascii="方正小标宋简体" w:hAnsi="仿宋_GB2312" w:eastAsia="方正小标宋简体" w:cs="仿宋_GB2312"/>
          <w:b/>
          <w:sz w:val="36"/>
          <w:szCs w:val="36"/>
          <w:shd w:val="clear" w:color="auto" w:fill="FFFFFF"/>
        </w:rPr>
      </w:pPr>
      <w:r>
        <w:rPr>
          <w:rFonts w:hint="eastAsia" w:ascii="方正小标宋简体" w:hAnsi="仿宋_GB2312" w:eastAsia="方正小标宋简体" w:cs="仿宋_GB2312"/>
          <w:b/>
          <w:sz w:val="36"/>
          <w:szCs w:val="36"/>
          <w:shd w:val="clear" w:color="auto" w:fill="FFFFFF"/>
        </w:rPr>
        <w:t>（报告范围包括机关和下属单位）</w:t>
      </w:r>
    </w:p>
    <w:p>
      <w:pPr>
        <w:pStyle w:val="38"/>
        <w:widowControl w:val="0"/>
        <w:pBdr>
          <w:bottom w:val="single" w:color="FFFFFF" w:sz="4" w:space="31"/>
        </w:pBdr>
        <w:tabs>
          <w:tab w:val="left" w:pos="1440"/>
        </w:tabs>
        <w:autoSpaceDE w:val="0"/>
        <w:autoSpaceDN w:val="0"/>
        <w:spacing w:before="0" w:beforeAutospacing="0" w:after="0" w:afterAutospacing="0" w:line="550" w:lineRule="exact"/>
        <w:ind w:firstLine="640" w:firstLineChars="200"/>
        <w:jc w:val="both"/>
        <w:rPr>
          <w:rFonts w:ascii="仿宋" w:hAnsi="仿宋" w:eastAsia="仿宋" w:cs="??_GB2312"/>
          <w:sz w:val="32"/>
          <w:szCs w:val="32"/>
        </w:rPr>
      </w:pPr>
    </w:p>
    <w:p>
      <w:pPr>
        <w:pStyle w:val="38"/>
        <w:widowControl w:val="0"/>
        <w:pBdr>
          <w:bottom w:val="single" w:color="FFFFFF" w:sz="4" w:space="31"/>
        </w:pBdr>
        <w:tabs>
          <w:tab w:val="left" w:pos="1440"/>
        </w:tabs>
        <w:autoSpaceDE w:val="0"/>
        <w:autoSpaceDN w:val="0"/>
        <w:spacing w:before="0" w:beforeAutospacing="0" w:after="0" w:afterAutospacing="0" w:line="550" w:lineRule="exact"/>
        <w:ind w:firstLine="642" w:firstLineChars="200"/>
        <w:jc w:val="both"/>
        <w:rPr>
          <w:rFonts w:ascii="黑体" w:hAnsi="黑体" w:eastAsia="黑体" w:cs="??_GB2312"/>
          <w:b/>
          <w:sz w:val="32"/>
          <w:szCs w:val="32"/>
        </w:rPr>
      </w:pPr>
      <w:r>
        <w:rPr>
          <w:rFonts w:hint="eastAsia" w:ascii="黑体" w:hAnsi="黑体" w:eastAsia="黑体" w:cs="??_GB2312"/>
          <w:b/>
          <w:sz w:val="32"/>
          <w:szCs w:val="32"/>
        </w:rPr>
        <w:t>一、部门基本情况</w:t>
      </w:r>
    </w:p>
    <w:p>
      <w:pPr>
        <w:pStyle w:val="38"/>
        <w:widowControl w:val="0"/>
        <w:pBdr>
          <w:bottom w:val="single" w:color="FFFFFF" w:sz="4" w:space="31"/>
        </w:pBdr>
        <w:tabs>
          <w:tab w:val="left" w:pos="1440"/>
        </w:tabs>
        <w:autoSpaceDE w:val="0"/>
        <w:autoSpaceDN w:val="0"/>
        <w:spacing w:before="0" w:beforeAutospacing="0" w:after="0" w:afterAutospacing="0" w:line="550" w:lineRule="exact"/>
        <w:ind w:firstLine="642" w:firstLineChars="200"/>
        <w:jc w:val="both"/>
        <w:rPr>
          <w:rFonts w:ascii="仿宋_GB2312" w:hAnsi="仿宋" w:eastAsia="仿宋_GB2312" w:cs="??_GB2312"/>
          <w:sz w:val="32"/>
          <w:szCs w:val="32"/>
        </w:rPr>
      </w:pPr>
      <w:r>
        <w:rPr>
          <w:rFonts w:hint="eastAsia" w:ascii="楷体_GB2312" w:hAnsi="仿宋" w:eastAsia="楷体_GB2312" w:cs="??_GB2312"/>
          <w:b/>
          <w:sz w:val="32"/>
          <w:szCs w:val="32"/>
        </w:rPr>
        <w:t>（一）机构组成。</w:t>
      </w:r>
      <w:r>
        <w:rPr>
          <w:rFonts w:hint="eastAsia" w:ascii="仿宋_GB2312" w:hAnsi="仿宋" w:eastAsia="仿宋_GB2312" w:cs="??_GB2312"/>
          <w:sz w:val="32"/>
          <w:szCs w:val="32"/>
        </w:rPr>
        <w:t>县卫健局属于行政单位，卫健局机关下设十二个股室，包括办公室、财务股、行政审批股、医政股等</w:t>
      </w:r>
    </w:p>
    <w:p>
      <w:pPr>
        <w:pStyle w:val="38"/>
        <w:widowControl w:val="0"/>
        <w:pBdr>
          <w:bottom w:val="single" w:color="FFFFFF" w:sz="4" w:space="31"/>
        </w:pBdr>
        <w:tabs>
          <w:tab w:val="left" w:pos="1440"/>
        </w:tabs>
        <w:autoSpaceDE w:val="0"/>
        <w:autoSpaceDN w:val="0"/>
        <w:spacing w:before="0" w:beforeAutospacing="0" w:after="0" w:afterAutospacing="0" w:line="550" w:lineRule="exact"/>
        <w:ind w:firstLine="642" w:firstLineChars="200"/>
        <w:jc w:val="both"/>
        <w:rPr>
          <w:rFonts w:ascii="仿宋_GB2312" w:hAnsi="仿宋" w:eastAsia="仿宋_GB2312" w:cs="??_GB2312"/>
          <w:sz w:val="32"/>
          <w:szCs w:val="32"/>
        </w:rPr>
      </w:pPr>
      <w:r>
        <w:rPr>
          <w:rFonts w:hint="eastAsia" w:ascii="楷体_GB2312" w:hAnsi="仿宋" w:eastAsia="楷体_GB2312" w:cs="??_GB2312"/>
          <w:b/>
          <w:sz w:val="32"/>
          <w:szCs w:val="32"/>
        </w:rPr>
        <w:t>（二）机构职能。</w:t>
      </w:r>
      <w:r>
        <w:rPr>
          <w:rFonts w:hint="eastAsia" w:ascii="仿宋_GB2312" w:hAnsi="仿宋" w:eastAsia="仿宋_GB2312" w:cs="??_GB2312"/>
          <w:sz w:val="32"/>
          <w:szCs w:val="32"/>
        </w:rPr>
        <w:t>剑阁县卫生健康局贯彻落实党中央关于卫生健康工作的方针政策和省委、市委、县委的决策部署，在履行职责过程中坚持和加强党对卫生健康工作的集中统一领导，具体包括组织拟订全县卫生健康政策、牵头推进全县深化医药卫生体制改革、制定并组织落实全县疾病预防控制规划、免疫规划以及严重危害人民健康的艾滋病等重大传染病、寄生虫病、地方病等公共卫生问题的干预措施、贯彻落实国家应对人口老龄化政策措施、负责指导、协调、监督检查全县爱国卫生工作。承担县爱国卫生运动委员会日常工作、贯彻落实国家药物政策和国家基本药物制度、负责职责范围内的职业卫生、放射卫生、环境卫生、学校卫生、公共场所卫生、饮用水卫生等公共卫生的监督管理、制定全县医疗机构、医疗服务行业管理办法并监督实施，建立医疗服务评价和监督管理体系、负责全县计划生育管理和服务工作。开展人口监测预警，研究提出人口与家庭发展相关政策建议，依法实施计划生育政策、指导全县卫生健康工作、贯彻执行国家、省促进中医药（含中西医结合和民族医药）事业发展的法律法规，拟订全县中医药中长期发展规划并组织实施，促进中药资源的保护、开发和合理利用，拟订全县中药产业发展规划、产业政策和中药的扶持政策并组织实施，监督指导全县中医药工作、负责县确定的保健对象的医疗保健工作、依法依规履行卫生健康行业安全生产监管职责以及完成县委、县政府交办的其他任务等。</w:t>
      </w:r>
    </w:p>
    <w:p>
      <w:pPr>
        <w:pStyle w:val="38"/>
        <w:widowControl w:val="0"/>
        <w:pBdr>
          <w:bottom w:val="single" w:color="FFFFFF" w:sz="4" w:space="31"/>
        </w:pBdr>
        <w:tabs>
          <w:tab w:val="left" w:pos="1440"/>
        </w:tabs>
        <w:autoSpaceDE w:val="0"/>
        <w:autoSpaceDN w:val="0"/>
        <w:spacing w:before="0" w:beforeAutospacing="0" w:after="0" w:afterAutospacing="0" w:line="550" w:lineRule="exact"/>
        <w:ind w:firstLine="642" w:firstLineChars="200"/>
        <w:jc w:val="both"/>
        <w:rPr>
          <w:rFonts w:ascii="仿宋_GB2312" w:hAnsi="仿宋" w:eastAsia="仿宋_GB2312" w:cs="??_GB2312"/>
          <w:sz w:val="32"/>
          <w:szCs w:val="32"/>
        </w:rPr>
      </w:pPr>
      <w:r>
        <w:rPr>
          <w:rFonts w:hint="eastAsia" w:ascii="楷体_GB2312" w:hAnsi="仿宋" w:eastAsia="楷体_GB2312" w:cs="??_GB2312"/>
          <w:b/>
          <w:sz w:val="32"/>
          <w:szCs w:val="32"/>
        </w:rPr>
        <w:t>（三）人员概况。</w:t>
      </w:r>
      <w:r>
        <w:rPr>
          <w:rFonts w:hint="eastAsia" w:ascii="仿宋_GB2312" w:hAnsi="仿宋" w:eastAsia="仿宋_GB2312" w:cs="??_GB2312"/>
          <w:sz w:val="32"/>
          <w:szCs w:val="32"/>
        </w:rPr>
        <w:t>剑阁县卫生健康局</w:t>
      </w:r>
      <w:r>
        <w:rPr>
          <w:rFonts w:hint="eastAsia" w:ascii="仿宋_GB2312" w:hAnsi="仿宋" w:eastAsia="仿宋_GB2312" w:cs="??_GB2312"/>
          <w:sz w:val="32"/>
          <w:szCs w:val="32"/>
          <w:lang w:eastAsia="zh-CN"/>
        </w:rPr>
        <w:t>部门</w:t>
      </w:r>
      <w:r>
        <w:rPr>
          <w:rFonts w:hint="eastAsia" w:ascii="仿宋_GB2312" w:hAnsi="仿宋" w:eastAsia="仿宋_GB2312" w:cs="??_GB2312"/>
          <w:sz w:val="32"/>
          <w:szCs w:val="32"/>
        </w:rPr>
        <w:t>总编制</w:t>
      </w:r>
      <w:r>
        <w:rPr>
          <w:rFonts w:hint="eastAsia" w:ascii="仿宋_GB2312" w:hAnsi="仿宋" w:eastAsia="仿宋_GB2312" w:cs="??_GB2312"/>
          <w:sz w:val="32"/>
          <w:szCs w:val="32"/>
          <w:lang w:val="en-US" w:eastAsia="zh-CN"/>
        </w:rPr>
        <w:t>1871</w:t>
      </w:r>
      <w:r>
        <w:rPr>
          <w:rFonts w:hint="eastAsia" w:ascii="仿宋_GB2312" w:hAnsi="仿宋" w:eastAsia="仿宋_GB2312" w:cs="??_GB2312"/>
          <w:sz w:val="32"/>
          <w:szCs w:val="32"/>
        </w:rPr>
        <w:t>名，其中行政编制22名，参公编制</w:t>
      </w:r>
      <w:r>
        <w:rPr>
          <w:rFonts w:hint="eastAsia" w:ascii="仿宋_GB2312" w:hAnsi="仿宋" w:eastAsia="仿宋_GB2312" w:cs="??_GB2312"/>
          <w:sz w:val="32"/>
          <w:szCs w:val="32"/>
          <w:lang w:val="en-US" w:eastAsia="zh-CN"/>
        </w:rPr>
        <w:t>5</w:t>
      </w:r>
      <w:r>
        <w:rPr>
          <w:rFonts w:hint="eastAsia" w:ascii="仿宋_GB2312" w:hAnsi="仿宋" w:eastAsia="仿宋_GB2312" w:cs="??_GB2312"/>
          <w:sz w:val="32"/>
          <w:szCs w:val="32"/>
        </w:rPr>
        <w:t>5名，事业编制</w:t>
      </w:r>
      <w:r>
        <w:rPr>
          <w:rFonts w:hint="eastAsia" w:ascii="仿宋_GB2312" w:hAnsi="仿宋" w:eastAsia="仿宋_GB2312" w:cs="??_GB2312"/>
          <w:sz w:val="32"/>
          <w:szCs w:val="32"/>
          <w:lang w:val="en-US" w:eastAsia="zh-CN"/>
        </w:rPr>
        <w:t>1607</w:t>
      </w:r>
      <w:r>
        <w:rPr>
          <w:rFonts w:hint="eastAsia" w:ascii="仿宋_GB2312" w:hAnsi="仿宋" w:eastAsia="仿宋_GB2312" w:cs="??_GB2312"/>
          <w:sz w:val="32"/>
          <w:szCs w:val="32"/>
        </w:rPr>
        <w:t>名，机关工勤编制4名，事业工勤人员3人</w:t>
      </w:r>
      <w:r>
        <w:rPr>
          <w:rFonts w:hint="eastAsia" w:ascii="仿宋_GB2312" w:hAnsi="仿宋" w:eastAsia="仿宋_GB2312" w:cs="??_GB2312"/>
          <w:sz w:val="32"/>
          <w:szCs w:val="32"/>
          <w:lang w:eastAsia="zh-CN"/>
        </w:rPr>
        <w:t>，经费自理人员</w:t>
      </w:r>
      <w:r>
        <w:rPr>
          <w:rFonts w:hint="eastAsia" w:ascii="仿宋_GB2312" w:hAnsi="仿宋" w:eastAsia="仿宋_GB2312" w:cs="??_GB2312"/>
          <w:sz w:val="32"/>
          <w:szCs w:val="32"/>
          <w:lang w:val="en-US" w:eastAsia="zh-CN"/>
        </w:rPr>
        <w:t>180人</w:t>
      </w:r>
      <w:r>
        <w:rPr>
          <w:rFonts w:hint="eastAsia" w:ascii="仿宋_GB2312" w:hAnsi="仿宋" w:eastAsia="仿宋_GB2312" w:cs="??_GB2312"/>
          <w:sz w:val="32"/>
          <w:szCs w:val="32"/>
        </w:rPr>
        <w:t>。</w:t>
      </w:r>
    </w:p>
    <w:p>
      <w:pPr>
        <w:pStyle w:val="38"/>
        <w:widowControl w:val="0"/>
        <w:pBdr>
          <w:bottom w:val="single" w:color="FFFFFF" w:sz="4" w:space="31"/>
        </w:pBdr>
        <w:tabs>
          <w:tab w:val="left" w:pos="1440"/>
        </w:tabs>
        <w:autoSpaceDE w:val="0"/>
        <w:autoSpaceDN w:val="0"/>
        <w:spacing w:before="0" w:beforeAutospacing="0" w:after="0" w:afterAutospacing="0" w:line="550" w:lineRule="exact"/>
        <w:ind w:firstLine="642" w:firstLineChars="200"/>
        <w:jc w:val="both"/>
        <w:rPr>
          <w:rFonts w:ascii="楷体_GB2312" w:hAnsi="仿宋" w:eastAsia="楷体_GB2312" w:cs="??_GB2312"/>
          <w:b/>
          <w:sz w:val="32"/>
          <w:szCs w:val="32"/>
        </w:rPr>
      </w:pPr>
      <w:r>
        <w:rPr>
          <w:rFonts w:hint="eastAsia" w:ascii="楷体_GB2312" w:hAnsi="仿宋" w:eastAsia="楷体_GB2312" w:cs="??_GB2312"/>
          <w:b/>
          <w:sz w:val="32"/>
          <w:szCs w:val="32"/>
        </w:rPr>
        <w:t>（四）部门整体支出绩效目标。</w:t>
      </w:r>
    </w:p>
    <w:p>
      <w:pPr>
        <w:pStyle w:val="38"/>
        <w:widowControl w:val="0"/>
        <w:pBdr>
          <w:bottom w:val="single" w:color="FFFFFF" w:sz="4" w:space="31"/>
        </w:pBdr>
        <w:tabs>
          <w:tab w:val="left" w:pos="1440"/>
        </w:tabs>
        <w:autoSpaceDE w:val="0"/>
        <w:autoSpaceDN w:val="0"/>
        <w:spacing w:before="0" w:beforeAutospacing="0" w:after="0" w:afterAutospacing="0" w:line="550" w:lineRule="exact"/>
        <w:ind w:firstLine="642" w:firstLineChars="200"/>
        <w:jc w:val="both"/>
        <w:rPr>
          <w:rFonts w:ascii="黑体" w:hAnsi="黑体" w:eastAsia="黑体" w:cs="??_GB2312"/>
          <w:b/>
          <w:sz w:val="32"/>
          <w:szCs w:val="32"/>
        </w:rPr>
      </w:pPr>
      <w:r>
        <w:rPr>
          <w:rFonts w:hint="eastAsia" w:ascii="黑体" w:hAnsi="黑体" w:eastAsia="黑体" w:cs="??_GB2312"/>
          <w:b/>
          <w:sz w:val="32"/>
          <w:szCs w:val="32"/>
        </w:rPr>
        <w:t>二、部门资金收支情况</w:t>
      </w:r>
    </w:p>
    <w:p>
      <w:pPr>
        <w:pStyle w:val="38"/>
        <w:widowControl w:val="0"/>
        <w:pBdr>
          <w:bottom w:val="single" w:color="FFFFFF" w:sz="4" w:space="31"/>
        </w:pBdr>
        <w:tabs>
          <w:tab w:val="left" w:pos="1440"/>
        </w:tabs>
        <w:autoSpaceDE w:val="0"/>
        <w:autoSpaceDN w:val="0"/>
        <w:spacing w:before="0" w:beforeAutospacing="0" w:after="0" w:afterAutospacing="0" w:line="550" w:lineRule="exact"/>
        <w:ind w:firstLine="642" w:firstLineChars="200"/>
        <w:jc w:val="both"/>
        <w:rPr>
          <w:rFonts w:ascii="楷体_GB2312" w:hAnsi="仿宋" w:eastAsia="楷体_GB2312" w:cs="??_GB2312"/>
          <w:b/>
          <w:sz w:val="32"/>
          <w:szCs w:val="32"/>
        </w:rPr>
      </w:pPr>
      <w:r>
        <w:rPr>
          <w:rFonts w:hint="eastAsia" w:ascii="楷体_GB2312" w:hAnsi="仿宋" w:eastAsia="楷体_GB2312" w:cs="??_GB2312"/>
          <w:b/>
          <w:sz w:val="32"/>
          <w:szCs w:val="32"/>
        </w:rPr>
        <w:t>（一）部门总体收支情况。</w:t>
      </w:r>
    </w:p>
    <w:p>
      <w:pPr>
        <w:pStyle w:val="38"/>
        <w:widowControl w:val="0"/>
        <w:pBdr>
          <w:bottom w:val="single" w:color="FFFFFF" w:sz="4" w:space="31"/>
        </w:pBdr>
        <w:tabs>
          <w:tab w:val="left" w:pos="1440"/>
        </w:tabs>
        <w:autoSpaceDE w:val="0"/>
        <w:autoSpaceDN w:val="0"/>
        <w:spacing w:before="0" w:beforeAutospacing="0" w:after="0" w:afterAutospacing="0" w:line="550" w:lineRule="exact"/>
        <w:ind w:firstLine="640" w:firstLineChars="200"/>
        <w:jc w:val="both"/>
        <w:rPr>
          <w:rFonts w:ascii="仿宋_GB2312" w:hAnsi="仿宋" w:eastAsia="仿宋_GB2312" w:cs="??_GB2312"/>
          <w:sz w:val="32"/>
          <w:szCs w:val="32"/>
        </w:rPr>
      </w:pPr>
      <w:r>
        <w:rPr>
          <w:rFonts w:hint="eastAsia" w:ascii="仿宋_GB2312" w:hAnsi="仿宋" w:eastAsia="仿宋_GB2312" w:cs="??_GB2312"/>
          <w:sz w:val="32"/>
          <w:szCs w:val="32"/>
        </w:rPr>
        <w:t>1.部门总体收入情况:2022年剑阁县卫生健康系统总收入91844.04万元。其中：一般公共预算财政拨款收入19717.93万元，政府性基金预算7000万元，事业收入63653.61万元，其他收入1472.51万元。</w:t>
      </w:r>
    </w:p>
    <w:p>
      <w:pPr>
        <w:pStyle w:val="38"/>
        <w:widowControl w:val="0"/>
        <w:pBdr>
          <w:bottom w:val="single" w:color="FFFFFF" w:sz="4" w:space="31"/>
        </w:pBdr>
        <w:tabs>
          <w:tab w:val="left" w:pos="1440"/>
        </w:tabs>
        <w:autoSpaceDE w:val="0"/>
        <w:autoSpaceDN w:val="0"/>
        <w:spacing w:before="0" w:beforeAutospacing="0" w:after="0" w:afterAutospacing="0" w:line="550" w:lineRule="exact"/>
        <w:ind w:firstLine="640" w:firstLineChars="200"/>
        <w:jc w:val="both"/>
        <w:rPr>
          <w:rFonts w:ascii="仿宋_GB2312" w:hAnsi="仿宋" w:eastAsia="仿宋_GB2312" w:cs="??_GB2312"/>
          <w:sz w:val="32"/>
          <w:szCs w:val="32"/>
        </w:rPr>
      </w:pPr>
      <w:r>
        <w:rPr>
          <w:rFonts w:hint="eastAsia" w:ascii="仿宋_GB2312" w:hAnsi="仿宋" w:eastAsia="仿宋_GB2312" w:cs="??_GB2312"/>
          <w:sz w:val="32"/>
          <w:szCs w:val="32"/>
        </w:rPr>
        <w:t>2.部门总体支出情况：2022年剑阁县卫生健康系统总支出92296.41万元。其中：社会保障和就业支出2580.55万元，卫生健康支出80700万元，城乡社支出54.76万元，农林水支出466万元，住房保障支出1495.1万元，其他支出7000万元。</w:t>
      </w:r>
    </w:p>
    <w:p>
      <w:pPr>
        <w:pStyle w:val="38"/>
        <w:widowControl w:val="0"/>
        <w:pBdr>
          <w:bottom w:val="single" w:color="FFFFFF" w:sz="4" w:space="31"/>
        </w:pBdr>
        <w:tabs>
          <w:tab w:val="left" w:pos="1440"/>
        </w:tabs>
        <w:autoSpaceDE w:val="0"/>
        <w:autoSpaceDN w:val="0"/>
        <w:spacing w:before="0" w:beforeAutospacing="0" w:after="0" w:afterAutospacing="0" w:line="550" w:lineRule="exact"/>
        <w:ind w:firstLine="640" w:firstLineChars="200"/>
        <w:jc w:val="both"/>
        <w:rPr>
          <w:rFonts w:ascii="仿宋_GB2312" w:hAnsi="仿宋" w:eastAsia="仿宋_GB2312" w:cs="??_GB2312"/>
          <w:sz w:val="32"/>
          <w:szCs w:val="32"/>
        </w:rPr>
      </w:pPr>
      <w:r>
        <w:rPr>
          <w:rFonts w:hint="eastAsia" w:ascii="仿宋_GB2312" w:hAnsi="仿宋" w:eastAsia="仿宋_GB2312" w:cs="??_GB2312"/>
          <w:sz w:val="32"/>
          <w:szCs w:val="32"/>
        </w:rPr>
        <w:t>3.部门总体结转结余情况：2022年本部门元结转结余资金。</w:t>
      </w:r>
    </w:p>
    <w:p>
      <w:pPr>
        <w:pStyle w:val="38"/>
        <w:widowControl w:val="0"/>
        <w:pBdr>
          <w:bottom w:val="single" w:color="FFFFFF" w:sz="4" w:space="31"/>
        </w:pBdr>
        <w:tabs>
          <w:tab w:val="left" w:pos="1440"/>
        </w:tabs>
        <w:autoSpaceDE w:val="0"/>
        <w:autoSpaceDN w:val="0"/>
        <w:spacing w:before="0" w:beforeAutospacing="0" w:after="0" w:afterAutospacing="0" w:line="550" w:lineRule="exact"/>
        <w:ind w:firstLine="642" w:firstLineChars="200"/>
        <w:jc w:val="both"/>
        <w:rPr>
          <w:rFonts w:ascii="楷体_GB2312" w:hAnsi="仿宋" w:eastAsia="楷体_GB2312" w:cs="??_GB2312"/>
          <w:b/>
          <w:sz w:val="32"/>
          <w:szCs w:val="32"/>
        </w:rPr>
      </w:pPr>
      <w:r>
        <w:rPr>
          <w:rFonts w:hint="eastAsia" w:ascii="楷体_GB2312" w:hAnsi="仿宋" w:eastAsia="楷体_GB2312" w:cs="??_GB2312"/>
          <w:b/>
          <w:sz w:val="32"/>
          <w:szCs w:val="32"/>
        </w:rPr>
        <w:t>（二）部门财政拨款收支情况。</w:t>
      </w:r>
    </w:p>
    <w:p>
      <w:pPr>
        <w:pStyle w:val="38"/>
        <w:widowControl w:val="0"/>
        <w:pBdr>
          <w:bottom w:val="single" w:color="FFFFFF" w:sz="4" w:space="31"/>
        </w:pBdr>
        <w:tabs>
          <w:tab w:val="left" w:pos="1440"/>
        </w:tabs>
        <w:autoSpaceDE w:val="0"/>
        <w:autoSpaceDN w:val="0"/>
        <w:spacing w:before="0" w:beforeAutospacing="0" w:after="0" w:afterAutospacing="0" w:line="550" w:lineRule="exact"/>
        <w:ind w:firstLine="640" w:firstLineChars="200"/>
        <w:jc w:val="both"/>
        <w:rPr>
          <w:rFonts w:ascii="仿宋_GB2312" w:hAnsi="仿宋" w:eastAsia="仿宋_GB2312" w:cs="??_GB2312"/>
          <w:sz w:val="32"/>
          <w:szCs w:val="32"/>
        </w:rPr>
      </w:pPr>
      <w:r>
        <w:rPr>
          <w:rFonts w:hint="eastAsia" w:ascii="仿宋_GB2312" w:hAnsi="仿宋" w:eastAsia="仿宋_GB2312" w:cs="??_GB2312"/>
          <w:sz w:val="32"/>
          <w:szCs w:val="32"/>
        </w:rPr>
        <w:t>1.部门财政拨款收入情况：2022年剑阁县卫生健康系统财政拨款收入26717.93万元。其中：一般公共预算财政拨款收入19717.93万元，政府性基金预算7000万元。</w:t>
      </w:r>
    </w:p>
    <w:p>
      <w:pPr>
        <w:pStyle w:val="38"/>
        <w:widowControl w:val="0"/>
        <w:pBdr>
          <w:bottom w:val="single" w:color="FFFFFF" w:sz="4" w:space="31"/>
        </w:pBdr>
        <w:tabs>
          <w:tab w:val="left" w:pos="1440"/>
        </w:tabs>
        <w:autoSpaceDE w:val="0"/>
        <w:autoSpaceDN w:val="0"/>
        <w:spacing w:before="0" w:beforeAutospacing="0" w:after="0" w:afterAutospacing="0" w:line="550" w:lineRule="exact"/>
        <w:ind w:firstLine="640" w:firstLineChars="200"/>
        <w:jc w:val="both"/>
        <w:rPr>
          <w:rFonts w:ascii="仿宋_GB2312" w:hAnsi="仿宋" w:eastAsia="仿宋_GB2312" w:cs="??_GB2312"/>
          <w:sz w:val="32"/>
          <w:szCs w:val="32"/>
        </w:rPr>
      </w:pPr>
      <w:r>
        <w:rPr>
          <w:rFonts w:hint="eastAsia" w:ascii="仿宋_GB2312" w:hAnsi="仿宋" w:eastAsia="仿宋_GB2312" w:cs="??_GB2312"/>
          <w:sz w:val="32"/>
          <w:szCs w:val="32"/>
        </w:rPr>
        <w:t>2.部门财政拨款支出情况：2022年剑阁县卫生健康系统财政拨款支出27415.34万元。其中：社会保障和就业支出1075.52万元，卫生健康支出18166.61万元，城乡社支出54.76万元，农林水支出466万元，住房保障支出652.45万元，其他支出7000万元。</w:t>
      </w:r>
    </w:p>
    <w:p>
      <w:pPr>
        <w:pStyle w:val="38"/>
        <w:widowControl w:val="0"/>
        <w:pBdr>
          <w:bottom w:val="single" w:color="FFFFFF" w:sz="4" w:space="31"/>
        </w:pBdr>
        <w:tabs>
          <w:tab w:val="left" w:pos="1440"/>
        </w:tabs>
        <w:autoSpaceDE w:val="0"/>
        <w:autoSpaceDN w:val="0"/>
        <w:spacing w:before="0" w:beforeAutospacing="0" w:after="0" w:afterAutospacing="0" w:line="550" w:lineRule="exact"/>
        <w:ind w:firstLine="640" w:firstLineChars="200"/>
        <w:jc w:val="both"/>
        <w:rPr>
          <w:rFonts w:ascii="仿宋_GB2312" w:hAnsi="仿宋" w:eastAsia="仿宋_GB2312" w:cs="??_GB2312"/>
          <w:sz w:val="32"/>
          <w:szCs w:val="32"/>
        </w:rPr>
      </w:pPr>
      <w:r>
        <w:rPr>
          <w:rFonts w:hint="eastAsia" w:ascii="仿宋_GB2312" w:hAnsi="仿宋" w:eastAsia="仿宋_GB2312" w:cs="??_GB2312"/>
          <w:sz w:val="32"/>
          <w:szCs w:val="32"/>
        </w:rPr>
        <w:t>3.部门财政拨款结转结余情况:2022年本部门无财政拨款结转结余。</w:t>
      </w:r>
    </w:p>
    <w:p>
      <w:pPr>
        <w:pStyle w:val="38"/>
        <w:widowControl w:val="0"/>
        <w:pBdr>
          <w:bottom w:val="single" w:color="FFFFFF" w:sz="4" w:space="31"/>
        </w:pBdr>
        <w:tabs>
          <w:tab w:val="left" w:pos="1440"/>
        </w:tabs>
        <w:autoSpaceDE w:val="0"/>
        <w:autoSpaceDN w:val="0"/>
        <w:spacing w:before="0" w:beforeAutospacing="0" w:after="0" w:afterAutospacing="0" w:line="550" w:lineRule="exact"/>
        <w:ind w:firstLine="642" w:firstLineChars="200"/>
        <w:jc w:val="both"/>
        <w:rPr>
          <w:rFonts w:ascii="黑体" w:hAnsi="黑体" w:eastAsia="黑体" w:cs="??_GB2312"/>
          <w:b/>
          <w:sz w:val="32"/>
          <w:szCs w:val="32"/>
        </w:rPr>
      </w:pPr>
      <w:r>
        <w:rPr>
          <w:rFonts w:hint="eastAsia" w:ascii="黑体" w:hAnsi="黑体" w:eastAsia="黑体" w:cs="??_GB2312"/>
          <w:b/>
          <w:sz w:val="32"/>
          <w:szCs w:val="32"/>
        </w:rPr>
        <w:t>三、部门整体绩效分析（根据适用指标体系进行调整，涉及到有专项资金预算项目的部门，专项资金预算项目自评报告作为本报告附件一并公开）</w:t>
      </w:r>
    </w:p>
    <w:p>
      <w:pPr>
        <w:pStyle w:val="38"/>
        <w:widowControl w:val="0"/>
        <w:pBdr>
          <w:bottom w:val="single" w:color="FFFFFF" w:sz="4" w:space="31"/>
        </w:pBdr>
        <w:tabs>
          <w:tab w:val="left" w:pos="1440"/>
        </w:tabs>
        <w:autoSpaceDE w:val="0"/>
        <w:autoSpaceDN w:val="0"/>
        <w:spacing w:before="0" w:beforeAutospacing="0" w:after="0" w:afterAutospacing="0" w:line="550" w:lineRule="exact"/>
        <w:ind w:firstLine="642" w:firstLineChars="200"/>
        <w:jc w:val="both"/>
        <w:rPr>
          <w:rFonts w:ascii="楷体_GB2312" w:hAnsi="仿宋" w:eastAsia="楷体_GB2312" w:cs="??_GB2312"/>
          <w:b/>
          <w:sz w:val="32"/>
          <w:szCs w:val="32"/>
        </w:rPr>
      </w:pPr>
      <w:r>
        <w:rPr>
          <w:rFonts w:hint="eastAsia" w:ascii="楷体_GB2312" w:hAnsi="仿宋" w:eastAsia="楷体_GB2312" w:cs="??_GB2312"/>
          <w:b/>
          <w:sz w:val="32"/>
          <w:szCs w:val="32"/>
        </w:rPr>
        <w:t>（一）部门预算项目绩效分析。（分段表述人员类、运转类、特定目标类项目绩效情况和存在问题）</w:t>
      </w:r>
    </w:p>
    <w:p>
      <w:pPr>
        <w:pStyle w:val="38"/>
        <w:widowControl w:val="0"/>
        <w:pBdr>
          <w:bottom w:val="single" w:color="FFFFFF" w:sz="4" w:space="31"/>
        </w:pBdr>
        <w:tabs>
          <w:tab w:val="left" w:pos="1440"/>
        </w:tabs>
        <w:autoSpaceDE w:val="0"/>
        <w:autoSpaceDN w:val="0"/>
        <w:spacing w:before="0" w:beforeAutospacing="0" w:after="0" w:afterAutospacing="0" w:line="550" w:lineRule="exact"/>
        <w:ind w:firstLine="640" w:firstLineChars="200"/>
        <w:jc w:val="both"/>
        <w:rPr>
          <w:rFonts w:ascii="仿宋_GB2312" w:hAnsi="仿宋" w:eastAsia="仿宋_GB2312" w:cs="??_GB2312"/>
          <w:sz w:val="32"/>
          <w:szCs w:val="32"/>
        </w:rPr>
      </w:pPr>
      <w:r>
        <w:rPr>
          <w:rFonts w:hint="eastAsia" w:ascii="仿宋_GB2312" w:hAnsi="仿宋" w:eastAsia="仿宋_GB2312" w:cs="??_GB2312"/>
          <w:sz w:val="32"/>
          <w:szCs w:val="32"/>
        </w:rPr>
        <w:t>1.人员类项目绩效分析</w:t>
      </w:r>
    </w:p>
    <w:p>
      <w:pPr>
        <w:pStyle w:val="38"/>
        <w:widowControl w:val="0"/>
        <w:pBdr>
          <w:bottom w:val="single" w:color="FFFFFF" w:sz="4" w:space="31"/>
        </w:pBdr>
        <w:tabs>
          <w:tab w:val="left" w:pos="1440"/>
        </w:tabs>
        <w:autoSpaceDE w:val="0"/>
        <w:autoSpaceDN w:val="0"/>
        <w:spacing w:before="0" w:beforeAutospacing="0" w:after="0" w:afterAutospacing="0" w:line="550" w:lineRule="exact"/>
        <w:ind w:firstLine="640" w:firstLineChars="200"/>
        <w:jc w:val="both"/>
        <w:rPr>
          <w:rFonts w:ascii="仿宋_GB2312" w:hAnsi="仿宋" w:eastAsia="仿宋_GB2312" w:cs="??_GB2312"/>
          <w:sz w:val="32"/>
          <w:szCs w:val="32"/>
        </w:rPr>
      </w:pPr>
      <w:r>
        <w:rPr>
          <w:rFonts w:hint="eastAsia" w:ascii="仿宋_GB2312" w:hAnsi="仿宋" w:eastAsia="仿宋_GB2312" w:cs="??_GB2312"/>
          <w:sz w:val="32"/>
          <w:szCs w:val="32"/>
        </w:rPr>
        <w:t>本单位在绩效目标制定、目标实现、支出控制、及时处置、执行进度、预算完成情况、资金结余率（低效无效率）都能按要求完成。</w:t>
      </w:r>
    </w:p>
    <w:p>
      <w:pPr>
        <w:pStyle w:val="38"/>
        <w:widowControl w:val="0"/>
        <w:pBdr>
          <w:bottom w:val="single" w:color="FFFFFF" w:sz="4" w:space="31"/>
        </w:pBdr>
        <w:tabs>
          <w:tab w:val="left" w:pos="1440"/>
        </w:tabs>
        <w:autoSpaceDE w:val="0"/>
        <w:autoSpaceDN w:val="0"/>
        <w:spacing w:before="0" w:beforeAutospacing="0" w:after="0" w:afterAutospacing="0" w:line="550" w:lineRule="exact"/>
        <w:ind w:firstLine="640" w:firstLineChars="200"/>
        <w:jc w:val="both"/>
        <w:rPr>
          <w:rFonts w:ascii="仿宋_GB2312" w:hAnsi="仿宋" w:eastAsia="仿宋_GB2312" w:cs="??_GB2312"/>
          <w:sz w:val="32"/>
          <w:szCs w:val="32"/>
        </w:rPr>
      </w:pPr>
      <w:r>
        <w:rPr>
          <w:rFonts w:hint="eastAsia" w:ascii="仿宋_GB2312" w:hAnsi="仿宋" w:eastAsia="仿宋_GB2312" w:cs="??_GB2312"/>
          <w:sz w:val="32"/>
          <w:szCs w:val="32"/>
        </w:rPr>
        <w:t>2.运转类项目绩效分析</w:t>
      </w:r>
    </w:p>
    <w:p>
      <w:pPr>
        <w:pStyle w:val="38"/>
        <w:widowControl w:val="0"/>
        <w:pBdr>
          <w:bottom w:val="single" w:color="FFFFFF" w:sz="4" w:space="31"/>
        </w:pBdr>
        <w:tabs>
          <w:tab w:val="left" w:pos="1440"/>
        </w:tabs>
        <w:autoSpaceDE w:val="0"/>
        <w:autoSpaceDN w:val="0"/>
        <w:spacing w:before="0" w:beforeAutospacing="0" w:after="0" w:afterAutospacing="0" w:line="550" w:lineRule="exact"/>
        <w:ind w:firstLine="640" w:firstLineChars="200"/>
        <w:jc w:val="both"/>
        <w:rPr>
          <w:rFonts w:ascii="仿宋_GB2312" w:hAnsi="仿宋" w:eastAsia="仿宋_GB2312" w:cs="??_GB2312"/>
          <w:sz w:val="32"/>
          <w:szCs w:val="32"/>
        </w:rPr>
      </w:pPr>
      <w:r>
        <w:rPr>
          <w:rFonts w:hint="eastAsia" w:ascii="仿宋_GB2312" w:hAnsi="仿宋" w:eastAsia="仿宋_GB2312" w:cs="??_GB2312"/>
          <w:sz w:val="32"/>
          <w:szCs w:val="32"/>
        </w:rPr>
        <w:t>本单位在绩效目标制定、目标实现、支出控制、及时处置、执行进度、预算完成情况、资金结余率（低效无效率）都能按要求完成。</w:t>
      </w:r>
    </w:p>
    <w:p>
      <w:pPr>
        <w:pStyle w:val="38"/>
        <w:widowControl w:val="0"/>
        <w:pBdr>
          <w:bottom w:val="single" w:color="FFFFFF" w:sz="4" w:space="31"/>
        </w:pBdr>
        <w:tabs>
          <w:tab w:val="left" w:pos="1440"/>
        </w:tabs>
        <w:autoSpaceDE w:val="0"/>
        <w:autoSpaceDN w:val="0"/>
        <w:spacing w:before="0" w:beforeAutospacing="0" w:after="0" w:afterAutospacing="0" w:line="550" w:lineRule="exact"/>
        <w:ind w:firstLine="640" w:firstLineChars="200"/>
        <w:jc w:val="both"/>
        <w:rPr>
          <w:rFonts w:ascii="仿宋_GB2312" w:hAnsi="仿宋" w:eastAsia="仿宋_GB2312" w:cs="??_GB2312"/>
          <w:sz w:val="32"/>
          <w:szCs w:val="32"/>
        </w:rPr>
      </w:pPr>
      <w:r>
        <w:rPr>
          <w:rFonts w:hint="eastAsia" w:ascii="仿宋_GB2312" w:hAnsi="仿宋" w:eastAsia="仿宋_GB2312" w:cs="??_GB2312"/>
          <w:sz w:val="32"/>
          <w:szCs w:val="32"/>
        </w:rPr>
        <w:t>3.特定目标类项目绩效分析</w:t>
      </w:r>
    </w:p>
    <w:p>
      <w:pPr>
        <w:pStyle w:val="38"/>
        <w:widowControl w:val="0"/>
        <w:pBdr>
          <w:bottom w:val="single" w:color="FFFFFF" w:sz="4" w:space="31"/>
        </w:pBdr>
        <w:tabs>
          <w:tab w:val="left" w:pos="1440"/>
        </w:tabs>
        <w:autoSpaceDE w:val="0"/>
        <w:autoSpaceDN w:val="0"/>
        <w:spacing w:before="0" w:beforeAutospacing="0" w:after="0" w:afterAutospacing="0" w:line="550" w:lineRule="exact"/>
        <w:ind w:firstLine="640" w:firstLineChars="200"/>
        <w:jc w:val="both"/>
        <w:rPr>
          <w:rFonts w:ascii="仿宋_GB2312" w:hAnsi="仿宋" w:eastAsia="仿宋_GB2312" w:cs="??_GB2312"/>
          <w:sz w:val="32"/>
          <w:szCs w:val="32"/>
        </w:rPr>
      </w:pPr>
      <w:r>
        <w:rPr>
          <w:rFonts w:hint="eastAsia" w:ascii="仿宋_GB2312" w:hAnsi="仿宋" w:eastAsia="仿宋_GB2312" w:cs="??_GB2312"/>
          <w:sz w:val="32"/>
          <w:szCs w:val="32"/>
        </w:rPr>
        <w:t>本单位在绩效目标制定、目标实现、支出控制、及时处置、执行进度、预算完成情况、资金结余率（低效无效率）都能按要求完成。</w:t>
      </w:r>
    </w:p>
    <w:p>
      <w:pPr>
        <w:pStyle w:val="38"/>
        <w:widowControl w:val="0"/>
        <w:pBdr>
          <w:bottom w:val="single" w:color="FFFFFF" w:sz="4" w:space="31"/>
        </w:pBdr>
        <w:tabs>
          <w:tab w:val="left" w:pos="1440"/>
        </w:tabs>
        <w:autoSpaceDE w:val="0"/>
        <w:autoSpaceDN w:val="0"/>
        <w:spacing w:before="0" w:beforeAutospacing="0" w:after="0" w:afterAutospacing="0" w:line="550" w:lineRule="exact"/>
        <w:ind w:firstLine="642" w:firstLineChars="200"/>
        <w:jc w:val="both"/>
        <w:rPr>
          <w:rFonts w:ascii="楷体_GB2312" w:hAnsi="仿宋" w:eastAsia="楷体_GB2312" w:cs="??_GB2312"/>
          <w:b/>
          <w:sz w:val="32"/>
          <w:szCs w:val="32"/>
        </w:rPr>
      </w:pPr>
      <w:r>
        <w:rPr>
          <w:rFonts w:hint="eastAsia" w:ascii="楷体_GB2312" w:hAnsi="仿宋" w:eastAsia="楷体_GB2312" w:cs="??_GB2312"/>
          <w:b/>
          <w:sz w:val="32"/>
          <w:szCs w:val="32"/>
        </w:rPr>
        <w:t>（二）部门预算管理。</w:t>
      </w:r>
    </w:p>
    <w:p>
      <w:pPr>
        <w:pStyle w:val="38"/>
        <w:widowControl w:val="0"/>
        <w:pBdr>
          <w:bottom w:val="single" w:color="FFFFFF" w:sz="4" w:space="31"/>
        </w:pBdr>
        <w:tabs>
          <w:tab w:val="left" w:pos="1440"/>
        </w:tabs>
        <w:autoSpaceDE w:val="0"/>
        <w:autoSpaceDN w:val="0"/>
        <w:spacing w:before="0" w:beforeAutospacing="0" w:after="0" w:afterAutospacing="0" w:line="550" w:lineRule="exact"/>
        <w:ind w:firstLine="640" w:firstLineChars="200"/>
        <w:jc w:val="both"/>
        <w:rPr>
          <w:rFonts w:ascii="仿宋_GB2312" w:hAnsi="仿宋" w:eastAsia="仿宋_GB2312" w:cs="??_GB2312"/>
          <w:sz w:val="32"/>
          <w:szCs w:val="32"/>
        </w:rPr>
      </w:pPr>
      <w:r>
        <w:rPr>
          <w:rFonts w:hint="eastAsia" w:ascii="仿宋_GB2312" w:hAnsi="仿宋" w:eastAsia="仿宋_GB2312" w:cs="??_GB2312"/>
          <w:sz w:val="32"/>
          <w:szCs w:val="32"/>
        </w:rPr>
        <w:t>1.绩效目标制定与实现。绩效目标是预算编制的前提和基础，按照“费随事定”的原则，2022年剑阁县卫生健康局10000元以上项目按要求编制了绩效目标,从项目完成、项目效益、满意度等方面设置了绩效指标，综合反映项目预期完成的数量、成本、时效、质量，预期达到的社会效益、经济效益、可持续影响以及服务对象满意度等情况。</w:t>
      </w:r>
    </w:p>
    <w:p>
      <w:pPr>
        <w:pStyle w:val="38"/>
        <w:widowControl w:val="0"/>
        <w:pBdr>
          <w:bottom w:val="single" w:color="FFFFFF" w:sz="4" w:space="31"/>
        </w:pBdr>
        <w:tabs>
          <w:tab w:val="left" w:pos="1440"/>
        </w:tabs>
        <w:autoSpaceDE w:val="0"/>
        <w:autoSpaceDN w:val="0"/>
        <w:spacing w:before="0" w:beforeAutospacing="0" w:after="0" w:afterAutospacing="0" w:line="550" w:lineRule="exact"/>
        <w:ind w:firstLine="640" w:firstLineChars="200"/>
        <w:jc w:val="both"/>
        <w:rPr>
          <w:rFonts w:ascii="仿宋_GB2312" w:hAnsi="仿宋" w:eastAsia="仿宋_GB2312" w:cs="??_GB2312"/>
          <w:sz w:val="32"/>
          <w:szCs w:val="32"/>
        </w:rPr>
      </w:pPr>
      <w:r>
        <w:rPr>
          <w:rFonts w:hint="eastAsia" w:ascii="仿宋_GB2312" w:hAnsi="仿宋" w:eastAsia="仿宋_GB2312" w:cs="??_GB2312"/>
          <w:sz w:val="32"/>
          <w:szCs w:val="32"/>
        </w:rPr>
        <w:t>2.预算编制和执行</w:t>
      </w:r>
    </w:p>
    <w:p>
      <w:pPr>
        <w:pStyle w:val="38"/>
        <w:widowControl w:val="0"/>
        <w:pBdr>
          <w:bottom w:val="single" w:color="FFFFFF" w:sz="4" w:space="31"/>
        </w:pBdr>
        <w:tabs>
          <w:tab w:val="left" w:pos="1440"/>
        </w:tabs>
        <w:autoSpaceDE w:val="0"/>
        <w:autoSpaceDN w:val="0"/>
        <w:spacing w:before="0" w:beforeAutospacing="0" w:after="0" w:afterAutospacing="0" w:line="550" w:lineRule="exact"/>
        <w:ind w:firstLine="640" w:firstLineChars="200"/>
        <w:jc w:val="both"/>
        <w:rPr>
          <w:rFonts w:ascii="仿宋_GB2312" w:hAnsi="仿宋" w:eastAsia="仿宋_GB2312" w:cs="??_GB2312"/>
          <w:sz w:val="32"/>
          <w:szCs w:val="32"/>
        </w:rPr>
      </w:pPr>
      <w:r>
        <w:rPr>
          <w:rFonts w:hint="eastAsia" w:ascii="仿宋_GB2312" w:hAnsi="仿宋" w:eastAsia="仿宋_GB2312" w:cs="??_GB2312"/>
          <w:sz w:val="32"/>
          <w:szCs w:val="32"/>
        </w:rPr>
        <w:t>（1）预算编制情况:严格按照县财政局预算编制要求，按时完成了基础信息、项目库的报送工作，完成基础信息的更新，按时完成预算编制并提交部门预算草案。预算编制中，特别注意对预算编制准确性的把握，确保预算编制完整无漏项，并严格按照要求进行预算执行调整,按时完成待批复提前细化，预算编制做到了及时、完整、准确、合理、高效。</w:t>
      </w:r>
    </w:p>
    <w:p>
      <w:pPr>
        <w:pStyle w:val="38"/>
        <w:widowControl w:val="0"/>
        <w:pBdr>
          <w:bottom w:val="single" w:color="FFFFFF" w:sz="4" w:space="31"/>
        </w:pBdr>
        <w:tabs>
          <w:tab w:val="left" w:pos="1440"/>
        </w:tabs>
        <w:autoSpaceDE w:val="0"/>
        <w:autoSpaceDN w:val="0"/>
        <w:spacing w:before="0" w:beforeAutospacing="0" w:after="0" w:afterAutospacing="0" w:line="550" w:lineRule="exact"/>
        <w:ind w:firstLine="640" w:firstLineChars="200"/>
        <w:jc w:val="both"/>
        <w:rPr>
          <w:rFonts w:ascii="仿宋_GB2312" w:hAnsi="仿宋" w:eastAsia="仿宋_GB2312" w:cs="??_GB2312"/>
          <w:sz w:val="32"/>
          <w:szCs w:val="32"/>
        </w:rPr>
      </w:pPr>
      <w:r>
        <w:rPr>
          <w:rFonts w:hint="eastAsia" w:ascii="仿宋_GB2312" w:hAnsi="仿宋" w:eastAsia="仿宋_GB2312" w:cs="??_GB2312"/>
          <w:sz w:val="32"/>
          <w:szCs w:val="32"/>
        </w:rPr>
        <w:t>（2）预算执行情况：严格执行预算，执行中不调整预算项目，年度预算执行收支平衡，完成单位经济和社会事业发展职能职责，按时报送决算，单位决算编制人员与供养人员数据相符，决算数据真实准确。年度预算收支平衡，无随意改变资金规定用途和自行扩大支出范围和提高支出标准的行为，努力提高财政资金使用绩效，保障了公众的健康权益。</w:t>
      </w:r>
    </w:p>
    <w:p>
      <w:pPr>
        <w:pStyle w:val="38"/>
        <w:widowControl w:val="0"/>
        <w:pBdr>
          <w:bottom w:val="single" w:color="FFFFFF" w:sz="4" w:space="31"/>
        </w:pBdr>
        <w:tabs>
          <w:tab w:val="left" w:pos="1440"/>
        </w:tabs>
        <w:autoSpaceDE w:val="0"/>
        <w:autoSpaceDN w:val="0"/>
        <w:spacing w:before="0" w:beforeAutospacing="0" w:after="0" w:afterAutospacing="0" w:line="550" w:lineRule="exact"/>
        <w:ind w:firstLine="640" w:firstLineChars="200"/>
        <w:jc w:val="both"/>
        <w:rPr>
          <w:rFonts w:ascii="仿宋_GB2312" w:hAnsi="仿宋" w:eastAsia="仿宋_GB2312" w:cs="??_GB2312"/>
          <w:sz w:val="32"/>
          <w:szCs w:val="32"/>
        </w:rPr>
      </w:pPr>
      <w:r>
        <w:rPr>
          <w:rFonts w:hint="eastAsia" w:ascii="仿宋_GB2312" w:hAnsi="仿宋" w:eastAsia="仿宋_GB2312" w:cs="??_GB2312"/>
          <w:sz w:val="32"/>
          <w:szCs w:val="32"/>
        </w:rPr>
        <w:t>3.严格控制预算支出</w:t>
      </w:r>
    </w:p>
    <w:p>
      <w:pPr>
        <w:pStyle w:val="38"/>
        <w:widowControl w:val="0"/>
        <w:pBdr>
          <w:bottom w:val="single" w:color="FFFFFF" w:sz="4" w:space="31"/>
        </w:pBdr>
        <w:tabs>
          <w:tab w:val="left" w:pos="1440"/>
        </w:tabs>
        <w:autoSpaceDE w:val="0"/>
        <w:autoSpaceDN w:val="0"/>
        <w:spacing w:before="0" w:beforeAutospacing="0" w:after="0" w:afterAutospacing="0" w:line="550" w:lineRule="exact"/>
        <w:ind w:firstLine="640" w:firstLineChars="200"/>
        <w:jc w:val="both"/>
        <w:rPr>
          <w:rFonts w:ascii="仿宋_GB2312" w:hAnsi="仿宋" w:eastAsia="仿宋_GB2312" w:cs="??_GB2312"/>
          <w:sz w:val="32"/>
          <w:szCs w:val="32"/>
        </w:rPr>
      </w:pPr>
      <w:r>
        <w:rPr>
          <w:rFonts w:hint="eastAsia" w:ascii="仿宋_GB2312" w:hAnsi="仿宋" w:eastAsia="仿宋_GB2312" w:cs="??_GB2312"/>
          <w:sz w:val="32"/>
          <w:szCs w:val="32"/>
        </w:rPr>
        <w:t>一是严格按照财政预算功能分类科目进行费用的支出与拨付，二是厉行节约，严格执行“厉行节约、反对浪费”的规定，严格控制“三公” 经费支出，严格按公务卡强制结算目录，使用公务卡进行公务结算，二是接受县审计局、县财政局财监局和上级有关监督检查部门监察，国库动态监控预警无违规支付行为。</w:t>
      </w:r>
    </w:p>
    <w:p>
      <w:pPr>
        <w:pStyle w:val="38"/>
        <w:widowControl w:val="0"/>
        <w:pBdr>
          <w:bottom w:val="single" w:color="FFFFFF" w:sz="4" w:space="31"/>
        </w:pBdr>
        <w:tabs>
          <w:tab w:val="left" w:pos="1440"/>
        </w:tabs>
        <w:autoSpaceDE w:val="0"/>
        <w:autoSpaceDN w:val="0"/>
        <w:spacing w:before="0" w:beforeAutospacing="0" w:after="0" w:afterAutospacing="0" w:line="550" w:lineRule="exact"/>
        <w:ind w:firstLine="642" w:firstLineChars="200"/>
        <w:jc w:val="both"/>
        <w:rPr>
          <w:rFonts w:ascii="楷体_GB2312" w:hAnsi="仿宋" w:eastAsia="楷体_GB2312" w:cs="??_GB2312"/>
          <w:b/>
          <w:sz w:val="32"/>
          <w:szCs w:val="32"/>
        </w:rPr>
      </w:pPr>
      <w:r>
        <w:rPr>
          <w:rFonts w:hint="eastAsia" w:ascii="楷体_GB2312" w:hAnsi="仿宋" w:eastAsia="楷体_GB2312" w:cs="??_GB2312"/>
          <w:b/>
          <w:sz w:val="32"/>
          <w:szCs w:val="32"/>
        </w:rPr>
        <w:t>（二）结果应用情况。</w:t>
      </w:r>
    </w:p>
    <w:p>
      <w:pPr>
        <w:pStyle w:val="38"/>
        <w:widowControl w:val="0"/>
        <w:pBdr>
          <w:bottom w:val="single" w:color="FFFFFF" w:sz="4" w:space="31"/>
        </w:pBdr>
        <w:tabs>
          <w:tab w:val="left" w:pos="1440"/>
        </w:tabs>
        <w:autoSpaceDE w:val="0"/>
        <w:autoSpaceDN w:val="0"/>
        <w:spacing w:before="0" w:beforeAutospacing="0" w:after="0" w:afterAutospacing="0" w:line="550" w:lineRule="exact"/>
        <w:ind w:firstLine="640" w:firstLineChars="200"/>
        <w:jc w:val="both"/>
        <w:rPr>
          <w:rFonts w:ascii="仿宋_GB2312" w:hAnsi="仿宋" w:eastAsia="仿宋_GB2312" w:cs="??_GB2312"/>
          <w:sz w:val="32"/>
          <w:szCs w:val="32"/>
        </w:rPr>
      </w:pPr>
      <w:r>
        <w:rPr>
          <w:rFonts w:hint="eastAsia" w:ascii="仿宋_GB2312" w:hAnsi="仿宋" w:eastAsia="仿宋_GB2312" w:cs="??_GB2312"/>
          <w:sz w:val="32"/>
          <w:szCs w:val="32"/>
        </w:rPr>
        <w:t>按照财政绩效管理要求管理编报预算绩效目标，且绩效目标真实、可行、科学，自评工作开展以来都按照上级安排及时报送、及时公开、对评价结果及时整改并运用，整体运行良好。</w:t>
      </w:r>
    </w:p>
    <w:p>
      <w:pPr>
        <w:pStyle w:val="38"/>
        <w:widowControl w:val="0"/>
        <w:pBdr>
          <w:bottom w:val="single" w:color="FFFFFF" w:sz="4" w:space="31"/>
        </w:pBdr>
        <w:tabs>
          <w:tab w:val="left" w:pos="1440"/>
        </w:tabs>
        <w:autoSpaceDE w:val="0"/>
        <w:autoSpaceDN w:val="0"/>
        <w:spacing w:before="0" w:beforeAutospacing="0" w:after="0" w:afterAutospacing="0" w:line="550" w:lineRule="exact"/>
        <w:ind w:firstLine="642" w:firstLineChars="200"/>
        <w:jc w:val="both"/>
        <w:rPr>
          <w:rFonts w:ascii="黑体" w:hAnsi="黑体" w:eastAsia="黑体" w:cs="??_GB2312"/>
          <w:b/>
          <w:sz w:val="32"/>
          <w:szCs w:val="32"/>
        </w:rPr>
      </w:pPr>
      <w:r>
        <w:rPr>
          <w:rFonts w:hint="eastAsia" w:ascii="黑体" w:hAnsi="黑体" w:eastAsia="黑体" w:cs="??_GB2312"/>
          <w:b/>
          <w:sz w:val="32"/>
          <w:szCs w:val="32"/>
        </w:rPr>
        <w:t>四、评价结论及建议</w:t>
      </w:r>
    </w:p>
    <w:p>
      <w:pPr>
        <w:pStyle w:val="38"/>
        <w:widowControl w:val="0"/>
        <w:pBdr>
          <w:bottom w:val="single" w:color="FFFFFF" w:sz="4" w:space="31"/>
        </w:pBdr>
        <w:tabs>
          <w:tab w:val="left" w:pos="1440"/>
        </w:tabs>
        <w:autoSpaceDE w:val="0"/>
        <w:autoSpaceDN w:val="0"/>
        <w:spacing w:before="0" w:beforeAutospacing="0" w:after="0" w:afterAutospacing="0" w:line="550" w:lineRule="exact"/>
        <w:ind w:firstLine="642" w:firstLineChars="200"/>
        <w:jc w:val="both"/>
        <w:rPr>
          <w:rFonts w:ascii="仿宋_GB2312" w:hAnsi="仿宋" w:eastAsia="仿宋_GB2312" w:cs="??_GB2312"/>
          <w:sz w:val="32"/>
          <w:szCs w:val="32"/>
        </w:rPr>
      </w:pPr>
      <w:r>
        <w:rPr>
          <w:rFonts w:hint="eastAsia" w:ascii="楷体_GB2312" w:hAnsi="仿宋" w:eastAsia="楷体_GB2312" w:cs="??_GB2312"/>
          <w:b/>
          <w:sz w:val="32"/>
          <w:szCs w:val="32"/>
        </w:rPr>
        <w:t>（一）评价结论。</w:t>
      </w:r>
      <w:r>
        <w:rPr>
          <w:rFonts w:hint="eastAsia" w:ascii="仿宋_GB2312" w:hAnsi="仿宋" w:eastAsia="仿宋_GB2312" w:cs="??_GB2312"/>
          <w:sz w:val="32"/>
          <w:szCs w:val="32"/>
        </w:rPr>
        <w:t>综上所述，通过绩效自评，2022年整体支出政策依据充分，目标制定明确；按照计划有序实施，资金到位及时，经费使用严格按照相关财务管理制度执行，对资金的使用监管有力有效。整个支出实施达到了预期的绩效目标。</w:t>
      </w:r>
    </w:p>
    <w:p>
      <w:pPr>
        <w:pStyle w:val="38"/>
        <w:widowControl w:val="0"/>
        <w:pBdr>
          <w:bottom w:val="single" w:color="FFFFFF" w:sz="4" w:space="31"/>
        </w:pBdr>
        <w:tabs>
          <w:tab w:val="left" w:pos="1440"/>
        </w:tabs>
        <w:autoSpaceDE w:val="0"/>
        <w:autoSpaceDN w:val="0"/>
        <w:spacing w:before="0" w:beforeAutospacing="0" w:after="0" w:afterAutospacing="0" w:line="550" w:lineRule="exact"/>
        <w:ind w:firstLine="642" w:firstLineChars="200"/>
        <w:jc w:val="both"/>
        <w:rPr>
          <w:rFonts w:ascii="仿宋_GB2312" w:hAnsi="仿宋" w:eastAsia="仿宋_GB2312" w:cs="??_GB2312"/>
          <w:sz w:val="32"/>
          <w:szCs w:val="32"/>
        </w:rPr>
      </w:pPr>
      <w:r>
        <w:rPr>
          <w:rFonts w:hint="eastAsia" w:ascii="楷体_GB2312" w:hAnsi="仿宋" w:eastAsia="楷体_GB2312" w:cs="??_GB2312"/>
          <w:b/>
          <w:sz w:val="32"/>
          <w:szCs w:val="32"/>
        </w:rPr>
        <w:t>（二）存在问题。</w:t>
      </w:r>
      <w:r>
        <w:rPr>
          <w:rFonts w:hint="eastAsia" w:ascii="仿宋_GB2312" w:hAnsi="仿宋" w:eastAsia="仿宋_GB2312" w:cs="??_GB2312"/>
          <w:sz w:val="32"/>
          <w:szCs w:val="32"/>
        </w:rPr>
        <w:t>一是由于县财政经费紧张，国库调度出现困难；二是我局近几年肩负着行业扶贫和疫情防控的重大任务，需要大量的经费进行保障，希望在经费方面给与更多的支持。</w:t>
      </w:r>
    </w:p>
    <w:p>
      <w:pPr>
        <w:pStyle w:val="15"/>
        <w:spacing w:after="0" w:line="550" w:lineRule="exact"/>
        <w:ind w:left="0" w:leftChars="0" w:firstLine="0" w:firstLineChars="0"/>
        <w:rPr>
          <w:rFonts w:ascii="黑体" w:hAnsi="黑体" w:eastAsia="黑体" w:cs="仿宋_GB2312"/>
          <w:sz w:val="32"/>
          <w:lang w:val="zh-CN"/>
        </w:rPr>
        <w:sectPr>
          <w:footerReference r:id="rId5" w:type="first"/>
          <w:headerReference r:id="rId3" w:type="default"/>
          <w:footerReference r:id="rId4" w:type="default"/>
          <w:pgSz w:w="11906" w:h="16838"/>
          <w:pgMar w:top="2098" w:right="1474" w:bottom="1985" w:left="1588" w:header="851" w:footer="992" w:gutter="0"/>
          <w:pgNumType w:start="1"/>
          <w:cols w:space="425" w:num="1"/>
          <w:titlePg/>
          <w:docGrid w:type="lines" w:linePitch="312" w:charSpace="0"/>
        </w:sectPr>
      </w:pPr>
    </w:p>
    <w:p>
      <w:pPr>
        <w:pStyle w:val="15"/>
        <w:spacing w:line="560" w:lineRule="exact"/>
        <w:ind w:left="0" w:leftChars="0" w:firstLine="0" w:firstLineChars="0"/>
        <w:rPr>
          <w:rFonts w:ascii="黑体" w:hAnsi="黑体" w:eastAsia="黑体" w:cs="仿宋_GB2312"/>
          <w:sz w:val="32"/>
          <w:lang w:val="zh-CN"/>
        </w:rPr>
      </w:pPr>
      <w:r>
        <w:rPr>
          <w:rFonts w:hint="eastAsia" w:ascii="黑体" w:hAnsi="黑体" w:eastAsia="黑体" w:cs="仿宋_GB2312"/>
          <w:sz w:val="32"/>
          <w:lang w:val="zh-CN"/>
        </w:rPr>
        <w:t>附表</w:t>
      </w:r>
    </w:p>
    <w:p>
      <w:pPr>
        <w:pStyle w:val="15"/>
        <w:spacing w:line="560" w:lineRule="exact"/>
        <w:ind w:left="0" w:leftChars="0" w:firstLine="0" w:firstLineChars="0"/>
        <w:jc w:val="center"/>
        <w:rPr>
          <w:rFonts w:ascii="方正小标宋简体" w:hAnsi="仿宋_GB2312" w:eastAsia="方正小标宋简体" w:cs="仿宋_GB2312"/>
          <w:b/>
          <w:sz w:val="44"/>
          <w:szCs w:val="44"/>
        </w:rPr>
      </w:pPr>
      <w:r>
        <w:rPr>
          <w:rFonts w:hint="eastAsia" w:ascii="方正小标宋简体" w:hAnsi="仿宋_GB2312" w:eastAsia="方正小标宋简体" w:cs="仿宋_GB2312"/>
          <w:b/>
          <w:sz w:val="44"/>
          <w:szCs w:val="44"/>
        </w:rPr>
        <w:t>部门预算项目支出绩效自评表（2022年度）</w:t>
      </w:r>
    </w:p>
    <w:p>
      <w:pPr>
        <w:pStyle w:val="15"/>
        <w:spacing w:line="560" w:lineRule="exact"/>
        <w:ind w:left="0" w:leftChars="0" w:firstLine="0" w:firstLineChars="0"/>
        <w:rPr>
          <w:rFonts w:hAnsi="仿宋_GB2312" w:eastAsia="仿宋_GB2312" w:cs="仿宋_GB2312"/>
          <w:sz w:val="32"/>
          <w:lang w:val="zh-CN"/>
        </w:rPr>
      </w:pPr>
      <w:r>
        <w:rPr>
          <w:rFonts w:hint="eastAsia" w:hAnsi="仿宋_GB2312" w:eastAsia="仿宋_GB2312" w:cs="仿宋_GB2312"/>
          <w:sz w:val="32"/>
          <w:lang w:val="zh-CN"/>
        </w:rPr>
        <w:t>附件1</w:t>
      </w:r>
      <w:r>
        <w:rPr>
          <w:rFonts w:hAnsi="仿宋_GB2312" w:eastAsia="仿宋_GB2312" w:cs="仿宋_GB2312"/>
          <w:sz w:val="32"/>
          <w:lang w:val="zh-CN"/>
        </w:rPr>
        <w:tab/>
      </w:r>
      <w:r>
        <w:rPr>
          <w:rFonts w:hAnsi="仿宋_GB2312" w:eastAsia="仿宋_GB2312" w:cs="仿宋_GB2312"/>
          <w:sz w:val="32"/>
          <w:lang w:val="zh-CN"/>
        </w:rPr>
        <w:tab/>
      </w:r>
      <w:r>
        <w:rPr>
          <w:rFonts w:hAnsi="仿宋_GB2312" w:eastAsia="仿宋_GB2312" w:cs="仿宋_GB2312"/>
          <w:sz w:val="32"/>
          <w:lang w:val="zh-CN"/>
        </w:rPr>
        <w:tab/>
      </w:r>
      <w:r>
        <w:rPr>
          <w:rFonts w:hAnsi="仿宋_GB2312" w:eastAsia="仿宋_GB2312" w:cs="仿宋_GB2312"/>
          <w:sz w:val="32"/>
          <w:lang w:val="zh-CN"/>
        </w:rPr>
        <w:tab/>
      </w:r>
      <w:r>
        <w:rPr>
          <w:rFonts w:hAnsi="仿宋_GB2312" w:eastAsia="仿宋_GB2312" w:cs="仿宋_GB2312"/>
          <w:sz w:val="32"/>
          <w:lang w:val="zh-CN"/>
        </w:rPr>
        <w:tab/>
      </w:r>
      <w:r>
        <w:rPr>
          <w:rFonts w:hAnsi="仿宋_GB2312" w:eastAsia="仿宋_GB2312" w:cs="仿宋_GB2312"/>
          <w:sz w:val="32"/>
          <w:lang w:val="zh-CN"/>
        </w:rPr>
        <w:tab/>
      </w:r>
      <w:r>
        <w:rPr>
          <w:rFonts w:hAnsi="仿宋_GB2312" w:eastAsia="仿宋_GB2312" w:cs="仿宋_GB2312"/>
          <w:sz w:val="32"/>
          <w:lang w:val="zh-CN"/>
        </w:rPr>
        <w:tab/>
      </w:r>
    </w:p>
    <w:p>
      <w:pPr>
        <w:widowControl/>
        <w:jc w:val="center"/>
        <w:textAlignment w:val="center"/>
      </w:pPr>
      <w:r>
        <w:rPr>
          <w:rFonts w:hint="eastAsia" w:ascii="方正小标宋简体" w:hAnsi="宋体" w:eastAsia="方正小标宋简体" w:cs="宋体"/>
          <w:b/>
          <w:bCs/>
          <w:color w:val="000000"/>
          <w:kern w:val="0"/>
          <w:sz w:val="36"/>
          <w:szCs w:val="36"/>
        </w:rPr>
        <w:t>2022年度部门整体支出绩效目标自评表</w:t>
      </w:r>
    </w:p>
    <w:tbl>
      <w:tblPr>
        <w:tblStyle w:val="16"/>
        <w:tblW w:w="14713" w:type="dxa"/>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821"/>
        <w:gridCol w:w="1558"/>
        <w:gridCol w:w="511"/>
        <w:gridCol w:w="511"/>
        <w:gridCol w:w="4083"/>
        <w:gridCol w:w="1701"/>
        <w:gridCol w:w="1987"/>
        <w:gridCol w:w="1559"/>
        <w:gridCol w:w="993"/>
        <w:gridCol w:w="989"/>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2890" w:type="dxa"/>
            <w:gridSpan w:val="3"/>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部门（单位）名称</w:t>
            </w:r>
          </w:p>
        </w:tc>
        <w:tc>
          <w:tcPr>
            <w:tcW w:w="11823" w:type="dxa"/>
            <w:gridSpan w:val="7"/>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剑阁县卫生健康局</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21" w:type="dxa"/>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年度主要</w:t>
            </w:r>
          </w:p>
        </w:tc>
        <w:tc>
          <w:tcPr>
            <w:tcW w:w="6663" w:type="dxa"/>
            <w:gridSpan w:val="4"/>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年初任务目标</w:t>
            </w:r>
          </w:p>
        </w:tc>
        <w:tc>
          <w:tcPr>
            <w:tcW w:w="7229" w:type="dxa"/>
            <w:gridSpan w:val="5"/>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实际完成目标</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21" w:type="dxa"/>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任务</w:t>
            </w:r>
          </w:p>
        </w:tc>
        <w:tc>
          <w:tcPr>
            <w:tcW w:w="6663" w:type="dxa"/>
            <w:gridSpan w:val="4"/>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计划生育家庭特别困难补助：实施计划生育家庭特困补助，缓解计划生育特殊家庭在生产/生活/医疗和养老等方面的困难，保障和改善民生，促进社会和谐。奖励扶助：实施农村计划生育家庭奖励扶助制度，解决农村独生子女和双女家庭的养老问题，提高家庭发展能力。卫生执法：保障卫生行政管理活动的顺利进行，保护人民身体健康。村卫生室补助：支持国家药物制度在村卫生室顺利实施。特别扶助：完成计划生育家庭特别扶助发放,缓解计划生育特殊家庭在生产,生活,医疗和养老等方面的困难,保障和改善民生,促进社会和谐。独生子女父母奖励：坚持计划生育的基本国策,完善人口发展战略。结核病疫情处置经费：为了有效控制和规范处置剑州中学散发结核病疫情，成立结核病疫情工作处置组。疫情防控指挥部工作经费：为加强入境和国内疫情重点地区来返剑人员管理，切实做好全县新冠肺炎疫情常态化防控工作。老龄工作经费及老年节（重阳节）活动经费：</w:t>
            </w:r>
            <w:r>
              <w:rPr>
                <w:rFonts w:hint="eastAsia" w:ascii="仿宋_GB2312" w:hAnsi="宋体" w:eastAsia="仿宋_GB2312" w:cs="宋体"/>
                <w:color w:val="000000"/>
                <w:kern w:val="0"/>
                <w:szCs w:val="21"/>
                <w:lang w:eastAsia="zh-CN"/>
              </w:rPr>
              <w:t>县委、县政府</w:t>
            </w:r>
            <w:r>
              <w:rPr>
                <w:rFonts w:hint="eastAsia" w:ascii="仿宋_GB2312" w:hAnsi="宋体" w:eastAsia="仿宋_GB2312" w:cs="宋体"/>
                <w:color w:val="000000"/>
                <w:kern w:val="0"/>
                <w:szCs w:val="21"/>
              </w:rPr>
              <w:t>对老年群体的关系厚爱、进一步增加全社会敬老意识，推进老龄事业健康发展。广元健康扶贫纪实画册发行费：展示全市卫生健康系统健康扶贫工作，推动贫困人口脱贫等方面取得的成果及健康扶贫带来的显著成效，收集编撰“以人民为中心，以健康为根本--广元卫生健康扶贫纪实画册”。基层党组织活动经费：基层党组织活动。精神卫生：进一步完善我县精神卫生防治体系，提高严重精神障碍防控工作管控质量，推动我县精神卫生工作健康有序发展。计划生育家庭手术并发症人员特别扶助：为计划生育手术并发症患者提供帮助,减轻患者经济负担。</w:t>
            </w:r>
          </w:p>
        </w:tc>
        <w:tc>
          <w:tcPr>
            <w:tcW w:w="7229" w:type="dxa"/>
            <w:gridSpan w:val="5"/>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完成卫生各项目标</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821" w:type="dxa"/>
            <w:vMerge w:val="restart"/>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预算执行情况（万元）</w:t>
            </w:r>
          </w:p>
        </w:tc>
        <w:tc>
          <w:tcPr>
            <w:tcW w:w="2069" w:type="dxa"/>
            <w:gridSpan w:val="2"/>
            <w:shd w:val="clear" w:color="auto" w:fill="auto"/>
            <w:vAlign w:val="center"/>
          </w:tcPr>
          <w:p>
            <w:pPr>
              <w:spacing w:line="240" w:lineRule="exact"/>
              <w:jc w:val="center"/>
              <w:rPr>
                <w:rFonts w:ascii="仿宋_GB2312" w:hAnsi="宋体" w:eastAsia="仿宋_GB2312" w:cs="宋体"/>
                <w:color w:val="000000"/>
                <w:szCs w:val="21"/>
              </w:rPr>
            </w:pPr>
          </w:p>
        </w:tc>
        <w:tc>
          <w:tcPr>
            <w:tcW w:w="4594" w:type="dxa"/>
            <w:gridSpan w:val="2"/>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全年预算数（A）</w:t>
            </w:r>
          </w:p>
        </w:tc>
        <w:tc>
          <w:tcPr>
            <w:tcW w:w="3688" w:type="dxa"/>
            <w:gridSpan w:val="2"/>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 xml:space="preserve">全年执行数（B）  </w:t>
            </w:r>
          </w:p>
        </w:tc>
        <w:tc>
          <w:tcPr>
            <w:tcW w:w="1559"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分值</w:t>
            </w:r>
          </w:p>
        </w:tc>
        <w:tc>
          <w:tcPr>
            <w:tcW w:w="993" w:type="dxa"/>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执行率（B/A)</w:t>
            </w:r>
          </w:p>
        </w:tc>
        <w:tc>
          <w:tcPr>
            <w:tcW w:w="989" w:type="dxa"/>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得分</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821"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2069" w:type="dxa"/>
            <w:gridSpan w:val="2"/>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年度资金总额：</w:t>
            </w:r>
          </w:p>
        </w:tc>
        <w:tc>
          <w:tcPr>
            <w:tcW w:w="4594" w:type="dxa"/>
            <w:gridSpan w:val="2"/>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5244.3</w:t>
            </w:r>
          </w:p>
        </w:tc>
        <w:tc>
          <w:tcPr>
            <w:tcW w:w="3688" w:type="dxa"/>
            <w:gridSpan w:val="2"/>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5185.5</w:t>
            </w:r>
          </w:p>
        </w:tc>
        <w:tc>
          <w:tcPr>
            <w:tcW w:w="1559"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w:t>
            </w:r>
          </w:p>
        </w:tc>
        <w:tc>
          <w:tcPr>
            <w:tcW w:w="993"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0.988787827</w:t>
            </w:r>
          </w:p>
        </w:tc>
        <w:tc>
          <w:tcPr>
            <w:tcW w:w="989"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9</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821"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2069" w:type="dxa"/>
            <w:gridSpan w:val="2"/>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 xml:space="preserve"> 其中：财政拨款</w:t>
            </w:r>
          </w:p>
        </w:tc>
        <w:tc>
          <w:tcPr>
            <w:tcW w:w="4594" w:type="dxa"/>
            <w:gridSpan w:val="2"/>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5244.3</w:t>
            </w:r>
          </w:p>
        </w:tc>
        <w:tc>
          <w:tcPr>
            <w:tcW w:w="3688" w:type="dxa"/>
            <w:gridSpan w:val="2"/>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5185.5</w:t>
            </w:r>
          </w:p>
        </w:tc>
        <w:tc>
          <w:tcPr>
            <w:tcW w:w="1559" w:type="dxa"/>
            <w:shd w:val="clear" w:color="auto" w:fill="auto"/>
            <w:noWrap/>
            <w:vAlign w:val="center"/>
          </w:tcPr>
          <w:p>
            <w:pPr>
              <w:spacing w:line="240" w:lineRule="exact"/>
              <w:jc w:val="center"/>
              <w:rPr>
                <w:rFonts w:ascii="仿宋_GB2312" w:hAnsi="宋体" w:eastAsia="仿宋_GB2312" w:cs="宋体"/>
                <w:color w:val="000000"/>
                <w:szCs w:val="21"/>
              </w:rPr>
            </w:pPr>
          </w:p>
        </w:tc>
        <w:tc>
          <w:tcPr>
            <w:tcW w:w="993"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0.988787827</w:t>
            </w:r>
          </w:p>
        </w:tc>
        <w:tc>
          <w:tcPr>
            <w:tcW w:w="989" w:type="dxa"/>
            <w:shd w:val="clear" w:color="auto" w:fill="auto"/>
            <w:noWrap/>
            <w:vAlign w:val="center"/>
          </w:tcPr>
          <w:p>
            <w:pPr>
              <w:spacing w:line="240" w:lineRule="exact"/>
              <w:jc w:val="center"/>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821"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2069" w:type="dxa"/>
            <w:gridSpan w:val="2"/>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其他资金</w:t>
            </w:r>
          </w:p>
        </w:tc>
        <w:tc>
          <w:tcPr>
            <w:tcW w:w="4594" w:type="dxa"/>
            <w:gridSpan w:val="2"/>
            <w:shd w:val="clear" w:color="auto" w:fill="auto"/>
            <w:noWrap/>
            <w:vAlign w:val="center"/>
          </w:tcPr>
          <w:p>
            <w:pPr>
              <w:spacing w:line="240" w:lineRule="exact"/>
              <w:jc w:val="center"/>
              <w:rPr>
                <w:rFonts w:ascii="仿宋_GB2312" w:hAnsi="宋体" w:eastAsia="仿宋_GB2312" w:cs="宋体"/>
                <w:color w:val="000000"/>
                <w:szCs w:val="21"/>
              </w:rPr>
            </w:pPr>
          </w:p>
        </w:tc>
        <w:tc>
          <w:tcPr>
            <w:tcW w:w="3688" w:type="dxa"/>
            <w:gridSpan w:val="2"/>
            <w:shd w:val="clear" w:color="auto" w:fill="auto"/>
            <w:noWrap/>
            <w:vAlign w:val="center"/>
          </w:tcPr>
          <w:p>
            <w:pPr>
              <w:spacing w:line="240" w:lineRule="exact"/>
              <w:jc w:val="center"/>
              <w:rPr>
                <w:rFonts w:ascii="仿宋_GB2312" w:hAnsi="宋体" w:eastAsia="仿宋_GB2312" w:cs="宋体"/>
                <w:color w:val="000000"/>
                <w:szCs w:val="21"/>
              </w:rPr>
            </w:pPr>
          </w:p>
        </w:tc>
        <w:tc>
          <w:tcPr>
            <w:tcW w:w="1559" w:type="dxa"/>
            <w:shd w:val="clear" w:color="auto" w:fill="auto"/>
            <w:noWrap/>
            <w:vAlign w:val="center"/>
          </w:tcPr>
          <w:p>
            <w:pPr>
              <w:spacing w:line="240" w:lineRule="exact"/>
              <w:jc w:val="center"/>
              <w:rPr>
                <w:rFonts w:ascii="仿宋_GB2312" w:hAnsi="宋体" w:eastAsia="仿宋_GB2312" w:cs="宋体"/>
                <w:color w:val="000000"/>
                <w:szCs w:val="21"/>
              </w:rPr>
            </w:pPr>
          </w:p>
        </w:tc>
        <w:tc>
          <w:tcPr>
            <w:tcW w:w="993" w:type="dxa"/>
            <w:shd w:val="clear" w:color="auto" w:fill="auto"/>
            <w:noWrap/>
            <w:vAlign w:val="center"/>
          </w:tcPr>
          <w:p>
            <w:pPr>
              <w:spacing w:line="240" w:lineRule="exact"/>
              <w:jc w:val="center"/>
              <w:rPr>
                <w:rFonts w:ascii="仿宋_GB2312" w:hAnsi="宋体" w:eastAsia="仿宋_GB2312" w:cs="宋体"/>
                <w:color w:val="000000"/>
                <w:szCs w:val="21"/>
              </w:rPr>
            </w:pPr>
          </w:p>
        </w:tc>
        <w:tc>
          <w:tcPr>
            <w:tcW w:w="989" w:type="dxa"/>
            <w:shd w:val="clear" w:color="auto" w:fill="auto"/>
            <w:noWrap/>
            <w:vAlign w:val="center"/>
          </w:tcPr>
          <w:p>
            <w:pPr>
              <w:spacing w:line="240" w:lineRule="exact"/>
              <w:jc w:val="center"/>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821" w:type="dxa"/>
            <w:vMerge w:val="restart"/>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年度总体目标</w:t>
            </w:r>
          </w:p>
        </w:tc>
        <w:tc>
          <w:tcPr>
            <w:tcW w:w="6663" w:type="dxa"/>
            <w:gridSpan w:val="4"/>
            <w:vMerge w:val="restart"/>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预期目标</w:t>
            </w:r>
          </w:p>
        </w:tc>
        <w:tc>
          <w:tcPr>
            <w:tcW w:w="7229" w:type="dxa"/>
            <w:gridSpan w:val="5"/>
            <w:vMerge w:val="restart"/>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实际完成目标</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821"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6663" w:type="dxa"/>
            <w:gridSpan w:val="4"/>
            <w:vMerge w:val="continue"/>
            <w:shd w:val="clear" w:color="auto" w:fill="auto"/>
            <w:noWrap/>
            <w:vAlign w:val="center"/>
          </w:tcPr>
          <w:p>
            <w:pPr>
              <w:spacing w:line="240" w:lineRule="exact"/>
              <w:jc w:val="center"/>
              <w:rPr>
                <w:rFonts w:ascii="仿宋_GB2312" w:hAnsi="宋体" w:eastAsia="仿宋_GB2312" w:cs="宋体"/>
                <w:color w:val="000000"/>
                <w:szCs w:val="21"/>
              </w:rPr>
            </w:pPr>
          </w:p>
        </w:tc>
        <w:tc>
          <w:tcPr>
            <w:tcW w:w="7229" w:type="dxa"/>
            <w:gridSpan w:val="5"/>
            <w:vMerge w:val="continue"/>
            <w:shd w:val="clear" w:color="auto" w:fill="auto"/>
            <w:noWrap/>
            <w:vAlign w:val="center"/>
          </w:tcPr>
          <w:p>
            <w:pPr>
              <w:spacing w:line="240" w:lineRule="exact"/>
              <w:jc w:val="center"/>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21"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6663" w:type="dxa"/>
            <w:gridSpan w:val="4"/>
            <w:shd w:val="clear" w:color="auto" w:fill="auto"/>
            <w:noWrap/>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任务;按照项目实施方案和绩效目标，完成各项项目目标。进一步完善我县精神卫生防治体系，提高严重精神障碍防控工作管控质量，推动我县精神卫生工作健康有序发展。完成计划生育家庭特别扶助发放,缓解计划生育特殊家庭在生产,生活,医疗和养老等方面的困难,保障和改善民生,促进社会和谐.开展对重点疾病及危害因素监测，有效控制疾病流行，为制定相关政策提供科学依据。助力国家脱贫攻坚，保 持重点地方病防治措施全面落实。开展职业病监测，最大限度地保护放射工作人员、患者和公众的健康权益。同 时推进妇幼卫生、健康素养促进、医养结合和老年健康服务、卫生应急、计划生育等方面工作。</w:t>
            </w:r>
          </w:p>
        </w:tc>
        <w:tc>
          <w:tcPr>
            <w:tcW w:w="7229" w:type="dxa"/>
            <w:gridSpan w:val="5"/>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完成卫生各项目标</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21" w:type="dxa"/>
            <w:vMerge w:val="restart"/>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年度绩效指标</w:t>
            </w:r>
          </w:p>
        </w:tc>
        <w:tc>
          <w:tcPr>
            <w:tcW w:w="1558" w:type="dxa"/>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一级指标</w:t>
            </w:r>
          </w:p>
        </w:tc>
        <w:tc>
          <w:tcPr>
            <w:tcW w:w="1022" w:type="dxa"/>
            <w:gridSpan w:val="2"/>
            <w:shd w:val="clear" w:color="auto" w:fill="auto"/>
            <w:vAlign w:val="center"/>
          </w:tcPr>
          <w:p>
            <w:pPr>
              <w:widowControl/>
              <w:spacing w:line="240" w:lineRule="exact"/>
              <w:jc w:val="center"/>
              <w:textAlignment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二级</w:t>
            </w:r>
          </w:p>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指标</w:t>
            </w:r>
          </w:p>
        </w:tc>
        <w:tc>
          <w:tcPr>
            <w:tcW w:w="4083" w:type="dxa"/>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三级指标</w:t>
            </w:r>
          </w:p>
        </w:tc>
        <w:tc>
          <w:tcPr>
            <w:tcW w:w="1701" w:type="dxa"/>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预期指标值（包含数字及文字描述）</w:t>
            </w:r>
          </w:p>
        </w:tc>
        <w:tc>
          <w:tcPr>
            <w:tcW w:w="1987" w:type="dxa"/>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实际完成指标值（包含数字及文字描述）</w:t>
            </w:r>
          </w:p>
        </w:tc>
        <w:tc>
          <w:tcPr>
            <w:tcW w:w="1559" w:type="dxa"/>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未完成原因及拟采取的改进措施</w:t>
            </w:r>
          </w:p>
        </w:tc>
        <w:tc>
          <w:tcPr>
            <w:tcW w:w="993" w:type="dxa"/>
            <w:shd w:val="clear" w:color="auto" w:fill="auto"/>
            <w:vAlign w:val="center"/>
          </w:tcPr>
          <w:p>
            <w:pPr>
              <w:widowControl/>
              <w:spacing w:line="240" w:lineRule="exact"/>
              <w:jc w:val="center"/>
              <w:textAlignment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自评</w:t>
            </w:r>
          </w:p>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得分</w:t>
            </w:r>
          </w:p>
        </w:tc>
        <w:tc>
          <w:tcPr>
            <w:tcW w:w="989" w:type="dxa"/>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财政复评得分</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170" w:hRule="atLeast"/>
          <w:jc w:val="center"/>
        </w:trPr>
        <w:tc>
          <w:tcPr>
            <w:tcW w:w="821"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558" w:type="dxa"/>
            <w:vMerge w:val="restart"/>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完成指标</w:t>
            </w:r>
          </w:p>
        </w:tc>
        <w:tc>
          <w:tcPr>
            <w:tcW w:w="1022" w:type="dxa"/>
            <w:gridSpan w:val="2"/>
            <w:vMerge w:val="restart"/>
            <w:shd w:val="clear" w:color="auto" w:fill="auto"/>
            <w:vAlign w:val="center"/>
          </w:tcPr>
          <w:p>
            <w:pPr>
              <w:widowControl/>
              <w:spacing w:line="240" w:lineRule="exact"/>
              <w:jc w:val="center"/>
              <w:textAlignment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数量</w:t>
            </w:r>
          </w:p>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指标</w:t>
            </w:r>
          </w:p>
        </w:tc>
        <w:tc>
          <w:tcPr>
            <w:tcW w:w="408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村卫生室个数</w:t>
            </w:r>
          </w:p>
        </w:tc>
        <w:tc>
          <w:tcPr>
            <w:tcW w:w="1701"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＝364个</w:t>
            </w:r>
          </w:p>
        </w:tc>
        <w:tc>
          <w:tcPr>
            <w:tcW w:w="1987"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364个</w:t>
            </w:r>
          </w:p>
        </w:tc>
        <w:tc>
          <w:tcPr>
            <w:tcW w:w="1559" w:type="dxa"/>
            <w:shd w:val="clear" w:color="auto" w:fill="auto"/>
            <w:noWrap/>
            <w:vAlign w:val="center"/>
          </w:tcPr>
          <w:p>
            <w:pPr>
              <w:spacing w:line="240" w:lineRule="exact"/>
              <w:jc w:val="center"/>
              <w:rPr>
                <w:rFonts w:ascii="仿宋_GB2312" w:hAnsi="宋体" w:eastAsia="仿宋_GB2312" w:cs="宋体"/>
                <w:color w:val="000000"/>
                <w:szCs w:val="21"/>
              </w:rPr>
            </w:pPr>
          </w:p>
        </w:tc>
        <w:tc>
          <w:tcPr>
            <w:tcW w:w="993"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4</w:t>
            </w:r>
          </w:p>
        </w:tc>
        <w:tc>
          <w:tcPr>
            <w:tcW w:w="989" w:type="dxa"/>
            <w:shd w:val="clear" w:color="auto" w:fill="auto"/>
            <w:noWrap/>
            <w:vAlign w:val="center"/>
          </w:tcPr>
          <w:p>
            <w:pPr>
              <w:spacing w:line="240" w:lineRule="exac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170" w:hRule="atLeast"/>
          <w:jc w:val="center"/>
        </w:trPr>
        <w:tc>
          <w:tcPr>
            <w:tcW w:w="821"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558"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022" w:type="dxa"/>
            <w:gridSpan w:val="2"/>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408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发放人数</w:t>
            </w:r>
          </w:p>
        </w:tc>
        <w:tc>
          <w:tcPr>
            <w:tcW w:w="1701"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＝9244人</w:t>
            </w:r>
          </w:p>
        </w:tc>
        <w:tc>
          <w:tcPr>
            <w:tcW w:w="1987"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7914人</w:t>
            </w:r>
          </w:p>
        </w:tc>
        <w:tc>
          <w:tcPr>
            <w:tcW w:w="1559"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清理核查停发1330人</w:t>
            </w:r>
          </w:p>
        </w:tc>
        <w:tc>
          <w:tcPr>
            <w:tcW w:w="993"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w:t>
            </w:r>
          </w:p>
        </w:tc>
        <w:tc>
          <w:tcPr>
            <w:tcW w:w="989" w:type="dxa"/>
            <w:shd w:val="clear" w:color="auto" w:fill="auto"/>
            <w:noWrap/>
            <w:vAlign w:val="center"/>
          </w:tcPr>
          <w:p>
            <w:pPr>
              <w:spacing w:line="240" w:lineRule="exac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170" w:hRule="atLeast"/>
          <w:jc w:val="center"/>
        </w:trPr>
        <w:tc>
          <w:tcPr>
            <w:tcW w:w="821"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558"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022" w:type="dxa"/>
            <w:gridSpan w:val="2"/>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408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服务人口数</w:t>
            </w:r>
          </w:p>
        </w:tc>
        <w:tc>
          <w:tcPr>
            <w:tcW w:w="1701"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＝42.4万人</w:t>
            </w:r>
          </w:p>
        </w:tc>
        <w:tc>
          <w:tcPr>
            <w:tcW w:w="1987"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42.4万人</w:t>
            </w:r>
          </w:p>
        </w:tc>
        <w:tc>
          <w:tcPr>
            <w:tcW w:w="1559" w:type="dxa"/>
            <w:shd w:val="clear" w:color="auto" w:fill="auto"/>
            <w:noWrap/>
            <w:vAlign w:val="center"/>
          </w:tcPr>
          <w:p>
            <w:pPr>
              <w:spacing w:line="240" w:lineRule="exact"/>
              <w:jc w:val="center"/>
              <w:rPr>
                <w:rFonts w:ascii="仿宋_GB2312" w:hAnsi="宋体" w:eastAsia="仿宋_GB2312" w:cs="宋体"/>
                <w:color w:val="000000"/>
                <w:szCs w:val="21"/>
              </w:rPr>
            </w:pPr>
          </w:p>
        </w:tc>
        <w:tc>
          <w:tcPr>
            <w:tcW w:w="993"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w:t>
            </w:r>
          </w:p>
        </w:tc>
        <w:tc>
          <w:tcPr>
            <w:tcW w:w="989" w:type="dxa"/>
            <w:shd w:val="clear" w:color="auto" w:fill="auto"/>
            <w:noWrap/>
            <w:vAlign w:val="center"/>
          </w:tcPr>
          <w:p>
            <w:pPr>
              <w:spacing w:line="240" w:lineRule="exac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170" w:hRule="atLeast"/>
          <w:jc w:val="center"/>
        </w:trPr>
        <w:tc>
          <w:tcPr>
            <w:tcW w:w="821"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558"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022" w:type="dxa"/>
            <w:gridSpan w:val="2"/>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408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基本公共卫生覆盖率</w:t>
            </w:r>
          </w:p>
        </w:tc>
        <w:tc>
          <w:tcPr>
            <w:tcW w:w="1701"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1987"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1559" w:type="dxa"/>
            <w:shd w:val="clear" w:color="auto" w:fill="auto"/>
            <w:noWrap/>
            <w:vAlign w:val="center"/>
          </w:tcPr>
          <w:p>
            <w:pPr>
              <w:spacing w:line="240" w:lineRule="exact"/>
              <w:jc w:val="center"/>
              <w:rPr>
                <w:rFonts w:ascii="仿宋_GB2312" w:hAnsi="宋体" w:eastAsia="仿宋_GB2312" w:cs="宋体"/>
                <w:color w:val="000000"/>
                <w:szCs w:val="21"/>
              </w:rPr>
            </w:pPr>
          </w:p>
        </w:tc>
        <w:tc>
          <w:tcPr>
            <w:tcW w:w="993"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w:t>
            </w:r>
          </w:p>
        </w:tc>
        <w:tc>
          <w:tcPr>
            <w:tcW w:w="989" w:type="dxa"/>
            <w:shd w:val="clear" w:color="auto" w:fill="auto"/>
            <w:noWrap/>
            <w:vAlign w:val="center"/>
          </w:tcPr>
          <w:p>
            <w:pPr>
              <w:spacing w:line="240" w:lineRule="exac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170" w:hRule="atLeast"/>
          <w:jc w:val="center"/>
        </w:trPr>
        <w:tc>
          <w:tcPr>
            <w:tcW w:w="821"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558"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022" w:type="dxa"/>
            <w:gridSpan w:val="2"/>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408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计划生育并发症人数</w:t>
            </w:r>
          </w:p>
        </w:tc>
        <w:tc>
          <w:tcPr>
            <w:tcW w:w="1701"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＝58人</w:t>
            </w:r>
          </w:p>
        </w:tc>
        <w:tc>
          <w:tcPr>
            <w:tcW w:w="1987"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57人</w:t>
            </w:r>
          </w:p>
        </w:tc>
        <w:tc>
          <w:tcPr>
            <w:tcW w:w="1559"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清理核查停发1个</w:t>
            </w:r>
          </w:p>
        </w:tc>
        <w:tc>
          <w:tcPr>
            <w:tcW w:w="993"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w:t>
            </w:r>
          </w:p>
        </w:tc>
        <w:tc>
          <w:tcPr>
            <w:tcW w:w="989" w:type="dxa"/>
            <w:shd w:val="clear" w:color="auto" w:fill="auto"/>
            <w:noWrap/>
            <w:vAlign w:val="center"/>
          </w:tcPr>
          <w:p>
            <w:pPr>
              <w:spacing w:line="240" w:lineRule="exac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170" w:hRule="atLeast"/>
          <w:jc w:val="center"/>
        </w:trPr>
        <w:tc>
          <w:tcPr>
            <w:tcW w:w="821"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558"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022" w:type="dxa"/>
            <w:gridSpan w:val="2"/>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408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农村部分计划生育家庭奖励人数</w:t>
            </w:r>
          </w:p>
        </w:tc>
        <w:tc>
          <w:tcPr>
            <w:tcW w:w="1701"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＝14646人</w:t>
            </w:r>
          </w:p>
        </w:tc>
        <w:tc>
          <w:tcPr>
            <w:tcW w:w="1987"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14631人</w:t>
            </w:r>
          </w:p>
        </w:tc>
        <w:tc>
          <w:tcPr>
            <w:tcW w:w="1559"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清理核查停发15个</w:t>
            </w:r>
          </w:p>
        </w:tc>
        <w:tc>
          <w:tcPr>
            <w:tcW w:w="993"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w:t>
            </w:r>
          </w:p>
        </w:tc>
        <w:tc>
          <w:tcPr>
            <w:tcW w:w="989" w:type="dxa"/>
            <w:shd w:val="clear" w:color="auto" w:fill="auto"/>
            <w:noWrap/>
            <w:vAlign w:val="center"/>
          </w:tcPr>
          <w:p>
            <w:pPr>
              <w:spacing w:line="240" w:lineRule="exac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821"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558"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022" w:type="dxa"/>
            <w:gridSpan w:val="2"/>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408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实施基本药物制度覆盖率</w:t>
            </w:r>
          </w:p>
        </w:tc>
        <w:tc>
          <w:tcPr>
            <w:tcW w:w="1701"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1987"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1559" w:type="dxa"/>
            <w:shd w:val="clear" w:color="auto" w:fill="auto"/>
            <w:noWrap/>
            <w:vAlign w:val="center"/>
          </w:tcPr>
          <w:p>
            <w:pPr>
              <w:spacing w:line="240" w:lineRule="exact"/>
              <w:jc w:val="center"/>
              <w:rPr>
                <w:rFonts w:ascii="仿宋_GB2312" w:hAnsi="宋体" w:eastAsia="仿宋_GB2312" w:cs="宋体"/>
                <w:color w:val="000000"/>
                <w:szCs w:val="21"/>
              </w:rPr>
            </w:pPr>
          </w:p>
        </w:tc>
        <w:tc>
          <w:tcPr>
            <w:tcW w:w="993"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w:t>
            </w:r>
          </w:p>
        </w:tc>
        <w:tc>
          <w:tcPr>
            <w:tcW w:w="989" w:type="dxa"/>
            <w:shd w:val="clear" w:color="auto" w:fill="auto"/>
            <w:noWrap/>
            <w:vAlign w:val="center"/>
          </w:tcPr>
          <w:p>
            <w:pPr>
              <w:spacing w:line="240" w:lineRule="exac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21"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558"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022" w:type="dxa"/>
            <w:gridSpan w:val="2"/>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408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特别扶助发放人数(伤残)</w:t>
            </w:r>
          </w:p>
        </w:tc>
        <w:tc>
          <w:tcPr>
            <w:tcW w:w="1701"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70人</w:t>
            </w:r>
          </w:p>
        </w:tc>
        <w:tc>
          <w:tcPr>
            <w:tcW w:w="1987"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69人</w:t>
            </w:r>
          </w:p>
        </w:tc>
        <w:tc>
          <w:tcPr>
            <w:tcW w:w="1559"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清理核查停发1个</w:t>
            </w:r>
          </w:p>
        </w:tc>
        <w:tc>
          <w:tcPr>
            <w:tcW w:w="993"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w:t>
            </w:r>
          </w:p>
        </w:tc>
        <w:tc>
          <w:tcPr>
            <w:tcW w:w="989" w:type="dxa"/>
            <w:shd w:val="clear" w:color="auto" w:fill="auto"/>
            <w:noWrap/>
            <w:vAlign w:val="center"/>
          </w:tcPr>
          <w:p>
            <w:pPr>
              <w:spacing w:line="240" w:lineRule="exac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1" w:hRule="atLeast"/>
          <w:jc w:val="center"/>
        </w:trPr>
        <w:tc>
          <w:tcPr>
            <w:tcW w:w="821"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558"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022" w:type="dxa"/>
            <w:gridSpan w:val="2"/>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408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特别扶助发放人数(死亡)</w:t>
            </w:r>
          </w:p>
        </w:tc>
        <w:tc>
          <w:tcPr>
            <w:tcW w:w="1701"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326人</w:t>
            </w:r>
          </w:p>
        </w:tc>
        <w:tc>
          <w:tcPr>
            <w:tcW w:w="1987"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325人</w:t>
            </w:r>
          </w:p>
        </w:tc>
        <w:tc>
          <w:tcPr>
            <w:tcW w:w="1559"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清理核查停发1个</w:t>
            </w:r>
          </w:p>
        </w:tc>
        <w:tc>
          <w:tcPr>
            <w:tcW w:w="993"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w:t>
            </w:r>
          </w:p>
        </w:tc>
        <w:tc>
          <w:tcPr>
            <w:tcW w:w="989" w:type="dxa"/>
            <w:shd w:val="clear" w:color="auto" w:fill="auto"/>
            <w:noWrap/>
            <w:vAlign w:val="center"/>
          </w:tcPr>
          <w:p>
            <w:pPr>
              <w:spacing w:line="240" w:lineRule="exac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1" w:hRule="atLeast"/>
          <w:jc w:val="center"/>
        </w:trPr>
        <w:tc>
          <w:tcPr>
            <w:tcW w:w="821"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558"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022" w:type="dxa"/>
            <w:gridSpan w:val="2"/>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408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特别困难补助人数</w:t>
            </w:r>
          </w:p>
        </w:tc>
        <w:tc>
          <w:tcPr>
            <w:tcW w:w="1701"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＝117人</w:t>
            </w:r>
          </w:p>
        </w:tc>
        <w:tc>
          <w:tcPr>
            <w:tcW w:w="1987"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117人</w:t>
            </w:r>
          </w:p>
        </w:tc>
        <w:tc>
          <w:tcPr>
            <w:tcW w:w="1559" w:type="dxa"/>
            <w:shd w:val="clear" w:color="auto" w:fill="auto"/>
            <w:noWrap/>
            <w:vAlign w:val="center"/>
          </w:tcPr>
          <w:p>
            <w:pPr>
              <w:spacing w:line="240" w:lineRule="exact"/>
              <w:jc w:val="center"/>
              <w:rPr>
                <w:rFonts w:ascii="仿宋_GB2312" w:hAnsi="宋体" w:eastAsia="仿宋_GB2312" w:cs="宋体"/>
                <w:color w:val="000000"/>
                <w:szCs w:val="21"/>
              </w:rPr>
            </w:pPr>
          </w:p>
        </w:tc>
        <w:tc>
          <w:tcPr>
            <w:tcW w:w="993"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w:t>
            </w:r>
          </w:p>
        </w:tc>
        <w:tc>
          <w:tcPr>
            <w:tcW w:w="989" w:type="dxa"/>
            <w:shd w:val="clear" w:color="auto" w:fill="auto"/>
            <w:noWrap/>
            <w:vAlign w:val="center"/>
          </w:tcPr>
          <w:p>
            <w:pPr>
              <w:spacing w:line="240" w:lineRule="exac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1" w:hRule="atLeast"/>
          <w:jc w:val="center"/>
        </w:trPr>
        <w:tc>
          <w:tcPr>
            <w:tcW w:w="821"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558"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022" w:type="dxa"/>
            <w:gridSpan w:val="2"/>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408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慰问百岁老人</w:t>
            </w:r>
          </w:p>
        </w:tc>
        <w:tc>
          <w:tcPr>
            <w:tcW w:w="1701"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＝37人</w:t>
            </w:r>
          </w:p>
        </w:tc>
        <w:tc>
          <w:tcPr>
            <w:tcW w:w="1987"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37人</w:t>
            </w:r>
          </w:p>
        </w:tc>
        <w:tc>
          <w:tcPr>
            <w:tcW w:w="1559" w:type="dxa"/>
            <w:shd w:val="clear" w:color="auto" w:fill="auto"/>
            <w:noWrap/>
            <w:vAlign w:val="center"/>
          </w:tcPr>
          <w:p>
            <w:pPr>
              <w:spacing w:line="240" w:lineRule="exact"/>
              <w:jc w:val="center"/>
              <w:rPr>
                <w:rFonts w:ascii="仿宋_GB2312" w:hAnsi="宋体" w:eastAsia="仿宋_GB2312" w:cs="宋体"/>
                <w:color w:val="000000"/>
                <w:szCs w:val="21"/>
              </w:rPr>
            </w:pPr>
          </w:p>
        </w:tc>
        <w:tc>
          <w:tcPr>
            <w:tcW w:w="993"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w:t>
            </w:r>
          </w:p>
        </w:tc>
        <w:tc>
          <w:tcPr>
            <w:tcW w:w="989" w:type="dxa"/>
            <w:shd w:val="clear" w:color="auto" w:fill="auto"/>
            <w:noWrap/>
            <w:vAlign w:val="center"/>
          </w:tcPr>
          <w:p>
            <w:pPr>
              <w:spacing w:line="240" w:lineRule="exac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1" w:hRule="atLeast"/>
          <w:jc w:val="center"/>
        </w:trPr>
        <w:tc>
          <w:tcPr>
            <w:tcW w:w="821"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558"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022" w:type="dxa"/>
            <w:gridSpan w:val="2"/>
            <w:vMerge w:val="restart"/>
            <w:shd w:val="clear" w:color="auto" w:fill="auto"/>
            <w:vAlign w:val="center"/>
          </w:tcPr>
          <w:p>
            <w:pPr>
              <w:widowControl/>
              <w:spacing w:line="240" w:lineRule="exact"/>
              <w:jc w:val="center"/>
              <w:textAlignment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质量</w:t>
            </w:r>
          </w:p>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指标</w:t>
            </w:r>
          </w:p>
        </w:tc>
        <w:tc>
          <w:tcPr>
            <w:tcW w:w="408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符合条件申报对象覆盖率</w:t>
            </w:r>
          </w:p>
        </w:tc>
        <w:tc>
          <w:tcPr>
            <w:tcW w:w="1701"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1987"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1559" w:type="dxa"/>
            <w:shd w:val="clear" w:color="auto" w:fill="auto"/>
            <w:noWrap/>
            <w:vAlign w:val="center"/>
          </w:tcPr>
          <w:p>
            <w:pPr>
              <w:spacing w:line="240" w:lineRule="exact"/>
              <w:jc w:val="center"/>
              <w:rPr>
                <w:rFonts w:ascii="仿宋_GB2312" w:hAnsi="宋体" w:eastAsia="仿宋_GB2312" w:cs="宋体"/>
                <w:color w:val="000000"/>
                <w:szCs w:val="21"/>
              </w:rPr>
            </w:pPr>
          </w:p>
        </w:tc>
        <w:tc>
          <w:tcPr>
            <w:tcW w:w="993"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w:t>
            </w:r>
          </w:p>
        </w:tc>
        <w:tc>
          <w:tcPr>
            <w:tcW w:w="989" w:type="dxa"/>
            <w:shd w:val="clear" w:color="auto" w:fill="auto"/>
            <w:noWrap/>
            <w:vAlign w:val="center"/>
          </w:tcPr>
          <w:p>
            <w:pPr>
              <w:spacing w:line="240" w:lineRule="exac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1" w:hRule="atLeast"/>
          <w:jc w:val="center"/>
        </w:trPr>
        <w:tc>
          <w:tcPr>
            <w:tcW w:w="821"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558"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022" w:type="dxa"/>
            <w:gridSpan w:val="2"/>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408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疫情防控</w:t>
            </w:r>
          </w:p>
        </w:tc>
        <w:tc>
          <w:tcPr>
            <w:tcW w:w="1701"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定性好坏</w:t>
            </w:r>
          </w:p>
        </w:tc>
        <w:tc>
          <w:tcPr>
            <w:tcW w:w="1987"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好</w:t>
            </w:r>
          </w:p>
        </w:tc>
        <w:tc>
          <w:tcPr>
            <w:tcW w:w="1559" w:type="dxa"/>
            <w:shd w:val="clear" w:color="auto" w:fill="auto"/>
            <w:noWrap/>
            <w:vAlign w:val="center"/>
          </w:tcPr>
          <w:p>
            <w:pPr>
              <w:spacing w:line="240" w:lineRule="exact"/>
              <w:jc w:val="center"/>
              <w:rPr>
                <w:rFonts w:ascii="仿宋_GB2312" w:hAnsi="宋体" w:eastAsia="仿宋_GB2312" w:cs="宋体"/>
                <w:color w:val="000000"/>
                <w:szCs w:val="21"/>
              </w:rPr>
            </w:pPr>
          </w:p>
        </w:tc>
        <w:tc>
          <w:tcPr>
            <w:tcW w:w="993"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w:t>
            </w:r>
          </w:p>
        </w:tc>
        <w:tc>
          <w:tcPr>
            <w:tcW w:w="989" w:type="dxa"/>
            <w:shd w:val="clear" w:color="auto" w:fill="auto"/>
            <w:noWrap/>
            <w:vAlign w:val="center"/>
          </w:tcPr>
          <w:p>
            <w:pPr>
              <w:spacing w:line="240" w:lineRule="exac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1" w:hRule="atLeast"/>
          <w:jc w:val="center"/>
        </w:trPr>
        <w:tc>
          <w:tcPr>
            <w:tcW w:w="821"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558"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022" w:type="dxa"/>
            <w:gridSpan w:val="2"/>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408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争取项目进度达到预期效果</w:t>
            </w:r>
          </w:p>
        </w:tc>
        <w:tc>
          <w:tcPr>
            <w:tcW w:w="1701"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定性优良中低差</w:t>
            </w:r>
          </w:p>
        </w:tc>
        <w:tc>
          <w:tcPr>
            <w:tcW w:w="1987"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优</w:t>
            </w:r>
          </w:p>
        </w:tc>
        <w:tc>
          <w:tcPr>
            <w:tcW w:w="1559" w:type="dxa"/>
            <w:shd w:val="clear" w:color="auto" w:fill="auto"/>
            <w:noWrap/>
            <w:vAlign w:val="center"/>
          </w:tcPr>
          <w:p>
            <w:pPr>
              <w:spacing w:line="240" w:lineRule="exact"/>
              <w:jc w:val="center"/>
              <w:rPr>
                <w:rFonts w:ascii="仿宋_GB2312" w:hAnsi="宋体" w:eastAsia="仿宋_GB2312" w:cs="宋体"/>
                <w:color w:val="000000"/>
                <w:szCs w:val="21"/>
              </w:rPr>
            </w:pPr>
          </w:p>
        </w:tc>
        <w:tc>
          <w:tcPr>
            <w:tcW w:w="993"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w:t>
            </w:r>
          </w:p>
        </w:tc>
        <w:tc>
          <w:tcPr>
            <w:tcW w:w="989" w:type="dxa"/>
            <w:shd w:val="clear" w:color="auto" w:fill="auto"/>
            <w:noWrap/>
            <w:vAlign w:val="center"/>
          </w:tcPr>
          <w:p>
            <w:pPr>
              <w:spacing w:line="240" w:lineRule="exac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1" w:hRule="atLeast"/>
          <w:jc w:val="center"/>
        </w:trPr>
        <w:tc>
          <w:tcPr>
            <w:tcW w:w="821"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558"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022" w:type="dxa"/>
            <w:gridSpan w:val="2"/>
            <w:vMerge w:val="restart"/>
            <w:shd w:val="clear" w:color="auto" w:fill="auto"/>
            <w:vAlign w:val="center"/>
          </w:tcPr>
          <w:p>
            <w:pPr>
              <w:spacing w:line="240" w:lineRule="exact"/>
              <w:jc w:val="center"/>
              <w:rPr>
                <w:rFonts w:ascii="仿宋_GB2312" w:hAnsi="宋体" w:eastAsia="仿宋_GB2312" w:cs="宋体"/>
                <w:color w:val="000000"/>
                <w:szCs w:val="21"/>
              </w:rPr>
            </w:pPr>
          </w:p>
        </w:tc>
        <w:tc>
          <w:tcPr>
            <w:tcW w:w="408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独生子女发放标准</w:t>
            </w:r>
          </w:p>
        </w:tc>
        <w:tc>
          <w:tcPr>
            <w:tcW w:w="1701"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＝60元/人年</w:t>
            </w:r>
          </w:p>
        </w:tc>
        <w:tc>
          <w:tcPr>
            <w:tcW w:w="1987"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60元/人年</w:t>
            </w:r>
          </w:p>
        </w:tc>
        <w:tc>
          <w:tcPr>
            <w:tcW w:w="1559" w:type="dxa"/>
            <w:shd w:val="clear" w:color="auto" w:fill="auto"/>
            <w:noWrap/>
            <w:vAlign w:val="center"/>
          </w:tcPr>
          <w:p>
            <w:pPr>
              <w:spacing w:line="240" w:lineRule="exact"/>
              <w:jc w:val="center"/>
              <w:rPr>
                <w:rFonts w:ascii="仿宋_GB2312" w:hAnsi="宋体" w:eastAsia="仿宋_GB2312" w:cs="宋体"/>
                <w:color w:val="000000"/>
                <w:szCs w:val="21"/>
              </w:rPr>
            </w:pPr>
          </w:p>
        </w:tc>
        <w:tc>
          <w:tcPr>
            <w:tcW w:w="993"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w:t>
            </w:r>
          </w:p>
        </w:tc>
        <w:tc>
          <w:tcPr>
            <w:tcW w:w="989" w:type="dxa"/>
            <w:shd w:val="clear" w:color="auto" w:fill="auto"/>
            <w:noWrap/>
            <w:vAlign w:val="center"/>
          </w:tcPr>
          <w:p>
            <w:pPr>
              <w:spacing w:line="240" w:lineRule="exac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1" w:hRule="atLeast"/>
          <w:jc w:val="center"/>
        </w:trPr>
        <w:tc>
          <w:tcPr>
            <w:tcW w:w="821"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558"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022" w:type="dxa"/>
            <w:gridSpan w:val="2"/>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408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计划生育家庭特别困难扶助标准</w:t>
            </w:r>
          </w:p>
        </w:tc>
        <w:tc>
          <w:tcPr>
            <w:tcW w:w="1701"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＝960元/年</w:t>
            </w:r>
          </w:p>
        </w:tc>
        <w:tc>
          <w:tcPr>
            <w:tcW w:w="1987"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960元/人年</w:t>
            </w:r>
          </w:p>
        </w:tc>
        <w:tc>
          <w:tcPr>
            <w:tcW w:w="1559" w:type="dxa"/>
            <w:shd w:val="clear" w:color="auto" w:fill="auto"/>
            <w:noWrap/>
            <w:vAlign w:val="center"/>
          </w:tcPr>
          <w:p>
            <w:pPr>
              <w:spacing w:line="240" w:lineRule="exact"/>
              <w:jc w:val="center"/>
              <w:rPr>
                <w:rFonts w:ascii="仿宋_GB2312" w:hAnsi="宋体" w:eastAsia="仿宋_GB2312" w:cs="宋体"/>
                <w:color w:val="000000"/>
                <w:szCs w:val="21"/>
              </w:rPr>
            </w:pPr>
          </w:p>
        </w:tc>
        <w:tc>
          <w:tcPr>
            <w:tcW w:w="993"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w:t>
            </w:r>
          </w:p>
        </w:tc>
        <w:tc>
          <w:tcPr>
            <w:tcW w:w="989" w:type="dxa"/>
            <w:shd w:val="clear" w:color="auto" w:fill="auto"/>
            <w:noWrap/>
            <w:vAlign w:val="center"/>
          </w:tcPr>
          <w:p>
            <w:pPr>
              <w:spacing w:line="240" w:lineRule="exac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1" w:hRule="atLeast"/>
          <w:jc w:val="center"/>
        </w:trPr>
        <w:tc>
          <w:tcPr>
            <w:tcW w:w="821"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558"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022" w:type="dxa"/>
            <w:gridSpan w:val="2"/>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408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经费标准</w:t>
            </w:r>
          </w:p>
        </w:tc>
        <w:tc>
          <w:tcPr>
            <w:tcW w:w="1701"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＝2万元</w:t>
            </w:r>
          </w:p>
        </w:tc>
        <w:tc>
          <w:tcPr>
            <w:tcW w:w="1987"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2万元</w:t>
            </w:r>
          </w:p>
        </w:tc>
        <w:tc>
          <w:tcPr>
            <w:tcW w:w="1559" w:type="dxa"/>
            <w:shd w:val="clear" w:color="auto" w:fill="auto"/>
            <w:noWrap/>
            <w:vAlign w:val="center"/>
          </w:tcPr>
          <w:p>
            <w:pPr>
              <w:spacing w:line="240" w:lineRule="exact"/>
              <w:jc w:val="center"/>
              <w:rPr>
                <w:rFonts w:ascii="仿宋_GB2312" w:hAnsi="宋体" w:eastAsia="仿宋_GB2312" w:cs="宋体"/>
                <w:color w:val="000000"/>
                <w:szCs w:val="21"/>
              </w:rPr>
            </w:pPr>
          </w:p>
        </w:tc>
        <w:tc>
          <w:tcPr>
            <w:tcW w:w="993"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w:t>
            </w:r>
          </w:p>
        </w:tc>
        <w:tc>
          <w:tcPr>
            <w:tcW w:w="989" w:type="dxa"/>
            <w:shd w:val="clear" w:color="auto" w:fill="auto"/>
            <w:noWrap/>
            <w:vAlign w:val="center"/>
          </w:tcPr>
          <w:p>
            <w:pPr>
              <w:spacing w:line="240" w:lineRule="exac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1" w:hRule="atLeast"/>
          <w:jc w:val="center"/>
        </w:trPr>
        <w:tc>
          <w:tcPr>
            <w:tcW w:w="821"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558"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022" w:type="dxa"/>
            <w:gridSpan w:val="2"/>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408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流行病调查及消杀</w:t>
            </w:r>
          </w:p>
        </w:tc>
        <w:tc>
          <w:tcPr>
            <w:tcW w:w="1701"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≤6万元</w:t>
            </w:r>
          </w:p>
        </w:tc>
        <w:tc>
          <w:tcPr>
            <w:tcW w:w="1987"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3万元</w:t>
            </w:r>
          </w:p>
        </w:tc>
        <w:tc>
          <w:tcPr>
            <w:tcW w:w="1559" w:type="dxa"/>
            <w:shd w:val="clear" w:color="auto" w:fill="auto"/>
            <w:noWrap/>
            <w:vAlign w:val="center"/>
          </w:tcPr>
          <w:p>
            <w:pPr>
              <w:spacing w:line="240" w:lineRule="exact"/>
              <w:jc w:val="center"/>
              <w:rPr>
                <w:rFonts w:ascii="仿宋_GB2312" w:hAnsi="宋体" w:eastAsia="仿宋_GB2312" w:cs="宋体"/>
                <w:color w:val="000000"/>
                <w:szCs w:val="21"/>
              </w:rPr>
            </w:pPr>
          </w:p>
        </w:tc>
        <w:tc>
          <w:tcPr>
            <w:tcW w:w="993"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w:t>
            </w:r>
          </w:p>
        </w:tc>
        <w:tc>
          <w:tcPr>
            <w:tcW w:w="989" w:type="dxa"/>
            <w:shd w:val="clear" w:color="auto" w:fill="auto"/>
            <w:noWrap/>
            <w:vAlign w:val="center"/>
          </w:tcPr>
          <w:p>
            <w:pPr>
              <w:spacing w:line="240" w:lineRule="exac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1" w:hRule="atLeast"/>
          <w:jc w:val="center"/>
        </w:trPr>
        <w:tc>
          <w:tcPr>
            <w:tcW w:w="821"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558"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022" w:type="dxa"/>
            <w:gridSpan w:val="2"/>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408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市县专家食宿和指导</w:t>
            </w:r>
          </w:p>
        </w:tc>
        <w:tc>
          <w:tcPr>
            <w:tcW w:w="1701"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≤8万元</w:t>
            </w:r>
          </w:p>
        </w:tc>
        <w:tc>
          <w:tcPr>
            <w:tcW w:w="1987"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2万元</w:t>
            </w:r>
          </w:p>
        </w:tc>
        <w:tc>
          <w:tcPr>
            <w:tcW w:w="1559" w:type="dxa"/>
            <w:shd w:val="clear" w:color="auto" w:fill="auto"/>
            <w:noWrap/>
            <w:vAlign w:val="center"/>
          </w:tcPr>
          <w:p>
            <w:pPr>
              <w:spacing w:line="240" w:lineRule="exact"/>
              <w:jc w:val="center"/>
              <w:rPr>
                <w:rFonts w:ascii="仿宋_GB2312" w:hAnsi="宋体" w:eastAsia="仿宋_GB2312" w:cs="宋体"/>
                <w:color w:val="000000"/>
                <w:szCs w:val="21"/>
              </w:rPr>
            </w:pPr>
          </w:p>
        </w:tc>
        <w:tc>
          <w:tcPr>
            <w:tcW w:w="993"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w:t>
            </w:r>
          </w:p>
        </w:tc>
        <w:tc>
          <w:tcPr>
            <w:tcW w:w="989" w:type="dxa"/>
            <w:shd w:val="clear" w:color="auto" w:fill="auto"/>
            <w:noWrap/>
            <w:vAlign w:val="center"/>
          </w:tcPr>
          <w:p>
            <w:pPr>
              <w:spacing w:line="240" w:lineRule="exac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1" w:hRule="atLeast"/>
          <w:jc w:val="center"/>
        </w:trPr>
        <w:tc>
          <w:tcPr>
            <w:tcW w:w="821"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558"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022" w:type="dxa"/>
            <w:gridSpan w:val="2"/>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408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特别扶助发放标准(伤残)</w:t>
            </w:r>
          </w:p>
        </w:tc>
        <w:tc>
          <w:tcPr>
            <w:tcW w:w="1701"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＝680元/月</w:t>
            </w:r>
          </w:p>
        </w:tc>
        <w:tc>
          <w:tcPr>
            <w:tcW w:w="1987"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1-6月680元/人/月，7-12月790元/人/月</w:t>
            </w:r>
          </w:p>
        </w:tc>
        <w:tc>
          <w:tcPr>
            <w:tcW w:w="1559" w:type="dxa"/>
            <w:shd w:val="clear" w:color="auto" w:fill="auto"/>
            <w:noWrap/>
            <w:vAlign w:val="center"/>
          </w:tcPr>
          <w:p>
            <w:pPr>
              <w:spacing w:line="240" w:lineRule="exact"/>
              <w:jc w:val="center"/>
              <w:rPr>
                <w:rFonts w:ascii="仿宋_GB2312" w:hAnsi="宋体" w:eastAsia="仿宋_GB2312" w:cs="宋体"/>
                <w:color w:val="000000"/>
                <w:szCs w:val="21"/>
              </w:rPr>
            </w:pPr>
          </w:p>
        </w:tc>
        <w:tc>
          <w:tcPr>
            <w:tcW w:w="993"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w:t>
            </w:r>
          </w:p>
        </w:tc>
        <w:tc>
          <w:tcPr>
            <w:tcW w:w="989" w:type="dxa"/>
            <w:shd w:val="clear" w:color="auto" w:fill="auto"/>
            <w:noWrap/>
            <w:vAlign w:val="center"/>
          </w:tcPr>
          <w:p>
            <w:pPr>
              <w:spacing w:line="240" w:lineRule="exac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1" w:hRule="atLeast"/>
          <w:jc w:val="center"/>
        </w:trPr>
        <w:tc>
          <w:tcPr>
            <w:tcW w:w="821"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558"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022" w:type="dxa"/>
            <w:gridSpan w:val="2"/>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408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特别扶助发放标准(死亡)</w:t>
            </w:r>
          </w:p>
        </w:tc>
        <w:tc>
          <w:tcPr>
            <w:tcW w:w="1701"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＝860元/月</w:t>
            </w:r>
          </w:p>
        </w:tc>
        <w:tc>
          <w:tcPr>
            <w:tcW w:w="1987"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1-6月860元/人/月，7-12月1000元/人/月</w:t>
            </w:r>
          </w:p>
        </w:tc>
        <w:tc>
          <w:tcPr>
            <w:tcW w:w="1559" w:type="dxa"/>
            <w:shd w:val="clear" w:color="auto" w:fill="auto"/>
            <w:noWrap/>
            <w:vAlign w:val="center"/>
          </w:tcPr>
          <w:p>
            <w:pPr>
              <w:spacing w:line="240" w:lineRule="exact"/>
              <w:jc w:val="center"/>
              <w:rPr>
                <w:rFonts w:ascii="仿宋_GB2312" w:hAnsi="宋体" w:eastAsia="仿宋_GB2312" w:cs="宋体"/>
                <w:color w:val="000000"/>
                <w:szCs w:val="21"/>
              </w:rPr>
            </w:pPr>
          </w:p>
        </w:tc>
        <w:tc>
          <w:tcPr>
            <w:tcW w:w="993"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w:t>
            </w:r>
          </w:p>
        </w:tc>
        <w:tc>
          <w:tcPr>
            <w:tcW w:w="989" w:type="dxa"/>
            <w:shd w:val="clear" w:color="auto" w:fill="auto"/>
            <w:noWrap/>
            <w:vAlign w:val="center"/>
          </w:tcPr>
          <w:p>
            <w:pPr>
              <w:spacing w:line="240" w:lineRule="exac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1" w:hRule="atLeast"/>
          <w:jc w:val="center"/>
        </w:trPr>
        <w:tc>
          <w:tcPr>
            <w:tcW w:w="821"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558"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022" w:type="dxa"/>
            <w:gridSpan w:val="2"/>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408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慰问乡镇标准</w:t>
            </w:r>
          </w:p>
        </w:tc>
        <w:tc>
          <w:tcPr>
            <w:tcW w:w="1701"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＝1000元/人年</w:t>
            </w:r>
          </w:p>
        </w:tc>
        <w:tc>
          <w:tcPr>
            <w:tcW w:w="1987"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1000元</w:t>
            </w:r>
          </w:p>
        </w:tc>
        <w:tc>
          <w:tcPr>
            <w:tcW w:w="1559" w:type="dxa"/>
            <w:shd w:val="clear" w:color="auto" w:fill="auto"/>
            <w:noWrap/>
            <w:vAlign w:val="center"/>
          </w:tcPr>
          <w:p>
            <w:pPr>
              <w:spacing w:line="240" w:lineRule="exact"/>
              <w:jc w:val="center"/>
              <w:rPr>
                <w:rFonts w:ascii="仿宋_GB2312" w:hAnsi="宋体" w:eastAsia="仿宋_GB2312" w:cs="宋体"/>
                <w:color w:val="000000"/>
                <w:szCs w:val="21"/>
              </w:rPr>
            </w:pPr>
          </w:p>
        </w:tc>
        <w:tc>
          <w:tcPr>
            <w:tcW w:w="993"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w:t>
            </w:r>
          </w:p>
        </w:tc>
        <w:tc>
          <w:tcPr>
            <w:tcW w:w="989" w:type="dxa"/>
            <w:shd w:val="clear" w:color="auto" w:fill="auto"/>
            <w:noWrap/>
            <w:vAlign w:val="center"/>
          </w:tcPr>
          <w:p>
            <w:pPr>
              <w:spacing w:line="240" w:lineRule="exac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1" w:hRule="atLeast"/>
          <w:jc w:val="center"/>
        </w:trPr>
        <w:tc>
          <w:tcPr>
            <w:tcW w:w="821"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558"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022" w:type="dxa"/>
            <w:gridSpan w:val="2"/>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408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医务人员加班费</w:t>
            </w:r>
          </w:p>
        </w:tc>
        <w:tc>
          <w:tcPr>
            <w:tcW w:w="1701"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≤3万元</w:t>
            </w:r>
          </w:p>
        </w:tc>
        <w:tc>
          <w:tcPr>
            <w:tcW w:w="1987"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3万元</w:t>
            </w:r>
          </w:p>
        </w:tc>
        <w:tc>
          <w:tcPr>
            <w:tcW w:w="1559" w:type="dxa"/>
            <w:shd w:val="clear" w:color="auto" w:fill="auto"/>
            <w:noWrap/>
            <w:vAlign w:val="center"/>
          </w:tcPr>
          <w:p>
            <w:pPr>
              <w:spacing w:line="240" w:lineRule="exact"/>
              <w:jc w:val="center"/>
              <w:rPr>
                <w:rFonts w:ascii="仿宋_GB2312" w:hAnsi="宋体" w:eastAsia="仿宋_GB2312" w:cs="宋体"/>
                <w:color w:val="000000"/>
                <w:szCs w:val="21"/>
              </w:rPr>
            </w:pPr>
          </w:p>
        </w:tc>
        <w:tc>
          <w:tcPr>
            <w:tcW w:w="993"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w:t>
            </w:r>
          </w:p>
        </w:tc>
        <w:tc>
          <w:tcPr>
            <w:tcW w:w="989" w:type="dxa"/>
            <w:shd w:val="clear" w:color="auto" w:fill="auto"/>
            <w:noWrap/>
            <w:vAlign w:val="center"/>
          </w:tcPr>
          <w:p>
            <w:pPr>
              <w:spacing w:line="240" w:lineRule="exac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1" w:hRule="atLeast"/>
          <w:jc w:val="center"/>
        </w:trPr>
        <w:tc>
          <w:tcPr>
            <w:tcW w:w="821"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558"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022" w:type="dxa"/>
            <w:gridSpan w:val="2"/>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408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疫情防控指挥部运转经费</w:t>
            </w:r>
          </w:p>
        </w:tc>
        <w:tc>
          <w:tcPr>
            <w:tcW w:w="1701"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≤3万元</w:t>
            </w:r>
          </w:p>
        </w:tc>
        <w:tc>
          <w:tcPr>
            <w:tcW w:w="1987"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3万元</w:t>
            </w:r>
          </w:p>
        </w:tc>
        <w:tc>
          <w:tcPr>
            <w:tcW w:w="1559" w:type="dxa"/>
            <w:shd w:val="clear" w:color="auto" w:fill="auto"/>
            <w:noWrap/>
            <w:vAlign w:val="center"/>
          </w:tcPr>
          <w:p>
            <w:pPr>
              <w:spacing w:line="240" w:lineRule="exact"/>
              <w:jc w:val="center"/>
              <w:rPr>
                <w:rFonts w:ascii="仿宋_GB2312" w:hAnsi="宋体" w:eastAsia="仿宋_GB2312" w:cs="宋体"/>
                <w:color w:val="000000"/>
                <w:szCs w:val="21"/>
              </w:rPr>
            </w:pPr>
          </w:p>
        </w:tc>
        <w:tc>
          <w:tcPr>
            <w:tcW w:w="993"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w:t>
            </w:r>
          </w:p>
        </w:tc>
        <w:tc>
          <w:tcPr>
            <w:tcW w:w="989" w:type="dxa"/>
            <w:shd w:val="clear" w:color="auto" w:fill="auto"/>
            <w:noWrap/>
            <w:vAlign w:val="center"/>
          </w:tcPr>
          <w:p>
            <w:pPr>
              <w:spacing w:line="240" w:lineRule="exac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1" w:hRule="atLeast"/>
          <w:jc w:val="center"/>
        </w:trPr>
        <w:tc>
          <w:tcPr>
            <w:tcW w:w="821"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558"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022" w:type="dxa"/>
            <w:gridSpan w:val="2"/>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w:t>
            </w:r>
          </w:p>
        </w:tc>
        <w:tc>
          <w:tcPr>
            <w:tcW w:w="4083" w:type="dxa"/>
            <w:shd w:val="clear" w:color="auto" w:fill="auto"/>
            <w:noWrap/>
            <w:vAlign w:val="center"/>
          </w:tcPr>
          <w:p>
            <w:pPr>
              <w:widowControl/>
              <w:spacing w:line="240" w:lineRule="exact"/>
              <w:textAlignment w:val="center"/>
              <w:rPr>
                <w:rFonts w:ascii="仿宋_GB2312" w:hAnsi="Calibri" w:eastAsia="仿宋_GB2312" w:cs="Calibri"/>
                <w:color w:val="000000"/>
                <w:szCs w:val="21"/>
              </w:rPr>
            </w:pPr>
            <w:r>
              <w:rPr>
                <w:rFonts w:hint="eastAsia" w:ascii="仿宋_GB2312" w:hAnsi="Calibri" w:eastAsia="仿宋_GB2312" w:cs="Calibri"/>
                <w:color w:val="000000"/>
                <w:kern w:val="0"/>
                <w:szCs w:val="21"/>
              </w:rPr>
              <w:t xml:space="preserve"> </w:t>
            </w:r>
          </w:p>
        </w:tc>
        <w:tc>
          <w:tcPr>
            <w:tcW w:w="1701" w:type="dxa"/>
            <w:shd w:val="clear" w:color="auto" w:fill="auto"/>
            <w:noWrap/>
            <w:vAlign w:val="center"/>
          </w:tcPr>
          <w:p>
            <w:pPr>
              <w:widowControl/>
              <w:spacing w:line="240" w:lineRule="exact"/>
              <w:textAlignment w:val="center"/>
              <w:rPr>
                <w:rFonts w:ascii="仿宋_GB2312" w:hAnsi="Calibri" w:eastAsia="仿宋_GB2312" w:cs="Calibri"/>
                <w:color w:val="000000"/>
                <w:szCs w:val="21"/>
              </w:rPr>
            </w:pPr>
            <w:r>
              <w:rPr>
                <w:rFonts w:hint="eastAsia" w:ascii="仿宋_GB2312" w:hAnsi="Calibri" w:eastAsia="仿宋_GB2312" w:cs="Calibri"/>
                <w:color w:val="000000"/>
                <w:kern w:val="0"/>
                <w:szCs w:val="21"/>
              </w:rPr>
              <w:t xml:space="preserve"> </w:t>
            </w:r>
          </w:p>
        </w:tc>
        <w:tc>
          <w:tcPr>
            <w:tcW w:w="1987" w:type="dxa"/>
            <w:shd w:val="clear" w:color="auto" w:fill="auto"/>
            <w:noWrap/>
            <w:vAlign w:val="center"/>
          </w:tcPr>
          <w:p>
            <w:pPr>
              <w:spacing w:line="240" w:lineRule="exact"/>
              <w:jc w:val="center"/>
              <w:rPr>
                <w:rFonts w:ascii="仿宋_GB2312" w:hAnsi="宋体" w:eastAsia="仿宋_GB2312" w:cs="宋体"/>
                <w:color w:val="000000"/>
                <w:szCs w:val="21"/>
              </w:rPr>
            </w:pPr>
          </w:p>
        </w:tc>
        <w:tc>
          <w:tcPr>
            <w:tcW w:w="1559" w:type="dxa"/>
            <w:shd w:val="clear" w:color="auto" w:fill="auto"/>
            <w:noWrap/>
            <w:vAlign w:val="center"/>
          </w:tcPr>
          <w:p>
            <w:pPr>
              <w:spacing w:line="240" w:lineRule="exact"/>
              <w:jc w:val="center"/>
              <w:rPr>
                <w:rFonts w:ascii="仿宋_GB2312" w:hAnsi="宋体" w:eastAsia="仿宋_GB2312" w:cs="宋体"/>
                <w:color w:val="000000"/>
                <w:szCs w:val="21"/>
              </w:rPr>
            </w:pPr>
          </w:p>
        </w:tc>
        <w:tc>
          <w:tcPr>
            <w:tcW w:w="993" w:type="dxa"/>
            <w:shd w:val="clear" w:color="auto" w:fill="auto"/>
            <w:noWrap/>
            <w:vAlign w:val="center"/>
          </w:tcPr>
          <w:p>
            <w:pPr>
              <w:spacing w:line="240" w:lineRule="exact"/>
              <w:jc w:val="center"/>
              <w:rPr>
                <w:rFonts w:ascii="仿宋_GB2312" w:hAnsi="宋体" w:eastAsia="仿宋_GB2312" w:cs="宋体"/>
                <w:color w:val="000000"/>
                <w:szCs w:val="21"/>
              </w:rPr>
            </w:pPr>
          </w:p>
        </w:tc>
        <w:tc>
          <w:tcPr>
            <w:tcW w:w="989" w:type="dxa"/>
            <w:shd w:val="clear" w:color="auto" w:fill="auto"/>
            <w:noWrap/>
            <w:vAlign w:val="center"/>
          </w:tcPr>
          <w:p>
            <w:pPr>
              <w:spacing w:line="240" w:lineRule="exac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21"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558" w:type="dxa"/>
            <w:vMerge w:val="restart"/>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效益指标</w:t>
            </w:r>
          </w:p>
        </w:tc>
        <w:tc>
          <w:tcPr>
            <w:tcW w:w="1022" w:type="dxa"/>
            <w:gridSpan w:val="2"/>
            <w:vMerge w:val="restart"/>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经济效益指标</w:t>
            </w:r>
          </w:p>
        </w:tc>
        <w:tc>
          <w:tcPr>
            <w:tcW w:w="4083" w:type="dxa"/>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乡村医生收入</w:t>
            </w:r>
          </w:p>
        </w:tc>
        <w:tc>
          <w:tcPr>
            <w:tcW w:w="1701"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≥1万元</w:t>
            </w:r>
          </w:p>
        </w:tc>
        <w:tc>
          <w:tcPr>
            <w:tcW w:w="1987"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1.5万元</w:t>
            </w:r>
          </w:p>
        </w:tc>
        <w:tc>
          <w:tcPr>
            <w:tcW w:w="1559" w:type="dxa"/>
            <w:shd w:val="clear" w:color="auto" w:fill="auto"/>
            <w:noWrap/>
            <w:vAlign w:val="center"/>
          </w:tcPr>
          <w:p>
            <w:pPr>
              <w:spacing w:line="240" w:lineRule="exact"/>
              <w:jc w:val="center"/>
              <w:rPr>
                <w:rFonts w:ascii="仿宋_GB2312" w:hAnsi="宋体" w:eastAsia="仿宋_GB2312" w:cs="宋体"/>
                <w:color w:val="000000"/>
                <w:szCs w:val="21"/>
              </w:rPr>
            </w:pPr>
          </w:p>
        </w:tc>
        <w:tc>
          <w:tcPr>
            <w:tcW w:w="993"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2.5</w:t>
            </w:r>
          </w:p>
        </w:tc>
        <w:tc>
          <w:tcPr>
            <w:tcW w:w="989" w:type="dxa"/>
            <w:shd w:val="clear" w:color="auto" w:fill="auto"/>
            <w:noWrap/>
            <w:vAlign w:val="center"/>
          </w:tcPr>
          <w:p>
            <w:pPr>
              <w:spacing w:line="240" w:lineRule="exac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21"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558"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022" w:type="dxa"/>
            <w:gridSpan w:val="2"/>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4083" w:type="dxa"/>
            <w:shd w:val="clear" w:color="auto" w:fill="auto"/>
            <w:vAlign w:val="center"/>
          </w:tcPr>
          <w:p>
            <w:pPr>
              <w:spacing w:line="240" w:lineRule="exact"/>
              <w:jc w:val="center"/>
              <w:rPr>
                <w:rFonts w:ascii="仿宋_GB2312" w:hAnsi="宋体" w:eastAsia="仿宋_GB2312" w:cs="宋体"/>
                <w:color w:val="000000"/>
                <w:szCs w:val="21"/>
              </w:rPr>
            </w:pPr>
          </w:p>
        </w:tc>
        <w:tc>
          <w:tcPr>
            <w:tcW w:w="1701" w:type="dxa"/>
            <w:shd w:val="clear" w:color="auto" w:fill="auto"/>
            <w:vAlign w:val="center"/>
          </w:tcPr>
          <w:p>
            <w:pPr>
              <w:spacing w:line="240" w:lineRule="exact"/>
              <w:jc w:val="left"/>
              <w:rPr>
                <w:rFonts w:ascii="仿宋_GB2312" w:hAnsi="宋体" w:eastAsia="仿宋_GB2312" w:cs="宋体"/>
                <w:color w:val="000000"/>
                <w:szCs w:val="21"/>
              </w:rPr>
            </w:pPr>
          </w:p>
        </w:tc>
        <w:tc>
          <w:tcPr>
            <w:tcW w:w="1987" w:type="dxa"/>
            <w:shd w:val="clear" w:color="auto" w:fill="auto"/>
            <w:noWrap/>
            <w:vAlign w:val="center"/>
          </w:tcPr>
          <w:p>
            <w:pPr>
              <w:spacing w:line="240" w:lineRule="exact"/>
              <w:jc w:val="center"/>
              <w:rPr>
                <w:rFonts w:ascii="仿宋_GB2312" w:hAnsi="宋体" w:eastAsia="仿宋_GB2312" w:cs="宋体"/>
                <w:color w:val="000000"/>
                <w:szCs w:val="21"/>
              </w:rPr>
            </w:pPr>
          </w:p>
        </w:tc>
        <w:tc>
          <w:tcPr>
            <w:tcW w:w="1559" w:type="dxa"/>
            <w:shd w:val="clear" w:color="auto" w:fill="auto"/>
            <w:noWrap/>
            <w:vAlign w:val="center"/>
          </w:tcPr>
          <w:p>
            <w:pPr>
              <w:spacing w:line="240" w:lineRule="exact"/>
              <w:jc w:val="center"/>
              <w:rPr>
                <w:rFonts w:ascii="仿宋_GB2312" w:hAnsi="宋体" w:eastAsia="仿宋_GB2312" w:cs="宋体"/>
                <w:color w:val="000000"/>
                <w:szCs w:val="21"/>
              </w:rPr>
            </w:pPr>
          </w:p>
        </w:tc>
        <w:tc>
          <w:tcPr>
            <w:tcW w:w="993" w:type="dxa"/>
            <w:shd w:val="clear" w:color="auto" w:fill="auto"/>
            <w:noWrap/>
            <w:vAlign w:val="center"/>
          </w:tcPr>
          <w:p>
            <w:pPr>
              <w:spacing w:line="240" w:lineRule="exact"/>
              <w:jc w:val="center"/>
              <w:rPr>
                <w:rFonts w:ascii="仿宋_GB2312" w:hAnsi="宋体" w:eastAsia="仿宋_GB2312" w:cs="宋体"/>
                <w:color w:val="000000"/>
                <w:szCs w:val="21"/>
              </w:rPr>
            </w:pPr>
          </w:p>
        </w:tc>
        <w:tc>
          <w:tcPr>
            <w:tcW w:w="989" w:type="dxa"/>
            <w:shd w:val="clear" w:color="auto" w:fill="auto"/>
            <w:noWrap/>
            <w:vAlign w:val="center"/>
          </w:tcPr>
          <w:p>
            <w:pPr>
              <w:spacing w:line="240" w:lineRule="exac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21"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558"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022" w:type="dxa"/>
            <w:gridSpan w:val="2"/>
            <w:vMerge w:val="restart"/>
            <w:shd w:val="clear" w:color="auto" w:fill="auto"/>
            <w:vAlign w:val="center"/>
          </w:tcPr>
          <w:p>
            <w:pPr>
              <w:widowControl/>
              <w:spacing w:line="240" w:lineRule="exact"/>
              <w:jc w:val="center"/>
              <w:textAlignment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社会</w:t>
            </w:r>
          </w:p>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效益</w:t>
            </w:r>
          </w:p>
        </w:tc>
        <w:tc>
          <w:tcPr>
            <w:tcW w:w="408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精神障碍防控质量</w:t>
            </w:r>
          </w:p>
        </w:tc>
        <w:tc>
          <w:tcPr>
            <w:tcW w:w="1701"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定性优良中低差</w:t>
            </w:r>
          </w:p>
        </w:tc>
        <w:tc>
          <w:tcPr>
            <w:tcW w:w="1987"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优</w:t>
            </w:r>
          </w:p>
        </w:tc>
        <w:tc>
          <w:tcPr>
            <w:tcW w:w="1559" w:type="dxa"/>
            <w:shd w:val="clear" w:color="auto" w:fill="auto"/>
            <w:noWrap/>
            <w:vAlign w:val="center"/>
          </w:tcPr>
          <w:p>
            <w:pPr>
              <w:spacing w:line="240" w:lineRule="exact"/>
              <w:jc w:val="center"/>
              <w:rPr>
                <w:rFonts w:ascii="仿宋_GB2312" w:hAnsi="宋体" w:eastAsia="仿宋_GB2312" w:cs="宋体"/>
                <w:color w:val="000000"/>
                <w:szCs w:val="21"/>
              </w:rPr>
            </w:pPr>
          </w:p>
        </w:tc>
        <w:tc>
          <w:tcPr>
            <w:tcW w:w="993"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2.5</w:t>
            </w:r>
          </w:p>
        </w:tc>
        <w:tc>
          <w:tcPr>
            <w:tcW w:w="989" w:type="dxa"/>
            <w:shd w:val="clear" w:color="auto" w:fill="auto"/>
            <w:noWrap/>
            <w:vAlign w:val="center"/>
          </w:tcPr>
          <w:p>
            <w:pPr>
              <w:spacing w:line="240" w:lineRule="exac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21"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558"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022" w:type="dxa"/>
            <w:gridSpan w:val="2"/>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408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满足单位办证需求</w:t>
            </w:r>
          </w:p>
        </w:tc>
        <w:tc>
          <w:tcPr>
            <w:tcW w:w="1701"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≥85%</w:t>
            </w:r>
          </w:p>
        </w:tc>
        <w:tc>
          <w:tcPr>
            <w:tcW w:w="1987"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85%</w:t>
            </w:r>
          </w:p>
        </w:tc>
        <w:tc>
          <w:tcPr>
            <w:tcW w:w="1559" w:type="dxa"/>
            <w:shd w:val="clear" w:color="auto" w:fill="auto"/>
            <w:noWrap/>
            <w:vAlign w:val="center"/>
          </w:tcPr>
          <w:p>
            <w:pPr>
              <w:spacing w:line="240" w:lineRule="exact"/>
              <w:jc w:val="center"/>
              <w:rPr>
                <w:rFonts w:ascii="仿宋_GB2312" w:hAnsi="宋体" w:eastAsia="仿宋_GB2312" w:cs="宋体"/>
                <w:color w:val="000000"/>
                <w:szCs w:val="21"/>
              </w:rPr>
            </w:pPr>
          </w:p>
        </w:tc>
        <w:tc>
          <w:tcPr>
            <w:tcW w:w="993"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2.5</w:t>
            </w:r>
          </w:p>
        </w:tc>
        <w:tc>
          <w:tcPr>
            <w:tcW w:w="989" w:type="dxa"/>
            <w:shd w:val="clear" w:color="auto" w:fill="auto"/>
            <w:noWrap/>
            <w:vAlign w:val="center"/>
          </w:tcPr>
          <w:p>
            <w:pPr>
              <w:spacing w:line="240" w:lineRule="exac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21"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558"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022" w:type="dxa"/>
            <w:gridSpan w:val="2"/>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408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提高党员干部学习主动性,增加凝聚力</w:t>
            </w:r>
          </w:p>
        </w:tc>
        <w:tc>
          <w:tcPr>
            <w:tcW w:w="1701"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定性优良中低差</w:t>
            </w:r>
          </w:p>
        </w:tc>
        <w:tc>
          <w:tcPr>
            <w:tcW w:w="1987"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优</w:t>
            </w:r>
          </w:p>
        </w:tc>
        <w:tc>
          <w:tcPr>
            <w:tcW w:w="1559" w:type="dxa"/>
            <w:shd w:val="clear" w:color="auto" w:fill="auto"/>
            <w:noWrap/>
            <w:vAlign w:val="center"/>
          </w:tcPr>
          <w:p>
            <w:pPr>
              <w:spacing w:line="240" w:lineRule="exact"/>
              <w:jc w:val="center"/>
              <w:rPr>
                <w:rFonts w:ascii="仿宋_GB2312" w:hAnsi="宋体" w:eastAsia="仿宋_GB2312" w:cs="宋体"/>
                <w:color w:val="000000"/>
                <w:szCs w:val="21"/>
              </w:rPr>
            </w:pPr>
          </w:p>
        </w:tc>
        <w:tc>
          <w:tcPr>
            <w:tcW w:w="993"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2.5</w:t>
            </w:r>
          </w:p>
        </w:tc>
        <w:tc>
          <w:tcPr>
            <w:tcW w:w="989" w:type="dxa"/>
            <w:shd w:val="clear" w:color="auto" w:fill="auto"/>
            <w:noWrap/>
            <w:vAlign w:val="center"/>
          </w:tcPr>
          <w:p>
            <w:pPr>
              <w:spacing w:line="240" w:lineRule="exac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21"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558"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022" w:type="dxa"/>
            <w:gridSpan w:val="2"/>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408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展示卫生脱贫工作成果,提高健康水平</w:t>
            </w:r>
          </w:p>
        </w:tc>
        <w:tc>
          <w:tcPr>
            <w:tcW w:w="1701"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定性高中低</w:t>
            </w:r>
          </w:p>
        </w:tc>
        <w:tc>
          <w:tcPr>
            <w:tcW w:w="1987"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高</w:t>
            </w:r>
          </w:p>
        </w:tc>
        <w:tc>
          <w:tcPr>
            <w:tcW w:w="1559" w:type="dxa"/>
            <w:shd w:val="clear" w:color="auto" w:fill="auto"/>
            <w:noWrap/>
            <w:vAlign w:val="center"/>
          </w:tcPr>
          <w:p>
            <w:pPr>
              <w:spacing w:line="240" w:lineRule="exact"/>
              <w:jc w:val="center"/>
              <w:rPr>
                <w:rFonts w:ascii="仿宋_GB2312" w:hAnsi="宋体" w:eastAsia="仿宋_GB2312" w:cs="宋体"/>
                <w:color w:val="000000"/>
                <w:szCs w:val="21"/>
              </w:rPr>
            </w:pPr>
          </w:p>
        </w:tc>
        <w:tc>
          <w:tcPr>
            <w:tcW w:w="993"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2.5</w:t>
            </w:r>
          </w:p>
        </w:tc>
        <w:tc>
          <w:tcPr>
            <w:tcW w:w="989" w:type="dxa"/>
            <w:shd w:val="clear" w:color="auto" w:fill="auto"/>
            <w:noWrap/>
            <w:vAlign w:val="center"/>
          </w:tcPr>
          <w:p>
            <w:pPr>
              <w:spacing w:line="240" w:lineRule="exac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21"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558"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022" w:type="dxa"/>
            <w:gridSpan w:val="2"/>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408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城乡居民基本公共卫生服务差距服务</w:t>
            </w:r>
          </w:p>
        </w:tc>
        <w:tc>
          <w:tcPr>
            <w:tcW w:w="1701"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定性高中低</w:t>
            </w:r>
          </w:p>
        </w:tc>
        <w:tc>
          <w:tcPr>
            <w:tcW w:w="1987"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高</w:t>
            </w:r>
          </w:p>
        </w:tc>
        <w:tc>
          <w:tcPr>
            <w:tcW w:w="1559" w:type="dxa"/>
            <w:shd w:val="clear" w:color="auto" w:fill="auto"/>
            <w:noWrap/>
            <w:vAlign w:val="center"/>
          </w:tcPr>
          <w:p>
            <w:pPr>
              <w:spacing w:line="240" w:lineRule="exact"/>
              <w:jc w:val="center"/>
              <w:rPr>
                <w:rFonts w:ascii="仿宋_GB2312" w:hAnsi="宋体" w:eastAsia="仿宋_GB2312" w:cs="宋体"/>
                <w:color w:val="000000"/>
                <w:szCs w:val="21"/>
              </w:rPr>
            </w:pPr>
          </w:p>
        </w:tc>
        <w:tc>
          <w:tcPr>
            <w:tcW w:w="993"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2.5</w:t>
            </w:r>
          </w:p>
        </w:tc>
        <w:tc>
          <w:tcPr>
            <w:tcW w:w="989" w:type="dxa"/>
            <w:shd w:val="clear" w:color="auto" w:fill="auto"/>
            <w:noWrap/>
            <w:vAlign w:val="center"/>
          </w:tcPr>
          <w:p>
            <w:pPr>
              <w:spacing w:line="240" w:lineRule="exac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21"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558"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022" w:type="dxa"/>
            <w:gridSpan w:val="2"/>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408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达到保护人民身体健康</w:t>
            </w:r>
          </w:p>
        </w:tc>
        <w:tc>
          <w:tcPr>
            <w:tcW w:w="1701"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定性优良中低差</w:t>
            </w:r>
          </w:p>
        </w:tc>
        <w:tc>
          <w:tcPr>
            <w:tcW w:w="1987"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优</w:t>
            </w:r>
          </w:p>
        </w:tc>
        <w:tc>
          <w:tcPr>
            <w:tcW w:w="1559" w:type="dxa"/>
            <w:shd w:val="clear" w:color="auto" w:fill="auto"/>
            <w:noWrap/>
            <w:vAlign w:val="center"/>
          </w:tcPr>
          <w:p>
            <w:pPr>
              <w:spacing w:line="240" w:lineRule="exact"/>
              <w:jc w:val="center"/>
              <w:rPr>
                <w:rFonts w:ascii="仿宋_GB2312" w:hAnsi="宋体" w:eastAsia="仿宋_GB2312" w:cs="宋体"/>
                <w:color w:val="000000"/>
                <w:szCs w:val="21"/>
              </w:rPr>
            </w:pPr>
          </w:p>
        </w:tc>
        <w:tc>
          <w:tcPr>
            <w:tcW w:w="993"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2.5</w:t>
            </w:r>
          </w:p>
        </w:tc>
        <w:tc>
          <w:tcPr>
            <w:tcW w:w="989" w:type="dxa"/>
            <w:shd w:val="clear" w:color="auto" w:fill="auto"/>
            <w:noWrap/>
            <w:vAlign w:val="center"/>
          </w:tcPr>
          <w:p>
            <w:pPr>
              <w:spacing w:line="240" w:lineRule="exac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21"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558"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022" w:type="dxa"/>
            <w:gridSpan w:val="2"/>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408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改善就医环境</w:t>
            </w:r>
          </w:p>
        </w:tc>
        <w:tc>
          <w:tcPr>
            <w:tcW w:w="1701"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定性高中低</w:t>
            </w:r>
          </w:p>
        </w:tc>
        <w:tc>
          <w:tcPr>
            <w:tcW w:w="1987"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高</w:t>
            </w:r>
          </w:p>
        </w:tc>
        <w:tc>
          <w:tcPr>
            <w:tcW w:w="1559" w:type="dxa"/>
            <w:shd w:val="clear" w:color="auto" w:fill="auto"/>
            <w:noWrap/>
            <w:vAlign w:val="center"/>
          </w:tcPr>
          <w:p>
            <w:pPr>
              <w:spacing w:line="240" w:lineRule="exact"/>
              <w:jc w:val="center"/>
              <w:rPr>
                <w:rFonts w:ascii="仿宋_GB2312" w:hAnsi="宋体" w:eastAsia="仿宋_GB2312" w:cs="宋体"/>
                <w:color w:val="000000"/>
                <w:szCs w:val="21"/>
              </w:rPr>
            </w:pPr>
          </w:p>
        </w:tc>
        <w:tc>
          <w:tcPr>
            <w:tcW w:w="993"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2.5</w:t>
            </w:r>
          </w:p>
        </w:tc>
        <w:tc>
          <w:tcPr>
            <w:tcW w:w="989" w:type="dxa"/>
            <w:shd w:val="clear" w:color="auto" w:fill="auto"/>
            <w:noWrap/>
            <w:vAlign w:val="center"/>
          </w:tcPr>
          <w:p>
            <w:pPr>
              <w:spacing w:line="240" w:lineRule="exac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21"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558"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022" w:type="dxa"/>
            <w:gridSpan w:val="2"/>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408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家庭发展能力</w:t>
            </w:r>
          </w:p>
        </w:tc>
        <w:tc>
          <w:tcPr>
            <w:tcW w:w="1701"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定性高中低</w:t>
            </w:r>
          </w:p>
        </w:tc>
        <w:tc>
          <w:tcPr>
            <w:tcW w:w="1987"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高</w:t>
            </w:r>
          </w:p>
        </w:tc>
        <w:tc>
          <w:tcPr>
            <w:tcW w:w="1559" w:type="dxa"/>
            <w:shd w:val="clear" w:color="auto" w:fill="auto"/>
            <w:noWrap/>
            <w:vAlign w:val="center"/>
          </w:tcPr>
          <w:p>
            <w:pPr>
              <w:spacing w:line="240" w:lineRule="exact"/>
              <w:jc w:val="center"/>
              <w:rPr>
                <w:rFonts w:ascii="仿宋_GB2312" w:hAnsi="宋体" w:eastAsia="仿宋_GB2312" w:cs="宋体"/>
                <w:color w:val="000000"/>
                <w:szCs w:val="21"/>
              </w:rPr>
            </w:pPr>
          </w:p>
        </w:tc>
        <w:tc>
          <w:tcPr>
            <w:tcW w:w="993"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2.5</w:t>
            </w:r>
          </w:p>
        </w:tc>
        <w:tc>
          <w:tcPr>
            <w:tcW w:w="989" w:type="dxa"/>
            <w:shd w:val="clear" w:color="auto" w:fill="auto"/>
            <w:noWrap/>
            <w:vAlign w:val="center"/>
          </w:tcPr>
          <w:p>
            <w:pPr>
              <w:spacing w:line="240" w:lineRule="exac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21"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558"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022" w:type="dxa"/>
            <w:gridSpan w:val="2"/>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408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结核疫情控制</w:t>
            </w:r>
          </w:p>
        </w:tc>
        <w:tc>
          <w:tcPr>
            <w:tcW w:w="1701"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定性好坏</w:t>
            </w:r>
          </w:p>
        </w:tc>
        <w:tc>
          <w:tcPr>
            <w:tcW w:w="1987"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好</w:t>
            </w:r>
          </w:p>
        </w:tc>
        <w:tc>
          <w:tcPr>
            <w:tcW w:w="1559" w:type="dxa"/>
            <w:shd w:val="clear" w:color="auto" w:fill="auto"/>
            <w:noWrap/>
            <w:vAlign w:val="center"/>
          </w:tcPr>
          <w:p>
            <w:pPr>
              <w:spacing w:line="240" w:lineRule="exact"/>
              <w:jc w:val="center"/>
              <w:rPr>
                <w:rFonts w:ascii="仿宋_GB2312" w:hAnsi="宋体" w:eastAsia="仿宋_GB2312" w:cs="宋体"/>
                <w:color w:val="000000"/>
                <w:szCs w:val="21"/>
              </w:rPr>
            </w:pPr>
          </w:p>
        </w:tc>
        <w:tc>
          <w:tcPr>
            <w:tcW w:w="993"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2.5</w:t>
            </w:r>
          </w:p>
        </w:tc>
        <w:tc>
          <w:tcPr>
            <w:tcW w:w="989" w:type="dxa"/>
            <w:shd w:val="clear" w:color="auto" w:fill="auto"/>
            <w:noWrap/>
            <w:vAlign w:val="center"/>
          </w:tcPr>
          <w:p>
            <w:pPr>
              <w:spacing w:line="240" w:lineRule="exac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21"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558"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022" w:type="dxa"/>
            <w:gridSpan w:val="2"/>
            <w:vMerge w:val="restart"/>
            <w:shd w:val="clear" w:color="auto" w:fill="auto"/>
            <w:vAlign w:val="center"/>
          </w:tcPr>
          <w:p>
            <w:pPr>
              <w:widowControl/>
              <w:spacing w:line="240" w:lineRule="exact"/>
              <w:jc w:val="center"/>
              <w:textAlignment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生态</w:t>
            </w:r>
          </w:p>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效益</w:t>
            </w:r>
          </w:p>
        </w:tc>
        <w:tc>
          <w:tcPr>
            <w:tcW w:w="4083" w:type="dxa"/>
            <w:shd w:val="clear" w:color="auto" w:fill="auto"/>
            <w:noWrap/>
            <w:vAlign w:val="center"/>
          </w:tcPr>
          <w:p>
            <w:pPr>
              <w:widowControl/>
              <w:spacing w:line="240" w:lineRule="exact"/>
              <w:textAlignment w:val="center"/>
              <w:rPr>
                <w:rFonts w:ascii="仿宋_GB2312" w:hAnsi="Calibri" w:eastAsia="仿宋_GB2312" w:cs="Calibri"/>
                <w:color w:val="000000"/>
                <w:szCs w:val="21"/>
              </w:rPr>
            </w:pPr>
            <w:r>
              <w:rPr>
                <w:rFonts w:hint="eastAsia" w:ascii="仿宋_GB2312" w:hAnsi="Calibri" w:eastAsia="仿宋_GB2312" w:cs="Calibri"/>
                <w:color w:val="000000"/>
                <w:kern w:val="0"/>
                <w:szCs w:val="21"/>
              </w:rPr>
              <w:t xml:space="preserve"> </w:t>
            </w:r>
          </w:p>
        </w:tc>
        <w:tc>
          <w:tcPr>
            <w:tcW w:w="1701" w:type="dxa"/>
            <w:shd w:val="clear" w:color="auto" w:fill="auto"/>
            <w:noWrap/>
            <w:vAlign w:val="center"/>
          </w:tcPr>
          <w:p>
            <w:pPr>
              <w:widowControl/>
              <w:spacing w:line="240" w:lineRule="exact"/>
              <w:textAlignment w:val="center"/>
              <w:rPr>
                <w:rFonts w:ascii="仿宋_GB2312" w:hAnsi="Calibri" w:eastAsia="仿宋_GB2312" w:cs="Calibri"/>
                <w:color w:val="000000"/>
                <w:szCs w:val="21"/>
              </w:rPr>
            </w:pPr>
            <w:r>
              <w:rPr>
                <w:rFonts w:hint="eastAsia" w:ascii="仿宋_GB2312" w:hAnsi="Calibri" w:eastAsia="仿宋_GB2312" w:cs="Calibri"/>
                <w:color w:val="000000"/>
                <w:kern w:val="0"/>
                <w:szCs w:val="21"/>
              </w:rPr>
              <w:t xml:space="preserve"> </w:t>
            </w:r>
          </w:p>
        </w:tc>
        <w:tc>
          <w:tcPr>
            <w:tcW w:w="1987" w:type="dxa"/>
            <w:shd w:val="clear" w:color="auto" w:fill="auto"/>
            <w:noWrap/>
            <w:vAlign w:val="center"/>
          </w:tcPr>
          <w:p>
            <w:pPr>
              <w:spacing w:line="240" w:lineRule="exact"/>
              <w:jc w:val="center"/>
              <w:rPr>
                <w:rFonts w:ascii="仿宋_GB2312" w:hAnsi="宋体" w:eastAsia="仿宋_GB2312" w:cs="宋体"/>
                <w:color w:val="000000"/>
                <w:szCs w:val="21"/>
              </w:rPr>
            </w:pPr>
          </w:p>
        </w:tc>
        <w:tc>
          <w:tcPr>
            <w:tcW w:w="1559" w:type="dxa"/>
            <w:shd w:val="clear" w:color="auto" w:fill="auto"/>
            <w:noWrap/>
            <w:vAlign w:val="center"/>
          </w:tcPr>
          <w:p>
            <w:pPr>
              <w:spacing w:line="240" w:lineRule="exact"/>
              <w:jc w:val="center"/>
              <w:rPr>
                <w:rFonts w:ascii="仿宋_GB2312" w:hAnsi="宋体" w:eastAsia="仿宋_GB2312" w:cs="宋体"/>
                <w:color w:val="000000"/>
                <w:szCs w:val="21"/>
              </w:rPr>
            </w:pPr>
          </w:p>
        </w:tc>
        <w:tc>
          <w:tcPr>
            <w:tcW w:w="993" w:type="dxa"/>
            <w:shd w:val="clear" w:color="auto" w:fill="auto"/>
            <w:noWrap/>
            <w:vAlign w:val="center"/>
          </w:tcPr>
          <w:p>
            <w:pPr>
              <w:spacing w:line="240" w:lineRule="exact"/>
              <w:jc w:val="center"/>
              <w:rPr>
                <w:rFonts w:ascii="仿宋_GB2312" w:hAnsi="宋体" w:eastAsia="仿宋_GB2312" w:cs="宋体"/>
                <w:color w:val="000000"/>
                <w:szCs w:val="21"/>
              </w:rPr>
            </w:pPr>
          </w:p>
        </w:tc>
        <w:tc>
          <w:tcPr>
            <w:tcW w:w="989" w:type="dxa"/>
            <w:shd w:val="clear" w:color="auto" w:fill="auto"/>
            <w:noWrap/>
            <w:vAlign w:val="center"/>
          </w:tcPr>
          <w:p>
            <w:pPr>
              <w:spacing w:line="240" w:lineRule="exac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21"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558"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022" w:type="dxa"/>
            <w:gridSpan w:val="2"/>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4083" w:type="dxa"/>
            <w:shd w:val="clear" w:color="auto" w:fill="auto"/>
            <w:vAlign w:val="center"/>
          </w:tcPr>
          <w:p>
            <w:pPr>
              <w:spacing w:line="240" w:lineRule="exact"/>
              <w:jc w:val="center"/>
              <w:rPr>
                <w:rFonts w:ascii="仿宋_GB2312" w:hAnsi="宋体" w:eastAsia="仿宋_GB2312" w:cs="宋体"/>
                <w:color w:val="000000"/>
                <w:szCs w:val="21"/>
              </w:rPr>
            </w:pPr>
          </w:p>
        </w:tc>
        <w:tc>
          <w:tcPr>
            <w:tcW w:w="1701" w:type="dxa"/>
            <w:shd w:val="clear" w:color="auto" w:fill="auto"/>
            <w:vAlign w:val="center"/>
          </w:tcPr>
          <w:p>
            <w:pPr>
              <w:spacing w:line="240" w:lineRule="exact"/>
              <w:jc w:val="left"/>
              <w:rPr>
                <w:rFonts w:ascii="仿宋_GB2312" w:hAnsi="宋体" w:eastAsia="仿宋_GB2312" w:cs="宋体"/>
                <w:color w:val="000000"/>
                <w:szCs w:val="21"/>
              </w:rPr>
            </w:pPr>
          </w:p>
        </w:tc>
        <w:tc>
          <w:tcPr>
            <w:tcW w:w="1987" w:type="dxa"/>
            <w:shd w:val="clear" w:color="auto" w:fill="auto"/>
            <w:noWrap/>
            <w:vAlign w:val="center"/>
          </w:tcPr>
          <w:p>
            <w:pPr>
              <w:spacing w:line="240" w:lineRule="exact"/>
              <w:jc w:val="center"/>
              <w:rPr>
                <w:rFonts w:ascii="仿宋_GB2312" w:hAnsi="宋体" w:eastAsia="仿宋_GB2312" w:cs="宋体"/>
                <w:color w:val="000000"/>
                <w:szCs w:val="21"/>
              </w:rPr>
            </w:pPr>
          </w:p>
        </w:tc>
        <w:tc>
          <w:tcPr>
            <w:tcW w:w="1559" w:type="dxa"/>
            <w:shd w:val="clear" w:color="auto" w:fill="auto"/>
            <w:noWrap/>
            <w:vAlign w:val="center"/>
          </w:tcPr>
          <w:p>
            <w:pPr>
              <w:spacing w:line="240" w:lineRule="exact"/>
              <w:jc w:val="center"/>
              <w:rPr>
                <w:rFonts w:ascii="仿宋_GB2312" w:hAnsi="宋体" w:eastAsia="仿宋_GB2312" w:cs="宋体"/>
                <w:color w:val="000000"/>
                <w:szCs w:val="21"/>
              </w:rPr>
            </w:pPr>
          </w:p>
        </w:tc>
        <w:tc>
          <w:tcPr>
            <w:tcW w:w="993" w:type="dxa"/>
            <w:shd w:val="clear" w:color="auto" w:fill="auto"/>
            <w:noWrap/>
            <w:vAlign w:val="center"/>
          </w:tcPr>
          <w:p>
            <w:pPr>
              <w:spacing w:line="240" w:lineRule="exact"/>
              <w:jc w:val="center"/>
              <w:rPr>
                <w:rFonts w:ascii="仿宋_GB2312" w:hAnsi="宋体" w:eastAsia="仿宋_GB2312" w:cs="宋体"/>
                <w:color w:val="000000"/>
                <w:szCs w:val="21"/>
              </w:rPr>
            </w:pPr>
          </w:p>
        </w:tc>
        <w:tc>
          <w:tcPr>
            <w:tcW w:w="989" w:type="dxa"/>
            <w:shd w:val="clear" w:color="auto" w:fill="auto"/>
            <w:noWrap/>
            <w:vAlign w:val="center"/>
          </w:tcPr>
          <w:p>
            <w:pPr>
              <w:spacing w:line="240" w:lineRule="exac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21"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558"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022" w:type="dxa"/>
            <w:gridSpan w:val="2"/>
            <w:vMerge w:val="restart"/>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可持续影响</w:t>
            </w:r>
          </w:p>
        </w:tc>
        <w:tc>
          <w:tcPr>
            <w:tcW w:w="4083" w:type="dxa"/>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基本公共卫生服务水平</w:t>
            </w:r>
          </w:p>
        </w:tc>
        <w:tc>
          <w:tcPr>
            <w:tcW w:w="1701"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定性高中低</w:t>
            </w:r>
          </w:p>
        </w:tc>
        <w:tc>
          <w:tcPr>
            <w:tcW w:w="1987"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高</w:t>
            </w:r>
          </w:p>
        </w:tc>
        <w:tc>
          <w:tcPr>
            <w:tcW w:w="1559" w:type="dxa"/>
            <w:shd w:val="clear" w:color="auto" w:fill="auto"/>
            <w:noWrap/>
            <w:vAlign w:val="center"/>
          </w:tcPr>
          <w:p>
            <w:pPr>
              <w:spacing w:line="240" w:lineRule="exact"/>
              <w:jc w:val="center"/>
              <w:rPr>
                <w:rFonts w:ascii="仿宋_GB2312" w:hAnsi="宋体" w:eastAsia="仿宋_GB2312" w:cs="宋体"/>
                <w:color w:val="000000"/>
                <w:szCs w:val="21"/>
              </w:rPr>
            </w:pPr>
          </w:p>
        </w:tc>
        <w:tc>
          <w:tcPr>
            <w:tcW w:w="993"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5</w:t>
            </w:r>
          </w:p>
        </w:tc>
        <w:tc>
          <w:tcPr>
            <w:tcW w:w="989" w:type="dxa"/>
            <w:shd w:val="clear" w:color="auto" w:fill="auto"/>
            <w:noWrap/>
            <w:vAlign w:val="center"/>
          </w:tcPr>
          <w:p>
            <w:pPr>
              <w:spacing w:line="240" w:lineRule="exac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21"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558"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022" w:type="dxa"/>
            <w:gridSpan w:val="2"/>
            <w:vMerge w:val="continue"/>
            <w:shd w:val="clear" w:color="auto" w:fill="auto"/>
            <w:noWrap/>
            <w:vAlign w:val="center"/>
          </w:tcPr>
          <w:p>
            <w:pPr>
              <w:spacing w:line="240" w:lineRule="exact"/>
              <w:jc w:val="center"/>
              <w:rPr>
                <w:rFonts w:ascii="仿宋_GB2312" w:hAnsi="宋体" w:eastAsia="仿宋_GB2312" w:cs="宋体"/>
                <w:color w:val="000000"/>
                <w:szCs w:val="21"/>
              </w:rPr>
            </w:pPr>
          </w:p>
        </w:tc>
        <w:tc>
          <w:tcPr>
            <w:tcW w:w="4083" w:type="dxa"/>
            <w:shd w:val="clear" w:color="auto" w:fill="auto"/>
            <w:vAlign w:val="center"/>
          </w:tcPr>
          <w:p>
            <w:pPr>
              <w:spacing w:line="240" w:lineRule="exact"/>
              <w:jc w:val="center"/>
              <w:rPr>
                <w:rFonts w:ascii="仿宋_GB2312" w:hAnsi="宋体" w:eastAsia="仿宋_GB2312" w:cs="宋体"/>
                <w:color w:val="000000"/>
                <w:szCs w:val="21"/>
              </w:rPr>
            </w:pPr>
          </w:p>
        </w:tc>
        <w:tc>
          <w:tcPr>
            <w:tcW w:w="1701" w:type="dxa"/>
            <w:shd w:val="clear" w:color="auto" w:fill="auto"/>
            <w:vAlign w:val="center"/>
          </w:tcPr>
          <w:p>
            <w:pPr>
              <w:spacing w:line="240" w:lineRule="exact"/>
              <w:jc w:val="left"/>
              <w:rPr>
                <w:rFonts w:ascii="仿宋_GB2312" w:hAnsi="宋体" w:eastAsia="仿宋_GB2312" w:cs="宋体"/>
                <w:color w:val="000000"/>
                <w:szCs w:val="21"/>
              </w:rPr>
            </w:pPr>
          </w:p>
        </w:tc>
        <w:tc>
          <w:tcPr>
            <w:tcW w:w="1987" w:type="dxa"/>
            <w:shd w:val="clear" w:color="auto" w:fill="auto"/>
            <w:noWrap/>
            <w:vAlign w:val="center"/>
          </w:tcPr>
          <w:p>
            <w:pPr>
              <w:spacing w:line="240" w:lineRule="exact"/>
              <w:jc w:val="center"/>
              <w:rPr>
                <w:rFonts w:ascii="仿宋_GB2312" w:hAnsi="宋体" w:eastAsia="仿宋_GB2312" w:cs="宋体"/>
                <w:color w:val="000000"/>
                <w:szCs w:val="21"/>
              </w:rPr>
            </w:pPr>
          </w:p>
        </w:tc>
        <w:tc>
          <w:tcPr>
            <w:tcW w:w="1559" w:type="dxa"/>
            <w:shd w:val="clear" w:color="auto" w:fill="auto"/>
            <w:noWrap/>
            <w:vAlign w:val="center"/>
          </w:tcPr>
          <w:p>
            <w:pPr>
              <w:spacing w:line="240" w:lineRule="exact"/>
              <w:jc w:val="center"/>
              <w:rPr>
                <w:rFonts w:ascii="仿宋_GB2312" w:hAnsi="宋体" w:eastAsia="仿宋_GB2312" w:cs="宋体"/>
                <w:color w:val="000000"/>
                <w:szCs w:val="21"/>
              </w:rPr>
            </w:pPr>
          </w:p>
        </w:tc>
        <w:tc>
          <w:tcPr>
            <w:tcW w:w="993" w:type="dxa"/>
            <w:shd w:val="clear" w:color="auto" w:fill="auto"/>
            <w:noWrap/>
            <w:vAlign w:val="center"/>
          </w:tcPr>
          <w:p>
            <w:pPr>
              <w:spacing w:line="240" w:lineRule="exact"/>
              <w:jc w:val="center"/>
              <w:rPr>
                <w:rFonts w:ascii="仿宋_GB2312" w:hAnsi="宋体" w:eastAsia="仿宋_GB2312" w:cs="宋体"/>
                <w:color w:val="000000"/>
                <w:szCs w:val="21"/>
              </w:rPr>
            </w:pPr>
          </w:p>
        </w:tc>
        <w:tc>
          <w:tcPr>
            <w:tcW w:w="989" w:type="dxa"/>
            <w:shd w:val="clear" w:color="auto" w:fill="auto"/>
            <w:noWrap/>
            <w:vAlign w:val="center"/>
          </w:tcPr>
          <w:p>
            <w:pPr>
              <w:spacing w:line="240" w:lineRule="exac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21"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558"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022" w:type="dxa"/>
            <w:gridSpan w:val="2"/>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w:t>
            </w:r>
          </w:p>
        </w:tc>
        <w:tc>
          <w:tcPr>
            <w:tcW w:w="4083" w:type="dxa"/>
            <w:shd w:val="clear" w:color="auto" w:fill="auto"/>
            <w:vAlign w:val="center"/>
          </w:tcPr>
          <w:p>
            <w:pPr>
              <w:spacing w:line="240" w:lineRule="exact"/>
              <w:jc w:val="center"/>
              <w:rPr>
                <w:rFonts w:ascii="仿宋_GB2312" w:hAnsi="宋体" w:eastAsia="仿宋_GB2312" w:cs="宋体"/>
                <w:color w:val="000000"/>
                <w:szCs w:val="21"/>
              </w:rPr>
            </w:pPr>
          </w:p>
        </w:tc>
        <w:tc>
          <w:tcPr>
            <w:tcW w:w="1701" w:type="dxa"/>
            <w:shd w:val="clear" w:color="auto" w:fill="auto"/>
            <w:vAlign w:val="center"/>
          </w:tcPr>
          <w:p>
            <w:pPr>
              <w:spacing w:line="240" w:lineRule="exact"/>
              <w:jc w:val="left"/>
              <w:rPr>
                <w:rFonts w:ascii="仿宋_GB2312" w:hAnsi="宋体" w:eastAsia="仿宋_GB2312" w:cs="宋体"/>
                <w:color w:val="000000"/>
                <w:szCs w:val="21"/>
              </w:rPr>
            </w:pPr>
          </w:p>
        </w:tc>
        <w:tc>
          <w:tcPr>
            <w:tcW w:w="1987" w:type="dxa"/>
            <w:shd w:val="clear" w:color="auto" w:fill="auto"/>
            <w:noWrap/>
            <w:vAlign w:val="center"/>
          </w:tcPr>
          <w:p>
            <w:pPr>
              <w:spacing w:line="240" w:lineRule="exact"/>
              <w:jc w:val="center"/>
              <w:rPr>
                <w:rFonts w:ascii="仿宋_GB2312" w:hAnsi="宋体" w:eastAsia="仿宋_GB2312" w:cs="宋体"/>
                <w:color w:val="000000"/>
                <w:szCs w:val="21"/>
              </w:rPr>
            </w:pPr>
          </w:p>
        </w:tc>
        <w:tc>
          <w:tcPr>
            <w:tcW w:w="1559" w:type="dxa"/>
            <w:shd w:val="clear" w:color="auto" w:fill="auto"/>
            <w:noWrap/>
            <w:vAlign w:val="center"/>
          </w:tcPr>
          <w:p>
            <w:pPr>
              <w:spacing w:line="240" w:lineRule="exact"/>
              <w:jc w:val="center"/>
              <w:rPr>
                <w:rFonts w:ascii="仿宋_GB2312" w:hAnsi="宋体" w:eastAsia="仿宋_GB2312" w:cs="宋体"/>
                <w:color w:val="000000"/>
                <w:szCs w:val="21"/>
              </w:rPr>
            </w:pPr>
          </w:p>
        </w:tc>
        <w:tc>
          <w:tcPr>
            <w:tcW w:w="993" w:type="dxa"/>
            <w:shd w:val="clear" w:color="auto" w:fill="auto"/>
            <w:noWrap/>
            <w:vAlign w:val="center"/>
          </w:tcPr>
          <w:p>
            <w:pPr>
              <w:spacing w:line="240" w:lineRule="exact"/>
              <w:jc w:val="center"/>
              <w:rPr>
                <w:rFonts w:ascii="仿宋_GB2312" w:hAnsi="宋体" w:eastAsia="仿宋_GB2312" w:cs="宋体"/>
                <w:color w:val="000000"/>
                <w:szCs w:val="21"/>
              </w:rPr>
            </w:pPr>
          </w:p>
        </w:tc>
        <w:tc>
          <w:tcPr>
            <w:tcW w:w="989" w:type="dxa"/>
            <w:shd w:val="clear" w:color="auto" w:fill="auto"/>
            <w:noWrap/>
            <w:vAlign w:val="center"/>
          </w:tcPr>
          <w:p>
            <w:pPr>
              <w:spacing w:line="240" w:lineRule="exac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21"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558" w:type="dxa"/>
            <w:vMerge w:val="restart"/>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满意度指标</w:t>
            </w:r>
          </w:p>
        </w:tc>
        <w:tc>
          <w:tcPr>
            <w:tcW w:w="1022" w:type="dxa"/>
            <w:gridSpan w:val="2"/>
            <w:vMerge w:val="restart"/>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满意度指标</w:t>
            </w:r>
          </w:p>
        </w:tc>
        <w:tc>
          <w:tcPr>
            <w:tcW w:w="4083" w:type="dxa"/>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全县人民满意度</w:t>
            </w:r>
          </w:p>
        </w:tc>
        <w:tc>
          <w:tcPr>
            <w:tcW w:w="1701"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≥80%</w:t>
            </w:r>
          </w:p>
        </w:tc>
        <w:tc>
          <w:tcPr>
            <w:tcW w:w="1987"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80%</w:t>
            </w:r>
          </w:p>
        </w:tc>
        <w:tc>
          <w:tcPr>
            <w:tcW w:w="1559" w:type="dxa"/>
            <w:shd w:val="clear" w:color="auto" w:fill="auto"/>
            <w:noWrap/>
            <w:vAlign w:val="center"/>
          </w:tcPr>
          <w:p>
            <w:pPr>
              <w:spacing w:line="240" w:lineRule="exact"/>
              <w:jc w:val="center"/>
              <w:rPr>
                <w:rFonts w:ascii="仿宋_GB2312" w:hAnsi="宋体" w:eastAsia="仿宋_GB2312" w:cs="宋体"/>
                <w:color w:val="000000"/>
                <w:szCs w:val="21"/>
              </w:rPr>
            </w:pPr>
          </w:p>
        </w:tc>
        <w:tc>
          <w:tcPr>
            <w:tcW w:w="993" w:type="dxa"/>
            <w:shd w:val="clear" w:color="auto" w:fill="auto"/>
            <w:noWrap/>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w:t>
            </w:r>
          </w:p>
        </w:tc>
        <w:tc>
          <w:tcPr>
            <w:tcW w:w="989" w:type="dxa"/>
            <w:shd w:val="clear" w:color="auto" w:fill="auto"/>
            <w:noWrap/>
            <w:vAlign w:val="center"/>
          </w:tcPr>
          <w:p>
            <w:pPr>
              <w:spacing w:line="240" w:lineRule="exac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21"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558"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022" w:type="dxa"/>
            <w:gridSpan w:val="2"/>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4083" w:type="dxa"/>
            <w:shd w:val="clear" w:color="auto" w:fill="auto"/>
            <w:vAlign w:val="center"/>
          </w:tcPr>
          <w:p>
            <w:pPr>
              <w:spacing w:line="240" w:lineRule="exact"/>
              <w:jc w:val="center"/>
              <w:rPr>
                <w:rFonts w:ascii="仿宋_GB2312" w:hAnsi="宋体" w:eastAsia="仿宋_GB2312" w:cs="宋体"/>
                <w:color w:val="000000"/>
                <w:szCs w:val="21"/>
              </w:rPr>
            </w:pPr>
          </w:p>
        </w:tc>
        <w:tc>
          <w:tcPr>
            <w:tcW w:w="1701" w:type="dxa"/>
            <w:shd w:val="clear" w:color="auto" w:fill="auto"/>
            <w:vAlign w:val="center"/>
          </w:tcPr>
          <w:p>
            <w:pPr>
              <w:spacing w:line="240" w:lineRule="exact"/>
              <w:jc w:val="left"/>
              <w:rPr>
                <w:rFonts w:ascii="仿宋_GB2312" w:hAnsi="宋体" w:eastAsia="仿宋_GB2312" w:cs="宋体"/>
                <w:color w:val="000000"/>
                <w:szCs w:val="21"/>
              </w:rPr>
            </w:pPr>
          </w:p>
        </w:tc>
        <w:tc>
          <w:tcPr>
            <w:tcW w:w="1987" w:type="dxa"/>
            <w:shd w:val="clear" w:color="auto" w:fill="auto"/>
            <w:noWrap/>
            <w:vAlign w:val="center"/>
          </w:tcPr>
          <w:p>
            <w:pPr>
              <w:spacing w:line="240" w:lineRule="exact"/>
              <w:jc w:val="center"/>
              <w:rPr>
                <w:rFonts w:ascii="仿宋_GB2312" w:hAnsi="宋体" w:eastAsia="仿宋_GB2312" w:cs="宋体"/>
                <w:color w:val="000000"/>
                <w:szCs w:val="21"/>
              </w:rPr>
            </w:pPr>
          </w:p>
        </w:tc>
        <w:tc>
          <w:tcPr>
            <w:tcW w:w="1559" w:type="dxa"/>
            <w:shd w:val="clear" w:color="auto" w:fill="auto"/>
            <w:noWrap/>
            <w:vAlign w:val="center"/>
          </w:tcPr>
          <w:p>
            <w:pPr>
              <w:spacing w:line="240" w:lineRule="exact"/>
              <w:jc w:val="center"/>
              <w:rPr>
                <w:rFonts w:ascii="仿宋_GB2312" w:hAnsi="宋体" w:eastAsia="仿宋_GB2312" w:cs="宋体"/>
                <w:color w:val="000000"/>
                <w:szCs w:val="21"/>
              </w:rPr>
            </w:pPr>
          </w:p>
        </w:tc>
        <w:tc>
          <w:tcPr>
            <w:tcW w:w="993" w:type="dxa"/>
            <w:shd w:val="clear" w:color="auto" w:fill="auto"/>
            <w:noWrap/>
            <w:vAlign w:val="center"/>
          </w:tcPr>
          <w:p>
            <w:pPr>
              <w:spacing w:line="240" w:lineRule="exact"/>
              <w:jc w:val="center"/>
              <w:rPr>
                <w:rFonts w:ascii="仿宋_GB2312" w:hAnsi="宋体" w:eastAsia="仿宋_GB2312" w:cs="宋体"/>
                <w:color w:val="000000"/>
                <w:szCs w:val="21"/>
              </w:rPr>
            </w:pPr>
          </w:p>
        </w:tc>
        <w:tc>
          <w:tcPr>
            <w:tcW w:w="989" w:type="dxa"/>
            <w:shd w:val="clear" w:color="auto" w:fill="auto"/>
            <w:noWrap/>
            <w:vAlign w:val="center"/>
          </w:tcPr>
          <w:p>
            <w:pPr>
              <w:spacing w:line="240" w:lineRule="exac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21"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1558" w:type="dxa"/>
            <w:shd w:val="clear" w:color="auto" w:fill="auto"/>
            <w:noWrap/>
            <w:vAlign w:val="center"/>
          </w:tcPr>
          <w:p>
            <w:pPr>
              <w:spacing w:line="240" w:lineRule="exact"/>
              <w:rPr>
                <w:rFonts w:ascii="仿宋_GB2312" w:hAnsi="宋体" w:eastAsia="仿宋_GB2312" w:cs="宋体"/>
                <w:color w:val="000000"/>
                <w:szCs w:val="21"/>
              </w:rPr>
            </w:pPr>
          </w:p>
        </w:tc>
        <w:tc>
          <w:tcPr>
            <w:tcW w:w="1022" w:type="dxa"/>
            <w:gridSpan w:val="2"/>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w:t>
            </w:r>
          </w:p>
        </w:tc>
        <w:tc>
          <w:tcPr>
            <w:tcW w:w="4083" w:type="dxa"/>
            <w:shd w:val="clear" w:color="auto" w:fill="auto"/>
            <w:vAlign w:val="center"/>
          </w:tcPr>
          <w:p>
            <w:pPr>
              <w:spacing w:line="240" w:lineRule="exact"/>
              <w:jc w:val="center"/>
              <w:rPr>
                <w:rFonts w:ascii="仿宋_GB2312" w:hAnsi="宋体" w:eastAsia="仿宋_GB2312" w:cs="宋体"/>
                <w:color w:val="000000"/>
                <w:szCs w:val="21"/>
              </w:rPr>
            </w:pPr>
          </w:p>
        </w:tc>
        <w:tc>
          <w:tcPr>
            <w:tcW w:w="1701" w:type="dxa"/>
            <w:shd w:val="clear" w:color="auto" w:fill="auto"/>
            <w:vAlign w:val="center"/>
          </w:tcPr>
          <w:p>
            <w:pPr>
              <w:spacing w:line="240" w:lineRule="exact"/>
              <w:jc w:val="left"/>
              <w:rPr>
                <w:rFonts w:ascii="仿宋_GB2312" w:hAnsi="宋体" w:eastAsia="仿宋_GB2312" w:cs="宋体"/>
                <w:color w:val="000000"/>
                <w:szCs w:val="21"/>
              </w:rPr>
            </w:pPr>
          </w:p>
        </w:tc>
        <w:tc>
          <w:tcPr>
            <w:tcW w:w="1987" w:type="dxa"/>
            <w:shd w:val="clear" w:color="auto" w:fill="auto"/>
            <w:noWrap/>
            <w:vAlign w:val="center"/>
          </w:tcPr>
          <w:p>
            <w:pPr>
              <w:spacing w:line="240" w:lineRule="exact"/>
              <w:jc w:val="center"/>
              <w:rPr>
                <w:rFonts w:ascii="仿宋_GB2312" w:hAnsi="宋体" w:eastAsia="仿宋_GB2312" w:cs="宋体"/>
                <w:color w:val="000000"/>
                <w:szCs w:val="21"/>
              </w:rPr>
            </w:pPr>
          </w:p>
        </w:tc>
        <w:tc>
          <w:tcPr>
            <w:tcW w:w="1559" w:type="dxa"/>
            <w:shd w:val="clear" w:color="auto" w:fill="auto"/>
            <w:noWrap/>
            <w:vAlign w:val="center"/>
          </w:tcPr>
          <w:p>
            <w:pPr>
              <w:spacing w:line="240" w:lineRule="exact"/>
              <w:jc w:val="center"/>
              <w:rPr>
                <w:rFonts w:ascii="仿宋_GB2312" w:hAnsi="宋体" w:eastAsia="仿宋_GB2312" w:cs="宋体"/>
                <w:color w:val="000000"/>
                <w:szCs w:val="21"/>
              </w:rPr>
            </w:pPr>
          </w:p>
        </w:tc>
        <w:tc>
          <w:tcPr>
            <w:tcW w:w="993" w:type="dxa"/>
            <w:shd w:val="clear" w:color="auto" w:fill="auto"/>
            <w:noWrap/>
            <w:vAlign w:val="center"/>
          </w:tcPr>
          <w:p>
            <w:pPr>
              <w:spacing w:line="240" w:lineRule="exact"/>
              <w:jc w:val="center"/>
              <w:rPr>
                <w:rFonts w:ascii="仿宋_GB2312" w:hAnsi="宋体" w:eastAsia="仿宋_GB2312" w:cs="宋体"/>
                <w:color w:val="000000"/>
                <w:szCs w:val="21"/>
              </w:rPr>
            </w:pPr>
          </w:p>
        </w:tc>
        <w:tc>
          <w:tcPr>
            <w:tcW w:w="989" w:type="dxa"/>
            <w:shd w:val="clear" w:color="auto" w:fill="auto"/>
            <w:noWrap/>
            <w:vAlign w:val="center"/>
          </w:tcPr>
          <w:p>
            <w:pPr>
              <w:spacing w:line="240" w:lineRule="exac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21" w:type="dxa"/>
            <w:shd w:val="clear" w:color="auto" w:fill="auto"/>
            <w:noWrap/>
            <w:vAlign w:val="center"/>
          </w:tcPr>
          <w:p>
            <w:pPr>
              <w:widowControl/>
              <w:spacing w:line="240" w:lineRule="exact"/>
              <w:jc w:val="righ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 xml:space="preserve"> </w:t>
            </w:r>
          </w:p>
        </w:tc>
        <w:tc>
          <w:tcPr>
            <w:tcW w:w="1558" w:type="dxa"/>
            <w:shd w:val="clear" w:color="auto" w:fill="auto"/>
            <w:noWrap/>
            <w:vAlign w:val="center"/>
          </w:tcPr>
          <w:p>
            <w:pPr>
              <w:spacing w:line="240" w:lineRule="exact"/>
              <w:rPr>
                <w:rFonts w:ascii="仿宋_GB2312" w:hAnsi="宋体" w:eastAsia="仿宋_GB2312" w:cs="宋体"/>
                <w:color w:val="000000"/>
                <w:szCs w:val="21"/>
              </w:rPr>
            </w:pPr>
          </w:p>
        </w:tc>
        <w:tc>
          <w:tcPr>
            <w:tcW w:w="511" w:type="dxa"/>
            <w:shd w:val="clear" w:color="auto" w:fill="auto"/>
            <w:noWrap/>
            <w:vAlign w:val="center"/>
          </w:tcPr>
          <w:p>
            <w:pPr>
              <w:spacing w:line="240" w:lineRule="exact"/>
              <w:rPr>
                <w:rFonts w:ascii="仿宋_GB2312" w:hAnsi="宋体" w:eastAsia="仿宋_GB2312" w:cs="宋体"/>
                <w:color w:val="000000"/>
                <w:szCs w:val="21"/>
              </w:rPr>
            </w:pPr>
          </w:p>
        </w:tc>
        <w:tc>
          <w:tcPr>
            <w:tcW w:w="511" w:type="dxa"/>
            <w:shd w:val="clear" w:color="auto" w:fill="auto"/>
            <w:noWrap/>
            <w:vAlign w:val="center"/>
          </w:tcPr>
          <w:p>
            <w:pPr>
              <w:spacing w:line="240" w:lineRule="exact"/>
              <w:rPr>
                <w:rFonts w:ascii="仿宋_GB2312" w:hAnsi="宋体" w:eastAsia="仿宋_GB2312" w:cs="宋体"/>
                <w:color w:val="000000"/>
                <w:szCs w:val="21"/>
              </w:rPr>
            </w:pPr>
          </w:p>
        </w:tc>
        <w:tc>
          <w:tcPr>
            <w:tcW w:w="4083" w:type="dxa"/>
            <w:shd w:val="clear" w:color="auto" w:fill="auto"/>
            <w:noWrap/>
            <w:vAlign w:val="center"/>
          </w:tcPr>
          <w:p>
            <w:pPr>
              <w:spacing w:line="240" w:lineRule="exact"/>
              <w:rPr>
                <w:rFonts w:ascii="仿宋_GB2312" w:hAnsi="宋体" w:eastAsia="仿宋_GB2312" w:cs="宋体"/>
                <w:color w:val="000000"/>
                <w:szCs w:val="21"/>
              </w:rPr>
            </w:pPr>
          </w:p>
        </w:tc>
        <w:tc>
          <w:tcPr>
            <w:tcW w:w="1701" w:type="dxa"/>
            <w:shd w:val="clear" w:color="auto" w:fill="auto"/>
            <w:noWrap/>
            <w:vAlign w:val="center"/>
          </w:tcPr>
          <w:p>
            <w:pPr>
              <w:spacing w:line="240" w:lineRule="exact"/>
              <w:rPr>
                <w:rFonts w:ascii="仿宋_GB2312" w:hAnsi="宋体" w:eastAsia="仿宋_GB2312" w:cs="宋体"/>
                <w:color w:val="000000"/>
                <w:szCs w:val="21"/>
              </w:rPr>
            </w:pPr>
          </w:p>
        </w:tc>
        <w:tc>
          <w:tcPr>
            <w:tcW w:w="1987" w:type="dxa"/>
            <w:shd w:val="clear" w:color="auto" w:fill="auto"/>
            <w:noWrap/>
            <w:vAlign w:val="center"/>
          </w:tcPr>
          <w:p>
            <w:pPr>
              <w:spacing w:line="240" w:lineRule="exact"/>
              <w:rPr>
                <w:rFonts w:ascii="仿宋_GB2312" w:hAnsi="宋体" w:eastAsia="仿宋_GB2312" w:cs="宋体"/>
                <w:color w:val="000000"/>
                <w:szCs w:val="21"/>
              </w:rPr>
            </w:pPr>
          </w:p>
        </w:tc>
        <w:tc>
          <w:tcPr>
            <w:tcW w:w="1559" w:type="dxa"/>
            <w:shd w:val="clear" w:color="auto" w:fill="auto"/>
            <w:noWrap/>
            <w:vAlign w:val="center"/>
          </w:tcPr>
          <w:p>
            <w:pPr>
              <w:spacing w:line="240" w:lineRule="exact"/>
              <w:rPr>
                <w:rFonts w:ascii="仿宋_GB2312" w:hAnsi="宋体" w:eastAsia="仿宋_GB2312" w:cs="宋体"/>
                <w:color w:val="000000"/>
                <w:szCs w:val="21"/>
              </w:rPr>
            </w:pPr>
          </w:p>
        </w:tc>
        <w:tc>
          <w:tcPr>
            <w:tcW w:w="993" w:type="dxa"/>
            <w:shd w:val="clear" w:color="auto" w:fill="auto"/>
            <w:noWrap/>
            <w:vAlign w:val="center"/>
          </w:tcPr>
          <w:p>
            <w:pPr>
              <w:spacing w:line="240" w:lineRule="exact"/>
              <w:rPr>
                <w:rFonts w:ascii="仿宋_GB2312" w:hAnsi="宋体" w:eastAsia="仿宋_GB2312" w:cs="宋体"/>
                <w:color w:val="000000"/>
                <w:szCs w:val="21"/>
              </w:rPr>
            </w:pPr>
          </w:p>
        </w:tc>
        <w:tc>
          <w:tcPr>
            <w:tcW w:w="989" w:type="dxa"/>
            <w:shd w:val="clear" w:color="auto" w:fill="auto"/>
            <w:noWrap/>
            <w:vAlign w:val="center"/>
          </w:tcPr>
          <w:p>
            <w:pPr>
              <w:spacing w:line="240" w:lineRule="exact"/>
              <w:rPr>
                <w:rFonts w:ascii="仿宋_GB2312" w:hAnsi="宋体" w:eastAsia="仿宋_GB2312" w:cs="宋体"/>
                <w:color w:val="000000"/>
                <w:szCs w:val="21"/>
              </w:rPr>
            </w:pPr>
          </w:p>
        </w:tc>
      </w:tr>
    </w:tbl>
    <w:p>
      <w:pPr>
        <w:pStyle w:val="15"/>
        <w:spacing w:line="560" w:lineRule="exact"/>
        <w:ind w:left="0" w:leftChars="0" w:firstLine="640"/>
        <w:rPr>
          <w:rFonts w:hAnsi="仿宋_GB2312" w:eastAsia="仿宋_GB2312" w:cs="仿宋_GB2312"/>
          <w:sz w:val="32"/>
        </w:rPr>
      </w:pPr>
    </w:p>
    <w:p>
      <w:pPr>
        <w:widowControl/>
        <w:jc w:val="left"/>
        <w:rPr>
          <w:rFonts w:ascii="仿宋_GB2312" w:hAnsi="仿宋_GB2312" w:eastAsia="仿宋_GB2312" w:cs="仿宋_GB2312"/>
          <w:sz w:val="32"/>
          <w:szCs w:val="32"/>
        </w:rPr>
      </w:pPr>
      <w:r>
        <w:rPr>
          <w:rFonts w:hAnsi="仿宋_GB2312" w:eastAsia="仿宋_GB2312" w:cs="仿宋_GB2312"/>
          <w:sz w:val="32"/>
        </w:rPr>
        <w:br w:type="page"/>
      </w:r>
    </w:p>
    <w:p>
      <w:pPr>
        <w:pStyle w:val="15"/>
        <w:spacing w:line="560" w:lineRule="exact"/>
        <w:ind w:left="0" w:leftChars="0" w:firstLine="0" w:firstLineChars="0"/>
        <w:rPr>
          <w:rFonts w:hAnsi="仿宋_GB2312" w:eastAsia="仿宋_GB2312" w:cs="仿宋_GB2312"/>
          <w:sz w:val="32"/>
          <w:lang w:val="zh-CN"/>
        </w:rPr>
      </w:pPr>
      <w:r>
        <w:rPr>
          <w:rFonts w:hint="eastAsia" w:hAnsi="仿宋_GB2312" w:eastAsia="仿宋_GB2312" w:cs="仿宋_GB2312"/>
          <w:sz w:val="32"/>
          <w:lang w:val="zh-CN"/>
        </w:rPr>
        <w:t>附件2</w:t>
      </w:r>
      <w:r>
        <w:rPr>
          <w:rFonts w:hAnsi="仿宋_GB2312" w:eastAsia="仿宋_GB2312" w:cs="仿宋_GB2312"/>
          <w:sz w:val="32"/>
          <w:lang w:val="zh-CN"/>
        </w:rPr>
        <w:tab/>
      </w:r>
      <w:r>
        <w:rPr>
          <w:rFonts w:hAnsi="仿宋_GB2312" w:eastAsia="仿宋_GB2312" w:cs="仿宋_GB2312"/>
          <w:sz w:val="32"/>
          <w:lang w:val="zh-CN"/>
        </w:rPr>
        <w:tab/>
      </w:r>
      <w:r>
        <w:rPr>
          <w:rFonts w:hAnsi="仿宋_GB2312" w:eastAsia="仿宋_GB2312" w:cs="仿宋_GB2312"/>
          <w:sz w:val="32"/>
          <w:lang w:val="zh-CN"/>
        </w:rPr>
        <w:tab/>
      </w:r>
      <w:r>
        <w:rPr>
          <w:rFonts w:hAnsi="仿宋_GB2312" w:eastAsia="仿宋_GB2312" w:cs="仿宋_GB2312"/>
          <w:sz w:val="32"/>
          <w:lang w:val="zh-CN"/>
        </w:rPr>
        <w:tab/>
      </w:r>
      <w:r>
        <w:rPr>
          <w:rFonts w:hAnsi="仿宋_GB2312" w:eastAsia="仿宋_GB2312" w:cs="仿宋_GB2312"/>
          <w:sz w:val="32"/>
          <w:lang w:val="zh-CN"/>
        </w:rPr>
        <w:tab/>
      </w:r>
      <w:r>
        <w:rPr>
          <w:rFonts w:hAnsi="仿宋_GB2312" w:eastAsia="仿宋_GB2312" w:cs="仿宋_GB2312"/>
          <w:sz w:val="32"/>
          <w:lang w:val="zh-CN"/>
        </w:rPr>
        <w:tab/>
      </w:r>
      <w:r>
        <w:rPr>
          <w:rFonts w:hAnsi="仿宋_GB2312" w:eastAsia="仿宋_GB2312" w:cs="仿宋_GB2312"/>
          <w:sz w:val="32"/>
          <w:lang w:val="zh-CN"/>
        </w:rPr>
        <w:tab/>
      </w:r>
    </w:p>
    <w:p>
      <w:pPr>
        <w:widowControl/>
        <w:ind w:left="93"/>
        <w:jc w:val="center"/>
        <w:textAlignment w:val="center"/>
        <w:rPr>
          <w:rFonts w:ascii="方正小标宋简体" w:hAnsi="宋体" w:eastAsia="方正小标宋简体" w:cs="宋体"/>
          <w:b/>
          <w:bCs/>
          <w:color w:val="000000"/>
          <w:kern w:val="0"/>
          <w:sz w:val="36"/>
          <w:szCs w:val="36"/>
        </w:rPr>
      </w:pPr>
      <w:r>
        <w:rPr>
          <w:rFonts w:hint="eastAsia" w:ascii="方正小标宋简体" w:hAnsi="宋体" w:eastAsia="方正小标宋简体" w:cs="宋体"/>
          <w:b/>
          <w:bCs/>
          <w:color w:val="000000"/>
          <w:kern w:val="0"/>
          <w:sz w:val="36"/>
          <w:szCs w:val="36"/>
        </w:rPr>
        <w:t>基本公共卫生服务转移支付区域（项目）绩效目标自评表</w:t>
      </w:r>
    </w:p>
    <w:p>
      <w:pPr>
        <w:widowControl/>
        <w:ind w:left="93"/>
        <w:jc w:val="center"/>
        <w:textAlignment w:val="center"/>
      </w:pPr>
      <w:r>
        <w:rPr>
          <w:rFonts w:hint="eastAsia" w:ascii="方正小标宋简体" w:hAnsi="宋体" w:eastAsia="方正小标宋简体" w:cs="宋体"/>
          <w:b/>
          <w:bCs/>
          <w:color w:val="000000"/>
          <w:kern w:val="0"/>
          <w:sz w:val="36"/>
          <w:szCs w:val="36"/>
        </w:rPr>
        <w:t>（2022年度）</w:t>
      </w:r>
    </w:p>
    <w:tbl>
      <w:tblPr>
        <w:tblStyle w:val="16"/>
        <w:tblW w:w="14389" w:type="dxa"/>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autofit"/>
        <w:tblCellMar>
          <w:top w:w="0" w:type="dxa"/>
          <w:left w:w="108" w:type="dxa"/>
          <w:bottom w:w="0" w:type="dxa"/>
          <w:right w:w="108" w:type="dxa"/>
        </w:tblCellMar>
      </w:tblPr>
      <w:tblGrid>
        <w:gridCol w:w="1009"/>
        <w:gridCol w:w="767"/>
        <w:gridCol w:w="1366"/>
        <w:gridCol w:w="2415"/>
        <w:gridCol w:w="3353"/>
        <w:gridCol w:w="1527"/>
        <w:gridCol w:w="1836"/>
        <w:gridCol w:w="2116"/>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3142" w:type="dxa"/>
            <w:gridSpan w:val="3"/>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转移支付（项目）名称</w:t>
            </w:r>
          </w:p>
        </w:tc>
        <w:tc>
          <w:tcPr>
            <w:tcW w:w="11247" w:type="dxa"/>
            <w:gridSpan w:val="5"/>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2022年基本公共卫生服务项目</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3142" w:type="dxa"/>
            <w:gridSpan w:val="3"/>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中央主管部门</w:t>
            </w:r>
          </w:p>
        </w:tc>
        <w:tc>
          <w:tcPr>
            <w:tcW w:w="11247" w:type="dxa"/>
            <w:gridSpan w:val="5"/>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国家卫生健康委</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3142" w:type="dxa"/>
            <w:gridSpan w:val="3"/>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地方主管部门</w:t>
            </w:r>
          </w:p>
        </w:tc>
        <w:tc>
          <w:tcPr>
            <w:tcW w:w="5766" w:type="dxa"/>
            <w:gridSpan w:val="2"/>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剑阁县卫生健康局</w:t>
            </w:r>
          </w:p>
        </w:tc>
        <w:tc>
          <w:tcPr>
            <w:tcW w:w="0" w:type="auto"/>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资金使用单位</w:t>
            </w:r>
          </w:p>
        </w:tc>
        <w:tc>
          <w:tcPr>
            <w:tcW w:w="0" w:type="auto"/>
            <w:gridSpan w:val="2"/>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各乡（镇）卫生院</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3142" w:type="dxa"/>
            <w:gridSpan w:val="3"/>
            <w:vMerge w:val="restart"/>
            <w:shd w:val="clear" w:color="auto" w:fill="auto"/>
            <w:vAlign w:val="center"/>
          </w:tcPr>
          <w:p>
            <w:pPr>
              <w:widowControl/>
              <w:jc w:val="center"/>
              <w:textAlignment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项目资金</w:t>
            </w:r>
          </w:p>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（万元）</w:t>
            </w:r>
          </w:p>
        </w:tc>
        <w:tc>
          <w:tcPr>
            <w:tcW w:w="2414" w:type="dxa"/>
            <w:shd w:val="clear" w:color="auto" w:fill="auto"/>
            <w:vAlign w:val="center"/>
          </w:tcPr>
          <w:p>
            <w:pPr>
              <w:rPr>
                <w:rFonts w:ascii="仿宋_GB2312" w:hAnsi="宋体" w:eastAsia="仿宋_GB2312" w:cs="宋体"/>
                <w:color w:val="000000"/>
                <w:szCs w:val="21"/>
              </w:rPr>
            </w:pPr>
          </w:p>
        </w:tc>
        <w:tc>
          <w:tcPr>
            <w:tcW w:w="3352" w:type="dxa"/>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全年预算数（A）</w:t>
            </w:r>
          </w:p>
        </w:tc>
        <w:tc>
          <w:tcPr>
            <w:tcW w:w="0" w:type="auto"/>
            <w:gridSpan w:val="2"/>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全年执行数（B）</w:t>
            </w:r>
          </w:p>
        </w:tc>
        <w:tc>
          <w:tcPr>
            <w:tcW w:w="0" w:type="auto"/>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预算执行率（B/A)</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3142" w:type="dxa"/>
            <w:gridSpan w:val="3"/>
            <w:vMerge w:val="continue"/>
            <w:shd w:val="clear" w:color="auto" w:fill="auto"/>
            <w:vAlign w:val="center"/>
          </w:tcPr>
          <w:p>
            <w:pPr>
              <w:jc w:val="center"/>
              <w:rPr>
                <w:rFonts w:ascii="仿宋_GB2312" w:hAnsi="宋体" w:eastAsia="仿宋_GB2312" w:cs="宋体"/>
                <w:color w:val="000000"/>
                <w:szCs w:val="21"/>
              </w:rPr>
            </w:pPr>
          </w:p>
        </w:tc>
        <w:tc>
          <w:tcPr>
            <w:tcW w:w="2414"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年度资金总额：</w:t>
            </w:r>
          </w:p>
        </w:tc>
        <w:tc>
          <w:tcPr>
            <w:tcW w:w="3352" w:type="dxa"/>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3560.71</w:t>
            </w:r>
          </w:p>
        </w:tc>
        <w:tc>
          <w:tcPr>
            <w:tcW w:w="0" w:type="auto"/>
            <w:gridSpan w:val="2"/>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3560.71</w:t>
            </w:r>
          </w:p>
        </w:tc>
        <w:tc>
          <w:tcPr>
            <w:tcW w:w="0" w:type="auto"/>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3142" w:type="dxa"/>
            <w:gridSpan w:val="3"/>
            <w:vMerge w:val="continue"/>
            <w:shd w:val="clear" w:color="auto" w:fill="auto"/>
            <w:vAlign w:val="center"/>
          </w:tcPr>
          <w:p>
            <w:pPr>
              <w:jc w:val="center"/>
              <w:rPr>
                <w:rFonts w:ascii="仿宋_GB2312" w:hAnsi="宋体" w:eastAsia="仿宋_GB2312" w:cs="宋体"/>
                <w:color w:val="000000"/>
                <w:szCs w:val="21"/>
              </w:rPr>
            </w:pPr>
          </w:p>
        </w:tc>
        <w:tc>
          <w:tcPr>
            <w:tcW w:w="2414"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 xml:space="preserve"> </w:t>
            </w:r>
            <w:r>
              <w:rPr>
                <w:rStyle w:val="39"/>
                <w:rFonts w:hint="default" w:ascii="仿宋_GB2312" w:eastAsia="仿宋_GB2312"/>
                <w:sz w:val="21"/>
                <w:szCs w:val="21"/>
              </w:rPr>
              <w:t>其中：中央财政资金</w:t>
            </w:r>
          </w:p>
        </w:tc>
        <w:tc>
          <w:tcPr>
            <w:tcW w:w="3352" w:type="dxa"/>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2773.27</w:t>
            </w:r>
          </w:p>
        </w:tc>
        <w:tc>
          <w:tcPr>
            <w:tcW w:w="0" w:type="auto"/>
            <w:gridSpan w:val="2"/>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2773.27</w:t>
            </w:r>
          </w:p>
        </w:tc>
        <w:tc>
          <w:tcPr>
            <w:tcW w:w="0" w:type="auto"/>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3142" w:type="dxa"/>
            <w:gridSpan w:val="3"/>
            <w:vMerge w:val="continue"/>
            <w:shd w:val="clear" w:color="auto" w:fill="auto"/>
            <w:vAlign w:val="center"/>
          </w:tcPr>
          <w:p>
            <w:pPr>
              <w:jc w:val="center"/>
              <w:rPr>
                <w:rFonts w:ascii="仿宋_GB2312" w:hAnsi="宋体" w:eastAsia="仿宋_GB2312" w:cs="宋体"/>
                <w:color w:val="000000"/>
                <w:szCs w:val="21"/>
              </w:rPr>
            </w:pPr>
          </w:p>
        </w:tc>
        <w:tc>
          <w:tcPr>
            <w:tcW w:w="2414" w:type="dxa"/>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省级资金</w:t>
            </w:r>
          </w:p>
        </w:tc>
        <w:tc>
          <w:tcPr>
            <w:tcW w:w="3352" w:type="dxa"/>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515.23</w:t>
            </w:r>
          </w:p>
        </w:tc>
        <w:tc>
          <w:tcPr>
            <w:tcW w:w="0" w:type="auto"/>
            <w:gridSpan w:val="2"/>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515.23</w:t>
            </w:r>
          </w:p>
        </w:tc>
        <w:tc>
          <w:tcPr>
            <w:tcW w:w="0" w:type="auto"/>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3142" w:type="dxa"/>
            <w:gridSpan w:val="3"/>
            <w:vMerge w:val="continue"/>
            <w:shd w:val="clear" w:color="auto" w:fill="auto"/>
            <w:vAlign w:val="center"/>
          </w:tcPr>
          <w:p>
            <w:pPr>
              <w:jc w:val="center"/>
              <w:rPr>
                <w:rFonts w:ascii="仿宋_GB2312" w:hAnsi="宋体" w:eastAsia="仿宋_GB2312" w:cs="宋体"/>
                <w:color w:val="000000"/>
                <w:szCs w:val="21"/>
              </w:rPr>
            </w:pPr>
          </w:p>
        </w:tc>
        <w:tc>
          <w:tcPr>
            <w:tcW w:w="2414"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 xml:space="preserve"> </w:t>
            </w:r>
            <w:r>
              <w:rPr>
                <w:rStyle w:val="39"/>
                <w:rFonts w:hint="default" w:ascii="仿宋_GB2312" w:eastAsia="仿宋_GB2312"/>
                <w:sz w:val="21"/>
                <w:szCs w:val="21"/>
              </w:rPr>
              <w:t xml:space="preserve">    地方资金</w:t>
            </w:r>
          </w:p>
        </w:tc>
        <w:tc>
          <w:tcPr>
            <w:tcW w:w="3352" w:type="dxa"/>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272.21</w:t>
            </w:r>
          </w:p>
        </w:tc>
        <w:tc>
          <w:tcPr>
            <w:tcW w:w="0" w:type="auto"/>
            <w:gridSpan w:val="2"/>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272.21</w:t>
            </w:r>
          </w:p>
        </w:tc>
        <w:tc>
          <w:tcPr>
            <w:tcW w:w="0" w:type="auto"/>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09" w:type="dxa"/>
            <w:vMerge w:val="restart"/>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总体目标完成情况</w:t>
            </w:r>
          </w:p>
        </w:tc>
        <w:tc>
          <w:tcPr>
            <w:tcW w:w="7899" w:type="dxa"/>
            <w:gridSpan w:val="4"/>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总体目标</w:t>
            </w:r>
          </w:p>
        </w:tc>
        <w:tc>
          <w:tcPr>
            <w:tcW w:w="0" w:type="auto"/>
            <w:gridSpan w:val="3"/>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全年实际完成情况</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1680" w:hRule="atLeast"/>
          <w:jc w:val="center"/>
        </w:trPr>
        <w:tc>
          <w:tcPr>
            <w:tcW w:w="1009" w:type="dxa"/>
            <w:vMerge w:val="continue"/>
            <w:shd w:val="clear" w:color="auto" w:fill="auto"/>
            <w:vAlign w:val="center"/>
          </w:tcPr>
          <w:p>
            <w:pPr>
              <w:jc w:val="center"/>
              <w:rPr>
                <w:rFonts w:ascii="仿宋_GB2312" w:hAnsi="宋体" w:eastAsia="仿宋_GB2312" w:cs="宋体"/>
                <w:color w:val="000000"/>
                <w:szCs w:val="21"/>
              </w:rPr>
            </w:pPr>
          </w:p>
        </w:tc>
        <w:tc>
          <w:tcPr>
            <w:tcW w:w="7899" w:type="dxa"/>
            <w:gridSpan w:val="4"/>
            <w:shd w:val="clear" w:color="auto" w:fill="auto"/>
            <w:vAlign w:val="center"/>
          </w:tcPr>
          <w:p>
            <w:pPr>
              <w:widowControl/>
              <w:jc w:val="left"/>
              <w:textAlignment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 xml:space="preserve">1.免费向城乡居民提供基本公共卫生服务。 </w:t>
            </w:r>
          </w:p>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 xml:space="preserve">2.开展对重点疾病及危害因素监测，有效控制疾病流行，为制定相关政策提供科学依据。保持重点地方疾病防治措施全面落实。开展职业病监测，最大限度地保护放射工作人员、患者和公众的健康权益。同时推进妇幼卫生、健康素养促进、医养结合和老年健康服务、卫生应急、计划生育等方面工作。     </w:t>
            </w:r>
          </w:p>
        </w:tc>
        <w:tc>
          <w:tcPr>
            <w:tcW w:w="0" w:type="auto"/>
            <w:gridSpan w:val="3"/>
            <w:shd w:val="clear" w:color="auto" w:fill="auto"/>
            <w:vAlign w:val="center"/>
          </w:tcPr>
          <w:p>
            <w:pPr>
              <w:widowControl/>
              <w:jc w:val="left"/>
              <w:textAlignment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 xml:space="preserve">1.持续免费向城乡居民提供基本公共卫生服务。 </w:t>
            </w:r>
          </w:p>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开展对重点疾病及危害因素监测，有效控制疾病流行，为制定相关政策提供科学依据。保持重点地方疾病防治措施全面落实。开展职业病监测，最大限度地保护放射工作人员、患者和公众的健康权益。同时推进妇幼卫生、健康素养促进、医养结合和老年健康服务、卫生应急、计划生育等方面工作。</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522" w:hRule="atLeast"/>
          <w:jc w:val="center"/>
        </w:trPr>
        <w:tc>
          <w:tcPr>
            <w:tcW w:w="1009" w:type="dxa"/>
            <w:vMerge w:val="restart"/>
            <w:shd w:val="clear" w:color="auto" w:fill="auto"/>
            <w:textDirection w:val="tbRlV"/>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绩效指标</w:t>
            </w:r>
          </w:p>
        </w:tc>
        <w:tc>
          <w:tcPr>
            <w:tcW w:w="767" w:type="dxa"/>
            <w:shd w:val="clear" w:color="auto" w:fill="auto"/>
            <w:vAlign w:val="center"/>
          </w:tcPr>
          <w:p>
            <w:pPr>
              <w:widowControl/>
              <w:spacing w:line="250" w:lineRule="exact"/>
              <w:jc w:val="center"/>
              <w:textAlignment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一级</w:t>
            </w:r>
          </w:p>
          <w:p>
            <w:pPr>
              <w:widowControl/>
              <w:spacing w:line="25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指标</w:t>
            </w:r>
          </w:p>
        </w:tc>
        <w:tc>
          <w:tcPr>
            <w:tcW w:w="1366" w:type="dxa"/>
            <w:shd w:val="clear" w:color="auto" w:fill="auto"/>
            <w:vAlign w:val="center"/>
          </w:tcPr>
          <w:p>
            <w:pPr>
              <w:widowControl/>
              <w:spacing w:line="25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二级指标</w:t>
            </w:r>
          </w:p>
        </w:tc>
        <w:tc>
          <w:tcPr>
            <w:tcW w:w="5766" w:type="dxa"/>
            <w:gridSpan w:val="2"/>
            <w:shd w:val="clear" w:color="auto" w:fill="auto"/>
            <w:vAlign w:val="center"/>
          </w:tcPr>
          <w:p>
            <w:pPr>
              <w:widowControl/>
              <w:spacing w:line="25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三级指标</w:t>
            </w:r>
          </w:p>
        </w:tc>
        <w:tc>
          <w:tcPr>
            <w:tcW w:w="0" w:type="auto"/>
            <w:shd w:val="clear" w:color="auto" w:fill="auto"/>
            <w:vAlign w:val="center"/>
          </w:tcPr>
          <w:p>
            <w:pPr>
              <w:widowControl/>
              <w:spacing w:line="25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指标值</w:t>
            </w:r>
          </w:p>
        </w:tc>
        <w:tc>
          <w:tcPr>
            <w:tcW w:w="0" w:type="auto"/>
            <w:shd w:val="clear" w:color="auto" w:fill="auto"/>
            <w:vAlign w:val="center"/>
          </w:tcPr>
          <w:p>
            <w:pPr>
              <w:widowControl/>
              <w:spacing w:line="25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全年实际完成值</w:t>
            </w:r>
          </w:p>
        </w:tc>
        <w:tc>
          <w:tcPr>
            <w:tcW w:w="0" w:type="auto"/>
            <w:shd w:val="clear" w:color="auto" w:fill="auto"/>
            <w:vAlign w:val="center"/>
          </w:tcPr>
          <w:p>
            <w:pPr>
              <w:widowControl/>
              <w:spacing w:line="25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未完成原因和改进措施</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357" w:hRule="atLeast"/>
          <w:jc w:val="center"/>
        </w:trPr>
        <w:tc>
          <w:tcPr>
            <w:tcW w:w="1009" w:type="dxa"/>
            <w:vMerge w:val="continue"/>
            <w:shd w:val="clear" w:color="auto" w:fill="auto"/>
            <w:textDirection w:val="tbRlV"/>
            <w:vAlign w:val="center"/>
          </w:tcPr>
          <w:p>
            <w:pPr>
              <w:jc w:val="center"/>
              <w:rPr>
                <w:rFonts w:ascii="仿宋_GB2312" w:hAnsi="宋体" w:eastAsia="仿宋_GB2312" w:cs="宋体"/>
                <w:color w:val="000000"/>
                <w:szCs w:val="21"/>
              </w:rPr>
            </w:pPr>
          </w:p>
        </w:tc>
        <w:tc>
          <w:tcPr>
            <w:tcW w:w="767" w:type="dxa"/>
            <w:vMerge w:val="restart"/>
            <w:shd w:val="clear" w:color="auto" w:fill="auto"/>
            <w:vAlign w:val="center"/>
          </w:tcPr>
          <w:p>
            <w:pPr>
              <w:widowControl/>
              <w:spacing w:line="250" w:lineRule="exact"/>
              <w:jc w:val="center"/>
              <w:textAlignment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产</w:t>
            </w:r>
          </w:p>
          <w:p>
            <w:pPr>
              <w:widowControl/>
              <w:spacing w:line="250" w:lineRule="exact"/>
              <w:jc w:val="center"/>
              <w:textAlignment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出</w:t>
            </w:r>
          </w:p>
          <w:p>
            <w:pPr>
              <w:widowControl/>
              <w:spacing w:line="250" w:lineRule="exact"/>
              <w:jc w:val="center"/>
              <w:textAlignment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指</w:t>
            </w:r>
          </w:p>
          <w:p>
            <w:pPr>
              <w:widowControl/>
              <w:spacing w:line="25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标</w:t>
            </w:r>
          </w:p>
        </w:tc>
        <w:tc>
          <w:tcPr>
            <w:tcW w:w="1366" w:type="dxa"/>
            <w:vMerge w:val="restart"/>
            <w:shd w:val="clear" w:color="auto" w:fill="auto"/>
            <w:vAlign w:val="center"/>
          </w:tcPr>
          <w:p>
            <w:pPr>
              <w:widowControl/>
              <w:spacing w:line="25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数量指标</w:t>
            </w:r>
          </w:p>
        </w:tc>
        <w:tc>
          <w:tcPr>
            <w:tcW w:w="5766" w:type="dxa"/>
            <w:gridSpan w:val="2"/>
            <w:shd w:val="clear" w:color="auto" w:fill="auto"/>
            <w:vAlign w:val="center"/>
          </w:tcPr>
          <w:p>
            <w:pPr>
              <w:widowControl/>
              <w:spacing w:line="25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适龄儿童国家免疫规划疫苗接种率</w:t>
            </w:r>
          </w:p>
        </w:tc>
        <w:tc>
          <w:tcPr>
            <w:tcW w:w="0" w:type="auto"/>
            <w:shd w:val="clear" w:color="auto" w:fill="auto"/>
            <w:vAlign w:val="center"/>
          </w:tcPr>
          <w:p>
            <w:pPr>
              <w:widowControl/>
              <w:spacing w:line="25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≥90%</w:t>
            </w:r>
          </w:p>
        </w:tc>
        <w:tc>
          <w:tcPr>
            <w:tcW w:w="0" w:type="auto"/>
            <w:shd w:val="clear" w:color="auto" w:fill="auto"/>
            <w:vAlign w:val="center"/>
          </w:tcPr>
          <w:p>
            <w:pPr>
              <w:widowControl/>
              <w:spacing w:line="25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94.00%</w:t>
            </w:r>
          </w:p>
        </w:tc>
        <w:tc>
          <w:tcPr>
            <w:tcW w:w="0" w:type="auto"/>
            <w:shd w:val="clear" w:color="auto" w:fill="auto"/>
            <w:vAlign w:val="center"/>
          </w:tcPr>
          <w:p>
            <w:pPr>
              <w:spacing w:line="250" w:lineRule="exact"/>
              <w:jc w:val="center"/>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357" w:hRule="atLeast"/>
          <w:jc w:val="center"/>
        </w:trPr>
        <w:tc>
          <w:tcPr>
            <w:tcW w:w="1009" w:type="dxa"/>
            <w:vMerge w:val="continue"/>
            <w:shd w:val="clear" w:color="auto" w:fill="auto"/>
            <w:textDirection w:val="tbRlV"/>
            <w:vAlign w:val="center"/>
          </w:tcPr>
          <w:p>
            <w:pPr>
              <w:jc w:val="center"/>
              <w:rPr>
                <w:rFonts w:ascii="仿宋_GB2312" w:hAnsi="宋体" w:eastAsia="仿宋_GB2312" w:cs="宋体"/>
                <w:color w:val="000000"/>
                <w:szCs w:val="21"/>
              </w:rPr>
            </w:pPr>
          </w:p>
        </w:tc>
        <w:tc>
          <w:tcPr>
            <w:tcW w:w="767" w:type="dxa"/>
            <w:vMerge w:val="continue"/>
            <w:shd w:val="clear" w:color="auto" w:fill="auto"/>
            <w:vAlign w:val="center"/>
          </w:tcPr>
          <w:p>
            <w:pPr>
              <w:spacing w:line="250" w:lineRule="exact"/>
              <w:jc w:val="center"/>
              <w:rPr>
                <w:rFonts w:ascii="仿宋_GB2312" w:hAnsi="宋体" w:eastAsia="仿宋_GB2312" w:cs="宋体"/>
                <w:color w:val="000000"/>
                <w:szCs w:val="21"/>
              </w:rPr>
            </w:pPr>
          </w:p>
        </w:tc>
        <w:tc>
          <w:tcPr>
            <w:tcW w:w="1366" w:type="dxa"/>
            <w:vMerge w:val="continue"/>
            <w:shd w:val="clear" w:color="auto" w:fill="auto"/>
            <w:vAlign w:val="center"/>
          </w:tcPr>
          <w:p>
            <w:pPr>
              <w:spacing w:line="250" w:lineRule="exact"/>
              <w:jc w:val="center"/>
              <w:rPr>
                <w:rFonts w:ascii="仿宋_GB2312" w:hAnsi="宋体" w:eastAsia="仿宋_GB2312" w:cs="宋体"/>
                <w:color w:val="000000"/>
                <w:szCs w:val="21"/>
              </w:rPr>
            </w:pPr>
          </w:p>
        </w:tc>
        <w:tc>
          <w:tcPr>
            <w:tcW w:w="5766" w:type="dxa"/>
            <w:gridSpan w:val="2"/>
            <w:shd w:val="clear" w:color="auto" w:fill="auto"/>
            <w:vAlign w:val="center"/>
          </w:tcPr>
          <w:p>
            <w:pPr>
              <w:widowControl/>
              <w:spacing w:line="25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7岁以下儿童健康管理率</w:t>
            </w:r>
          </w:p>
        </w:tc>
        <w:tc>
          <w:tcPr>
            <w:tcW w:w="0" w:type="auto"/>
            <w:shd w:val="clear" w:color="auto" w:fill="auto"/>
            <w:vAlign w:val="center"/>
          </w:tcPr>
          <w:p>
            <w:pPr>
              <w:widowControl/>
              <w:spacing w:line="25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≥85%</w:t>
            </w:r>
          </w:p>
        </w:tc>
        <w:tc>
          <w:tcPr>
            <w:tcW w:w="0" w:type="auto"/>
            <w:shd w:val="clear" w:color="auto" w:fill="auto"/>
            <w:vAlign w:val="center"/>
          </w:tcPr>
          <w:p>
            <w:pPr>
              <w:widowControl/>
              <w:spacing w:line="25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93.78%</w:t>
            </w:r>
          </w:p>
        </w:tc>
        <w:tc>
          <w:tcPr>
            <w:tcW w:w="0" w:type="auto"/>
            <w:shd w:val="clear" w:color="auto" w:fill="auto"/>
            <w:vAlign w:val="center"/>
          </w:tcPr>
          <w:p>
            <w:pPr>
              <w:spacing w:line="250" w:lineRule="exact"/>
              <w:jc w:val="center"/>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357" w:hRule="atLeast"/>
          <w:jc w:val="center"/>
        </w:trPr>
        <w:tc>
          <w:tcPr>
            <w:tcW w:w="1009" w:type="dxa"/>
            <w:vMerge w:val="continue"/>
            <w:shd w:val="clear" w:color="auto" w:fill="auto"/>
            <w:textDirection w:val="tbRlV"/>
            <w:vAlign w:val="center"/>
          </w:tcPr>
          <w:p>
            <w:pPr>
              <w:jc w:val="center"/>
              <w:rPr>
                <w:rFonts w:ascii="仿宋_GB2312" w:hAnsi="宋体" w:eastAsia="仿宋_GB2312" w:cs="宋体"/>
                <w:color w:val="000000"/>
                <w:szCs w:val="21"/>
              </w:rPr>
            </w:pPr>
          </w:p>
        </w:tc>
        <w:tc>
          <w:tcPr>
            <w:tcW w:w="767" w:type="dxa"/>
            <w:vMerge w:val="continue"/>
            <w:shd w:val="clear" w:color="auto" w:fill="auto"/>
            <w:vAlign w:val="center"/>
          </w:tcPr>
          <w:p>
            <w:pPr>
              <w:spacing w:line="250" w:lineRule="exact"/>
              <w:jc w:val="center"/>
              <w:rPr>
                <w:rFonts w:ascii="仿宋_GB2312" w:hAnsi="宋体" w:eastAsia="仿宋_GB2312" w:cs="宋体"/>
                <w:color w:val="000000"/>
                <w:szCs w:val="21"/>
              </w:rPr>
            </w:pPr>
          </w:p>
        </w:tc>
        <w:tc>
          <w:tcPr>
            <w:tcW w:w="1366" w:type="dxa"/>
            <w:vMerge w:val="continue"/>
            <w:shd w:val="clear" w:color="auto" w:fill="auto"/>
            <w:vAlign w:val="center"/>
          </w:tcPr>
          <w:p>
            <w:pPr>
              <w:spacing w:line="250" w:lineRule="exact"/>
              <w:jc w:val="center"/>
              <w:rPr>
                <w:rFonts w:ascii="仿宋_GB2312" w:hAnsi="宋体" w:eastAsia="仿宋_GB2312" w:cs="宋体"/>
                <w:color w:val="000000"/>
                <w:szCs w:val="21"/>
              </w:rPr>
            </w:pPr>
          </w:p>
        </w:tc>
        <w:tc>
          <w:tcPr>
            <w:tcW w:w="5766" w:type="dxa"/>
            <w:gridSpan w:val="2"/>
            <w:shd w:val="clear" w:color="auto" w:fill="auto"/>
            <w:vAlign w:val="center"/>
          </w:tcPr>
          <w:p>
            <w:pPr>
              <w:widowControl/>
              <w:spacing w:line="25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0-6岁儿童眼保健和视力检查覆盖率</w:t>
            </w:r>
          </w:p>
        </w:tc>
        <w:tc>
          <w:tcPr>
            <w:tcW w:w="0" w:type="auto"/>
            <w:shd w:val="clear" w:color="auto" w:fill="auto"/>
            <w:vAlign w:val="center"/>
          </w:tcPr>
          <w:p>
            <w:pPr>
              <w:widowControl/>
              <w:spacing w:line="25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≥90%</w:t>
            </w:r>
          </w:p>
        </w:tc>
        <w:tc>
          <w:tcPr>
            <w:tcW w:w="0" w:type="auto"/>
            <w:shd w:val="clear" w:color="auto" w:fill="auto"/>
            <w:vAlign w:val="center"/>
          </w:tcPr>
          <w:p>
            <w:pPr>
              <w:widowControl/>
              <w:spacing w:line="25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93.76%</w:t>
            </w:r>
          </w:p>
        </w:tc>
        <w:tc>
          <w:tcPr>
            <w:tcW w:w="0" w:type="auto"/>
            <w:shd w:val="clear" w:color="auto" w:fill="auto"/>
            <w:vAlign w:val="center"/>
          </w:tcPr>
          <w:p>
            <w:pPr>
              <w:spacing w:line="250" w:lineRule="exact"/>
              <w:jc w:val="center"/>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357" w:hRule="atLeast"/>
          <w:jc w:val="center"/>
        </w:trPr>
        <w:tc>
          <w:tcPr>
            <w:tcW w:w="1009" w:type="dxa"/>
            <w:vMerge w:val="continue"/>
            <w:shd w:val="clear" w:color="auto" w:fill="auto"/>
            <w:textDirection w:val="tbRlV"/>
            <w:vAlign w:val="center"/>
          </w:tcPr>
          <w:p>
            <w:pPr>
              <w:jc w:val="center"/>
              <w:rPr>
                <w:rFonts w:ascii="仿宋_GB2312" w:hAnsi="宋体" w:eastAsia="仿宋_GB2312" w:cs="宋体"/>
                <w:color w:val="000000"/>
                <w:szCs w:val="21"/>
              </w:rPr>
            </w:pPr>
          </w:p>
        </w:tc>
        <w:tc>
          <w:tcPr>
            <w:tcW w:w="767" w:type="dxa"/>
            <w:vMerge w:val="continue"/>
            <w:shd w:val="clear" w:color="auto" w:fill="auto"/>
            <w:vAlign w:val="center"/>
          </w:tcPr>
          <w:p>
            <w:pPr>
              <w:spacing w:line="250" w:lineRule="exact"/>
              <w:jc w:val="center"/>
              <w:rPr>
                <w:rFonts w:ascii="仿宋_GB2312" w:hAnsi="宋体" w:eastAsia="仿宋_GB2312" w:cs="宋体"/>
                <w:color w:val="000000"/>
                <w:szCs w:val="21"/>
              </w:rPr>
            </w:pPr>
          </w:p>
        </w:tc>
        <w:tc>
          <w:tcPr>
            <w:tcW w:w="1366" w:type="dxa"/>
            <w:vMerge w:val="continue"/>
            <w:shd w:val="clear" w:color="auto" w:fill="auto"/>
            <w:vAlign w:val="center"/>
          </w:tcPr>
          <w:p>
            <w:pPr>
              <w:spacing w:line="250" w:lineRule="exact"/>
              <w:jc w:val="center"/>
              <w:rPr>
                <w:rFonts w:ascii="仿宋_GB2312" w:hAnsi="宋体" w:eastAsia="仿宋_GB2312" w:cs="宋体"/>
                <w:color w:val="000000"/>
                <w:szCs w:val="21"/>
              </w:rPr>
            </w:pPr>
          </w:p>
        </w:tc>
        <w:tc>
          <w:tcPr>
            <w:tcW w:w="5766" w:type="dxa"/>
            <w:gridSpan w:val="2"/>
            <w:shd w:val="clear" w:color="auto" w:fill="auto"/>
            <w:vAlign w:val="center"/>
          </w:tcPr>
          <w:p>
            <w:pPr>
              <w:widowControl/>
              <w:spacing w:line="25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孕产妇系统管理率</w:t>
            </w:r>
          </w:p>
        </w:tc>
        <w:tc>
          <w:tcPr>
            <w:tcW w:w="0" w:type="auto"/>
            <w:shd w:val="clear" w:color="auto" w:fill="auto"/>
            <w:vAlign w:val="center"/>
          </w:tcPr>
          <w:p>
            <w:pPr>
              <w:widowControl/>
              <w:spacing w:line="25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≥90%</w:t>
            </w:r>
          </w:p>
        </w:tc>
        <w:tc>
          <w:tcPr>
            <w:tcW w:w="0" w:type="auto"/>
            <w:shd w:val="clear" w:color="auto" w:fill="auto"/>
            <w:vAlign w:val="center"/>
          </w:tcPr>
          <w:p>
            <w:pPr>
              <w:widowControl/>
              <w:spacing w:line="25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97.40%</w:t>
            </w:r>
          </w:p>
        </w:tc>
        <w:tc>
          <w:tcPr>
            <w:tcW w:w="0" w:type="auto"/>
            <w:shd w:val="clear" w:color="auto" w:fill="auto"/>
            <w:vAlign w:val="center"/>
          </w:tcPr>
          <w:p>
            <w:pPr>
              <w:spacing w:line="250" w:lineRule="exact"/>
              <w:jc w:val="center"/>
              <w:rPr>
                <w:rFonts w:ascii="仿宋_GB2312" w:hAnsi="宋体" w:eastAsia="仿宋_GB2312" w:cs="宋体"/>
                <w:color w:val="FF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357" w:hRule="atLeast"/>
          <w:jc w:val="center"/>
        </w:trPr>
        <w:tc>
          <w:tcPr>
            <w:tcW w:w="1009" w:type="dxa"/>
            <w:vMerge w:val="continue"/>
            <w:shd w:val="clear" w:color="auto" w:fill="auto"/>
            <w:textDirection w:val="tbRlV"/>
            <w:vAlign w:val="center"/>
          </w:tcPr>
          <w:p>
            <w:pPr>
              <w:jc w:val="center"/>
              <w:rPr>
                <w:rFonts w:ascii="仿宋_GB2312" w:hAnsi="宋体" w:eastAsia="仿宋_GB2312" w:cs="宋体"/>
                <w:color w:val="000000"/>
                <w:szCs w:val="21"/>
              </w:rPr>
            </w:pPr>
          </w:p>
        </w:tc>
        <w:tc>
          <w:tcPr>
            <w:tcW w:w="767" w:type="dxa"/>
            <w:vMerge w:val="continue"/>
            <w:shd w:val="clear" w:color="auto" w:fill="auto"/>
            <w:vAlign w:val="center"/>
          </w:tcPr>
          <w:p>
            <w:pPr>
              <w:spacing w:line="250" w:lineRule="exact"/>
              <w:jc w:val="center"/>
              <w:rPr>
                <w:rFonts w:ascii="仿宋_GB2312" w:hAnsi="宋体" w:eastAsia="仿宋_GB2312" w:cs="宋体"/>
                <w:color w:val="000000"/>
                <w:szCs w:val="21"/>
              </w:rPr>
            </w:pPr>
          </w:p>
        </w:tc>
        <w:tc>
          <w:tcPr>
            <w:tcW w:w="1366" w:type="dxa"/>
            <w:vMerge w:val="continue"/>
            <w:shd w:val="clear" w:color="auto" w:fill="auto"/>
            <w:vAlign w:val="center"/>
          </w:tcPr>
          <w:p>
            <w:pPr>
              <w:spacing w:line="250" w:lineRule="exact"/>
              <w:jc w:val="center"/>
              <w:rPr>
                <w:rFonts w:ascii="仿宋_GB2312" w:hAnsi="宋体" w:eastAsia="仿宋_GB2312" w:cs="宋体"/>
                <w:color w:val="000000"/>
                <w:szCs w:val="21"/>
              </w:rPr>
            </w:pPr>
          </w:p>
        </w:tc>
        <w:tc>
          <w:tcPr>
            <w:tcW w:w="5766" w:type="dxa"/>
            <w:gridSpan w:val="2"/>
            <w:shd w:val="clear" w:color="auto" w:fill="auto"/>
            <w:vAlign w:val="center"/>
          </w:tcPr>
          <w:p>
            <w:pPr>
              <w:widowControl/>
              <w:spacing w:line="25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3岁以下儿童系统管理率</w:t>
            </w:r>
          </w:p>
        </w:tc>
        <w:tc>
          <w:tcPr>
            <w:tcW w:w="0" w:type="auto"/>
            <w:shd w:val="clear" w:color="auto" w:fill="auto"/>
            <w:vAlign w:val="center"/>
          </w:tcPr>
          <w:p>
            <w:pPr>
              <w:widowControl/>
              <w:spacing w:line="25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≥80%</w:t>
            </w:r>
          </w:p>
        </w:tc>
        <w:tc>
          <w:tcPr>
            <w:tcW w:w="0" w:type="auto"/>
            <w:shd w:val="clear" w:color="auto" w:fill="auto"/>
            <w:vAlign w:val="center"/>
          </w:tcPr>
          <w:p>
            <w:pPr>
              <w:widowControl/>
              <w:spacing w:line="25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91.82%</w:t>
            </w:r>
          </w:p>
        </w:tc>
        <w:tc>
          <w:tcPr>
            <w:tcW w:w="0" w:type="auto"/>
            <w:shd w:val="clear" w:color="auto" w:fill="auto"/>
            <w:vAlign w:val="center"/>
          </w:tcPr>
          <w:p>
            <w:pPr>
              <w:spacing w:line="250" w:lineRule="exact"/>
              <w:jc w:val="center"/>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357" w:hRule="atLeast"/>
          <w:jc w:val="center"/>
        </w:trPr>
        <w:tc>
          <w:tcPr>
            <w:tcW w:w="1009" w:type="dxa"/>
            <w:vMerge w:val="continue"/>
            <w:shd w:val="clear" w:color="auto" w:fill="auto"/>
            <w:textDirection w:val="tbRlV"/>
            <w:vAlign w:val="center"/>
          </w:tcPr>
          <w:p>
            <w:pPr>
              <w:jc w:val="center"/>
              <w:rPr>
                <w:rFonts w:ascii="仿宋_GB2312" w:hAnsi="宋体" w:eastAsia="仿宋_GB2312" w:cs="宋体"/>
                <w:color w:val="000000"/>
                <w:szCs w:val="21"/>
              </w:rPr>
            </w:pPr>
          </w:p>
        </w:tc>
        <w:tc>
          <w:tcPr>
            <w:tcW w:w="767" w:type="dxa"/>
            <w:vMerge w:val="continue"/>
            <w:shd w:val="clear" w:color="auto" w:fill="auto"/>
            <w:vAlign w:val="center"/>
          </w:tcPr>
          <w:p>
            <w:pPr>
              <w:spacing w:line="250" w:lineRule="exact"/>
              <w:jc w:val="center"/>
              <w:rPr>
                <w:rFonts w:ascii="仿宋_GB2312" w:hAnsi="宋体" w:eastAsia="仿宋_GB2312" w:cs="宋体"/>
                <w:color w:val="000000"/>
                <w:szCs w:val="21"/>
              </w:rPr>
            </w:pPr>
          </w:p>
        </w:tc>
        <w:tc>
          <w:tcPr>
            <w:tcW w:w="1366" w:type="dxa"/>
            <w:vMerge w:val="continue"/>
            <w:shd w:val="clear" w:color="auto" w:fill="auto"/>
            <w:vAlign w:val="center"/>
          </w:tcPr>
          <w:p>
            <w:pPr>
              <w:spacing w:line="250" w:lineRule="exact"/>
              <w:jc w:val="center"/>
              <w:rPr>
                <w:rFonts w:ascii="仿宋_GB2312" w:hAnsi="宋体" w:eastAsia="仿宋_GB2312" w:cs="宋体"/>
                <w:color w:val="000000"/>
                <w:szCs w:val="21"/>
              </w:rPr>
            </w:pPr>
          </w:p>
        </w:tc>
        <w:tc>
          <w:tcPr>
            <w:tcW w:w="5766" w:type="dxa"/>
            <w:gridSpan w:val="2"/>
            <w:shd w:val="clear" w:color="auto" w:fill="auto"/>
            <w:vAlign w:val="center"/>
          </w:tcPr>
          <w:p>
            <w:pPr>
              <w:widowControl/>
              <w:spacing w:line="25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高血压患者管理人数</w:t>
            </w:r>
          </w:p>
        </w:tc>
        <w:tc>
          <w:tcPr>
            <w:tcW w:w="0" w:type="auto"/>
            <w:shd w:val="clear" w:color="auto" w:fill="auto"/>
            <w:vAlign w:val="center"/>
          </w:tcPr>
          <w:p>
            <w:pPr>
              <w:widowControl/>
              <w:spacing w:line="25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30803人</w:t>
            </w:r>
          </w:p>
        </w:tc>
        <w:tc>
          <w:tcPr>
            <w:tcW w:w="0" w:type="auto"/>
            <w:shd w:val="clear" w:color="auto" w:fill="auto"/>
            <w:vAlign w:val="center"/>
          </w:tcPr>
          <w:p>
            <w:pPr>
              <w:widowControl/>
              <w:spacing w:line="25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34837人</w:t>
            </w:r>
          </w:p>
        </w:tc>
        <w:tc>
          <w:tcPr>
            <w:tcW w:w="0" w:type="auto"/>
            <w:shd w:val="clear" w:color="auto" w:fill="auto"/>
            <w:vAlign w:val="center"/>
          </w:tcPr>
          <w:p>
            <w:pPr>
              <w:spacing w:line="250" w:lineRule="exact"/>
              <w:jc w:val="center"/>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357" w:hRule="atLeast"/>
          <w:jc w:val="center"/>
        </w:trPr>
        <w:tc>
          <w:tcPr>
            <w:tcW w:w="1009" w:type="dxa"/>
            <w:vMerge w:val="continue"/>
            <w:shd w:val="clear" w:color="auto" w:fill="auto"/>
            <w:textDirection w:val="tbRlV"/>
            <w:vAlign w:val="center"/>
          </w:tcPr>
          <w:p>
            <w:pPr>
              <w:jc w:val="center"/>
              <w:rPr>
                <w:rFonts w:ascii="仿宋_GB2312" w:hAnsi="宋体" w:eastAsia="仿宋_GB2312" w:cs="宋体"/>
                <w:color w:val="000000"/>
                <w:szCs w:val="21"/>
              </w:rPr>
            </w:pPr>
          </w:p>
        </w:tc>
        <w:tc>
          <w:tcPr>
            <w:tcW w:w="767" w:type="dxa"/>
            <w:vMerge w:val="continue"/>
            <w:shd w:val="clear" w:color="auto" w:fill="auto"/>
            <w:vAlign w:val="center"/>
          </w:tcPr>
          <w:p>
            <w:pPr>
              <w:spacing w:line="250" w:lineRule="exact"/>
              <w:jc w:val="center"/>
              <w:rPr>
                <w:rFonts w:ascii="仿宋_GB2312" w:hAnsi="宋体" w:eastAsia="仿宋_GB2312" w:cs="宋体"/>
                <w:color w:val="000000"/>
                <w:szCs w:val="21"/>
              </w:rPr>
            </w:pPr>
          </w:p>
        </w:tc>
        <w:tc>
          <w:tcPr>
            <w:tcW w:w="1366" w:type="dxa"/>
            <w:vMerge w:val="continue"/>
            <w:shd w:val="clear" w:color="auto" w:fill="auto"/>
            <w:vAlign w:val="center"/>
          </w:tcPr>
          <w:p>
            <w:pPr>
              <w:spacing w:line="250" w:lineRule="exact"/>
              <w:jc w:val="center"/>
              <w:rPr>
                <w:rFonts w:ascii="仿宋_GB2312" w:hAnsi="宋体" w:eastAsia="仿宋_GB2312" w:cs="宋体"/>
                <w:color w:val="000000"/>
                <w:szCs w:val="21"/>
              </w:rPr>
            </w:pPr>
          </w:p>
        </w:tc>
        <w:tc>
          <w:tcPr>
            <w:tcW w:w="5766" w:type="dxa"/>
            <w:gridSpan w:val="2"/>
            <w:shd w:val="clear" w:color="auto" w:fill="auto"/>
            <w:vAlign w:val="center"/>
          </w:tcPr>
          <w:p>
            <w:pPr>
              <w:widowControl/>
              <w:spacing w:line="25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2型糖尿病患者管理人数</w:t>
            </w:r>
          </w:p>
        </w:tc>
        <w:tc>
          <w:tcPr>
            <w:tcW w:w="0" w:type="auto"/>
            <w:shd w:val="clear" w:color="auto" w:fill="auto"/>
            <w:vAlign w:val="center"/>
          </w:tcPr>
          <w:p>
            <w:pPr>
              <w:widowControl/>
              <w:spacing w:line="25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9195人</w:t>
            </w:r>
          </w:p>
        </w:tc>
        <w:tc>
          <w:tcPr>
            <w:tcW w:w="0" w:type="auto"/>
            <w:shd w:val="clear" w:color="auto" w:fill="auto"/>
            <w:vAlign w:val="center"/>
          </w:tcPr>
          <w:p>
            <w:pPr>
              <w:widowControl/>
              <w:spacing w:line="25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10045人</w:t>
            </w:r>
          </w:p>
        </w:tc>
        <w:tc>
          <w:tcPr>
            <w:tcW w:w="0" w:type="auto"/>
            <w:shd w:val="clear" w:color="auto" w:fill="auto"/>
            <w:vAlign w:val="center"/>
          </w:tcPr>
          <w:p>
            <w:pPr>
              <w:spacing w:line="250" w:lineRule="exact"/>
              <w:jc w:val="center"/>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357" w:hRule="atLeast"/>
          <w:jc w:val="center"/>
        </w:trPr>
        <w:tc>
          <w:tcPr>
            <w:tcW w:w="1009" w:type="dxa"/>
            <w:vMerge w:val="continue"/>
            <w:shd w:val="clear" w:color="auto" w:fill="auto"/>
            <w:textDirection w:val="tbRlV"/>
            <w:vAlign w:val="center"/>
          </w:tcPr>
          <w:p>
            <w:pPr>
              <w:jc w:val="center"/>
              <w:rPr>
                <w:rFonts w:ascii="仿宋_GB2312" w:hAnsi="宋体" w:eastAsia="仿宋_GB2312" w:cs="宋体"/>
                <w:color w:val="000000"/>
                <w:szCs w:val="21"/>
              </w:rPr>
            </w:pPr>
          </w:p>
        </w:tc>
        <w:tc>
          <w:tcPr>
            <w:tcW w:w="767" w:type="dxa"/>
            <w:vMerge w:val="continue"/>
            <w:shd w:val="clear" w:color="auto" w:fill="auto"/>
            <w:vAlign w:val="center"/>
          </w:tcPr>
          <w:p>
            <w:pPr>
              <w:spacing w:line="250" w:lineRule="exact"/>
              <w:jc w:val="center"/>
              <w:rPr>
                <w:rFonts w:ascii="仿宋_GB2312" w:hAnsi="宋体" w:eastAsia="仿宋_GB2312" w:cs="宋体"/>
                <w:color w:val="000000"/>
                <w:szCs w:val="21"/>
              </w:rPr>
            </w:pPr>
          </w:p>
        </w:tc>
        <w:tc>
          <w:tcPr>
            <w:tcW w:w="1366" w:type="dxa"/>
            <w:vMerge w:val="continue"/>
            <w:shd w:val="clear" w:color="auto" w:fill="auto"/>
            <w:vAlign w:val="center"/>
          </w:tcPr>
          <w:p>
            <w:pPr>
              <w:spacing w:line="250" w:lineRule="exact"/>
              <w:jc w:val="center"/>
              <w:rPr>
                <w:rFonts w:ascii="仿宋_GB2312" w:hAnsi="宋体" w:eastAsia="仿宋_GB2312" w:cs="宋体"/>
                <w:color w:val="000000"/>
                <w:szCs w:val="21"/>
              </w:rPr>
            </w:pPr>
          </w:p>
        </w:tc>
        <w:tc>
          <w:tcPr>
            <w:tcW w:w="5766" w:type="dxa"/>
            <w:gridSpan w:val="2"/>
            <w:shd w:val="clear" w:color="auto" w:fill="auto"/>
            <w:vAlign w:val="center"/>
          </w:tcPr>
          <w:p>
            <w:pPr>
              <w:widowControl/>
              <w:spacing w:line="25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地方病核心指标监测率</w:t>
            </w:r>
          </w:p>
        </w:tc>
        <w:tc>
          <w:tcPr>
            <w:tcW w:w="0" w:type="auto"/>
            <w:shd w:val="clear" w:color="auto" w:fill="auto"/>
            <w:noWrap/>
            <w:vAlign w:val="center"/>
          </w:tcPr>
          <w:p>
            <w:pPr>
              <w:widowControl/>
              <w:spacing w:line="25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w:t>
            </w:r>
            <w:r>
              <w:rPr>
                <w:rStyle w:val="39"/>
                <w:rFonts w:hint="default" w:ascii="仿宋_GB2312" w:eastAsia="仿宋_GB2312"/>
                <w:sz w:val="21"/>
                <w:szCs w:val="21"/>
              </w:rPr>
              <w:t>90%</w:t>
            </w:r>
          </w:p>
        </w:tc>
        <w:tc>
          <w:tcPr>
            <w:tcW w:w="0" w:type="auto"/>
            <w:shd w:val="clear" w:color="auto" w:fill="auto"/>
            <w:vAlign w:val="center"/>
          </w:tcPr>
          <w:p>
            <w:pPr>
              <w:widowControl/>
              <w:spacing w:line="25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95%</w:t>
            </w:r>
          </w:p>
        </w:tc>
        <w:tc>
          <w:tcPr>
            <w:tcW w:w="0" w:type="auto"/>
            <w:shd w:val="clear" w:color="auto" w:fill="auto"/>
            <w:vAlign w:val="center"/>
          </w:tcPr>
          <w:p>
            <w:pPr>
              <w:spacing w:line="250" w:lineRule="exact"/>
              <w:jc w:val="center"/>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357" w:hRule="atLeast"/>
          <w:jc w:val="center"/>
        </w:trPr>
        <w:tc>
          <w:tcPr>
            <w:tcW w:w="1009" w:type="dxa"/>
            <w:vMerge w:val="continue"/>
            <w:shd w:val="clear" w:color="auto" w:fill="auto"/>
            <w:textDirection w:val="tbRlV"/>
            <w:vAlign w:val="center"/>
          </w:tcPr>
          <w:p>
            <w:pPr>
              <w:jc w:val="center"/>
              <w:rPr>
                <w:rFonts w:ascii="仿宋_GB2312" w:hAnsi="宋体" w:eastAsia="仿宋_GB2312" w:cs="宋体"/>
                <w:color w:val="000000"/>
                <w:szCs w:val="21"/>
              </w:rPr>
            </w:pPr>
          </w:p>
        </w:tc>
        <w:tc>
          <w:tcPr>
            <w:tcW w:w="767" w:type="dxa"/>
            <w:vMerge w:val="continue"/>
            <w:shd w:val="clear" w:color="auto" w:fill="auto"/>
            <w:vAlign w:val="center"/>
          </w:tcPr>
          <w:p>
            <w:pPr>
              <w:spacing w:line="250" w:lineRule="exact"/>
              <w:jc w:val="center"/>
              <w:rPr>
                <w:rFonts w:ascii="仿宋_GB2312" w:hAnsi="宋体" w:eastAsia="仿宋_GB2312" w:cs="宋体"/>
                <w:color w:val="000000"/>
                <w:szCs w:val="21"/>
              </w:rPr>
            </w:pPr>
          </w:p>
        </w:tc>
        <w:tc>
          <w:tcPr>
            <w:tcW w:w="1366" w:type="dxa"/>
            <w:vMerge w:val="continue"/>
            <w:shd w:val="clear" w:color="auto" w:fill="auto"/>
            <w:vAlign w:val="center"/>
          </w:tcPr>
          <w:p>
            <w:pPr>
              <w:spacing w:line="250" w:lineRule="exact"/>
              <w:jc w:val="center"/>
              <w:rPr>
                <w:rFonts w:ascii="仿宋_GB2312" w:hAnsi="宋体" w:eastAsia="仿宋_GB2312" w:cs="宋体"/>
                <w:color w:val="000000"/>
                <w:szCs w:val="21"/>
              </w:rPr>
            </w:pPr>
          </w:p>
        </w:tc>
        <w:tc>
          <w:tcPr>
            <w:tcW w:w="5766" w:type="dxa"/>
            <w:gridSpan w:val="2"/>
            <w:shd w:val="clear" w:color="auto" w:fill="auto"/>
            <w:vAlign w:val="center"/>
          </w:tcPr>
          <w:p>
            <w:pPr>
              <w:widowControl/>
              <w:spacing w:line="25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职业健康核心指标监测区县覆盖率</w:t>
            </w:r>
          </w:p>
        </w:tc>
        <w:tc>
          <w:tcPr>
            <w:tcW w:w="0" w:type="auto"/>
            <w:shd w:val="clear" w:color="auto" w:fill="auto"/>
            <w:vAlign w:val="center"/>
          </w:tcPr>
          <w:p>
            <w:pPr>
              <w:widowControl/>
              <w:spacing w:line="25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≥92%</w:t>
            </w:r>
          </w:p>
        </w:tc>
        <w:tc>
          <w:tcPr>
            <w:tcW w:w="0" w:type="auto"/>
            <w:shd w:val="clear" w:color="auto" w:fill="auto"/>
            <w:vAlign w:val="center"/>
          </w:tcPr>
          <w:p>
            <w:pPr>
              <w:widowControl/>
              <w:spacing w:line="25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95%</w:t>
            </w:r>
          </w:p>
        </w:tc>
        <w:tc>
          <w:tcPr>
            <w:tcW w:w="0" w:type="auto"/>
            <w:shd w:val="clear" w:color="auto" w:fill="auto"/>
            <w:vAlign w:val="center"/>
          </w:tcPr>
          <w:p>
            <w:pPr>
              <w:spacing w:line="250" w:lineRule="exact"/>
              <w:jc w:val="center"/>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357" w:hRule="atLeast"/>
          <w:jc w:val="center"/>
        </w:trPr>
        <w:tc>
          <w:tcPr>
            <w:tcW w:w="1009" w:type="dxa"/>
            <w:vMerge w:val="continue"/>
            <w:shd w:val="clear" w:color="auto" w:fill="auto"/>
            <w:textDirection w:val="tbRlV"/>
            <w:vAlign w:val="center"/>
          </w:tcPr>
          <w:p>
            <w:pPr>
              <w:jc w:val="center"/>
              <w:rPr>
                <w:rFonts w:ascii="仿宋_GB2312" w:hAnsi="宋体" w:eastAsia="仿宋_GB2312" w:cs="宋体"/>
                <w:color w:val="000000"/>
                <w:szCs w:val="21"/>
              </w:rPr>
            </w:pPr>
          </w:p>
        </w:tc>
        <w:tc>
          <w:tcPr>
            <w:tcW w:w="767" w:type="dxa"/>
            <w:vMerge w:val="continue"/>
            <w:shd w:val="clear" w:color="auto" w:fill="auto"/>
            <w:vAlign w:val="center"/>
          </w:tcPr>
          <w:p>
            <w:pPr>
              <w:spacing w:line="250" w:lineRule="exact"/>
              <w:jc w:val="center"/>
              <w:rPr>
                <w:rFonts w:ascii="仿宋_GB2312" w:hAnsi="宋体" w:eastAsia="仿宋_GB2312" w:cs="宋体"/>
                <w:color w:val="000000"/>
                <w:szCs w:val="21"/>
              </w:rPr>
            </w:pPr>
          </w:p>
        </w:tc>
        <w:tc>
          <w:tcPr>
            <w:tcW w:w="1366" w:type="dxa"/>
            <w:vMerge w:val="continue"/>
            <w:shd w:val="clear" w:color="auto" w:fill="auto"/>
            <w:vAlign w:val="center"/>
          </w:tcPr>
          <w:p>
            <w:pPr>
              <w:spacing w:line="250" w:lineRule="exact"/>
              <w:jc w:val="center"/>
              <w:rPr>
                <w:rFonts w:ascii="仿宋_GB2312" w:hAnsi="宋体" w:eastAsia="仿宋_GB2312" w:cs="宋体"/>
                <w:color w:val="000000"/>
                <w:szCs w:val="21"/>
              </w:rPr>
            </w:pPr>
          </w:p>
        </w:tc>
        <w:tc>
          <w:tcPr>
            <w:tcW w:w="5766" w:type="dxa"/>
            <w:gridSpan w:val="2"/>
            <w:shd w:val="clear" w:color="auto" w:fill="auto"/>
            <w:vAlign w:val="center"/>
          </w:tcPr>
          <w:p>
            <w:pPr>
              <w:widowControl/>
              <w:spacing w:line="25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肺结核患者管理率</w:t>
            </w:r>
          </w:p>
        </w:tc>
        <w:tc>
          <w:tcPr>
            <w:tcW w:w="0" w:type="auto"/>
            <w:shd w:val="clear" w:color="auto" w:fill="auto"/>
            <w:vAlign w:val="center"/>
          </w:tcPr>
          <w:p>
            <w:pPr>
              <w:widowControl/>
              <w:spacing w:line="25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≥90%</w:t>
            </w:r>
          </w:p>
        </w:tc>
        <w:tc>
          <w:tcPr>
            <w:tcW w:w="0" w:type="auto"/>
            <w:shd w:val="clear" w:color="auto" w:fill="auto"/>
            <w:vAlign w:val="center"/>
          </w:tcPr>
          <w:p>
            <w:pPr>
              <w:widowControl/>
              <w:spacing w:line="25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100.00%</w:t>
            </w:r>
          </w:p>
        </w:tc>
        <w:tc>
          <w:tcPr>
            <w:tcW w:w="0" w:type="auto"/>
            <w:shd w:val="clear" w:color="auto" w:fill="auto"/>
            <w:vAlign w:val="center"/>
          </w:tcPr>
          <w:p>
            <w:pPr>
              <w:spacing w:line="250" w:lineRule="exact"/>
              <w:jc w:val="center"/>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357" w:hRule="atLeast"/>
          <w:jc w:val="center"/>
        </w:trPr>
        <w:tc>
          <w:tcPr>
            <w:tcW w:w="1009" w:type="dxa"/>
            <w:vMerge w:val="continue"/>
            <w:shd w:val="clear" w:color="auto" w:fill="auto"/>
            <w:textDirection w:val="tbRlV"/>
            <w:vAlign w:val="center"/>
          </w:tcPr>
          <w:p>
            <w:pPr>
              <w:jc w:val="center"/>
              <w:rPr>
                <w:rFonts w:ascii="仿宋_GB2312" w:hAnsi="宋体" w:eastAsia="仿宋_GB2312" w:cs="宋体"/>
                <w:color w:val="000000"/>
                <w:szCs w:val="21"/>
              </w:rPr>
            </w:pPr>
          </w:p>
        </w:tc>
        <w:tc>
          <w:tcPr>
            <w:tcW w:w="767" w:type="dxa"/>
            <w:vMerge w:val="continue"/>
            <w:shd w:val="clear" w:color="auto" w:fill="auto"/>
            <w:vAlign w:val="center"/>
          </w:tcPr>
          <w:p>
            <w:pPr>
              <w:spacing w:line="250" w:lineRule="exact"/>
              <w:jc w:val="center"/>
              <w:rPr>
                <w:rFonts w:ascii="仿宋_GB2312" w:hAnsi="宋体" w:eastAsia="仿宋_GB2312" w:cs="宋体"/>
                <w:color w:val="000000"/>
                <w:szCs w:val="21"/>
              </w:rPr>
            </w:pPr>
          </w:p>
        </w:tc>
        <w:tc>
          <w:tcPr>
            <w:tcW w:w="1366" w:type="dxa"/>
            <w:vMerge w:val="continue"/>
            <w:shd w:val="clear" w:color="auto" w:fill="auto"/>
            <w:vAlign w:val="center"/>
          </w:tcPr>
          <w:p>
            <w:pPr>
              <w:spacing w:line="250" w:lineRule="exact"/>
              <w:jc w:val="center"/>
              <w:rPr>
                <w:rFonts w:ascii="仿宋_GB2312" w:hAnsi="宋体" w:eastAsia="仿宋_GB2312" w:cs="宋体"/>
                <w:color w:val="000000"/>
                <w:szCs w:val="21"/>
              </w:rPr>
            </w:pPr>
          </w:p>
        </w:tc>
        <w:tc>
          <w:tcPr>
            <w:tcW w:w="5766" w:type="dxa"/>
            <w:gridSpan w:val="2"/>
            <w:shd w:val="clear" w:color="auto" w:fill="auto"/>
            <w:vAlign w:val="center"/>
          </w:tcPr>
          <w:p>
            <w:pPr>
              <w:widowControl/>
              <w:spacing w:line="25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社区在册居家严重精神障碍患者健康管理率</w:t>
            </w:r>
          </w:p>
        </w:tc>
        <w:tc>
          <w:tcPr>
            <w:tcW w:w="0" w:type="auto"/>
            <w:shd w:val="clear" w:color="auto" w:fill="auto"/>
            <w:vAlign w:val="center"/>
          </w:tcPr>
          <w:p>
            <w:pPr>
              <w:widowControl/>
              <w:spacing w:line="25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≥80%</w:t>
            </w:r>
          </w:p>
        </w:tc>
        <w:tc>
          <w:tcPr>
            <w:tcW w:w="0" w:type="auto"/>
            <w:shd w:val="clear" w:color="auto" w:fill="auto"/>
            <w:vAlign w:val="center"/>
          </w:tcPr>
          <w:p>
            <w:pPr>
              <w:widowControl/>
              <w:spacing w:line="25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98.94%</w:t>
            </w:r>
          </w:p>
        </w:tc>
        <w:tc>
          <w:tcPr>
            <w:tcW w:w="0" w:type="auto"/>
            <w:shd w:val="clear" w:color="auto" w:fill="auto"/>
            <w:vAlign w:val="center"/>
          </w:tcPr>
          <w:p>
            <w:pPr>
              <w:spacing w:line="250" w:lineRule="exact"/>
              <w:jc w:val="center"/>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357" w:hRule="atLeast"/>
          <w:jc w:val="center"/>
        </w:trPr>
        <w:tc>
          <w:tcPr>
            <w:tcW w:w="1009" w:type="dxa"/>
            <w:vMerge w:val="continue"/>
            <w:shd w:val="clear" w:color="auto" w:fill="auto"/>
            <w:textDirection w:val="tbRlV"/>
            <w:vAlign w:val="center"/>
          </w:tcPr>
          <w:p>
            <w:pPr>
              <w:jc w:val="center"/>
              <w:rPr>
                <w:rFonts w:ascii="仿宋_GB2312" w:hAnsi="宋体" w:eastAsia="仿宋_GB2312" w:cs="宋体"/>
                <w:color w:val="000000"/>
                <w:szCs w:val="21"/>
              </w:rPr>
            </w:pPr>
          </w:p>
        </w:tc>
        <w:tc>
          <w:tcPr>
            <w:tcW w:w="767" w:type="dxa"/>
            <w:vMerge w:val="continue"/>
            <w:shd w:val="clear" w:color="auto" w:fill="auto"/>
            <w:vAlign w:val="center"/>
          </w:tcPr>
          <w:p>
            <w:pPr>
              <w:spacing w:line="250" w:lineRule="exact"/>
              <w:jc w:val="center"/>
              <w:rPr>
                <w:rFonts w:ascii="仿宋_GB2312" w:hAnsi="宋体" w:eastAsia="仿宋_GB2312" w:cs="宋体"/>
                <w:color w:val="000000"/>
                <w:szCs w:val="21"/>
              </w:rPr>
            </w:pPr>
          </w:p>
        </w:tc>
        <w:tc>
          <w:tcPr>
            <w:tcW w:w="1366" w:type="dxa"/>
            <w:vMerge w:val="continue"/>
            <w:shd w:val="clear" w:color="auto" w:fill="auto"/>
            <w:vAlign w:val="center"/>
          </w:tcPr>
          <w:p>
            <w:pPr>
              <w:spacing w:line="250" w:lineRule="exact"/>
              <w:jc w:val="center"/>
              <w:rPr>
                <w:rFonts w:ascii="仿宋_GB2312" w:hAnsi="宋体" w:eastAsia="仿宋_GB2312" w:cs="宋体"/>
                <w:color w:val="000000"/>
                <w:szCs w:val="21"/>
              </w:rPr>
            </w:pPr>
          </w:p>
        </w:tc>
        <w:tc>
          <w:tcPr>
            <w:tcW w:w="5766" w:type="dxa"/>
            <w:gridSpan w:val="2"/>
            <w:shd w:val="clear" w:color="auto" w:fill="auto"/>
            <w:vAlign w:val="center"/>
          </w:tcPr>
          <w:p>
            <w:pPr>
              <w:widowControl/>
              <w:spacing w:line="25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儿童中医药健康管理率</w:t>
            </w:r>
          </w:p>
        </w:tc>
        <w:tc>
          <w:tcPr>
            <w:tcW w:w="0" w:type="auto"/>
            <w:shd w:val="clear" w:color="auto" w:fill="auto"/>
            <w:vAlign w:val="center"/>
          </w:tcPr>
          <w:p>
            <w:pPr>
              <w:widowControl/>
              <w:spacing w:line="25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≥65%</w:t>
            </w:r>
          </w:p>
        </w:tc>
        <w:tc>
          <w:tcPr>
            <w:tcW w:w="0" w:type="auto"/>
            <w:shd w:val="clear" w:color="auto" w:fill="auto"/>
            <w:vAlign w:val="center"/>
          </w:tcPr>
          <w:p>
            <w:pPr>
              <w:widowControl/>
              <w:spacing w:line="25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89.63%</w:t>
            </w:r>
          </w:p>
        </w:tc>
        <w:tc>
          <w:tcPr>
            <w:tcW w:w="0" w:type="auto"/>
            <w:shd w:val="clear" w:color="auto" w:fill="auto"/>
            <w:vAlign w:val="center"/>
          </w:tcPr>
          <w:p>
            <w:pPr>
              <w:spacing w:line="250" w:lineRule="exact"/>
              <w:jc w:val="center"/>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357" w:hRule="atLeast"/>
          <w:jc w:val="center"/>
        </w:trPr>
        <w:tc>
          <w:tcPr>
            <w:tcW w:w="1009" w:type="dxa"/>
            <w:vMerge w:val="continue"/>
            <w:shd w:val="clear" w:color="auto" w:fill="auto"/>
            <w:textDirection w:val="tbRlV"/>
            <w:vAlign w:val="center"/>
          </w:tcPr>
          <w:p>
            <w:pPr>
              <w:jc w:val="center"/>
              <w:rPr>
                <w:rFonts w:ascii="仿宋_GB2312" w:hAnsi="宋体" w:eastAsia="仿宋_GB2312" w:cs="宋体"/>
                <w:color w:val="000000"/>
                <w:szCs w:val="21"/>
              </w:rPr>
            </w:pPr>
          </w:p>
        </w:tc>
        <w:tc>
          <w:tcPr>
            <w:tcW w:w="767" w:type="dxa"/>
            <w:vMerge w:val="continue"/>
            <w:shd w:val="clear" w:color="auto" w:fill="auto"/>
            <w:vAlign w:val="center"/>
          </w:tcPr>
          <w:p>
            <w:pPr>
              <w:spacing w:line="250" w:lineRule="exact"/>
              <w:jc w:val="center"/>
              <w:rPr>
                <w:rFonts w:ascii="仿宋_GB2312" w:hAnsi="宋体" w:eastAsia="仿宋_GB2312" w:cs="宋体"/>
                <w:color w:val="000000"/>
                <w:szCs w:val="21"/>
              </w:rPr>
            </w:pPr>
          </w:p>
        </w:tc>
        <w:tc>
          <w:tcPr>
            <w:tcW w:w="1366" w:type="dxa"/>
            <w:vMerge w:val="continue"/>
            <w:shd w:val="clear" w:color="auto" w:fill="auto"/>
            <w:vAlign w:val="center"/>
          </w:tcPr>
          <w:p>
            <w:pPr>
              <w:spacing w:line="250" w:lineRule="exact"/>
              <w:jc w:val="center"/>
              <w:rPr>
                <w:rFonts w:ascii="仿宋_GB2312" w:hAnsi="宋体" w:eastAsia="仿宋_GB2312" w:cs="宋体"/>
                <w:color w:val="000000"/>
                <w:szCs w:val="21"/>
              </w:rPr>
            </w:pPr>
          </w:p>
        </w:tc>
        <w:tc>
          <w:tcPr>
            <w:tcW w:w="5766" w:type="dxa"/>
            <w:gridSpan w:val="2"/>
            <w:shd w:val="clear" w:color="auto" w:fill="auto"/>
            <w:vAlign w:val="center"/>
          </w:tcPr>
          <w:p>
            <w:pPr>
              <w:widowControl/>
              <w:spacing w:line="25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老年人中医药健康管理率</w:t>
            </w:r>
          </w:p>
        </w:tc>
        <w:tc>
          <w:tcPr>
            <w:tcW w:w="0" w:type="auto"/>
            <w:shd w:val="clear" w:color="auto" w:fill="auto"/>
            <w:vAlign w:val="center"/>
          </w:tcPr>
          <w:p>
            <w:pPr>
              <w:widowControl/>
              <w:spacing w:line="25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≥65%</w:t>
            </w:r>
          </w:p>
        </w:tc>
        <w:tc>
          <w:tcPr>
            <w:tcW w:w="0" w:type="auto"/>
            <w:shd w:val="clear" w:color="auto" w:fill="auto"/>
            <w:vAlign w:val="center"/>
          </w:tcPr>
          <w:p>
            <w:pPr>
              <w:widowControl/>
              <w:spacing w:line="25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68.68%</w:t>
            </w:r>
          </w:p>
        </w:tc>
        <w:tc>
          <w:tcPr>
            <w:tcW w:w="0" w:type="auto"/>
            <w:shd w:val="clear" w:color="auto" w:fill="auto"/>
            <w:vAlign w:val="center"/>
          </w:tcPr>
          <w:p>
            <w:pPr>
              <w:spacing w:line="250" w:lineRule="exact"/>
              <w:jc w:val="center"/>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357" w:hRule="atLeast"/>
          <w:jc w:val="center"/>
        </w:trPr>
        <w:tc>
          <w:tcPr>
            <w:tcW w:w="1009" w:type="dxa"/>
            <w:vMerge w:val="continue"/>
            <w:shd w:val="clear" w:color="auto" w:fill="auto"/>
            <w:textDirection w:val="tbRlV"/>
            <w:vAlign w:val="center"/>
          </w:tcPr>
          <w:p>
            <w:pPr>
              <w:jc w:val="center"/>
              <w:rPr>
                <w:rFonts w:ascii="仿宋_GB2312" w:hAnsi="宋体" w:eastAsia="仿宋_GB2312" w:cs="宋体"/>
                <w:color w:val="000000"/>
                <w:szCs w:val="21"/>
              </w:rPr>
            </w:pPr>
          </w:p>
        </w:tc>
        <w:tc>
          <w:tcPr>
            <w:tcW w:w="767" w:type="dxa"/>
            <w:vMerge w:val="continue"/>
            <w:shd w:val="clear" w:color="auto" w:fill="auto"/>
            <w:vAlign w:val="center"/>
          </w:tcPr>
          <w:p>
            <w:pPr>
              <w:spacing w:line="250" w:lineRule="exact"/>
              <w:jc w:val="center"/>
              <w:rPr>
                <w:rFonts w:ascii="仿宋_GB2312" w:hAnsi="宋体" w:eastAsia="仿宋_GB2312" w:cs="宋体"/>
                <w:color w:val="000000"/>
                <w:szCs w:val="21"/>
              </w:rPr>
            </w:pPr>
          </w:p>
        </w:tc>
        <w:tc>
          <w:tcPr>
            <w:tcW w:w="1366" w:type="dxa"/>
            <w:vMerge w:val="continue"/>
            <w:shd w:val="clear" w:color="auto" w:fill="auto"/>
            <w:vAlign w:val="center"/>
          </w:tcPr>
          <w:p>
            <w:pPr>
              <w:spacing w:line="250" w:lineRule="exact"/>
              <w:jc w:val="center"/>
              <w:rPr>
                <w:rFonts w:ascii="仿宋_GB2312" w:hAnsi="宋体" w:eastAsia="仿宋_GB2312" w:cs="宋体"/>
                <w:color w:val="000000"/>
                <w:szCs w:val="21"/>
              </w:rPr>
            </w:pPr>
          </w:p>
        </w:tc>
        <w:tc>
          <w:tcPr>
            <w:tcW w:w="5766" w:type="dxa"/>
            <w:gridSpan w:val="2"/>
            <w:shd w:val="clear" w:color="auto" w:fill="auto"/>
            <w:vAlign w:val="center"/>
          </w:tcPr>
          <w:p>
            <w:pPr>
              <w:widowControl/>
              <w:spacing w:line="25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卫生监督协管各专业每年巡查（访）2次完成率</w:t>
            </w:r>
          </w:p>
        </w:tc>
        <w:tc>
          <w:tcPr>
            <w:tcW w:w="0" w:type="auto"/>
            <w:shd w:val="clear" w:color="auto" w:fill="auto"/>
            <w:vAlign w:val="center"/>
          </w:tcPr>
          <w:p>
            <w:pPr>
              <w:widowControl/>
              <w:spacing w:line="25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≥90%</w:t>
            </w:r>
          </w:p>
        </w:tc>
        <w:tc>
          <w:tcPr>
            <w:tcW w:w="0" w:type="auto"/>
            <w:shd w:val="clear" w:color="auto" w:fill="auto"/>
            <w:vAlign w:val="center"/>
          </w:tcPr>
          <w:p>
            <w:pPr>
              <w:widowControl/>
              <w:spacing w:line="25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100.00%</w:t>
            </w:r>
          </w:p>
        </w:tc>
        <w:tc>
          <w:tcPr>
            <w:tcW w:w="0" w:type="auto"/>
            <w:shd w:val="clear" w:color="auto" w:fill="auto"/>
            <w:vAlign w:val="center"/>
          </w:tcPr>
          <w:p>
            <w:pPr>
              <w:spacing w:line="250" w:lineRule="exact"/>
              <w:jc w:val="center"/>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357" w:hRule="atLeast"/>
          <w:jc w:val="center"/>
        </w:trPr>
        <w:tc>
          <w:tcPr>
            <w:tcW w:w="1009" w:type="dxa"/>
            <w:vMerge w:val="continue"/>
            <w:shd w:val="clear" w:color="auto" w:fill="auto"/>
            <w:textDirection w:val="tbRlV"/>
            <w:vAlign w:val="center"/>
          </w:tcPr>
          <w:p>
            <w:pPr>
              <w:jc w:val="center"/>
              <w:rPr>
                <w:rFonts w:ascii="仿宋_GB2312" w:hAnsi="宋体" w:eastAsia="仿宋_GB2312" w:cs="宋体"/>
                <w:color w:val="000000"/>
                <w:szCs w:val="21"/>
              </w:rPr>
            </w:pPr>
          </w:p>
        </w:tc>
        <w:tc>
          <w:tcPr>
            <w:tcW w:w="767" w:type="dxa"/>
            <w:vMerge w:val="continue"/>
            <w:shd w:val="clear" w:color="auto" w:fill="auto"/>
            <w:vAlign w:val="center"/>
          </w:tcPr>
          <w:p>
            <w:pPr>
              <w:spacing w:line="250" w:lineRule="exact"/>
              <w:jc w:val="center"/>
              <w:rPr>
                <w:rFonts w:ascii="仿宋_GB2312" w:hAnsi="宋体" w:eastAsia="仿宋_GB2312" w:cs="宋体"/>
                <w:color w:val="000000"/>
                <w:szCs w:val="21"/>
              </w:rPr>
            </w:pPr>
          </w:p>
        </w:tc>
        <w:tc>
          <w:tcPr>
            <w:tcW w:w="1366" w:type="dxa"/>
            <w:vMerge w:val="continue"/>
            <w:shd w:val="clear" w:color="auto" w:fill="auto"/>
            <w:vAlign w:val="center"/>
          </w:tcPr>
          <w:p>
            <w:pPr>
              <w:spacing w:line="250" w:lineRule="exact"/>
              <w:jc w:val="center"/>
              <w:rPr>
                <w:rFonts w:ascii="仿宋_GB2312" w:hAnsi="宋体" w:eastAsia="仿宋_GB2312" w:cs="宋体"/>
                <w:color w:val="000000"/>
                <w:szCs w:val="21"/>
              </w:rPr>
            </w:pPr>
          </w:p>
        </w:tc>
        <w:tc>
          <w:tcPr>
            <w:tcW w:w="5766" w:type="dxa"/>
            <w:gridSpan w:val="2"/>
            <w:shd w:val="clear" w:color="auto" w:fill="auto"/>
            <w:vAlign w:val="center"/>
          </w:tcPr>
          <w:p>
            <w:pPr>
              <w:widowControl/>
              <w:spacing w:line="250" w:lineRule="exact"/>
              <w:ind w:left="-105" w:leftChars="-50" w:right="-105" w:rightChars="-50"/>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贫困地区儿童营养改善项目脱贫县覆盖率</w:t>
            </w:r>
          </w:p>
        </w:tc>
        <w:tc>
          <w:tcPr>
            <w:tcW w:w="0" w:type="auto"/>
            <w:shd w:val="clear" w:color="auto" w:fill="auto"/>
            <w:vAlign w:val="center"/>
          </w:tcPr>
          <w:p>
            <w:pPr>
              <w:widowControl/>
              <w:spacing w:line="25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0" w:type="auto"/>
            <w:shd w:val="clear" w:color="auto" w:fill="auto"/>
            <w:vAlign w:val="center"/>
          </w:tcPr>
          <w:p>
            <w:pPr>
              <w:widowControl/>
              <w:spacing w:line="25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100.00%</w:t>
            </w:r>
          </w:p>
        </w:tc>
        <w:tc>
          <w:tcPr>
            <w:tcW w:w="0" w:type="auto"/>
            <w:shd w:val="clear" w:color="auto" w:fill="auto"/>
            <w:vAlign w:val="center"/>
          </w:tcPr>
          <w:p>
            <w:pPr>
              <w:spacing w:line="250" w:lineRule="exact"/>
              <w:jc w:val="center"/>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357" w:hRule="atLeast"/>
          <w:jc w:val="center"/>
        </w:trPr>
        <w:tc>
          <w:tcPr>
            <w:tcW w:w="1009" w:type="dxa"/>
            <w:vMerge w:val="continue"/>
            <w:shd w:val="clear" w:color="auto" w:fill="auto"/>
            <w:textDirection w:val="tbRlV"/>
            <w:vAlign w:val="center"/>
          </w:tcPr>
          <w:p>
            <w:pPr>
              <w:jc w:val="center"/>
              <w:rPr>
                <w:rFonts w:ascii="仿宋_GB2312" w:hAnsi="宋体" w:eastAsia="仿宋_GB2312" w:cs="宋体"/>
                <w:color w:val="000000"/>
                <w:szCs w:val="21"/>
              </w:rPr>
            </w:pPr>
          </w:p>
        </w:tc>
        <w:tc>
          <w:tcPr>
            <w:tcW w:w="767" w:type="dxa"/>
            <w:vMerge w:val="continue"/>
            <w:shd w:val="clear" w:color="auto" w:fill="auto"/>
            <w:vAlign w:val="center"/>
          </w:tcPr>
          <w:p>
            <w:pPr>
              <w:spacing w:line="250" w:lineRule="exact"/>
              <w:jc w:val="center"/>
              <w:rPr>
                <w:rFonts w:ascii="仿宋_GB2312" w:hAnsi="宋体" w:eastAsia="仿宋_GB2312" w:cs="宋体"/>
                <w:color w:val="000000"/>
                <w:szCs w:val="21"/>
              </w:rPr>
            </w:pPr>
          </w:p>
        </w:tc>
        <w:tc>
          <w:tcPr>
            <w:tcW w:w="1366" w:type="dxa"/>
            <w:vMerge w:val="continue"/>
            <w:shd w:val="clear" w:color="auto" w:fill="auto"/>
            <w:vAlign w:val="center"/>
          </w:tcPr>
          <w:p>
            <w:pPr>
              <w:spacing w:line="250" w:lineRule="exact"/>
              <w:jc w:val="center"/>
              <w:rPr>
                <w:rFonts w:ascii="仿宋_GB2312" w:hAnsi="宋体" w:eastAsia="仿宋_GB2312" w:cs="宋体"/>
                <w:color w:val="000000"/>
                <w:szCs w:val="21"/>
              </w:rPr>
            </w:pPr>
          </w:p>
        </w:tc>
        <w:tc>
          <w:tcPr>
            <w:tcW w:w="5766" w:type="dxa"/>
            <w:gridSpan w:val="2"/>
            <w:shd w:val="clear" w:color="auto" w:fill="auto"/>
            <w:vAlign w:val="center"/>
          </w:tcPr>
          <w:p>
            <w:pPr>
              <w:widowControl/>
              <w:spacing w:line="25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目标人群叶酸服用率</w:t>
            </w:r>
          </w:p>
        </w:tc>
        <w:tc>
          <w:tcPr>
            <w:tcW w:w="0" w:type="auto"/>
            <w:shd w:val="clear" w:color="auto" w:fill="auto"/>
            <w:vAlign w:val="center"/>
          </w:tcPr>
          <w:p>
            <w:pPr>
              <w:widowControl/>
              <w:spacing w:line="25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≥90%</w:t>
            </w:r>
          </w:p>
        </w:tc>
        <w:tc>
          <w:tcPr>
            <w:tcW w:w="0" w:type="auto"/>
            <w:shd w:val="clear" w:color="auto" w:fill="auto"/>
            <w:vAlign w:val="center"/>
          </w:tcPr>
          <w:p>
            <w:pPr>
              <w:widowControl/>
              <w:spacing w:line="25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98.98%</w:t>
            </w:r>
          </w:p>
        </w:tc>
        <w:tc>
          <w:tcPr>
            <w:tcW w:w="0" w:type="auto"/>
            <w:shd w:val="clear" w:color="auto" w:fill="auto"/>
            <w:vAlign w:val="center"/>
          </w:tcPr>
          <w:p>
            <w:pPr>
              <w:spacing w:line="250" w:lineRule="exact"/>
              <w:jc w:val="center"/>
              <w:rPr>
                <w:rFonts w:ascii="仿宋_GB2312" w:hAnsi="宋体" w:eastAsia="仿宋_GB2312" w:cs="宋体"/>
                <w:color w:val="FF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357" w:hRule="atLeast"/>
          <w:jc w:val="center"/>
        </w:trPr>
        <w:tc>
          <w:tcPr>
            <w:tcW w:w="1009" w:type="dxa"/>
            <w:vMerge w:val="continue"/>
            <w:shd w:val="clear" w:color="auto" w:fill="auto"/>
            <w:textDirection w:val="tbRlV"/>
            <w:vAlign w:val="center"/>
          </w:tcPr>
          <w:p>
            <w:pPr>
              <w:jc w:val="center"/>
              <w:rPr>
                <w:rFonts w:ascii="仿宋_GB2312" w:hAnsi="宋体" w:eastAsia="仿宋_GB2312" w:cs="宋体"/>
                <w:color w:val="000000"/>
                <w:szCs w:val="21"/>
              </w:rPr>
            </w:pPr>
          </w:p>
        </w:tc>
        <w:tc>
          <w:tcPr>
            <w:tcW w:w="767" w:type="dxa"/>
            <w:vMerge w:val="continue"/>
            <w:shd w:val="clear" w:color="auto" w:fill="auto"/>
            <w:vAlign w:val="center"/>
          </w:tcPr>
          <w:p>
            <w:pPr>
              <w:spacing w:line="250" w:lineRule="exact"/>
              <w:jc w:val="center"/>
              <w:rPr>
                <w:rFonts w:ascii="仿宋_GB2312" w:hAnsi="宋体" w:eastAsia="仿宋_GB2312" w:cs="宋体"/>
                <w:color w:val="000000"/>
                <w:szCs w:val="21"/>
              </w:rPr>
            </w:pPr>
          </w:p>
        </w:tc>
        <w:tc>
          <w:tcPr>
            <w:tcW w:w="1366" w:type="dxa"/>
            <w:vMerge w:val="continue"/>
            <w:shd w:val="clear" w:color="auto" w:fill="auto"/>
            <w:vAlign w:val="center"/>
          </w:tcPr>
          <w:p>
            <w:pPr>
              <w:spacing w:line="250" w:lineRule="exact"/>
              <w:jc w:val="center"/>
              <w:rPr>
                <w:rFonts w:ascii="仿宋_GB2312" w:hAnsi="宋体" w:eastAsia="仿宋_GB2312" w:cs="宋体"/>
                <w:color w:val="000000"/>
                <w:szCs w:val="21"/>
              </w:rPr>
            </w:pPr>
          </w:p>
        </w:tc>
        <w:tc>
          <w:tcPr>
            <w:tcW w:w="5766" w:type="dxa"/>
            <w:gridSpan w:val="2"/>
            <w:shd w:val="clear" w:color="auto" w:fill="auto"/>
            <w:vAlign w:val="center"/>
          </w:tcPr>
          <w:p>
            <w:pPr>
              <w:widowControl/>
              <w:spacing w:line="25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孕前优生健康检查目标人群覆盖率</w:t>
            </w:r>
          </w:p>
        </w:tc>
        <w:tc>
          <w:tcPr>
            <w:tcW w:w="0" w:type="auto"/>
            <w:shd w:val="clear" w:color="auto" w:fill="auto"/>
            <w:vAlign w:val="center"/>
          </w:tcPr>
          <w:p>
            <w:pPr>
              <w:widowControl/>
              <w:spacing w:line="25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≥80%</w:t>
            </w:r>
          </w:p>
        </w:tc>
        <w:tc>
          <w:tcPr>
            <w:tcW w:w="0" w:type="auto"/>
            <w:shd w:val="clear" w:color="auto" w:fill="auto"/>
            <w:vAlign w:val="center"/>
          </w:tcPr>
          <w:p>
            <w:pPr>
              <w:widowControl/>
              <w:spacing w:line="25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80.68%</w:t>
            </w:r>
          </w:p>
        </w:tc>
        <w:tc>
          <w:tcPr>
            <w:tcW w:w="0" w:type="auto"/>
            <w:shd w:val="clear" w:color="auto" w:fill="auto"/>
            <w:vAlign w:val="center"/>
          </w:tcPr>
          <w:p>
            <w:pPr>
              <w:spacing w:line="250" w:lineRule="exact"/>
              <w:jc w:val="center"/>
              <w:rPr>
                <w:rFonts w:ascii="仿宋_GB2312" w:hAnsi="宋体" w:eastAsia="仿宋_GB2312" w:cs="宋体"/>
                <w:color w:val="FF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357" w:hRule="atLeast"/>
          <w:jc w:val="center"/>
        </w:trPr>
        <w:tc>
          <w:tcPr>
            <w:tcW w:w="1009" w:type="dxa"/>
            <w:vMerge w:val="continue"/>
            <w:shd w:val="clear" w:color="auto" w:fill="auto"/>
            <w:textDirection w:val="tbRlV"/>
            <w:vAlign w:val="center"/>
          </w:tcPr>
          <w:p>
            <w:pPr>
              <w:jc w:val="center"/>
              <w:rPr>
                <w:rFonts w:ascii="仿宋_GB2312" w:hAnsi="宋体" w:eastAsia="仿宋_GB2312" w:cs="宋体"/>
                <w:color w:val="000000"/>
                <w:szCs w:val="21"/>
              </w:rPr>
            </w:pPr>
          </w:p>
        </w:tc>
        <w:tc>
          <w:tcPr>
            <w:tcW w:w="767" w:type="dxa"/>
            <w:vMerge w:val="continue"/>
            <w:shd w:val="clear" w:color="auto" w:fill="auto"/>
            <w:vAlign w:val="center"/>
          </w:tcPr>
          <w:p>
            <w:pPr>
              <w:spacing w:line="250" w:lineRule="exact"/>
              <w:jc w:val="center"/>
              <w:rPr>
                <w:rFonts w:ascii="仿宋_GB2312" w:hAnsi="宋体" w:eastAsia="仿宋_GB2312" w:cs="宋体"/>
                <w:color w:val="000000"/>
                <w:szCs w:val="21"/>
              </w:rPr>
            </w:pPr>
          </w:p>
        </w:tc>
        <w:tc>
          <w:tcPr>
            <w:tcW w:w="1366" w:type="dxa"/>
            <w:vMerge w:val="continue"/>
            <w:shd w:val="clear" w:color="auto" w:fill="auto"/>
            <w:vAlign w:val="center"/>
          </w:tcPr>
          <w:p>
            <w:pPr>
              <w:spacing w:line="250" w:lineRule="exact"/>
              <w:jc w:val="center"/>
              <w:rPr>
                <w:rFonts w:ascii="仿宋_GB2312" w:hAnsi="宋体" w:eastAsia="仿宋_GB2312" w:cs="宋体"/>
                <w:color w:val="000000"/>
                <w:szCs w:val="21"/>
              </w:rPr>
            </w:pPr>
          </w:p>
        </w:tc>
        <w:tc>
          <w:tcPr>
            <w:tcW w:w="5766" w:type="dxa"/>
            <w:gridSpan w:val="2"/>
            <w:shd w:val="clear" w:color="auto" w:fill="auto"/>
            <w:vAlign w:val="center"/>
          </w:tcPr>
          <w:p>
            <w:pPr>
              <w:widowControl/>
              <w:spacing w:line="25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项目地区新生儿两种遗传代谢病（PKU和CH）筛查率</w:t>
            </w:r>
          </w:p>
        </w:tc>
        <w:tc>
          <w:tcPr>
            <w:tcW w:w="0" w:type="auto"/>
            <w:shd w:val="clear" w:color="auto" w:fill="auto"/>
            <w:vAlign w:val="center"/>
          </w:tcPr>
          <w:p>
            <w:pPr>
              <w:widowControl/>
              <w:spacing w:line="25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≥95%</w:t>
            </w:r>
          </w:p>
        </w:tc>
        <w:tc>
          <w:tcPr>
            <w:tcW w:w="0" w:type="auto"/>
            <w:shd w:val="clear" w:color="auto" w:fill="auto"/>
            <w:vAlign w:val="center"/>
          </w:tcPr>
          <w:p>
            <w:pPr>
              <w:widowControl/>
              <w:spacing w:line="25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99.78%</w:t>
            </w:r>
          </w:p>
        </w:tc>
        <w:tc>
          <w:tcPr>
            <w:tcW w:w="0" w:type="auto"/>
            <w:shd w:val="clear" w:color="auto" w:fill="auto"/>
            <w:vAlign w:val="center"/>
          </w:tcPr>
          <w:p>
            <w:pPr>
              <w:spacing w:line="250" w:lineRule="exact"/>
              <w:jc w:val="center"/>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357" w:hRule="atLeast"/>
          <w:jc w:val="center"/>
        </w:trPr>
        <w:tc>
          <w:tcPr>
            <w:tcW w:w="1009" w:type="dxa"/>
            <w:vMerge w:val="continue"/>
            <w:shd w:val="clear" w:color="auto" w:fill="auto"/>
            <w:textDirection w:val="tbRlV"/>
            <w:vAlign w:val="center"/>
          </w:tcPr>
          <w:p>
            <w:pPr>
              <w:jc w:val="center"/>
              <w:rPr>
                <w:rFonts w:ascii="仿宋_GB2312" w:hAnsi="宋体" w:eastAsia="仿宋_GB2312" w:cs="宋体"/>
                <w:color w:val="000000"/>
                <w:szCs w:val="21"/>
              </w:rPr>
            </w:pPr>
          </w:p>
        </w:tc>
        <w:tc>
          <w:tcPr>
            <w:tcW w:w="767" w:type="dxa"/>
            <w:vMerge w:val="continue"/>
            <w:shd w:val="clear" w:color="auto" w:fill="auto"/>
            <w:vAlign w:val="center"/>
          </w:tcPr>
          <w:p>
            <w:pPr>
              <w:spacing w:line="250" w:lineRule="exact"/>
              <w:jc w:val="center"/>
              <w:rPr>
                <w:rFonts w:ascii="仿宋_GB2312" w:hAnsi="宋体" w:eastAsia="仿宋_GB2312" w:cs="宋体"/>
                <w:color w:val="000000"/>
                <w:szCs w:val="21"/>
              </w:rPr>
            </w:pPr>
          </w:p>
        </w:tc>
        <w:tc>
          <w:tcPr>
            <w:tcW w:w="1366" w:type="dxa"/>
            <w:vMerge w:val="continue"/>
            <w:shd w:val="clear" w:color="auto" w:fill="auto"/>
            <w:vAlign w:val="center"/>
          </w:tcPr>
          <w:p>
            <w:pPr>
              <w:spacing w:line="250" w:lineRule="exact"/>
              <w:jc w:val="center"/>
              <w:rPr>
                <w:rFonts w:ascii="仿宋_GB2312" w:hAnsi="宋体" w:eastAsia="仿宋_GB2312" w:cs="宋体"/>
                <w:color w:val="000000"/>
                <w:szCs w:val="21"/>
              </w:rPr>
            </w:pPr>
          </w:p>
        </w:tc>
        <w:tc>
          <w:tcPr>
            <w:tcW w:w="5766" w:type="dxa"/>
            <w:gridSpan w:val="2"/>
            <w:shd w:val="clear" w:color="auto" w:fill="auto"/>
            <w:vAlign w:val="center"/>
          </w:tcPr>
          <w:p>
            <w:pPr>
              <w:widowControl/>
              <w:spacing w:line="25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项目地区新生儿听力筛查率</w:t>
            </w:r>
          </w:p>
        </w:tc>
        <w:tc>
          <w:tcPr>
            <w:tcW w:w="0" w:type="auto"/>
            <w:shd w:val="clear" w:color="auto" w:fill="auto"/>
            <w:vAlign w:val="center"/>
          </w:tcPr>
          <w:p>
            <w:pPr>
              <w:widowControl/>
              <w:spacing w:line="25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≥85%</w:t>
            </w:r>
          </w:p>
        </w:tc>
        <w:tc>
          <w:tcPr>
            <w:tcW w:w="0" w:type="auto"/>
            <w:shd w:val="clear" w:color="auto" w:fill="auto"/>
            <w:vAlign w:val="center"/>
          </w:tcPr>
          <w:p>
            <w:pPr>
              <w:widowControl/>
              <w:spacing w:line="25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96.88%</w:t>
            </w:r>
          </w:p>
        </w:tc>
        <w:tc>
          <w:tcPr>
            <w:tcW w:w="0" w:type="auto"/>
            <w:shd w:val="clear" w:color="auto" w:fill="auto"/>
            <w:vAlign w:val="center"/>
          </w:tcPr>
          <w:p>
            <w:pPr>
              <w:spacing w:line="250" w:lineRule="exact"/>
              <w:jc w:val="center"/>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357" w:hRule="atLeast"/>
          <w:jc w:val="center"/>
        </w:trPr>
        <w:tc>
          <w:tcPr>
            <w:tcW w:w="1009" w:type="dxa"/>
            <w:vMerge w:val="continue"/>
            <w:shd w:val="clear" w:color="auto" w:fill="auto"/>
            <w:textDirection w:val="tbRlV"/>
            <w:vAlign w:val="center"/>
          </w:tcPr>
          <w:p>
            <w:pPr>
              <w:jc w:val="center"/>
              <w:rPr>
                <w:rFonts w:ascii="仿宋_GB2312" w:hAnsi="宋体" w:eastAsia="仿宋_GB2312" w:cs="宋体"/>
                <w:color w:val="000000"/>
                <w:szCs w:val="21"/>
              </w:rPr>
            </w:pPr>
          </w:p>
        </w:tc>
        <w:tc>
          <w:tcPr>
            <w:tcW w:w="767" w:type="dxa"/>
            <w:vMerge w:val="continue"/>
            <w:shd w:val="clear" w:color="auto" w:fill="auto"/>
            <w:vAlign w:val="center"/>
          </w:tcPr>
          <w:p>
            <w:pPr>
              <w:spacing w:line="250" w:lineRule="exact"/>
              <w:jc w:val="center"/>
              <w:rPr>
                <w:rFonts w:ascii="仿宋_GB2312" w:hAnsi="宋体" w:eastAsia="仿宋_GB2312" w:cs="宋体"/>
                <w:color w:val="000000"/>
                <w:szCs w:val="21"/>
              </w:rPr>
            </w:pPr>
          </w:p>
        </w:tc>
        <w:tc>
          <w:tcPr>
            <w:tcW w:w="1366" w:type="dxa"/>
            <w:vMerge w:val="continue"/>
            <w:shd w:val="clear" w:color="auto" w:fill="auto"/>
            <w:vAlign w:val="center"/>
          </w:tcPr>
          <w:p>
            <w:pPr>
              <w:spacing w:line="250" w:lineRule="exact"/>
              <w:jc w:val="center"/>
              <w:rPr>
                <w:rFonts w:ascii="仿宋_GB2312" w:hAnsi="宋体" w:eastAsia="仿宋_GB2312" w:cs="宋体"/>
                <w:color w:val="000000"/>
                <w:szCs w:val="21"/>
              </w:rPr>
            </w:pPr>
          </w:p>
        </w:tc>
        <w:tc>
          <w:tcPr>
            <w:tcW w:w="5766" w:type="dxa"/>
            <w:gridSpan w:val="2"/>
            <w:shd w:val="clear" w:color="auto" w:fill="auto"/>
            <w:vAlign w:val="center"/>
          </w:tcPr>
          <w:p>
            <w:pPr>
              <w:widowControl/>
              <w:spacing w:line="25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农村妇女“两癌”检查目标任务完成率</w:t>
            </w:r>
          </w:p>
        </w:tc>
        <w:tc>
          <w:tcPr>
            <w:tcW w:w="0" w:type="auto"/>
            <w:shd w:val="clear" w:color="auto" w:fill="auto"/>
            <w:vAlign w:val="center"/>
          </w:tcPr>
          <w:p>
            <w:pPr>
              <w:widowControl/>
              <w:spacing w:line="25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0" w:type="auto"/>
            <w:shd w:val="clear" w:color="auto" w:fill="auto"/>
            <w:vAlign w:val="center"/>
          </w:tcPr>
          <w:p>
            <w:pPr>
              <w:widowControl/>
              <w:spacing w:line="25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110.64%</w:t>
            </w:r>
          </w:p>
        </w:tc>
        <w:tc>
          <w:tcPr>
            <w:tcW w:w="0" w:type="auto"/>
            <w:shd w:val="clear" w:color="auto" w:fill="auto"/>
            <w:vAlign w:val="center"/>
          </w:tcPr>
          <w:p>
            <w:pPr>
              <w:spacing w:line="250" w:lineRule="exact"/>
              <w:jc w:val="center"/>
              <w:rPr>
                <w:rFonts w:ascii="仿宋_GB2312" w:hAnsi="宋体" w:eastAsia="仿宋_GB2312" w:cs="宋体"/>
                <w:color w:val="FF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357" w:hRule="atLeast"/>
          <w:jc w:val="center"/>
        </w:trPr>
        <w:tc>
          <w:tcPr>
            <w:tcW w:w="1009" w:type="dxa"/>
            <w:vMerge w:val="continue"/>
            <w:shd w:val="clear" w:color="auto" w:fill="auto"/>
            <w:textDirection w:val="tbRlV"/>
            <w:vAlign w:val="center"/>
          </w:tcPr>
          <w:p>
            <w:pPr>
              <w:jc w:val="center"/>
              <w:rPr>
                <w:rFonts w:ascii="仿宋_GB2312" w:hAnsi="宋体" w:eastAsia="仿宋_GB2312" w:cs="宋体"/>
                <w:color w:val="000000"/>
                <w:szCs w:val="21"/>
              </w:rPr>
            </w:pPr>
          </w:p>
        </w:tc>
        <w:tc>
          <w:tcPr>
            <w:tcW w:w="767" w:type="dxa"/>
            <w:vMerge w:val="continue"/>
            <w:shd w:val="clear" w:color="auto" w:fill="auto"/>
            <w:vAlign w:val="center"/>
          </w:tcPr>
          <w:p>
            <w:pPr>
              <w:spacing w:line="250" w:lineRule="exact"/>
              <w:jc w:val="center"/>
              <w:rPr>
                <w:rFonts w:ascii="仿宋_GB2312" w:hAnsi="宋体" w:eastAsia="仿宋_GB2312" w:cs="宋体"/>
                <w:color w:val="000000"/>
                <w:szCs w:val="21"/>
              </w:rPr>
            </w:pPr>
          </w:p>
        </w:tc>
        <w:tc>
          <w:tcPr>
            <w:tcW w:w="1366" w:type="dxa"/>
            <w:vMerge w:val="continue"/>
            <w:shd w:val="clear" w:color="auto" w:fill="auto"/>
            <w:vAlign w:val="center"/>
          </w:tcPr>
          <w:p>
            <w:pPr>
              <w:spacing w:line="250" w:lineRule="exact"/>
              <w:jc w:val="center"/>
              <w:rPr>
                <w:rFonts w:ascii="仿宋_GB2312" w:hAnsi="宋体" w:eastAsia="仿宋_GB2312" w:cs="宋体"/>
                <w:color w:val="000000"/>
                <w:szCs w:val="21"/>
              </w:rPr>
            </w:pPr>
          </w:p>
        </w:tc>
        <w:tc>
          <w:tcPr>
            <w:tcW w:w="5766" w:type="dxa"/>
            <w:gridSpan w:val="2"/>
            <w:shd w:val="clear" w:color="auto" w:fill="auto"/>
            <w:vAlign w:val="center"/>
          </w:tcPr>
          <w:p>
            <w:pPr>
              <w:widowControl/>
              <w:spacing w:line="25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65岁以上失能老年人健康服务率</w:t>
            </w:r>
          </w:p>
        </w:tc>
        <w:tc>
          <w:tcPr>
            <w:tcW w:w="0" w:type="auto"/>
            <w:shd w:val="clear" w:color="auto" w:fill="auto"/>
            <w:vAlign w:val="center"/>
          </w:tcPr>
          <w:p>
            <w:pPr>
              <w:widowControl/>
              <w:spacing w:line="25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≥18%</w:t>
            </w:r>
          </w:p>
        </w:tc>
        <w:tc>
          <w:tcPr>
            <w:tcW w:w="0" w:type="auto"/>
            <w:shd w:val="clear" w:color="auto" w:fill="auto"/>
            <w:vAlign w:val="center"/>
          </w:tcPr>
          <w:p>
            <w:pPr>
              <w:widowControl/>
              <w:spacing w:line="25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21.00%</w:t>
            </w:r>
          </w:p>
        </w:tc>
        <w:tc>
          <w:tcPr>
            <w:tcW w:w="0" w:type="auto"/>
            <w:shd w:val="clear" w:color="auto" w:fill="auto"/>
            <w:vAlign w:val="center"/>
          </w:tcPr>
          <w:p>
            <w:pPr>
              <w:spacing w:line="250" w:lineRule="exact"/>
              <w:jc w:val="center"/>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1009" w:type="dxa"/>
            <w:vMerge w:val="continue"/>
            <w:shd w:val="clear" w:color="auto" w:fill="auto"/>
            <w:textDirection w:val="tbRlV"/>
            <w:vAlign w:val="center"/>
          </w:tcPr>
          <w:p>
            <w:pPr>
              <w:jc w:val="center"/>
              <w:rPr>
                <w:rFonts w:ascii="仿宋_GB2312" w:hAnsi="宋体" w:eastAsia="仿宋_GB2312" w:cs="宋体"/>
                <w:color w:val="000000"/>
                <w:szCs w:val="21"/>
              </w:rPr>
            </w:pPr>
          </w:p>
        </w:tc>
        <w:tc>
          <w:tcPr>
            <w:tcW w:w="767" w:type="dxa"/>
            <w:vMerge w:val="continue"/>
            <w:shd w:val="clear" w:color="auto" w:fill="auto"/>
            <w:vAlign w:val="center"/>
          </w:tcPr>
          <w:p>
            <w:pPr>
              <w:jc w:val="center"/>
              <w:rPr>
                <w:rFonts w:ascii="仿宋_GB2312" w:hAnsi="宋体" w:eastAsia="仿宋_GB2312" w:cs="宋体"/>
                <w:color w:val="000000"/>
                <w:szCs w:val="21"/>
              </w:rPr>
            </w:pPr>
          </w:p>
        </w:tc>
        <w:tc>
          <w:tcPr>
            <w:tcW w:w="1366" w:type="dxa"/>
            <w:vMerge w:val="restart"/>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质量指标</w:t>
            </w:r>
          </w:p>
        </w:tc>
        <w:tc>
          <w:tcPr>
            <w:tcW w:w="5766" w:type="dxa"/>
            <w:gridSpan w:val="2"/>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居民规范化电子健康档案覆盖率</w:t>
            </w:r>
          </w:p>
        </w:tc>
        <w:tc>
          <w:tcPr>
            <w:tcW w:w="0" w:type="auto"/>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≥60%</w:t>
            </w:r>
          </w:p>
        </w:tc>
        <w:tc>
          <w:tcPr>
            <w:tcW w:w="0" w:type="auto"/>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94.76</w:t>
            </w:r>
          </w:p>
        </w:tc>
        <w:tc>
          <w:tcPr>
            <w:tcW w:w="0" w:type="auto"/>
            <w:shd w:val="clear" w:color="auto" w:fill="auto"/>
            <w:vAlign w:val="center"/>
          </w:tcPr>
          <w:p>
            <w:pPr>
              <w:spacing w:line="240" w:lineRule="exact"/>
              <w:jc w:val="center"/>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1009" w:type="dxa"/>
            <w:vMerge w:val="continue"/>
            <w:shd w:val="clear" w:color="auto" w:fill="auto"/>
            <w:textDirection w:val="tbRlV"/>
            <w:vAlign w:val="center"/>
          </w:tcPr>
          <w:p>
            <w:pPr>
              <w:jc w:val="center"/>
              <w:rPr>
                <w:rFonts w:ascii="仿宋_GB2312" w:hAnsi="宋体" w:eastAsia="仿宋_GB2312" w:cs="宋体"/>
                <w:color w:val="000000"/>
                <w:szCs w:val="21"/>
              </w:rPr>
            </w:pPr>
          </w:p>
        </w:tc>
        <w:tc>
          <w:tcPr>
            <w:tcW w:w="767" w:type="dxa"/>
            <w:vMerge w:val="continue"/>
            <w:shd w:val="clear" w:color="auto" w:fill="auto"/>
            <w:vAlign w:val="center"/>
          </w:tcPr>
          <w:p>
            <w:pPr>
              <w:jc w:val="center"/>
              <w:rPr>
                <w:rFonts w:ascii="仿宋_GB2312" w:hAnsi="宋体" w:eastAsia="仿宋_GB2312" w:cs="宋体"/>
                <w:color w:val="000000"/>
                <w:szCs w:val="21"/>
              </w:rPr>
            </w:pPr>
          </w:p>
        </w:tc>
        <w:tc>
          <w:tcPr>
            <w:tcW w:w="1366"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5766" w:type="dxa"/>
            <w:gridSpan w:val="2"/>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高血压患者基层规范管理服务率</w:t>
            </w:r>
          </w:p>
        </w:tc>
        <w:tc>
          <w:tcPr>
            <w:tcW w:w="0" w:type="auto"/>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≥60%</w:t>
            </w:r>
          </w:p>
        </w:tc>
        <w:tc>
          <w:tcPr>
            <w:tcW w:w="0" w:type="auto"/>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82.89%</w:t>
            </w:r>
          </w:p>
        </w:tc>
        <w:tc>
          <w:tcPr>
            <w:tcW w:w="0" w:type="auto"/>
            <w:shd w:val="clear" w:color="auto" w:fill="auto"/>
            <w:vAlign w:val="center"/>
          </w:tcPr>
          <w:p>
            <w:pPr>
              <w:spacing w:line="240" w:lineRule="exact"/>
              <w:jc w:val="center"/>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1009" w:type="dxa"/>
            <w:vMerge w:val="continue"/>
            <w:shd w:val="clear" w:color="auto" w:fill="auto"/>
            <w:textDirection w:val="tbRlV"/>
            <w:vAlign w:val="center"/>
          </w:tcPr>
          <w:p>
            <w:pPr>
              <w:jc w:val="center"/>
              <w:rPr>
                <w:rFonts w:ascii="仿宋_GB2312" w:hAnsi="宋体" w:eastAsia="仿宋_GB2312" w:cs="宋体"/>
                <w:color w:val="000000"/>
                <w:szCs w:val="21"/>
              </w:rPr>
            </w:pPr>
          </w:p>
        </w:tc>
        <w:tc>
          <w:tcPr>
            <w:tcW w:w="767" w:type="dxa"/>
            <w:vMerge w:val="continue"/>
            <w:shd w:val="clear" w:color="auto" w:fill="auto"/>
            <w:vAlign w:val="center"/>
          </w:tcPr>
          <w:p>
            <w:pPr>
              <w:jc w:val="center"/>
              <w:rPr>
                <w:rFonts w:ascii="仿宋_GB2312" w:hAnsi="宋体" w:eastAsia="仿宋_GB2312" w:cs="宋体"/>
                <w:color w:val="000000"/>
                <w:szCs w:val="21"/>
              </w:rPr>
            </w:pPr>
          </w:p>
        </w:tc>
        <w:tc>
          <w:tcPr>
            <w:tcW w:w="1366"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5766" w:type="dxa"/>
            <w:gridSpan w:val="2"/>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2型糖尿病患者基层规范管理服务率</w:t>
            </w:r>
          </w:p>
        </w:tc>
        <w:tc>
          <w:tcPr>
            <w:tcW w:w="0" w:type="auto"/>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≥60%</w:t>
            </w:r>
          </w:p>
        </w:tc>
        <w:tc>
          <w:tcPr>
            <w:tcW w:w="0" w:type="auto"/>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82.29%</w:t>
            </w:r>
          </w:p>
        </w:tc>
        <w:tc>
          <w:tcPr>
            <w:tcW w:w="0" w:type="auto"/>
            <w:shd w:val="clear" w:color="auto" w:fill="auto"/>
            <w:vAlign w:val="center"/>
          </w:tcPr>
          <w:p>
            <w:pPr>
              <w:spacing w:line="240" w:lineRule="exact"/>
              <w:jc w:val="center"/>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1009" w:type="dxa"/>
            <w:vMerge w:val="continue"/>
            <w:shd w:val="clear" w:color="auto" w:fill="auto"/>
            <w:textDirection w:val="tbRlV"/>
            <w:vAlign w:val="center"/>
          </w:tcPr>
          <w:p>
            <w:pPr>
              <w:jc w:val="center"/>
              <w:rPr>
                <w:rFonts w:ascii="仿宋_GB2312" w:hAnsi="宋体" w:eastAsia="仿宋_GB2312" w:cs="宋体"/>
                <w:color w:val="000000"/>
                <w:szCs w:val="21"/>
              </w:rPr>
            </w:pPr>
          </w:p>
        </w:tc>
        <w:tc>
          <w:tcPr>
            <w:tcW w:w="767" w:type="dxa"/>
            <w:vMerge w:val="continue"/>
            <w:shd w:val="clear" w:color="auto" w:fill="auto"/>
            <w:vAlign w:val="center"/>
          </w:tcPr>
          <w:p>
            <w:pPr>
              <w:jc w:val="center"/>
              <w:rPr>
                <w:rFonts w:ascii="仿宋_GB2312" w:hAnsi="宋体" w:eastAsia="仿宋_GB2312" w:cs="宋体"/>
                <w:color w:val="000000"/>
                <w:szCs w:val="21"/>
              </w:rPr>
            </w:pPr>
          </w:p>
        </w:tc>
        <w:tc>
          <w:tcPr>
            <w:tcW w:w="1366"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5766" w:type="dxa"/>
            <w:gridSpan w:val="2"/>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65岁及以上老年人城乡社区规范健康管理服务率</w:t>
            </w:r>
          </w:p>
        </w:tc>
        <w:tc>
          <w:tcPr>
            <w:tcW w:w="0" w:type="auto"/>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≥60%</w:t>
            </w:r>
          </w:p>
        </w:tc>
        <w:tc>
          <w:tcPr>
            <w:tcW w:w="0" w:type="auto"/>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64.35%</w:t>
            </w:r>
          </w:p>
        </w:tc>
        <w:tc>
          <w:tcPr>
            <w:tcW w:w="0" w:type="auto"/>
            <w:shd w:val="clear" w:color="auto" w:fill="auto"/>
            <w:vAlign w:val="center"/>
          </w:tcPr>
          <w:p>
            <w:pPr>
              <w:spacing w:line="240" w:lineRule="exact"/>
              <w:jc w:val="center"/>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1009" w:type="dxa"/>
            <w:vMerge w:val="continue"/>
            <w:shd w:val="clear" w:color="auto" w:fill="auto"/>
            <w:textDirection w:val="tbRlV"/>
            <w:vAlign w:val="center"/>
          </w:tcPr>
          <w:p>
            <w:pPr>
              <w:jc w:val="center"/>
              <w:rPr>
                <w:rFonts w:ascii="仿宋_GB2312" w:hAnsi="宋体" w:eastAsia="仿宋_GB2312" w:cs="宋体"/>
                <w:color w:val="000000"/>
                <w:szCs w:val="21"/>
              </w:rPr>
            </w:pPr>
          </w:p>
        </w:tc>
        <w:tc>
          <w:tcPr>
            <w:tcW w:w="767" w:type="dxa"/>
            <w:vMerge w:val="continue"/>
            <w:shd w:val="clear" w:color="auto" w:fill="auto"/>
            <w:vAlign w:val="center"/>
          </w:tcPr>
          <w:p>
            <w:pPr>
              <w:jc w:val="center"/>
              <w:rPr>
                <w:rFonts w:ascii="仿宋_GB2312" w:hAnsi="宋体" w:eastAsia="仿宋_GB2312" w:cs="宋体"/>
                <w:color w:val="000000"/>
                <w:szCs w:val="21"/>
              </w:rPr>
            </w:pPr>
          </w:p>
        </w:tc>
        <w:tc>
          <w:tcPr>
            <w:tcW w:w="1366"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5766" w:type="dxa"/>
            <w:gridSpan w:val="2"/>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传染病和突发公共卫生事件报告率</w:t>
            </w:r>
          </w:p>
        </w:tc>
        <w:tc>
          <w:tcPr>
            <w:tcW w:w="0" w:type="auto"/>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≥95%</w:t>
            </w:r>
          </w:p>
        </w:tc>
        <w:tc>
          <w:tcPr>
            <w:tcW w:w="0" w:type="auto"/>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100.00%</w:t>
            </w:r>
          </w:p>
        </w:tc>
        <w:tc>
          <w:tcPr>
            <w:tcW w:w="0" w:type="auto"/>
            <w:shd w:val="clear" w:color="auto" w:fill="auto"/>
            <w:vAlign w:val="center"/>
          </w:tcPr>
          <w:p>
            <w:pPr>
              <w:spacing w:line="240" w:lineRule="exact"/>
              <w:jc w:val="center"/>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1009" w:type="dxa"/>
            <w:vMerge w:val="continue"/>
            <w:shd w:val="clear" w:color="auto" w:fill="auto"/>
            <w:textDirection w:val="tbRlV"/>
            <w:vAlign w:val="center"/>
          </w:tcPr>
          <w:p>
            <w:pPr>
              <w:jc w:val="center"/>
              <w:rPr>
                <w:rFonts w:ascii="仿宋_GB2312" w:hAnsi="宋体" w:eastAsia="仿宋_GB2312" w:cs="宋体"/>
                <w:color w:val="000000"/>
                <w:szCs w:val="21"/>
              </w:rPr>
            </w:pPr>
          </w:p>
        </w:tc>
        <w:tc>
          <w:tcPr>
            <w:tcW w:w="767" w:type="dxa"/>
            <w:vMerge w:val="continue"/>
            <w:shd w:val="clear" w:color="auto" w:fill="auto"/>
            <w:vAlign w:val="center"/>
          </w:tcPr>
          <w:p>
            <w:pPr>
              <w:jc w:val="center"/>
              <w:rPr>
                <w:rFonts w:ascii="仿宋_GB2312" w:hAnsi="宋体" w:eastAsia="仿宋_GB2312" w:cs="宋体"/>
                <w:color w:val="000000"/>
                <w:szCs w:val="21"/>
              </w:rPr>
            </w:pPr>
          </w:p>
        </w:tc>
        <w:tc>
          <w:tcPr>
            <w:tcW w:w="1366"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5766" w:type="dxa"/>
            <w:gridSpan w:val="2"/>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严重精神障碍患者规范管理率</w:t>
            </w:r>
          </w:p>
        </w:tc>
        <w:tc>
          <w:tcPr>
            <w:tcW w:w="0" w:type="auto"/>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≥90%</w:t>
            </w:r>
          </w:p>
        </w:tc>
        <w:tc>
          <w:tcPr>
            <w:tcW w:w="0" w:type="auto"/>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98.19%</w:t>
            </w:r>
          </w:p>
        </w:tc>
        <w:tc>
          <w:tcPr>
            <w:tcW w:w="0" w:type="auto"/>
            <w:shd w:val="clear" w:color="auto" w:fill="auto"/>
            <w:vAlign w:val="center"/>
          </w:tcPr>
          <w:p>
            <w:pPr>
              <w:spacing w:line="240" w:lineRule="exact"/>
              <w:jc w:val="center"/>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1009" w:type="dxa"/>
            <w:vMerge w:val="continue"/>
            <w:shd w:val="clear" w:color="auto" w:fill="auto"/>
            <w:textDirection w:val="tbRlV"/>
            <w:vAlign w:val="center"/>
          </w:tcPr>
          <w:p>
            <w:pPr>
              <w:jc w:val="center"/>
              <w:rPr>
                <w:rFonts w:ascii="仿宋_GB2312" w:hAnsi="宋体" w:eastAsia="仿宋_GB2312" w:cs="宋体"/>
                <w:color w:val="000000"/>
                <w:szCs w:val="21"/>
              </w:rPr>
            </w:pPr>
          </w:p>
        </w:tc>
        <w:tc>
          <w:tcPr>
            <w:tcW w:w="767" w:type="dxa"/>
            <w:vMerge w:val="continue"/>
            <w:shd w:val="clear" w:color="auto" w:fill="auto"/>
            <w:vAlign w:val="center"/>
          </w:tcPr>
          <w:p>
            <w:pPr>
              <w:jc w:val="center"/>
              <w:rPr>
                <w:rFonts w:ascii="仿宋_GB2312" w:hAnsi="宋体" w:eastAsia="仿宋_GB2312" w:cs="宋体"/>
                <w:color w:val="000000"/>
                <w:szCs w:val="21"/>
              </w:rPr>
            </w:pPr>
          </w:p>
        </w:tc>
        <w:tc>
          <w:tcPr>
            <w:tcW w:w="1366"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5766" w:type="dxa"/>
            <w:gridSpan w:val="2"/>
            <w:shd w:val="clear" w:color="auto" w:fill="auto"/>
            <w:vAlign w:val="center"/>
          </w:tcPr>
          <w:p>
            <w:pPr>
              <w:spacing w:line="240" w:lineRule="exact"/>
              <w:jc w:val="center"/>
              <w:rPr>
                <w:rFonts w:ascii="仿宋_GB2312" w:hAnsi="宋体" w:eastAsia="仿宋_GB2312" w:cs="宋体"/>
                <w:color w:val="000000"/>
                <w:szCs w:val="21"/>
              </w:rPr>
            </w:pPr>
          </w:p>
        </w:tc>
        <w:tc>
          <w:tcPr>
            <w:tcW w:w="0" w:type="auto"/>
            <w:shd w:val="clear" w:color="auto" w:fill="auto"/>
            <w:vAlign w:val="center"/>
          </w:tcPr>
          <w:p>
            <w:pPr>
              <w:spacing w:line="240" w:lineRule="exact"/>
              <w:jc w:val="center"/>
              <w:rPr>
                <w:rFonts w:ascii="仿宋_GB2312" w:hAnsi="宋体" w:eastAsia="仿宋_GB2312" w:cs="宋体"/>
                <w:color w:val="000000"/>
                <w:szCs w:val="21"/>
              </w:rPr>
            </w:pPr>
          </w:p>
        </w:tc>
        <w:tc>
          <w:tcPr>
            <w:tcW w:w="0" w:type="auto"/>
            <w:shd w:val="clear" w:color="auto" w:fill="auto"/>
            <w:vAlign w:val="center"/>
          </w:tcPr>
          <w:p>
            <w:pPr>
              <w:spacing w:line="240" w:lineRule="exact"/>
              <w:rPr>
                <w:rFonts w:ascii="仿宋_GB2312" w:hAnsi="宋体" w:eastAsia="仿宋_GB2312" w:cs="宋体"/>
                <w:color w:val="000000"/>
                <w:szCs w:val="21"/>
              </w:rPr>
            </w:pPr>
          </w:p>
        </w:tc>
        <w:tc>
          <w:tcPr>
            <w:tcW w:w="0" w:type="auto"/>
            <w:shd w:val="clear" w:color="auto" w:fill="auto"/>
            <w:vAlign w:val="center"/>
          </w:tcPr>
          <w:p>
            <w:pPr>
              <w:spacing w:line="240" w:lineRule="exact"/>
              <w:jc w:val="center"/>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1009" w:type="dxa"/>
            <w:vMerge w:val="continue"/>
            <w:shd w:val="clear" w:color="auto" w:fill="auto"/>
            <w:textDirection w:val="tbRlV"/>
            <w:vAlign w:val="center"/>
          </w:tcPr>
          <w:p>
            <w:pPr>
              <w:jc w:val="center"/>
              <w:rPr>
                <w:rFonts w:ascii="仿宋_GB2312" w:hAnsi="宋体" w:eastAsia="仿宋_GB2312" w:cs="宋体"/>
                <w:color w:val="000000"/>
                <w:szCs w:val="21"/>
              </w:rPr>
            </w:pPr>
          </w:p>
        </w:tc>
        <w:tc>
          <w:tcPr>
            <w:tcW w:w="767" w:type="dxa"/>
            <w:vMerge w:val="restart"/>
            <w:shd w:val="clear" w:color="auto" w:fill="auto"/>
            <w:vAlign w:val="center"/>
          </w:tcPr>
          <w:p>
            <w:pPr>
              <w:widowControl/>
              <w:jc w:val="center"/>
              <w:textAlignment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效</w:t>
            </w:r>
          </w:p>
          <w:p>
            <w:pPr>
              <w:widowControl/>
              <w:jc w:val="center"/>
              <w:textAlignment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益</w:t>
            </w:r>
          </w:p>
          <w:p>
            <w:pPr>
              <w:widowControl/>
              <w:jc w:val="center"/>
              <w:textAlignment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指</w:t>
            </w:r>
          </w:p>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标</w:t>
            </w:r>
          </w:p>
        </w:tc>
        <w:tc>
          <w:tcPr>
            <w:tcW w:w="1366" w:type="dxa"/>
            <w:vMerge w:val="restart"/>
            <w:shd w:val="clear" w:color="auto" w:fill="auto"/>
            <w:vAlign w:val="center"/>
          </w:tcPr>
          <w:p>
            <w:pPr>
              <w:widowControl/>
              <w:spacing w:line="240" w:lineRule="exact"/>
              <w:jc w:val="center"/>
              <w:textAlignment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经济效益</w:t>
            </w:r>
          </w:p>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指标</w:t>
            </w:r>
          </w:p>
        </w:tc>
        <w:tc>
          <w:tcPr>
            <w:tcW w:w="5766" w:type="dxa"/>
            <w:gridSpan w:val="2"/>
            <w:shd w:val="clear" w:color="auto" w:fill="auto"/>
            <w:vAlign w:val="center"/>
          </w:tcPr>
          <w:p>
            <w:pPr>
              <w:spacing w:line="240" w:lineRule="exact"/>
              <w:jc w:val="center"/>
              <w:rPr>
                <w:rFonts w:ascii="仿宋_GB2312" w:hAnsi="宋体" w:eastAsia="仿宋_GB2312" w:cs="宋体"/>
                <w:color w:val="000000"/>
                <w:szCs w:val="21"/>
              </w:rPr>
            </w:pPr>
          </w:p>
        </w:tc>
        <w:tc>
          <w:tcPr>
            <w:tcW w:w="0" w:type="auto"/>
            <w:shd w:val="clear" w:color="auto" w:fill="auto"/>
            <w:vAlign w:val="center"/>
          </w:tcPr>
          <w:p>
            <w:pPr>
              <w:spacing w:line="240" w:lineRule="exact"/>
              <w:jc w:val="center"/>
              <w:rPr>
                <w:rFonts w:ascii="仿宋_GB2312" w:hAnsi="宋体" w:eastAsia="仿宋_GB2312" w:cs="宋体"/>
                <w:color w:val="000000"/>
                <w:szCs w:val="21"/>
              </w:rPr>
            </w:pPr>
          </w:p>
        </w:tc>
        <w:tc>
          <w:tcPr>
            <w:tcW w:w="0" w:type="auto"/>
            <w:shd w:val="clear" w:color="auto" w:fill="auto"/>
            <w:vAlign w:val="center"/>
          </w:tcPr>
          <w:p>
            <w:pPr>
              <w:spacing w:line="240" w:lineRule="exact"/>
              <w:rPr>
                <w:rFonts w:ascii="仿宋_GB2312" w:hAnsi="宋体" w:eastAsia="仿宋_GB2312" w:cs="宋体"/>
                <w:color w:val="000000"/>
                <w:szCs w:val="21"/>
              </w:rPr>
            </w:pPr>
          </w:p>
        </w:tc>
        <w:tc>
          <w:tcPr>
            <w:tcW w:w="0" w:type="auto"/>
            <w:shd w:val="clear" w:color="auto" w:fill="auto"/>
            <w:vAlign w:val="center"/>
          </w:tcPr>
          <w:p>
            <w:pPr>
              <w:spacing w:line="240" w:lineRule="exact"/>
              <w:jc w:val="center"/>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1009" w:type="dxa"/>
            <w:vMerge w:val="continue"/>
            <w:shd w:val="clear" w:color="auto" w:fill="auto"/>
            <w:textDirection w:val="tbRlV"/>
            <w:vAlign w:val="center"/>
          </w:tcPr>
          <w:p>
            <w:pPr>
              <w:jc w:val="center"/>
              <w:rPr>
                <w:rFonts w:ascii="仿宋_GB2312" w:hAnsi="宋体" w:eastAsia="仿宋_GB2312" w:cs="宋体"/>
                <w:color w:val="000000"/>
                <w:szCs w:val="21"/>
              </w:rPr>
            </w:pPr>
          </w:p>
        </w:tc>
        <w:tc>
          <w:tcPr>
            <w:tcW w:w="767" w:type="dxa"/>
            <w:vMerge w:val="continue"/>
            <w:shd w:val="clear" w:color="auto" w:fill="auto"/>
            <w:vAlign w:val="center"/>
          </w:tcPr>
          <w:p>
            <w:pPr>
              <w:jc w:val="center"/>
              <w:rPr>
                <w:rFonts w:ascii="仿宋_GB2312" w:hAnsi="宋体" w:eastAsia="仿宋_GB2312" w:cs="宋体"/>
                <w:color w:val="000000"/>
                <w:szCs w:val="21"/>
              </w:rPr>
            </w:pPr>
          </w:p>
        </w:tc>
        <w:tc>
          <w:tcPr>
            <w:tcW w:w="1366"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5766" w:type="dxa"/>
            <w:gridSpan w:val="2"/>
            <w:shd w:val="clear" w:color="auto" w:fill="auto"/>
            <w:vAlign w:val="center"/>
          </w:tcPr>
          <w:p>
            <w:pPr>
              <w:spacing w:line="240" w:lineRule="exact"/>
              <w:jc w:val="center"/>
              <w:rPr>
                <w:rFonts w:ascii="仿宋_GB2312" w:hAnsi="宋体" w:eastAsia="仿宋_GB2312" w:cs="宋体"/>
                <w:color w:val="000000"/>
                <w:szCs w:val="21"/>
              </w:rPr>
            </w:pPr>
          </w:p>
        </w:tc>
        <w:tc>
          <w:tcPr>
            <w:tcW w:w="0" w:type="auto"/>
            <w:shd w:val="clear" w:color="auto" w:fill="auto"/>
            <w:vAlign w:val="center"/>
          </w:tcPr>
          <w:p>
            <w:pPr>
              <w:spacing w:line="240" w:lineRule="exact"/>
              <w:jc w:val="center"/>
              <w:rPr>
                <w:rFonts w:ascii="仿宋_GB2312" w:hAnsi="宋体" w:eastAsia="仿宋_GB2312" w:cs="宋体"/>
                <w:color w:val="000000"/>
                <w:szCs w:val="21"/>
              </w:rPr>
            </w:pPr>
          </w:p>
        </w:tc>
        <w:tc>
          <w:tcPr>
            <w:tcW w:w="0" w:type="auto"/>
            <w:shd w:val="clear" w:color="auto" w:fill="auto"/>
            <w:vAlign w:val="center"/>
          </w:tcPr>
          <w:p>
            <w:pPr>
              <w:spacing w:line="240" w:lineRule="exact"/>
              <w:rPr>
                <w:rFonts w:ascii="仿宋_GB2312" w:hAnsi="宋体" w:eastAsia="仿宋_GB2312" w:cs="宋体"/>
                <w:color w:val="000000"/>
                <w:szCs w:val="21"/>
              </w:rPr>
            </w:pPr>
          </w:p>
        </w:tc>
        <w:tc>
          <w:tcPr>
            <w:tcW w:w="0" w:type="auto"/>
            <w:shd w:val="clear" w:color="auto" w:fill="auto"/>
            <w:vAlign w:val="center"/>
          </w:tcPr>
          <w:p>
            <w:pPr>
              <w:spacing w:line="240" w:lineRule="exact"/>
              <w:jc w:val="center"/>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1009" w:type="dxa"/>
            <w:vMerge w:val="continue"/>
            <w:shd w:val="clear" w:color="auto" w:fill="auto"/>
            <w:textDirection w:val="tbRlV"/>
            <w:vAlign w:val="center"/>
          </w:tcPr>
          <w:p>
            <w:pPr>
              <w:jc w:val="center"/>
              <w:rPr>
                <w:rFonts w:ascii="仿宋_GB2312" w:hAnsi="宋体" w:eastAsia="仿宋_GB2312" w:cs="宋体"/>
                <w:color w:val="000000"/>
                <w:szCs w:val="21"/>
              </w:rPr>
            </w:pPr>
          </w:p>
        </w:tc>
        <w:tc>
          <w:tcPr>
            <w:tcW w:w="767" w:type="dxa"/>
            <w:vMerge w:val="continue"/>
            <w:shd w:val="clear" w:color="auto" w:fill="auto"/>
            <w:vAlign w:val="center"/>
          </w:tcPr>
          <w:p>
            <w:pPr>
              <w:jc w:val="center"/>
              <w:rPr>
                <w:rFonts w:ascii="仿宋_GB2312" w:hAnsi="宋体" w:eastAsia="仿宋_GB2312" w:cs="宋体"/>
                <w:color w:val="000000"/>
                <w:szCs w:val="21"/>
              </w:rPr>
            </w:pPr>
          </w:p>
        </w:tc>
        <w:tc>
          <w:tcPr>
            <w:tcW w:w="1366"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5766" w:type="dxa"/>
            <w:gridSpan w:val="2"/>
            <w:shd w:val="clear" w:color="auto" w:fill="auto"/>
            <w:vAlign w:val="center"/>
          </w:tcPr>
          <w:p>
            <w:pPr>
              <w:spacing w:line="240" w:lineRule="exact"/>
              <w:jc w:val="center"/>
              <w:rPr>
                <w:rFonts w:ascii="仿宋_GB2312" w:hAnsi="宋体" w:eastAsia="仿宋_GB2312" w:cs="宋体"/>
                <w:color w:val="000000"/>
                <w:szCs w:val="21"/>
              </w:rPr>
            </w:pPr>
          </w:p>
        </w:tc>
        <w:tc>
          <w:tcPr>
            <w:tcW w:w="0" w:type="auto"/>
            <w:shd w:val="clear" w:color="auto" w:fill="auto"/>
            <w:vAlign w:val="center"/>
          </w:tcPr>
          <w:p>
            <w:pPr>
              <w:spacing w:line="240" w:lineRule="exact"/>
              <w:jc w:val="center"/>
              <w:rPr>
                <w:rFonts w:ascii="仿宋_GB2312" w:hAnsi="宋体" w:eastAsia="仿宋_GB2312" w:cs="宋体"/>
                <w:color w:val="000000"/>
                <w:szCs w:val="21"/>
              </w:rPr>
            </w:pPr>
          </w:p>
        </w:tc>
        <w:tc>
          <w:tcPr>
            <w:tcW w:w="0" w:type="auto"/>
            <w:shd w:val="clear" w:color="auto" w:fill="auto"/>
            <w:vAlign w:val="center"/>
          </w:tcPr>
          <w:p>
            <w:pPr>
              <w:spacing w:line="240" w:lineRule="exact"/>
              <w:rPr>
                <w:rFonts w:ascii="仿宋_GB2312" w:hAnsi="宋体" w:eastAsia="仿宋_GB2312" w:cs="宋体"/>
                <w:color w:val="000000"/>
                <w:szCs w:val="21"/>
              </w:rPr>
            </w:pPr>
          </w:p>
        </w:tc>
        <w:tc>
          <w:tcPr>
            <w:tcW w:w="0" w:type="auto"/>
            <w:shd w:val="clear" w:color="auto" w:fill="auto"/>
            <w:vAlign w:val="center"/>
          </w:tcPr>
          <w:p>
            <w:pPr>
              <w:spacing w:line="240" w:lineRule="exact"/>
              <w:jc w:val="center"/>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1009" w:type="dxa"/>
            <w:vMerge w:val="continue"/>
            <w:shd w:val="clear" w:color="auto" w:fill="auto"/>
            <w:textDirection w:val="tbRlV"/>
            <w:vAlign w:val="center"/>
          </w:tcPr>
          <w:p>
            <w:pPr>
              <w:jc w:val="center"/>
              <w:rPr>
                <w:rFonts w:ascii="仿宋_GB2312" w:hAnsi="宋体" w:eastAsia="仿宋_GB2312" w:cs="宋体"/>
                <w:color w:val="000000"/>
                <w:szCs w:val="21"/>
              </w:rPr>
            </w:pPr>
          </w:p>
        </w:tc>
        <w:tc>
          <w:tcPr>
            <w:tcW w:w="767" w:type="dxa"/>
            <w:vMerge w:val="continue"/>
            <w:shd w:val="clear" w:color="auto" w:fill="auto"/>
            <w:vAlign w:val="center"/>
          </w:tcPr>
          <w:p>
            <w:pPr>
              <w:jc w:val="center"/>
              <w:rPr>
                <w:rFonts w:ascii="仿宋_GB2312" w:hAnsi="宋体" w:eastAsia="仿宋_GB2312" w:cs="宋体"/>
                <w:color w:val="000000"/>
                <w:szCs w:val="21"/>
              </w:rPr>
            </w:pPr>
          </w:p>
        </w:tc>
        <w:tc>
          <w:tcPr>
            <w:tcW w:w="1366" w:type="dxa"/>
            <w:vMerge w:val="restart"/>
            <w:shd w:val="clear" w:color="auto" w:fill="auto"/>
            <w:vAlign w:val="center"/>
          </w:tcPr>
          <w:p>
            <w:pPr>
              <w:widowControl/>
              <w:spacing w:line="240" w:lineRule="exact"/>
              <w:jc w:val="center"/>
              <w:textAlignment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社会效益</w:t>
            </w:r>
          </w:p>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指标</w:t>
            </w:r>
          </w:p>
        </w:tc>
        <w:tc>
          <w:tcPr>
            <w:tcW w:w="5766" w:type="dxa"/>
            <w:gridSpan w:val="2"/>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城乡居民公共卫生差距</w:t>
            </w:r>
          </w:p>
        </w:tc>
        <w:tc>
          <w:tcPr>
            <w:tcW w:w="0" w:type="auto"/>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不断缩小</w:t>
            </w:r>
          </w:p>
        </w:tc>
        <w:tc>
          <w:tcPr>
            <w:tcW w:w="0" w:type="auto"/>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不断缩小</w:t>
            </w:r>
          </w:p>
        </w:tc>
        <w:tc>
          <w:tcPr>
            <w:tcW w:w="0" w:type="auto"/>
            <w:shd w:val="clear" w:color="auto" w:fill="auto"/>
            <w:vAlign w:val="center"/>
          </w:tcPr>
          <w:p>
            <w:pPr>
              <w:spacing w:line="240" w:lineRule="exact"/>
              <w:jc w:val="center"/>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1009" w:type="dxa"/>
            <w:vMerge w:val="continue"/>
            <w:shd w:val="clear" w:color="auto" w:fill="auto"/>
            <w:textDirection w:val="tbRlV"/>
            <w:vAlign w:val="center"/>
          </w:tcPr>
          <w:p>
            <w:pPr>
              <w:jc w:val="center"/>
              <w:rPr>
                <w:rFonts w:ascii="仿宋_GB2312" w:hAnsi="宋体" w:eastAsia="仿宋_GB2312" w:cs="宋体"/>
                <w:color w:val="000000"/>
                <w:szCs w:val="21"/>
              </w:rPr>
            </w:pPr>
          </w:p>
        </w:tc>
        <w:tc>
          <w:tcPr>
            <w:tcW w:w="767" w:type="dxa"/>
            <w:vMerge w:val="continue"/>
            <w:shd w:val="clear" w:color="auto" w:fill="auto"/>
            <w:vAlign w:val="center"/>
          </w:tcPr>
          <w:p>
            <w:pPr>
              <w:jc w:val="center"/>
              <w:rPr>
                <w:rFonts w:ascii="仿宋_GB2312" w:hAnsi="宋体" w:eastAsia="仿宋_GB2312" w:cs="宋体"/>
                <w:color w:val="000000"/>
                <w:szCs w:val="21"/>
              </w:rPr>
            </w:pPr>
          </w:p>
        </w:tc>
        <w:tc>
          <w:tcPr>
            <w:tcW w:w="1366"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5766" w:type="dxa"/>
            <w:gridSpan w:val="2"/>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居民健康素养水平</w:t>
            </w:r>
          </w:p>
        </w:tc>
        <w:tc>
          <w:tcPr>
            <w:tcW w:w="0" w:type="auto"/>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不断提高</w:t>
            </w:r>
          </w:p>
        </w:tc>
        <w:tc>
          <w:tcPr>
            <w:tcW w:w="0" w:type="auto"/>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不断提高</w:t>
            </w:r>
          </w:p>
        </w:tc>
        <w:tc>
          <w:tcPr>
            <w:tcW w:w="0" w:type="auto"/>
            <w:shd w:val="clear" w:color="auto" w:fill="auto"/>
            <w:vAlign w:val="center"/>
          </w:tcPr>
          <w:p>
            <w:pPr>
              <w:spacing w:line="240" w:lineRule="exact"/>
              <w:jc w:val="center"/>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1009" w:type="dxa"/>
            <w:vMerge w:val="continue"/>
            <w:shd w:val="clear" w:color="auto" w:fill="auto"/>
            <w:textDirection w:val="tbRlV"/>
            <w:vAlign w:val="center"/>
          </w:tcPr>
          <w:p>
            <w:pPr>
              <w:jc w:val="center"/>
              <w:rPr>
                <w:rFonts w:ascii="仿宋_GB2312" w:hAnsi="宋体" w:eastAsia="仿宋_GB2312" w:cs="宋体"/>
                <w:color w:val="000000"/>
                <w:szCs w:val="21"/>
              </w:rPr>
            </w:pPr>
          </w:p>
        </w:tc>
        <w:tc>
          <w:tcPr>
            <w:tcW w:w="767" w:type="dxa"/>
            <w:vMerge w:val="continue"/>
            <w:shd w:val="clear" w:color="auto" w:fill="auto"/>
            <w:vAlign w:val="center"/>
          </w:tcPr>
          <w:p>
            <w:pPr>
              <w:jc w:val="center"/>
              <w:rPr>
                <w:rFonts w:ascii="仿宋_GB2312" w:hAnsi="宋体" w:eastAsia="仿宋_GB2312" w:cs="宋体"/>
                <w:color w:val="000000"/>
                <w:szCs w:val="21"/>
              </w:rPr>
            </w:pPr>
          </w:p>
        </w:tc>
        <w:tc>
          <w:tcPr>
            <w:tcW w:w="1366"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5766" w:type="dxa"/>
            <w:gridSpan w:val="2"/>
            <w:shd w:val="clear" w:color="auto" w:fill="auto"/>
            <w:vAlign w:val="center"/>
          </w:tcPr>
          <w:p>
            <w:pPr>
              <w:spacing w:line="240" w:lineRule="exact"/>
              <w:jc w:val="center"/>
              <w:rPr>
                <w:rFonts w:ascii="仿宋_GB2312" w:hAnsi="宋体" w:eastAsia="仿宋_GB2312" w:cs="宋体"/>
                <w:color w:val="000000"/>
                <w:szCs w:val="21"/>
              </w:rPr>
            </w:pPr>
          </w:p>
        </w:tc>
        <w:tc>
          <w:tcPr>
            <w:tcW w:w="0" w:type="auto"/>
            <w:shd w:val="clear" w:color="auto" w:fill="auto"/>
            <w:vAlign w:val="center"/>
          </w:tcPr>
          <w:p>
            <w:pPr>
              <w:spacing w:line="240" w:lineRule="exact"/>
              <w:jc w:val="left"/>
              <w:rPr>
                <w:rFonts w:ascii="仿宋_GB2312" w:hAnsi="宋体" w:eastAsia="仿宋_GB2312" w:cs="宋体"/>
                <w:color w:val="000000"/>
                <w:szCs w:val="21"/>
              </w:rPr>
            </w:pPr>
          </w:p>
        </w:tc>
        <w:tc>
          <w:tcPr>
            <w:tcW w:w="0" w:type="auto"/>
            <w:shd w:val="clear" w:color="auto" w:fill="auto"/>
            <w:vAlign w:val="center"/>
          </w:tcPr>
          <w:p>
            <w:pPr>
              <w:spacing w:line="240" w:lineRule="exact"/>
              <w:rPr>
                <w:rFonts w:ascii="仿宋_GB2312" w:hAnsi="宋体" w:eastAsia="仿宋_GB2312" w:cs="宋体"/>
                <w:color w:val="000000"/>
                <w:szCs w:val="21"/>
              </w:rPr>
            </w:pPr>
          </w:p>
        </w:tc>
        <w:tc>
          <w:tcPr>
            <w:tcW w:w="0" w:type="auto"/>
            <w:shd w:val="clear" w:color="auto" w:fill="auto"/>
            <w:vAlign w:val="center"/>
          </w:tcPr>
          <w:p>
            <w:pPr>
              <w:spacing w:line="240" w:lineRule="exact"/>
              <w:jc w:val="center"/>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1009" w:type="dxa"/>
            <w:vMerge w:val="continue"/>
            <w:shd w:val="clear" w:color="auto" w:fill="auto"/>
            <w:textDirection w:val="tbRlV"/>
            <w:vAlign w:val="center"/>
          </w:tcPr>
          <w:p>
            <w:pPr>
              <w:jc w:val="center"/>
              <w:rPr>
                <w:rFonts w:ascii="仿宋_GB2312" w:hAnsi="宋体" w:eastAsia="仿宋_GB2312" w:cs="宋体"/>
                <w:color w:val="000000"/>
                <w:szCs w:val="21"/>
              </w:rPr>
            </w:pPr>
          </w:p>
        </w:tc>
        <w:tc>
          <w:tcPr>
            <w:tcW w:w="767" w:type="dxa"/>
            <w:vMerge w:val="continue"/>
            <w:shd w:val="clear" w:color="auto" w:fill="auto"/>
            <w:vAlign w:val="center"/>
          </w:tcPr>
          <w:p>
            <w:pPr>
              <w:jc w:val="center"/>
              <w:rPr>
                <w:rFonts w:ascii="仿宋_GB2312" w:hAnsi="宋体" w:eastAsia="仿宋_GB2312" w:cs="宋体"/>
                <w:color w:val="000000"/>
                <w:szCs w:val="21"/>
              </w:rPr>
            </w:pPr>
          </w:p>
        </w:tc>
        <w:tc>
          <w:tcPr>
            <w:tcW w:w="1366" w:type="dxa"/>
            <w:vMerge w:val="restart"/>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可持续影响指标</w:t>
            </w:r>
          </w:p>
        </w:tc>
        <w:tc>
          <w:tcPr>
            <w:tcW w:w="5766" w:type="dxa"/>
            <w:gridSpan w:val="2"/>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基本公共卫生服务水平</w:t>
            </w:r>
          </w:p>
        </w:tc>
        <w:tc>
          <w:tcPr>
            <w:tcW w:w="0" w:type="auto"/>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不断提高</w:t>
            </w:r>
          </w:p>
        </w:tc>
        <w:tc>
          <w:tcPr>
            <w:tcW w:w="0" w:type="auto"/>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不断提高</w:t>
            </w:r>
          </w:p>
        </w:tc>
        <w:tc>
          <w:tcPr>
            <w:tcW w:w="0" w:type="auto"/>
            <w:shd w:val="clear" w:color="auto" w:fill="auto"/>
            <w:vAlign w:val="center"/>
          </w:tcPr>
          <w:p>
            <w:pPr>
              <w:spacing w:line="240" w:lineRule="exact"/>
              <w:jc w:val="center"/>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1009" w:type="dxa"/>
            <w:vMerge w:val="continue"/>
            <w:shd w:val="clear" w:color="auto" w:fill="auto"/>
            <w:textDirection w:val="tbRlV"/>
            <w:vAlign w:val="center"/>
          </w:tcPr>
          <w:p>
            <w:pPr>
              <w:jc w:val="center"/>
              <w:rPr>
                <w:rFonts w:ascii="仿宋_GB2312" w:hAnsi="宋体" w:eastAsia="仿宋_GB2312" w:cs="宋体"/>
                <w:color w:val="000000"/>
                <w:szCs w:val="21"/>
              </w:rPr>
            </w:pPr>
          </w:p>
        </w:tc>
        <w:tc>
          <w:tcPr>
            <w:tcW w:w="767" w:type="dxa"/>
            <w:vMerge w:val="continue"/>
            <w:shd w:val="clear" w:color="auto" w:fill="auto"/>
            <w:vAlign w:val="center"/>
          </w:tcPr>
          <w:p>
            <w:pPr>
              <w:jc w:val="center"/>
              <w:rPr>
                <w:rFonts w:ascii="仿宋_GB2312" w:hAnsi="宋体" w:eastAsia="仿宋_GB2312" w:cs="宋体"/>
                <w:color w:val="000000"/>
                <w:szCs w:val="21"/>
              </w:rPr>
            </w:pPr>
          </w:p>
        </w:tc>
        <w:tc>
          <w:tcPr>
            <w:tcW w:w="1366"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5766" w:type="dxa"/>
            <w:gridSpan w:val="2"/>
            <w:shd w:val="clear" w:color="auto" w:fill="auto"/>
            <w:vAlign w:val="center"/>
          </w:tcPr>
          <w:p>
            <w:pPr>
              <w:spacing w:line="240" w:lineRule="exact"/>
              <w:jc w:val="center"/>
              <w:rPr>
                <w:rFonts w:ascii="仿宋_GB2312" w:hAnsi="宋体" w:eastAsia="仿宋_GB2312" w:cs="宋体"/>
                <w:color w:val="000000"/>
                <w:szCs w:val="21"/>
              </w:rPr>
            </w:pPr>
          </w:p>
        </w:tc>
        <w:tc>
          <w:tcPr>
            <w:tcW w:w="0" w:type="auto"/>
            <w:shd w:val="clear" w:color="auto" w:fill="auto"/>
            <w:vAlign w:val="center"/>
          </w:tcPr>
          <w:p>
            <w:pPr>
              <w:spacing w:line="240" w:lineRule="exact"/>
              <w:rPr>
                <w:rFonts w:ascii="仿宋_GB2312" w:hAnsi="宋体" w:eastAsia="仿宋_GB2312" w:cs="宋体"/>
                <w:color w:val="000000"/>
                <w:szCs w:val="21"/>
              </w:rPr>
            </w:pPr>
          </w:p>
        </w:tc>
        <w:tc>
          <w:tcPr>
            <w:tcW w:w="0" w:type="auto"/>
            <w:shd w:val="clear" w:color="auto" w:fill="auto"/>
            <w:vAlign w:val="center"/>
          </w:tcPr>
          <w:p>
            <w:pPr>
              <w:spacing w:line="240" w:lineRule="exact"/>
              <w:rPr>
                <w:rFonts w:ascii="仿宋_GB2312" w:hAnsi="宋体" w:eastAsia="仿宋_GB2312" w:cs="宋体"/>
                <w:color w:val="000000"/>
                <w:szCs w:val="21"/>
              </w:rPr>
            </w:pPr>
          </w:p>
        </w:tc>
        <w:tc>
          <w:tcPr>
            <w:tcW w:w="0" w:type="auto"/>
            <w:shd w:val="clear" w:color="auto" w:fill="auto"/>
            <w:vAlign w:val="center"/>
          </w:tcPr>
          <w:p>
            <w:pPr>
              <w:spacing w:line="240" w:lineRule="exact"/>
              <w:jc w:val="center"/>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1009" w:type="dxa"/>
            <w:vMerge w:val="continue"/>
            <w:shd w:val="clear" w:color="auto" w:fill="auto"/>
            <w:textDirection w:val="tbRlV"/>
            <w:vAlign w:val="center"/>
          </w:tcPr>
          <w:p>
            <w:pPr>
              <w:jc w:val="center"/>
              <w:rPr>
                <w:rFonts w:ascii="仿宋_GB2312" w:hAnsi="宋体" w:eastAsia="仿宋_GB2312" w:cs="宋体"/>
                <w:color w:val="000000"/>
                <w:szCs w:val="21"/>
              </w:rPr>
            </w:pPr>
          </w:p>
        </w:tc>
        <w:tc>
          <w:tcPr>
            <w:tcW w:w="767" w:type="dxa"/>
            <w:vMerge w:val="continue"/>
            <w:shd w:val="clear" w:color="auto" w:fill="auto"/>
            <w:vAlign w:val="center"/>
          </w:tcPr>
          <w:p>
            <w:pPr>
              <w:jc w:val="center"/>
              <w:rPr>
                <w:rFonts w:ascii="仿宋_GB2312" w:hAnsi="宋体" w:eastAsia="仿宋_GB2312" w:cs="宋体"/>
                <w:color w:val="000000"/>
                <w:szCs w:val="21"/>
              </w:rPr>
            </w:pPr>
          </w:p>
        </w:tc>
        <w:tc>
          <w:tcPr>
            <w:tcW w:w="1366"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5766" w:type="dxa"/>
            <w:gridSpan w:val="2"/>
            <w:shd w:val="clear" w:color="auto" w:fill="auto"/>
            <w:vAlign w:val="center"/>
          </w:tcPr>
          <w:p>
            <w:pPr>
              <w:spacing w:line="240" w:lineRule="exact"/>
              <w:jc w:val="center"/>
              <w:rPr>
                <w:rFonts w:ascii="仿宋_GB2312" w:hAnsi="宋体" w:eastAsia="仿宋_GB2312" w:cs="宋体"/>
                <w:color w:val="000000"/>
                <w:szCs w:val="21"/>
              </w:rPr>
            </w:pPr>
          </w:p>
        </w:tc>
        <w:tc>
          <w:tcPr>
            <w:tcW w:w="0" w:type="auto"/>
            <w:shd w:val="clear" w:color="auto" w:fill="auto"/>
            <w:vAlign w:val="center"/>
          </w:tcPr>
          <w:p>
            <w:pPr>
              <w:spacing w:line="240" w:lineRule="exact"/>
              <w:rPr>
                <w:rFonts w:ascii="仿宋_GB2312" w:hAnsi="宋体" w:eastAsia="仿宋_GB2312" w:cs="宋体"/>
                <w:color w:val="000000"/>
                <w:szCs w:val="21"/>
              </w:rPr>
            </w:pPr>
          </w:p>
        </w:tc>
        <w:tc>
          <w:tcPr>
            <w:tcW w:w="0" w:type="auto"/>
            <w:shd w:val="clear" w:color="auto" w:fill="auto"/>
            <w:vAlign w:val="center"/>
          </w:tcPr>
          <w:p>
            <w:pPr>
              <w:spacing w:line="240" w:lineRule="exact"/>
              <w:rPr>
                <w:rFonts w:ascii="仿宋_GB2312" w:hAnsi="宋体" w:eastAsia="仿宋_GB2312" w:cs="宋体"/>
                <w:color w:val="000000"/>
                <w:szCs w:val="21"/>
              </w:rPr>
            </w:pPr>
          </w:p>
        </w:tc>
        <w:tc>
          <w:tcPr>
            <w:tcW w:w="0" w:type="auto"/>
            <w:shd w:val="clear" w:color="auto" w:fill="auto"/>
            <w:vAlign w:val="center"/>
          </w:tcPr>
          <w:p>
            <w:pPr>
              <w:spacing w:line="240" w:lineRule="exact"/>
              <w:jc w:val="center"/>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1009" w:type="dxa"/>
            <w:vMerge w:val="continue"/>
            <w:shd w:val="clear" w:color="auto" w:fill="auto"/>
            <w:textDirection w:val="tbRlV"/>
            <w:vAlign w:val="center"/>
          </w:tcPr>
          <w:p>
            <w:pPr>
              <w:jc w:val="center"/>
              <w:rPr>
                <w:rFonts w:ascii="仿宋_GB2312" w:hAnsi="宋体" w:eastAsia="仿宋_GB2312" w:cs="宋体"/>
                <w:color w:val="000000"/>
                <w:szCs w:val="21"/>
              </w:rPr>
            </w:pPr>
          </w:p>
        </w:tc>
        <w:tc>
          <w:tcPr>
            <w:tcW w:w="767" w:type="dxa"/>
            <w:vMerge w:val="continue"/>
            <w:shd w:val="clear" w:color="auto" w:fill="auto"/>
            <w:vAlign w:val="center"/>
          </w:tcPr>
          <w:p>
            <w:pPr>
              <w:jc w:val="center"/>
              <w:rPr>
                <w:rFonts w:ascii="仿宋_GB2312" w:hAnsi="宋体" w:eastAsia="仿宋_GB2312" w:cs="宋体"/>
                <w:color w:val="000000"/>
                <w:szCs w:val="21"/>
              </w:rPr>
            </w:pPr>
          </w:p>
        </w:tc>
        <w:tc>
          <w:tcPr>
            <w:tcW w:w="1366" w:type="dxa"/>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w:t>
            </w:r>
          </w:p>
        </w:tc>
        <w:tc>
          <w:tcPr>
            <w:tcW w:w="5766" w:type="dxa"/>
            <w:gridSpan w:val="2"/>
            <w:shd w:val="clear" w:color="auto" w:fill="auto"/>
            <w:vAlign w:val="center"/>
          </w:tcPr>
          <w:p>
            <w:pPr>
              <w:spacing w:line="240" w:lineRule="exact"/>
              <w:jc w:val="center"/>
              <w:rPr>
                <w:rFonts w:ascii="仿宋_GB2312" w:hAnsi="宋体" w:eastAsia="仿宋_GB2312" w:cs="宋体"/>
                <w:color w:val="000000"/>
                <w:szCs w:val="21"/>
              </w:rPr>
            </w:pPr>
          </w:p>
        </w:tc>
        <w:tc>
          <w:tcPr>
            <w:tcW w:w="0" w:type="auto"/>
            <w:shd w:val="clear" w:color="auto" w:fill="auto"/>
            <w:vAlign w:val="center"/>
          </w:tcPr>
          <w:p>
            <w:pPr>
              <w:spacing w:line="240" w:lineRule="exact"/>
              <w:rPr>
                <w:rFonts w:ascii="仿宋_GB2312" w:hAnsi="宋体" w:eastAsia="仿宋_GB2312" w:cs="宋体"/>
                <w:color w:val="000000"/>
                <w:szCs w:val="21"/>
              </w:rPr>
            </w:pPr>
          </w:p>
        </w:tc>
        <w:tc>
          <w:tcPr>
            <w:tcW w:w="0" w:type="auto"/>
            <w:shd w:val="clear" w:color="auto" w:fill="auto"/>
            <w:vAlign w:val="center"/>
          </w:tcPr>
          <w:p>
            <w:pPr>
              <w:spacing w:line="240" w:lineRule="exact"/>
              <w:rPr>
                <w:rFonts w:ascii="仿宋_GB2312" w:hAnsi="宋体" w:eastAsia="仿宋_GB2312" w:cs="宋体"/>
                <w:color w:val="000000"/>
                <w:szCs w:val="21"/>
              </w:rPr>
            </w:pPr>
          </w:p>
        </w:tc>
        <w:tc>
          <w:tcPr>
            <w:tcW w:w="0" w:type="auto"/>
            <w:shd w:val="clear" w:color="auto" w:fill="auto"/>
            <w:vAlign w:val="center"/>
          </w:tcPr>
          <w:p>
            <w:pPr>
              <w:spacing w:line="240" w:lineRule="exact"/>
              <w:jc w:val="center"/>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1009" w:type="dxa"/>
            <w:vMerge w:val="continue"/>
            <w:shd w:val="clear" w:color="auto" w:fill="auto"/>
            <w:textDirection w:val="tbRlV"/>
            <w:vAlign w:val="center"/>
          </w:tcPr>
          <w:p>
            <w:pPr>
              <w:jc w:val="center"/>
              <w:rPr>
                <w:rFonts w:ascii="仿宋_GB2312" w:hAnsi="宋体" w:eastAsia="仿宋_GB2312" w:cs="宋体"/>
                <w:color w:val="000000"/>
                <w:szCs w:val="21"/>
              </w:rPr>
            </w:pPr>
          </w:p>
        </w:tc>
        <w:tc>
          <w:tcPr>
            <w:tcW w:w="767" w:type="dxa"/>
            <w:vMerge w:val="restart"/>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满意度指标</w:t>
            </w:r>
          </w:p>
        </w:tc>
        <w:tc>
          <w:tcPr>
            <w:tcW w:w="1366" w:type="dxa"/>
            <w:vMerge w:val="restart"/>
            <w:shd w:val="clear" w:color="auto" w:fill="auto"/>
            <w:vAlign w:val="center"/>
          </w:tcPr>
          <w:p>
            <w:pPr>
              <w:widowControl/>
              <w:spacing w:line="240" w:lineRule="exact"/>
              <w:jc w:val="center"/>
              <w:textAlignment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服务对象</w:t>
            </w:r>
          </w:p>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满意度指标</w:t>
            </w:r>
          </w:p>
        </w:tc>
        <w:tc>
          <w:tcPr>
            <w:tcW w:w="5766" w:type="dxa"/>
            <w:gridSpan w:val="2"/>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服务对象满意度</w:t>
            </w:r>
          </w:p>
        </w:tc>
        <w:tc>
          <w:tcPr>
            <w:tcW w:w="0" w:type="auto"/>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不断提高</w:t>
            </w:r>
          </w:p>
        </w:tc>
        <w:tc>
          <w:tcPr>
            <w:tcW w:w="0" w:type="auto"/>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不断提高</w:t>
            </w:r>
          </w:p>
        </w:tc>
        <w:tc>
          <w:tcPr>
            <w:tcW w:w="0" w:type="auto"/>
            <w:shd w:val="clear" w:color="auto" w:fill="auto"/>
            <w:vAlign w:val="center"/>
          </w:tcPr>
          <w:p>
            <w:pPr>
              <w:spacing w:line="240" w:lineRule="exact"/>
              <w:jc w:val="center"/>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1009" w:type="dxa"/>
            <w:vMerge w:val="continue"/>
            <w:shd w:val="clear" w:color="auto" w:fill="auto"/>
            <w:textDirection w:val="tbRlV"/>
            <w:vAlign w:val="center"/>
          </w:tcPr>
          <w:p>
            <w:pPr>
              <w:jc w:val="center"/>
              <w:rPr>
                <w:rFonts w:ascii="仿宋_GB2312" w:hAnsi="宋体" w:eastAsia="仿宋_GB2312" w:cs="宋体"/>
                <w:color w:val="000000"/>
                <w:szCs w:val="21"/>
              </w:rPr>
            </w:pPr>
          </w:p>
        </w:tc>
        <w:tc>
          <w:tcPr>
            <w:tcW w:w="767" w:type="dxa"/>
            <w:vMerge w:val="continue"/>
            <w:shd w:val="clear" w:color="auto" w:fill="auto"/>
            <w:vAlign w:val="center"/>
          </w:tcPr>
          <w:p>
            <w:pPr>
              <w:jc w:val="center"/>
              <w:rPr>
                <w:rFonts w:ascii="仿宋_GB2312" w:hAnsi="宋体" w:eastAsia="仿宋_GB2312" w:cs="宋体"/>
                <w:color w:val="000000"/>
                <w:szCs w:val="21"/>
              </w:rPr>
            </w:pPr>
          </w:p>
        </w:tc>
        <w:tc>
          <w:tcPr>
            <w:tcW w:w="1366"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5766" w:type="dxa"/>
            <w:gridSpan w:val="2"/>
            <w:shd w:val="clear" w:color="auto" w:fill="auto"/>
            <w:vAlign w:val="center"/>
          </w:tcPr>
          <w:p>
            <w:pPr>
              <w:spacing w:line="240" w:lineRule="exact"/>
              <w:jc w:val="center"/>
              <w:rPr>
                <w:rFonts w:ascii="仿宋_GB2312" w:hAnsi="宋体" w:eastAsia="仿宋_GB2312" w:cs="宋体"/>
                <w:color w:val="000000"/>
                <w:szCs w:val="21"/>
              </w:rPr>
            </w:pPr>
          </w:p>
        </w:tc>
        <w:tc>
          <w:tcPr>
            <w:tcW w:w="0" w:type="auto"/>
            <w:shd w:val="clear" w:color="auto" w:fill="auto"/>
            <w:vAlign w:val="center"/>
          </w:tcPr>
          <w:p>
            <w:pPr>
              <w:spacing w:line="240" w:lineRule="exact"/>
              <w:rPr>
                <w:rFonts w:ascii="仿宋_GB2312" w:hAnsi="宋体" w:eastAsia="仿宋_GB2312" w:cs="宋体"/>
                <w:color w:val="000000"/>
                <w:szCs w:val="21"/>
              </w:rPr>
            </w:pPr>
          </w:p>
        </w:tc>
        <w:tc>
          <w:tcPr>
            <w:tcW w:w="0" w:type="auto"/>
            <w:shd w:val="clear" w:color="auto" w:fill="auto"/>
            <w:vAlign w:val="center"/>
          </w:tcPr>
          <w:p>
            <w:pPr>
              <w:spacing w:line="240" w:lineRule="exact"/>
              <w:rPr>
                <w:rFonts w:ascii="仿宋_GB2312" w:hAnsi="宋体" w:eastAsia="仿宋_GB2312" w:cs="宋体"/>
                <w:color w:val="000000"/>
                <w:szCs w:val="21"/>
              </w:rPr>
            </w:pPr>
          </w:p>
        </w:tc>
        <w:tc>
          <w:tcPr>
            <w:tcW w:w="0" w:type="auto"/>
            <w:shd w:val="clear" w:color="auto" w:fill="auto"/>
            <w:vAlign w:val="center"/>
          </w:tcPr>
          <w:p>
            <w:pPr>
              <w:spacing w:line="240" w:lineRule="exact"/>
              <w:jc w:val="center"/>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1009" w:type="dxa"/>
            <w:vMerge w:val="continue"/>
            <w:shd w:val="clear" w:color="auto" w:fill="auto"/>
            <w:textDirection w:val="tbRlV"/>
            <w:vAlign w:val="center"/>
          </w:tcPr>
          <w:p>
            <w:pPr>
              <w:jc w:val="center"/>
              <w:rPr>
                <w:rFonts w:ascii="仿宋_GB2312" w:hAnsi="宋体" w:eastAsia="仿宋_GB2312" w:cs="宋体"/>
                <w:color w:val="000000"/>
                <w:szCs w:val="21"/>
              </w:rPr>
            </w:pPr>
          </w:p>
        </w:tc>
        <w:tc>
          <w:tcPr>
            <w:tcW w:w="767" w:type="dxa"/>
            <w:vMerge w:val="continue"/>
            <w:shd w:val="clear" w:color="auto" w:fill="auto"/>
            <w:vAlign w:val="center"/>
          </w:tcPr>
          <w:p>
            <w:pPr>
              <w:jc w:val="center"/>
              <w:rPr>
                <w:rFonts w:ascii="仿宋_GB2312" w:hAnsi="宋体" w:eastAsia="仿宋_GB2312" w:cs="宋体"/>
                <w:color w:val="000000"/>
                <w:szCs w:val="21"/>
              </w:rPr>
            </w:pPr>
          </w:p>
        </w:tc>
        <w:tc>
          <w:tcPr>
            <w:tcW w:w="1366" w:type="dxa"/>
            <w:vMerge w:val="continue"/>
            <w:shd w:val="clear" w:color="auto" w:fill="auto"/>
            <w:vAlign w:val="center"/>
          </w:tcPr>
          <w:p>
            <w:pPr>
              <w:spacing w:line="240" w:lineRule="exact"/>
              <w:jc w:val="center"/>
              <w:rPr>
                <w:rFonts w:ascii="仿宋_GB2312" w:hAnsi="宋体" w:eastAsia="仿宋_GB2312" w:cs="宋体"/>
                <w:color w:val="000000"/>
                <w:szCs w:val="21"/>
              </w:rPr>
            </w:pPr>
          </w:p>
        </w:tc>
        <w:tc>
          <w:tcPr>
            <w:tcW w:w="5766" w:type="dxa"/>
            <w:gridSpan w:val="2"/>
            <w:shd w:val="clear" w:color="auto" w:fill="auto"/>
            <w:vAlign w:val="center"/>
          </w:tcPr>
          <w:p>
            <w:pPr>
              <w:spacing w:line="240" w:lineRule="exact"/>
              <w:jc w:val="center"/>
              <w:rPr>
                <w:rFonts w:ascii="仿宋_GB2312" w:hAnsi="宋体" w:eastAsia="仿宋_GB2312" w:cs="宋体"/>
                <w:color w:val="000000"/>
                <w:szCs w:val="21"/>
              </w:rPr>
            </w:pPr>
          </w:p>
        </w:tc>
        <w:tc>
          <w:tcPr>
            <w:tcW w:w="0" w:type="auto"/>
            <w:shd w:val="clear" w:color="auto" w:fill="auto"/>
            <w:vAlign w:val="center"/>
          </w:tcPr>
          <w:p>
            <w:pPr>
              <w:spacing w:line="240" w:lineRule="exact"/>
              <w:rPr>
                <w:rFonts w:ascii="仿宋_GB2312" w:hAnsi="宋体" w:eastAsia="仿宋_GB2312" w:cs="宋体"/>
                <w:color w:val="000000"/>
                <w:szCs w:val="21"/>
              </w:rPr>
            </w:pPr>
          </w:p>
        </w:tc>
        <w:tc>
          <w:tcPr>
            <w:tcW w:w="0" w:type="auto"/>
            <w:shd w:val="clear" w:color="auto" w:fill="auto"/>
            <w:vAlign w:val="center"/>
          </w:tcPr>
          <w:p>
            <w:pPr>
              <w:spacing w:line="240" w:lineRule="exact"/>
              <w:rPr>
                <w:rFonts w:ascii="仿宋_GB2312" w:hAnsi="宋体" w:eastAsia="仿宋_GB2312" w:cs="宋体"/>
                <w:color w:val="000000"/>
                <w:szCs w:val="21"/>
              </w:rPr>
            </w:pPr>
          </w:p>
        </w:tc>
        <w:tc>
          <w:tcPr>
            <w:tcW w:w="0" w:type="auto"/>
            <w:shd w:val="clear" w:color="auto" w:fill="auto"/>
            <w:vAlign w:val="center"/>
          </w:tcPr>
          <w:p>
            <w:pPr>
              <w:spacing w:line="240" w:lineRule="exact"/>
              <w:jc w:val="center"/>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1009" w:type="dxa"/>
            <w:vMerge w:val="continue"/>
            <w:shd w:val="clear" w:color="auto" w:fill="auto"/>
            <w:textDirection w:val="tbRlV"/>
            <w:vAlign w:val="center"/>
          </w:tcPr>
          <w:p>
            <w:pPr>
              <w:jc w:val="center"/>
              <w:rPr>
                <w:rFonts w:ascii="仿宋_GB2312" w:hAnsi="宋体" w:eastAsia="仿宋_GB2312" w:cs="宋体"/>
                <w:color w:val="000000"/>
                <w:szCs w:val="21"/>
              </w:rPr>
            </w:pPr>
          </w:p>
        </w:tc>
        <w:tc>
          <w:tcPr>
            <w:tcW w:w="767" w:type="dxa"/>
            <w:vMerge w:val="continue"/>
            <w:shd w:val="clear" w:color="auto" w:fill="auto"/>
            <w:vAlign w:val="center"/>
          </w:tcPr>
          <w:p>
            <w:pPr>
              <w:jc w:val="center"/>
              <w:rPr>
                <w:rFonts w:ascii="仿宋_GB2312" w:hAnsi="宋体" w:eastAsia="仿宋_GB2312" w:cs="宋体"/>
                <w:color w:val="000000"/>
                <w:szCs w:val="21"/>
              </w:rPr>
            </w:pPr>
          </w:p>
        </w:tc>
        <w:tc>
          <w:tcPr>
            <w:tcW w:w="1366" w:type="dxa"/>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w:t>
            </w:r>
          </w:p>
        </w:tc>
        <w:tc>
          <w:tcPr>
            <w:tcW w:w="5766" w:type="dxa"/>
            <w:gridSpan w:val="2"/>
            <w:shd w:val="clear" w:color="auto" w:fill="auto"/>
            <w:vAlign w:val="center"/>
          </w:tcPr>
          <w:p>
            <w:pPr>
              <w:spacing w:line="240" w:lineRule="exact"/>
              <w:jc w:val="center"/>
              <w:rPr>
                <w:rFonts w:ascii="仿宋_GB2312" w:hAnsi="宋体" w:eastAsia="仿宋_GB2312" w:cs="宋体"/>
                <w:color w:val="000000"/>
                <w:szCs w:val="21"/>
              </w:rPr>
            </w:pPr>
          </w:p>
        </w:tc>
        <w:tc>
          <w:tcPr>
            <w:tcW w:w="0" w:type="auto"/>
            <w:shd w:val="clear" w:color="auto" w:fill="auto"/>
            <w:vAlign w:val="center"/>
          </w:tcPr>
          <w:p>
            <w:pPr>
              <w:spacing w:line="240" w:lineRule="exact"/>
              <w:rPr>
                <w:rFonts w:ascii="仿宋_GB2312" w:hAnsi="宋体" w:eastAsia="仿宋_GB2312" w:cs="宋体"/>
                <w:color w:val="000000"/>
                <w:szCs w:val="21"/>
              </w:rPr>
            </w:pPr>
          </w:p>
        </w:tc>
        <w:tc>
          <w:tcPr>
            <w:tcW w:w="0" w:type="auto"/>
            <w:shd w:val="clear" w:color="auto" w:fill="auto"/>
            <w:vAlign w:val="center"/>
          </w:tcPr>
          <w:p>
            <w:pPr>
              <w:spacing w:line="240" w:lineRule="exact"/>
              <w:rPr>
                <w:rFonts w:ascii="仿宋_GB2312" w:hAnsi="宋体" w:eastAsia="仿宋_GB2312" w:cs="宋体"/>
                <w:color w:val="000000"/>
                <w:szCs w:val="21"/>
              </w:rPr>
            </w:pPr>
          </w:p>
        </w:tc>
        <w:tc>
          <w:tcPr>
            <w:tcW w:w="0" w:type="auto"/>
            <w:shd w:val="clear" w:color="auto" w:fill="auto"/>
            <w:vAlign w:val="center"/>
          </w:tcPr>
          <w:p>
            <w:pPr>
              <w:spacing w:line="240" w:lineRule="exact"/>
              <w:jc w:val="center"/>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1009" w:type="dxa"/>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说明</w:t>
            </w:r>
          </w:p>
        </w:tc>
        <w:tc>
          <w:tcPr>
            <w:tcW w:w="13380" w:type="dxa"/>
            <w:gridSpan w:val="7"/>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无</w:t>
            </w:r>
          </w:p>
        </w:tc>
      </w:tr>
    </w:tbl>
    <w:p>
      <w:pPr>
        <w:widowControl/>
        <w:jc w:val="left"/>
        <w:textAlignment w:val="bottom"/>
        <w:rPr>
          <w:rFonts w:ascii="仿宋_GB2312" w:hAnsi="宋体" w:eastAsia="仿宋_GB2312" w:cs="宋体"/>
          <w:color w:val="000000"/>
          <w:szCs w:val="21"/>
        </w:rPr>
      </w:pPr>
      <w:r>
        <w:rPr>
          <w:rFonts w:hint="eastAsia" w:ascii="仿宋_GB2312" w:hAnsi="宋体" w:eastAsia="仿宋_GB2312" w:cs="宋体"/>
          <w:color w:val="000000"/>
          <w:kern w:val="0"/>
          <w:szCs w:val="21"/>
        </w:rPr>
        <w:t>注：1.资金使用单位按项目绩效目标填报，主管部门汇总时按区域绩效目标填报。</w:t>
      </w:r>
    </w:p>
    <w:p>
      <w:pPr>
        <w:widowControl/>
        <w:jc w:val="left"/>
        <w:textAlignment w:val="bottom"/>
        <w:rPr>
          <w:rFonts w:ascii="仿宋_GB2312" w:hAnsi="宋体" w:eastAsia="仿宋_GB2312" w:cs="宋体"/>
          <w:color w:val="000000"/>
          <w:szCs w:val="21"/>
        </w:rPr>
      </w:pPr>
      <w:r>
        <w:rPr>
          <w:rFonts w:hint="eastAsia" w:ascii="仿宋_GB2312" w:hAnsi="宋体" w:eastAsia="仿宋_GB2312" w:cs="宋体"/>
          <w:color w:val="000000"/>
          <w:kern w:val="0"/>
          <w:szCs w:val="21"/>
        </w:rPr>
        <w:t xml:space="preserve">    2.其他资金包括与中央财政资金、地方财政资金共同投入到同一项目的自有资金、社会资金，以及以前年度的结转结余资金等。</w:t>
      </w:r>
    </w:p>
    <w:p>
      <w:pPr>
        <w:widowControl/>
        <w:jc w:val="left"/>
        <w:textAlignment w:val="bottom"/>
        <w:rPr>
          <w:rFonts w:ascii="仿宋_GB2312" w:hAnsi="宋体" w:eastAsia="仿宋_GB2312" w:cs="宋体"/>
          <w:color w:val="000000"/>
          <w:szCs w:val="21"/>
        </w:rPr>
      </w:pPr>
      <w:r>
        <w:rPr>
          <w:rFonts w:hint="eastAsia" w:ascii="仿宋_GB2312" w:hAnsi="宋体" w:eastAsia="仿宋_GB2312" w:cs="宋体"/>
          <w:color w:val="000000"/>
          <w:kern w:val="0"/>
          <w:szCs w:val="21"/>
        </w:rPr>
        <w:t xml:space="preserve">    3.全年执行数是指按照国库集中支付制度要求所形成的实际支出。</w:t>
      </w:r>
    </w:p>
    <w:p>
      <w:pPr>
        <w:widowControl/>
        <w:jc w:val="left"/>
        <w:textAlignment w:val="bottom"/>
        <w:rPr>
          <w:rFonts w:ascii="仿宋_GB2312" w:hAnsi="宋体" w:eastAsia="仿宋_GB2312" w:cs="宋体"/>
          <w:color w:val="000000"/>
          <w:szCs w:val="21"/>
        </w:rPr>
      </w:pPr>
      <w:r>
        <w:rPr>
          <w:rFonts w:hint="eastAsia" w:ascii="仿宋_GB2312" w:hAnsi="宋体" w:eastAsia="仿宋_GB2312" w:cs="宋体"/>
          <w:color w:val="000000"/>
          <w:kern w:val="0"/>
          <w:szCs w:val="21"/>
        </w:rPr>
        <w:t xml:space="preserve">    4.定量指标，地方各级主管部门对资金使用单位填写的实际完成值汇总时，绝对值直接累加计算，相对值按照资金额度加权平均计算。</w:t>
      </w:r>
    </w:p>
    <w:p>
      <w:pPr>
        <w:widowControl/>
        <w:jc w:val="left"/>
        <w:textAlignment w:val="bottom"/>
        <w:rPr>
          <w:rFonts w:ascii="仿宋_GB2312" w:hAnsi="宋体" w:eastAsia="仿宋_GB2312" w:cs="宋体"/>
          <w:color w:val="000000"/>
          <w:szCs w:val="21"/>
        </w:rPr>
      </w:pPr>
      <w:r>
        <w:rPr>
          <w:rFonts w:hint="eastAsia" w:ascii="仿宋_GB2312" w:hAnsi="宋体" w:eastAsia="仿宋_GB2312" w:cs="宋体"/>
          <w:color w:val="000000"/>
          <w:kern w:val="0"/>
          <w:szCs w:val="21"/>
        </w:rPr>
        <w:t xml:space="preserve">    5.定性指标。资金使用单位分别按照100%-80%（含）、80%-60%（含）、60-0%合理填写实际完成值，地方各级主管部门汇总时，按照资金额度加权平均计算。</w:t>
      </w:r>
    </w:p>
    <w:p>
      <w:pPr>
        <w:pStyle w:val="15"/>
        <w:spacing w:line="560" w:lineRule="exact"/>
        <w:ind w:left="0" w:leftChars="0" w:firstLine="0" w:firstLineChars="0"/>
        <w:rPr>
          <w:rFonts w:hAnsi="仿宋_GB2312" w:eastAsia="仿宋_GB2312" w:cs="仿宋_GB2312"/>
          <w:sz w:val="32"/>
          <w:lang w:val="zh-CN"/>
        </w:rPr>
      </w:pPr>
      <w:r>
        <w:rPr>
          <w:rFonts w:hint="eastAsia" w:hAnsi="仿宋_GB2312" w:eastAsia="仿宋_GB2312" w:cs="仿宋_GB2312"/>
          <w:sz w:val="32"/>
          <w:lang w:val="zh-CN"/>
        </w:rPr>
        <w:t>附件3</w:t>
      </w:r>
      <w:r>
        <w:rPr>
          <w:rFonts w:hAnsi="仿宋_GB2312" w:eastAsia="仿宋_GB2312" w:cs="仿宋_GB2312"/>
          <w:sz w:val="32"/>
          <w:lang w:val="zh-CN"/>
        </w:rPr>
        <w:tab/>
      </w:r>
      <w:r>
        <w:rPr>
          <w:rFonts w:hAnsi="仿宋_GB2312" w:eastAsia="仿宋_GB2312" w:cs="仿宋_GB2312"/>
          <w:sz w:val="32"/>
          <w:lang w:val="zh-CN"/>
        </w:rPr>
        <w:tab/>
      </w:r>
      <w:r>
        <w:rPr>
          <w:rFonts w:hAnsi="仿宋_GB2312" w:eastAsia="仿宋_GB2312" w:cs="仿宋_GB2312"/>
          <w:sz w:val="32"/>
          <w:lang w:val="zh-CN"/>
        </w:rPr>
        <w:tab/>
      </w:r>
      <w:r>
        <w:rPr>
          <w:rFonts w:hAnsi="仿宋_GB2312" w:eastAsia="仿宋_GB2312" w:cs="仿宋_GB2312"/>
          <w:sz w:val="32"/>
          <w:lang w:val="zh-CN"/>
        </w:rPr>
        <w:tab/>
      </w:r>
      <w:r>
        <w:rPr>
          <w:rFonts w:hAnsi="仿宋_GB2312" w:eastAsia="仿宋_GB2312" w:cs="仿宋_GB2312"/>
          <w:sz w:val="32"/>
          <w:lang w:val="zh-CN"/>
        </w:rPr>
        <w:tab/>
      </w:r>
      <w:r>
        <w:rPr>
          <w:rFonts w:hAnsi="仿宋_GB2312" w:eastAsia="仿宋_GB2312" w:cs="仿宋_GB2312"/>
          <w:sz w:val="32"/>
          <w:lang w:val="zh-CN"/>
        </w:rPr>
        <w:tab/>
      </w:r>
      <w:r>
        <w:rPr>
          <w:rFonts w:hAnsi="仿宋_GB2312" w:eastAsia="仿宋_GB2312" w:cs="仿宋_GB2312"/>
          <w:sz w:val="32"/>
          <w:lang w:val="zh-CN"/>
        </w:rPr>
        <w:tab/>
      </w:r>
    </w:p>
    <w:p>
      <w:pPr>
        <w:widowControl/>
        <w:ind w:left="93"/>
        <w:jc w:val="center"/>
        <w:textAlignment w:val="center"/>
        <w:rPr>
          <w:rFonts w:ascii="方正小标宋简体" w:hAnsi="宋体" w:eastAsia="方正小标宋简体" w:cs="宋体"/>
          <w:b/>
          <w:bCs/>
          <w:color w:val="000000"/>
          <w:kern w:val="0"/>
          <w:sz w:val="36"/>
          <w:szCs w:val="36"/>
        </w:rPr>
      </w:pPr>
      <w:r>
        <w:rPr>
          <w:rFonts w:hint="eastAsia" w:ascii="方正小标宋简体" w:hAnsi="宋体" w:eastAsia="方正小标宋简体" w:cs="宋体"/>
          <w:b/>
          <w:bCs/>
          <w:color w:val="000000"/>
          <w:kern w:val="0"/>
          <w:sz w:val="36"/>
          <w:szCs w:val="36"/>
        </w:rPr>
        <w:t>计划生育转移支付区域（项目）绩效目标自评表</w:t>
      </w:r>
      <w:r>
        <w:rPr>
          <w:rFonts w:ascii="方正小标宋简体" w:eastAsia="方正小标宋简体"/>
          <w:b/>
          <w:bCs/>
          <w:kern w:val="0"/>
          <w:sz w:val="36"/>
          <w:szCs w:val="36"/>
        </w:rPr>
        <w:t xml:space="preserve"> </w:t>
      </w:r>
    </w:p>
    <w:p>
      <w:pPr>
        <w:widowControl/>
        <w:ind w:left="93"/>
        <w:jc w:val="center"/>
        <w:textAlignment w:val="center"/>
      </w:pPr>
      <w:r>
        <w:rPr>
          <w:rFonts w:hint="eastAsia" w:ascii="方正小标宋简体" w:hAnsi="宋体" w:eastAsia="方正小标宋简体" w:cs="宋体"/>
          <w:b/>
          <w:bCs/>
          <w:color w:val="000000"/>
          <w:kern w:val="0"/>
          <w:sz w:val="36"/>
          <w:szCs w:val="36"/>
        </w:rPr>
        <w:t>（2022年度）</w:t>
      </w:r>
    </w:p>
    <w:tbl>
      <w:tblPr>
        <w:tblStyle w:val="16"/>
        <w:tblW w:w="14190" w:type="dxa"/>
        <w:tblInd w:w="93" w:type="dxa"/>
        <w:tblLayout w:type="autofit"/>
        <w:tblCellMar>
          <w:top w:w="0" w:type="dxa"/>
          <w:left w:w="108" w:type="dxa"/>
          <w:bottom w:w="0" w:type="dxa"/>
          <w:right w:w="108" w:type="dxa"/>
        </w:tblCellMar>
      </w:tblPr>
      <w:tblGrid>
        <w:gridCol w:w="852"/>
        <w:gridCol w:w="1247"/>
        <w:gridCol w:w="1711"/>
        <w:gridCol w:w="2489"/>
        <w:gridCol w:w="2017"/>
        <w:gridCol w:w="1925"/>
        <w:gridCol w:w="1925"/>
        <w:gridCol w:w="2024"/>
      </w:tblGrid>
      <w:tr>
        <w:tblPrEx>
          <w:tblCellMar>
            <w:top w:w="0" w:type="dxa"/>
            <w:left w:w="108" w:type="dxa"/>
            <w:bottom w:w="0" w:type="dxa"/>
            <w:right w:w="108" w:type="dxa"/>
          </w:tblCellMar>
        </w:tblPrEx>
        <w:trPr>
          <w:cantSplit/>
          <w:trHeight w:val="51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转移支付（项目）名称</w:t>
            </w:r>
          </w:p>
        </w:tc>
        <w:tc>
          <w:tcPr>
            <w:tcW w:w="11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2022年实施计划生育三项制度</w:t>
            </w:r>
          </w:p>
        </w:tc>
      </w:tr>
      <w:tr>
        <w:tblPrEx>
          <w:tblCellMar>
            <w:top w:w="0" w:type="dxa"/>
            <w:left w:w="108" w:type="dxa"/>
            <w:bottom w:w="0" w:type="dxa"/>
            <w:right w:w="108" w:type="dxa"/>
          </w:tblCellMar>
        </w:tblPrEx>
        <w:trPr>
          <w:cantSplit/>
          <w:trHeight w:val="51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中央主管部门</w:t>
            </w:r>
          </w:p>
        </w:tc>
        <w:tc>
          <w:tcPr>
            <w:tcW w:w="11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国家卫生健康委</w:t>
            </w:r>
          </w:p>
        </w:tc>
      </w:tr>
      <w:tr>
        <w:tblPrEx>
          <w:tblCellMar>
            <w:top w:w="0" w:type="dxa"/>
            <w:left w:w="108" w:type="dxa"/>
            <w:bottom w:w="0" w:type="dxa"/>
            <w:right w:w="108" w:type="dxa"/>
          </w:tblCellMar>
        </w:tblPrEx>
        <w:trPr>
          <w:cantSplit/>
          <w:trHeight w:val="51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地方主管部门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剑阁县卫生健康局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资金使用单位</w:t>
            </w:r>
          </w:p>
        </w:tc>
        <w:tc>
          <w:tcPr>
            <w:tcW w:w="4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剑阁县县卫生健康局</w:t>
            </w:r>
          </w:p>
        </w:tc>
      </w:tr>
      <w:tr>
        <w:tblPrEx>
          <w:tblCellMar>
            <w:top w:w="0" w:type="dxa"/>
            <w:left w:w="108" w:type="dxa"/>
            <w:bottom w:w="0" w:type="dxa"/>
            <w:right w:w="108" w:type="dxa"/>
          </w:tblCellMar>
        </w:tblPrEx>
        <w:trPr>
          <w:cantSplit/>
          <w:trHeight w:val="510"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项目资金</w:t>
            </w:r>
          </w:p>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全年预算数（A）</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全年执行数（B）</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预算执行率（B/A)</w:t>
            </w:r>
          </w:p>
        </w:tc>
      </w:tr>
      <w:tr>
        <w:tblPrEx>
          <w:tblCellMar>
            <w:top w:w="0" w:type="dxa"/>
            <w:left w:w="108" w:type="dxa"/>
            <w:bottom w:w="0" w:type="dxa"/>
            <w:right w:w="108" w:type="dxa"/>
          </w:tblCellMar>
        </w:tblPrEx>
        <w:trPr>
          <w:cantSplit/>
          <w:trHeight w:val="510"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1893.98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1893.98</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r>
      <w:tr>
        <w:tblPrEx>
          <w:tblCellMar>
            <w:top w:w="0" w:type="dxa"/>
            <w:left w:w="108" w:type="dxa"/>
            <w:bottom w:w="0" w:type="dxa"/>
            <w:right w:w="108" w:type="dxa"/>
          </w:tblCellMar>
        </w:tblPrEx>
        <w:trPr>
          <w:cantSplit/>
          <w:trHeight w:val="510"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 xml:space="preserve"> </w:t>
            </w:r>
            <w:r>
              <w:rPr>
                <w:rStyle w:val="40"/>
                <w:rFonts w:hint="default" w:ascii="仿宋_GB2312" w:eastAsia="仿宋_GB2312"/>
                <w:sz w:val="21"/>
                <w:szCs w:val="21"/>
              </w:rPr>
              <w:t>其中：中央财政资金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1224.73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1224.73</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r>
      <w:tr>
        <w:tblPrEx>
          <w:tblCellMar>
            <w:top w:w="0" w:type="dxa"/>
            <w:left w:w="108" w:type="dxa"/>
            <w:bottom w:w="0" w:type="dxa"/>
            <w:right w:w="108" w:type="dxa"/>
          </w:tblCellMar>
        </w:tblPrEx>
        <w:trPr>
          <w:cantSplit/>
          <w:trHeight w:val="510"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 xml:space="preserve"> </w:t>
            </w:r>
            <w:r>
              <w:rPr>
                <w:rStyle w:val="40"/>
                <w:rFonts w:hint="default" w:ascii="仿宋_GB2312" w:eastAsia="仿宋_GB2312"/>
                <w:sz w:val="21"/>
                <w:szCs w:val="21"/>
              </w:rPr>
              <w:t xml:space="preserve">      地方资金（省级）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396.05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396.05</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r>
      <w:tr>
        <w:tblPrEx>
          <w:tblCellMar>
            <w:top w:w="0" w:type="dxa"/>
            <w:left w:w="108" w:type="dxa"/>
            <w:bottom w:w="0" w:type="dxa"/>
            <w:right w:w="108" w:type="dxa"/>
          </w:tblCellMar>
        </w:tblPrEx>
        <w:trPr>
          <w:cantSplit/>
          <w:trHeight w:val="510"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 xml:space="preserve">      </w:t>
            </w:r>
            <w:r>
              <w:rPr>
                <w:rStyle w:val="40"/>
                <w:rFonts w:hint="default" w:ascii="仿宋_GB2312" w:eastAsia="仿宋_GB2312"/>
                <w:sz w:val="21"/>
                <w:szCs w:val="21"/>
              </w:rPr>
              <w:t xml:space="preserve">  其他资金（县级）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273.2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273.2</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r>
      <w:tr>
        <w:tblPrEx>
          <w:tblCellMar>
            <w:top w:w="0" w:type="dxa"/>
            <w:left w:w="108" w:type="dxa"/>
            <w:bottom w:w="0" w:type="dxa"/>
            <w:right w:w="108" w:type="dxa"/>
          </w:tblCellMar>
        </w:tblPrEx>
        <w:trPr>
          <w:cantSplit/>
          <w:trHeight w:val="51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总体目标完成情况</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总体目标</w:t>
            </w:r>
          </w:p>
        </w:tc>
        <w:tc>
          <w:tcPr>
            <w:tcW w:w="7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全年实际完成情况</w:t>
            </w:r>
          </w:p>
        </w:tc>
      </w:tr>
      <w:tr>
        <w:tblPrEx>
          <w:tblCellMar>
            <w:top w:w="0" w:type="dxa"/>
            <w:left w:w="108" w:type="dxa"/>
            <w:bottom w:w="0" w:type="dxa"/>
            <w:right w:w="108" w:type="dxa"/>
          </w:tblCellMar>
        </w:tblPrEx>
        <w:trPr>
          <w:cantSplit/>
          <w:trHeight w:val="15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Pr>
          <w:p>
            <w:pPr>
              <w:widowControl/>
              <w:spacing w:line="240" w:lineRule="exact"/>
              <w:jc w:val="left"/>
              <w:textAlignment w:val="top"/>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目标1:实施农村计划生育家庭奖励扶助制度，解决农村独生子女和双女家庭的养老问题，提高家庭发展能力。</w:t>
            </w:r>
          </w:p>
          <w:p>
            <w:pPr>
              <w:widowControl/>
              <w:spacing w:line="240" w:lineRule="exact"/>
              <w:jc w:val="left"/>
              <w:textAlignment w:val="top"/>
              <w:rPr>
                <w:rFonts w:ascii="仿宋_GB2312" w:hAnsi="宋体" w:eastAsia="仿宋_GB2312" w:cs="宋体"/>
                <w:color w:val="000000"/>
                <w:szCs w:val="21"/>
              </w:rPr>
            </w:pPr>
            <w:r>
              <w:rPr>
                <w:rFonts w:hint="eastAsia" w:ascii="仿宋_GB2312" w:hAnsi="宋体" w:eastAsia="仿宋_GB2312" w:cs="宋体"/>
                <w:color w:val="000000"/>
                <w:kern w:val="0"/>
                <w:szCs w:val="21"/>
              </w:rPr>
              <w:t>目标2:实施计划生育家庭特别扶助制度，缓解计划生有困难家庭在生产、生活、医疗和养老等方面的特殊困难，保障和改善民生，促进社会和谐稳定。目标3：独生子女父母优先分享改革发展的成果，稳定家庭功能。</w:t>
            </w:r>
          </w:p>
        </w:tc>
        <w:tc>
          <w:tcPr>
            <w:tcW w:w="7760"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240" w:lineRule="exact"/>
              <w:jc w:val="left"/>
              <w:textAlignment w:val="top"/>
              <w:rPr>
                <w:rFonts w:ascii="仿宋_GB2312" w:hAnsi="宋体" w:eastAsia="仿宋_GB2312" w:cs="宋体"/>
                <w:color w:val="000000"/>
                <w:szCs w:val="21"/>
              </w:rPr>
            </w:pPr>
            <w:r>
              <w:rPr>
                <w:rFonts w:hint="eastAsia" w:ascii="仿宋_GB2312" w:hAnsi="宋体" w:eastAsia="仿宋_GB2312" w:cs="宋体"/>
                <w:color w:val="000000"/>
                <w:kern w:val="0"/>
                <w:szCs w:val="21"/>
              </w:rPr>
              <w:t>完成独生子女伤残家庭69人、独生子女死亡家庭325人、计划生育手术并发症一级0人、二级1人、三级56人、国家农村部分计划生育家庭奖励13312人,省级农村部分计划生育家庭奖励1319人,独生子女父母奖励7914人政策性扶助。解决农村独生子女和双女家庭的养老问题，提高家庭发展能力。缓解计划生育特殊家庭在生产、生活、医疗和养老等方面的困难，保障和改善民生，促进社会和谐。</w:t>
            </w:r>
          </w:p>
        </w:tc>
      </w:tr>
      <w:tr>
        <w:tblPrEx>
          <w:tblCellMar>
            <w:top w:w="0" w:type="dxa"/>
            <w:left w:w="108" w:type="dxa"/>
            <w:bottom w:w="0" w:type="dxa"/>
            <w:right w:w="108" w:type="dxa"/>
          </w:tblCellMar>
        </w:tblPrEx>
        <w:trPr>
          <w:cantSplit/>
          <w:trHeight w:val="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一级</w:t>
            </w:r>
          </w:p>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全年实际完成值</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未完成原因和改进措施</w:t>
            </w:r>
          </w:p>
        </w:tc>
      </w:tr>
      <w:tr>
        <w:tblPrEx>
          <w:tblCellMar>
            <w:top w:w="0" w:type="dxa"/>
            <w:left w:w="108" w:type="dxa"/>
            <w:bottom w:w="0" w:type="dxa"/>
            <w:right w:w="108" w:type="dxa"/>
          </w:tblCellMar>
        </w:tblPrEx>
        <w:trPr>
          <w:cantSplit/>
          <w:trHeight w:val="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40" w:lineRule="exact"/>
              <w:jc w:val="center"/>
              <w:rPr>
                <w:rFonts w:ascii="仿宋_GB2312" w:hAnsi="宋体" w:eastAsia="仿宋_GB2312" w:cs="宋体"/>
                <w:color w:val="000000"/>
                <w:szCs w:val="21"/>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产</w:t>
            </w:r>
          </w:p>
          <w:p>
            <w:pPr>
              <w:widowControl/>
              <w:spacing w:line="240" w:lineRule="exact"/>
              <w:jc w:val="center"/>
              <w:textAlignment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出</w:t>
            </w:r>
          </w:p>
          <w:p>
            <w:pPr>
              <w:widowControl/>
              <w:spacing w:line="240" w:lineRule="exact"/>
              <w:jc w:val="center"/>
              <w:textAlignment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指</w:t>
            </w:r>
          </w:p>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扶助独生子女伤残家庭人数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69</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清理核查停发1个</w:t>
            </w:r>
          </w:p>
        </w:tc>
      </w:tr>
      <w:tr>
        <w:tblPrEx>
          <w:tblCellMar>
            <w:top w:w="0" w:type="dxa"/>
            <w:left w:w="108" w:type="dxa"/>
            <w:bottom w:w="0" w:type="dxa"/>
            <w:right w:w="108" w:type="dxa"/>
          </w:tblCellMar>
        </w:tblPrEx>
        <w:trPr>
          <w:cantSplit/>
          <w:trHeight w:val="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4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扶助独生子女死亡家庭人数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326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325</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清理核查停发1个</w:t>
            </w:r>
          </w:p>
        </w:tc>
      </w:tr>
      <w:tr>
        <w:tblPrEx>
          <w:tblCellMar>
            <w:top w:w="0" w:type="dxa"/>
            <w:left w:w="108" w:type="dxa"/>
            <w:bottom w:w="0" w:type="dxa"/>
            <w:right w:w="108" w:type="dxa"/>
          </w:tblCellMar>
        </w:tblPrEx>
        <w:trPr>
          <w:cantSplit/>
          <w:trHeight w:val="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4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扶助计划生育手术并发症一级、二级、三级人数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57</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清理核查停发1个</w:t>
            </w:r>
          </w:p>
        </w:tc>
      </w:tr>
      <w:tr>
        <w:tblPrEx>
          <w:tblCellMar>
            <w:top w:w="0" w:type="dxa"/>
            <w:left w:w="108" w:type="dxa"/>
            <w:bottom w:w="0" w:type="dxa"/>
            <w:right w:w="108" w:type="dxa"/>
          </w:tblCellMar>
        </w:tblPrEx>
        <w:trPr>
          <w:cantSplit/>
          <w:trHeight w:val="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4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国家农村部分计划生育家庭奖励扶助人数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13327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13312</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清理核查停发15个</w:t>
            </w:r>
          </w:p>
        </w:tc>
      </w:tr>
      <w:tr>
        <w:tblPrEx>
          <w:tblCellMar>
            <w:top w:w="0" w:type="dxa"/>
            <w:left w:w="108" w:type="dxa"/>
            <w:bottom w:w="0" w:type="dxa"/>
            <w:right w:w="108" w:type="dxa"/>
          </w:tblCellMar>
        </w:tblPrEx>
        <w:trPr>
          <w:cantSplit/>
          <w:trHeight w:val="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4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省级农村部分计划生育家庭奖励扶助人数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1319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1319</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4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独生子女父母奖励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9244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7914</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清理核查停发1330人</w:t>
            </w:r>
          </w:p>
        </w:tc>
      </w:tr>
      <w:tr>
        <w:tblPrEx>
          <w:tblCellMar>
            <w:top w:w="0" w:type="dxa"/>
            <w:left w:w="108" w:type="dxa"/>
            <w:bottom w:w="0" w:type="dxa"/>
            <w:right w:w="108" w:type="dxa"/>
          </w:tblCellMar>
        </w:tblPrEx>
        <w:trPr>
          <w:cantSplit/>
          <w:trHeight w:val="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4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_GB2312" w:hAnsi="宋体" w:eastAsia="仿宋_GB2312" w:cs="宋体"/>
                <w:color w:val="000000"/>
                <w:szCs w:val="21"/>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4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_GB2312" w:hAnsi="宋体" w:eastAsia="仿宋_GB2312" w:cs="宋体"/>
                <w:color w:val="000000"/>
                <w:szCs w:val="21"/>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4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符合条件申报对象覆盖率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4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_GB2312" w:hAnsi="宋体" w:eastAsia="仿宋_GB2312" w:cs="宋体"/>
                <w:color w:val="000000"/>
                <w:szCs w:val="21"/>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4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_GB2312" w:hAnsi="宋体" w:eastAsia="仿宋_GB2312" w:cs="宋体"/>
                <w:color w:val="000000"/>
                <w:szCs w:val="21"/>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4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奖励和扶助资金到位率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4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_GB2312" w:hAnsi="宋体" w:eastAsia="仿宋_GB2312" w:cs="宋体"/>
                <w:color w:val="000000"/>
                <w:szCs w:val="21"/>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4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_GB2312" w:hAnsi="宋体" w:eastAsia="仿宋_GB2312" w:cs="宋体"/>
                <w:color w:val="000000"/>
                <w:szCs w:val="21"/>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4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独生子女伤残家庭扶助金发放标准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1-6月680元/人/月，7-12月790元/人/月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1-6月680元/人/月，7-12月790元/人/月</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4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独生子女死亡家庭扶助金发放标准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1-6月860元/人/月，7-12月1000元/人/月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1-6月860元/人/月，7-12月1000元/人/月</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4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计划生育手术并发症扶助金发放标准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三级：1-6月200元/人/月，7-12月260元/人/月；</w:t>
            </w:r>
          </w:p>
          <w:p>
            <w:pPr>
              <w:widowControl/>
              <w:spacing w:line="240" w:lineRule="exact"/>
              <w:jc w:val="left"/>
              <w:textAlignment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二级：1-6月400元/人/月，7-12月490元/人/月；</w:t>
            </w:r>
          </w:p>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一级：1-6月600元/人/月，7-12月720元/人/月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三级：1-6月200元/人/月，7-12月260元/人/月；</w:t>
            </w:r>
          </w:p>
          <w:p>
            <w:pPr>
              <w:widowControl/>
              <w:spacing w:line="240" w:lineRule="exact"/>
              <w:jc w:val="left"/>
              <w:textAlignment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二级：1-6月400元/人/月，7-12月490元/人/月；</w:t>
            </w:r>
          </w:p>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一级：1-6月600元/人/月，7-12月720元/人/月</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4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农村部分计划生育家庭奖励扶助金发放标准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80元/人/月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80元/人/月</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40" w:lineRule="exact"/>
              <w:jc w:val="center"/>
              <w:rPr>
                <w:rFonts w:ascii="仿宋_GB2312" w:hAnsi="宋体" w:eastAsia="仿宋_GB2312" w:cs="宋体"/>
                <w:color w:val="000000"/>
                <w:szCs w:val="21"/>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产</w:t>
            </w:r>
          </w:p>
          <w:p>
            <w:pPr>
              <w:spacing w:line="240" w:lineRule="exact"/>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出</w:t>
            </w:r>
          </w:p>
          <w:p>
            <w:pPr>
              <w:spacing w:line="240" w:lineRule="exact"/>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指</w:t>
            </w:r>
          </w:p>
          <w:p>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kern w:val="0"/>
                <w:szCs w:val="21"/>
              </w:rPr>
              <w:t>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社会效益</w:t>
            </w:r>
          </w:p>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家庭发展能力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逐步提高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逐步提高</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4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社会稳定水平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逐步提高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逐步提高</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4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_GB2312" w:hAnsi="宋体" w:eastAsia="仿宋_GB2312" w:cs="宋体"/>
                <w:color w:val="000000"/>
                <w:szCs w:val="21"/>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4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生态效益</w:t>
            </w:r>
          </w:p>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_GB2312" w:hAnsi="宋体" w:eastAsia="仿宋_GB2312" w:cs="宋体"/>
                <w:color w:val="000000"/>
                <w:szCs w:val="21"/>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4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_GB2312" w:hAnsi="宋体" w:eastAsia="仿宋_GB2312" w:cs="宋体"/>
                <w:color w:val="000000"/>
                <w:szCs w:val="21"/>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4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_GB2312" w:hAnsi="宋体" w:eastAsia="仿宋_GB2312" w:cs="宋体"/>
                <w:color w:val="000000"/>
                <w:szCs w:val="21"/>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4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可持续影响指标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计生特殊家庭生活水平得到提高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逐步提高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逐步提高</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4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_GB2312" w:hAnsi="宋体" w:eastAsia="仿宋_GB2312" w:cs="宋体"/>
                <w:color w:val="000000"/>
                <w:szCs w:val="21"/>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4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_GB2312" w:hAnsi="宋体" w:eastAsia="仿宋_GB2312" w:cs="宋体"/>
                <w:color w:val="000000"/>
                <w:szCs w:val="21"/>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4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_GB2312" w:hAnsi="宋体" w:eastAsia="仿宋_GB2312" w:cs="宋体"/>
                <w:color w:val="000000"/>
                <w:szCs w:val="21"/>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40" w:lineRule="exact"/>
              <w:jc w:val="center"/>
              <w:rPr>
                <w:rFonts w:ascii="仿宋_GB2312" w:hAnsi="宋体" w:eastAsia="仿宋_GB2312" w:cs="宋体"/>
                <w:color w:val="000000"/>
                <w:szCs w:val="21"/>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服务对象</w:t>
            </w:r>
          </w:p>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享受补助的计划生育家庭满意度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4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_GB2312" w:hAnsi="宋体" w:eastAsia="仿宋_GB2312" w:cs="宋体"/>
                <w:color w:val="000000"/>
                <w:szCs w:val="21"/>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4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_GB2312" w:hAnsi="宋体" w:eastAsia="仿宋_GB2312" w:cs="宋体"/>
                <w:color w:val="000000"/>
                <w:szCs w:val="21"/>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4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_GB2312" w:hAnsi="宋体" w:eastAsia="仿宋_GB2312" w:cs="宋体"/>
                <w:color w:val="000000"/>
                <w:szCs w:val="21"/>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说明</w:t>
            </w:r>
          </w:p>
        </w:tc>
        <w:tc>
          <w:tcPr>
            <w:tcW w:w="1347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请在此处简要说明中央巡视、各级审计和财政监督中发现的问题及其所涉及的金额，如没有请填无。</w:t>
            </w:r>
          </w:p>
        </w:tc>
      </w:tr>
      <w:tr>
        <w:tblPrEx>
          <w:tblCellMar>
            <w:top w:w="0" w:type="dxa"/>
            <w:left w:w="108" w:type="dxa"/>
            <w:bottom w:w="0" w:type="dxa"/>
            <w:right w:w="108" w:type="dxa"/>
          </w:tblCellMar>
        </w:tblPrEx>
        <w:trPr>
          <w:cantSplit/>
          <w:trHeight w:val="20" w:hRule="atLeast"/>
        </w:trPr>
        <w:tc>
          <w:tcPr>
            <w:tcW w:w="14190" w:type="dxa"/>
            <w:gridSpan w:val="8"/>
            <w:tcBorders>
              <w:top w:val="nil"/>
              <w:left w:val="nil"/>
              <w:bottom w:val="nil"/>
              <w:right w:val="nil"/>
            </w:tcBorders>
            <w:shd w:val="clear" w:color="auto" w:fill="auto"/>
            <w:vAlign w:val="bottom"/>
          </w:tcPr>
          <w:p>
            <w:pPr>
              <w:widowControl/>
              <w:spacing w:line="240" w:lineRule="exact"/>
              <w:jc w:val="left"/>
              <w:textAlignment w:val="bottom"/>
              <w:rPr>
                <w:rFonts w:ascii="仿宋_GB2312" w:hAnsi="宋体" w:eastAsia="仿宋_GB2312" w:cs="宋体"/>
                <w:color w:val="000000"/>
                <w:szCs w:val="21"/>
              </w:rPr>
            </w:pPr>
            <w:r>
              <w:rPr>
                <w:rFonts w:hint="eastAsia" w:ascii="仿宋_GB2312" w:hAnsi="宋体" w:eastAsia="仿宋_GB2312" w:cs="宋体"/>
                <w:color w:val="000000"/>
                <w:kern w:val="0"/>
                <w:szCs w:val="21"/>
              </w:rPr>
              <w:t>注：1.资金使用单位按项目绩效目标填报，主管部门汇总时按区域绩效目标填报。</w:t>
            </w:r>
          </w:p>
        </w:tc>
      </w:tr>
      <w:tr>
        <w:tblPrEx>
          <w:tblCellMar>
            <w:top w:w="0" w:type="dxa"/>
            <w:left w:w="108" w:type="dxa"/>
            <w:bottom w:w="0" w:type="dxa"/>
            <w:right w:w="108" w:type="dxa"/>
          </w:tblCellMar>
        </w:tblPrEx>
        <w:trPr>
          <w:cantSplit/>
          <w:trHeight w:val="20" w:hRule="atLeast"/>
        </w:trPr>
        <w:tc>
          <w:tcPr>
            <w:tcW w:w="14190" w:type="dxa"/>
            <w:gridSpan w:val="8"/>
            <w:tcBorders>
              <w:top w:val="nil"/>
              <w:left w:val="nil"/>
              <w:bottom w:val="nil"/>
              <w:right w:val="nil"/>
            </w:tcBorders>
            <w:shd w:val="clear" w:color="auto" w:fill="auto"/>
            <w:vAlign w:val="bottom"/>
          </w:tcPr>
          <w:p>
            <w:pPr>
              <w:widowControl/>
              <w:spacing w:line="240" w:lineRule="exact"/>
              <w:jc w:val="left"/>
              <w:textAlignment w:val="bottom"/>
              <w:rPr>
                <w:rFonts w:ascii="仿宋_GB2312" w:hAnsi="宋体" w:eastAsia="仿宋_GB2312" w:cs="宋体"/>
                <w:color w:val="000000"/>
                <w:szCs w:val="21"/>
              </w:rPr>
            </w:pPr>
            <w:r>
              <w:rPr>
                <w:rFonts w:hint="eastAsia" w:ascii="仿宋_GB2312" w:hAnsi="宋体" w:eastAsia="仿宋_GB2312" w:cs="宋体"/>
                <w:color w:val="000000"/>
                <w:kern w:val="0"/>
                <w:szCs w:val="21"/>
              </w:rPr>
              <w:t xml:space="preserve">    2.其他资金包括与中央财政资金、地方财政资金共同投入到同一项目的自有资金、社会资金，以及以前年度的结转结余资金等。</w:t>
            </w:r>
          </w:p>
        </w:tc>
      </w:tr>
      <w:tr>
        <w:tblPrEx>
          <w:tblCellMar>
            <w:top w:w="0" w:type="dxa"/>
            <w:left w:w="108" w:type="dxa"/>
            <w:bottom w:w="0" w:type="dxa"/>
            <w:right w:w="108" w:type="dxa"/>
          </w:tblCellMar>
        </w:tblPrEx>
        <w:trPr>
          <w:cantSplit/>
          <w:trHeight w:val="20" w:hRule="atLeast"/>
        </w:trPr>
        <w:tc>
          <w:tcPr>
            <w:tcW w:w="14190" w:type="dxa"/>
            <w:gridSpan w:val="8"/>
            <w:tcBorders>
              <w:top w:val="nil"/>
              <w:left w:val="nil"/>
              <w:bottom w:val="nil"/>
              <w:right w:val="nil"/>
            </w:tcBorders>
            <w:shd w:val="clear" w:color="auto" w:fill="auto"/>
            <w:vAlign w:val="bottom"/>
          </w:tcPr>
          <w:p>
            <w:pPr>
              <w:widowControl/>
              <w:spacing w:line="240" w:lineRule="exact"/>
              <w:jc w:val="left"/>
              <w:textAlignment w:val="bottom"/>
              <w:rPr>
                <w:rFonts w:ascii="仿宋_GB2312" w:hAnsi="宋体" w:eastAsia="仿宋_GB2312" w:cs="宋体"/>
                <w:color w:val="000000"/>
                <w:szCs w:val="21"/>
              </w:rPr>
            </w:pPr>
            <w:r>
              <w:rPr>
                <w:rFonts w:hint="eastAsia" w:ascii="仿宋_GB2312" w:hAnsi="宋体" w:eastAsia="仿宋_GB2312" w:cs="宋体"/>
                <w:color w:val="000000"/>
                <w:kern w:val="0"/>
                <w:szCs w:val="21"/>
              </w:rPr>
              <w:t xml:space="preserve">    3.全年执行数是指按照国库集中支付制度要求所形成的实际支出。</w:t>
            </w:r>
          </w:p>
        </w:tc>
      </w:tr>
      <w:tr>
        <w:tblPrEx>
          <w:tblCellMar>
            <w:top w:w="0" w:type="dxa"/>
            <w:left w:w="108" w:type="dxa"/>
            <w:bottom w:w="0" w:type="dxa"/>
            <w:right w:w="108" w:type="dxa"/>
          </w:tblCellMar>
        </w:tblPrEx>
        <w:trPr>
          <w:cantSplit/>
          <w:trHeight w:val="20" w:hRule="atLeast"/>
        </w:trPr>
        <w:tc>
          <w:tcPr>
            <w:tcW w:w="14190" w:type="dxa"/>
            <w:gridSpan w:val="8"/>
            <w:tcBorders>
              <w:top w:val="nil"/>
              <w:left w:val="nil"/>
              <w:bottom w:val="nil"/>
              <w:right w:val="nil"/>
            </w:tcBorders>
            <w:shd w:val="clear" w:color="auto" w:fill="auto"/>
            <w:vAlign w:val="bottom"/>
          </w:tcPr>
          <w:p>
            <w:pPr>
              <w:widowControl/>
              <w:spacing w:line="240" w:lineRule="exact"/>
              <w:jc w:val="left"/>
              <w:textAlignment w:val="bottom"/>
              <w:rPr>
                <w:rFonts w:ascii="仿宋_GB2312" w:hAnsi="宋体" w:eastAsia="仿宋_GB2312" w:cs="宋体"/>
                <w:color w:val="000000"/>
                <w:szCs w:val="21"/>
              </w:rPr>
            </w:pPr>
            <w:r>
              <w:rPr>
                <w:rFonts w:hint="eastAsia" w:ascii="仿宋_GB2312" w:hAnsi="宋体" w:eastAsia="仿宋_GB2312" w:cs="宋体"/>
                <w:color w:val="000000"/>
                <w:kern w:val="0"/>
                <w:szCs w:val="21"/>
              </w:rPr>
              <w:t xml:space="preserve">    4.定量指标，地方各级主管部门对资金使用单位填写的实际完成值汇总时，绝对值直接累加计算，相对值按照资金额度加权平均计算。</w:t>
            </w:r>
          </w:p>
        </w:tc>
      </w:tr>
      <w:tr>
        <w:tblPrEx>
          <w:tblCellMar>
            <w:top w:w="0" w:type="dxa"/>
            <w:left w:w="108" w:type="dxa"/>
            <w:bottom w:w="0" w:type="dxa"/>
            <w:right w:w="108" w:type="dxa"/>
          </w:tblCellMar>
        </w:tblPrEx>
        <w:trPr>
          <w:cantSplit/>
          <w:trHeight w:val="20" w:hRule="atLeast"/>
        </w:trPr>
        <w:tc>
          <w:tcPr>
            <w:tcW w:w="14190" w:type="dxa"/>
            <w:gridSpan w:val="8"/>
            <w:tcBorders>
              <w:top w:val="nil"/>
              <w:left w:val="nil"/>
              <w:bottom w:val="nil"/>
              <w:right w:val="nil"/>
            </w:tcBorders>
            <w:shd w:val="clear" w:color="auto" w:fill="auto"/>
            <w:vAlign w:val="bottom"/>
          </w:tcPr>
          <w:p>
            <w:pPr>
              <w:widowControl/>
              <w:spacing w:line="240" w:lineRule="exact"/>
              <w:jc w:val="left"/>
              <w:textAlignment w:val="bottom"/>
              <w:rPr>
                <w:rFonts w:ascii="仿宋_GB2312" w:hAnsi="宋体" w:eastAsia="仿宋_GB2312" w:cs="宋体"/>
                <w:color w:val="000000"/>
                <w:szCs w:val="21"/>
              </w:rPr>
            </w:pPr>
            <w:r>
              <w:rPr>
                <w:rFonts w:hint="eastAsia" w:ascii="仿宋_GB2312" w:hAnsi="宋体" w:eastAsia="仿宋_GB2312" w:cs="宋体"/>
                <w:color w:val="000000"/>
                <w:kern w:val="0"/>
                <w:szCs w:val="21"/>
              </w:rPr>
              <w:t xml:space="preserve">    5.定性指标。资金使用单位分别按照100%-80%（含）、80%-60%（含）、60-0%合理填写实际完成值，地方各级主管部门汇总时，按照资金额度加权平均计算。</w:t>
            </w:r>
          </w:p>
        </w:tc>
      </w:tr>
    </w:tbl>
    <w:p>
      <w:pPr>
        <w:pStyle w:val="15"/>
        <w:spacing w:after="0" w:line="560" w:lineRule="exact"/>
        <w:ind w:left="0" w:leftChars="0" w:firstLine="0" w:firstLineChars="0"/>
        <w:rPr>
          <w:rFonts w:hAnsi="仿宋_GB2312" w:eastAsia="仿宋_GB2312" w:cs="仿宋_GB2312"/>
          <w:sz w:val="32"/>
          <w:lang w:val="zh-CN"/>
        </w:rPr>
      </w:pPr>
      <w:r>
        <w:rPr>
          <w:rFonts w:hint="eastAsia" w:hAnsi="仿宋_GB2312" w:eastAsia="仿宋_GB2312" w:cs="仿宋_GB2312"/>
          <w:sz w:val="32"/>
          <w:lang w:val="zh-CN"/>
        </w:rPr>
        <w:t>附件4</w:t>
      </w:r>
      <w:r>
        <w:rPr>
          <w:rFonts w:hAnsi="仿宋_GB2312" w:eastAsia="仿宋_GB2312" w:cs="仿宋_GB2312"/>
          <w:sz w:val="32"/>
          <w:lang w:val="zh-CN"/>
        </w:rPr>
        <w:tab/>
      </w:r>
      <w:r>
        <w:rPr>
          <w:rFonts w:hAnsi="仿宋_GB2312" w:eastAsia="仿宋_GB2312" w:cs="仿宋_GB2312"/>
          <w:sz w:val="32"/>
          <w:lang w:val="zh-CN"/>
        </w:rPr>
        <w:tab/>
      </w:r>
      <w:r>
        <w:rPr>
          <w:rFonts w:hAnsi="仿宋_GB2312" w:eastAsia="仿宋_GB2312" w:cs="仿宋_GB2312"/>
          <w:sz w:val="32"/>
          <w:lang w:val="zh-CN"/>
        </w:rPr>
        <w:tab/>
      </w:r>
      <w:r>
        <w:rPr>
          <w:rFonts w:hAnsi="仿宋_GB2312" w:eastAsia="仿宋_GB2312" w:cs="仿宋_GB2312"/>
          <w:sz w:val="32"/>
          <w:lang w:val="zh-CN"/>
        </w:rPr>
        <w:tab/>
      </w:r>
      <w:r>
        <w:rPr>
          <w:rFonts w:hAnsi="仿宋_GB2312" w:eastAsia="仿宋_GB2312" w:cs="仿宋_GB2312"/>
          <w:sz w:val="32"/>
          <w:lang w:val="zh-CN"/>
        </w:rPr>
        <w:tab/>
      </w:r>
      <w:r>
        <w:rPr>
          <w:rFonts w:hAnsi="仿宋_GB2312" w:eastAsia="仿宋_GB2312" w:cs="仿宋_GB2312"/>
          <w:sz w:val="32"/>
          <w:lang w:val="zh-CN"/>
        </w:rPr>
        <w:tab/>
      </w:r>
      <w:r>
        <w:rPr>
          <w:rFonts w:hAnsi="仿宋_GB2312" w:eastAsia="仿宋_GB2312" w:cs="仿宋_GB2312"/>
          <w:sz w:val="32"/>
          <w:lang w:val="zh-CN"/>
        </w:rPr>
        <w:tab/>
      </w:r>
    </w:p>
    <w:p>
      <w:pPr>
        <w:widowControl/>
        <w:spacing w:line="560" w:lineRule="exact"/>
        <w:ind w:left="93"/>
        <w:jc w:val="center"/>
        <w:textAlignment w:val="center"/>
        <w:rPr>
          <w:rFonts w:ascii="方正小标宋简体" w:hAnsi="宋体" w:eastAsia="方正小标宋简体" w:cs="宋体"/>
          <w:b/>
          <w:bCs/>
          <w:color w:val="000000"/>
          <w:kern w:val="0"/>
          <w:sz w:val="36"/>
          <w:szCs w:val="36"/>
        </w:rPr>
      </w:pPr>
      <w:r>
        <w:rPr>
          <w:rFonts w:hint="eastAsia" w:ascii="方正小标宋简体" w:hAnsi="宋体" w:eastAsia="方正小标宋简体" w:cs="宋体"/>
          <w:b/>
          <w:bCs/>
          <w:color w:val="000000"/>
          <w:kern w:val="0"/>
          <w:sz w:val="36"/>
          <w:szCs w:val="36"/>
        </w:rPr>
        <w:t>医疗服务与保障能力提升</w:t>
      </w:r>
      <w:r>
        <w:rPr>
          <w:rFonts w:ascii="方正小标宋简体" w:eastAsia="方正小标宋简体"/>
          <w:b/>
          <w:kern w:val="0"/>
          <w:sz w:val="36"/>
          <w:szCs w:val="36"/>
        </w:rPr>
        <w:t>转移支付区域（项目）绩效目标自评表</w:t>
      </w:r>
      <w:r>
        <w:rPr>
          <w:rFonts w:hint="eastAsia" w:ascii="方正小标宋简体" w:hAnsi="宋体" w:eastAsia="方正小标宋简体" w:cs="宋体"/>
          <w:b/>
          <w:bCs/>
          <w:color w:val="000000"/>
          <w:kern w:val="0"/>
          <w:sz w:val="36"/>
          <w:szCs w:val="36"/>
        </w:rPr>
        <w:t xml:space="preserve"> </w:t>
      </w:r>
    </w:p>
    <w:p>
      <w:pPr>
        <w:widowControl/>
        <w:spacing w:line="560" w:lineRule="exact"/>
        <w:ind w:left="93"/>
        <w:jc w:val="center"/>
        <w:textAlignment w:val="center"/>
      </w:pPr>
      <w:r>
        <w:rPr>
          <w:rFonts w:hint="eastAsia" w:ascii="方正小标宋简体" w:hAnsi="宋体" w:eastAsia="方正小标宋简体" w:cs="宋体"/>
          <w:b/>
          <w:bCs/>
          <w:color w:val="000000"/>
          <w:kern w:val="0"/>
          <w:sz w:val="36"/>
          <w:szCs w:val="36"/>
        </w:rPr>
        <w:t>（2022年度）</w:t>
      </w:r>
    </w:p>
    <w:tbl>
      <w:tblPr>
        <w:tblStyle w:val="16"/>
        <w:tblW w:w="0" w:type="auto"/>
        <w:tblInd w:w="93" w:type="dxa"/>
        <w:tblLayout w:type="autofit"/>
        <w:tblCellMar>
          <w:top w:w="0" w:type="dxa"/>
          <w:left w:w="108" w:type="dxa"/>
          <w:bottom w:w="0" w:type="dxa"/>
          <w:right w:w="108" w:type="dxa"/>
        </w:tblCellMar>
      </w:tblPr>
      <w:tblGrid>
        <w:gridCol w:w="1089"/>
        <w:gridCol w:w="992"/>
        <w:gridCol w:w="1605"/>
        <w:gridCol w:w="2949"/>
        <w:gridCol w:w="2584"/>
        <w:gridCol w:w="1761"/>
        <w:gridCol w:w="1470"/>
        <w:gridCol w:w="1449"/>
      </w:tblGrid>
      <w:tr>
        <w:tblPrEx>
          <w:tblCellMar>
            <w:top w:w="0" w:type="dxa"/>
            <w:left w:w="108" w:type="dxa"/>
            <w:bottom w:w="0" w:type="dxa"/>
            <w:right w:w="108" w:type="dxa"/>
          </w:tblCellMar>
        </w:tblPrEx>
        <w:trPr>
          <w:trHeight w:val="59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转移支付（项目）名称</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医疗服务与保障能力提升补助资金</w:t>
            </w:r>
          </w:p>
        </w:tc>
      </w:tr>
      <w:tr>
        <w:tblPrEx>
          <w:tblCellMar>
            <w:top w:w="0" w:type="dxa"/>
            <w:left w:w="108" w:type="dxa"/>
            <w:bottom w:w="0" w:type="dxa"/>
            <w:right w:w="108" w:type="dxa"/>
          </w:tblCellMar>
        </w:tblPrEx>
        <w:trPr>
          <w:trHeight w:val="59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中央主管部门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国家卫生健康委</w:t>
            </w:r>
          </w:p>
        </w:tc>
      </w:tr>
      <w:tr>
        <w:tblPrEx>
          <w:tblCellMar>
            <w:top w:w="0" w:type="dxa"/>
            <w:left w:w="108" w:type="dxa"/>
            <w:bottom w:w="0" w:type="dxa"/>
            <w:right w:w="108" w:type="dxa"/>
          </w:tblCellMar>
        </w:tblPrEx>
        <w:trPr>
          <w:trHeight w:val="59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地方主管部门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剑阁县卫生健康局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资金使用单位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剑阁县卫生健康局</w:t>
            </w:r>
          </w:p>
        </w:tc>
      </w:tr>
      <w:tr>
        <w:tblPrEx>
          <w:tblCellMar>
            <w:top w:w="0" w:type="dxa"/>
            <w:left w:w="108" w:type="dxa"/>
            <w:bottom w:w="0" w:type="dxa"/>
            <w:right w:w="108" w:type="dxa"/>
          </w:tblCellMar>
        </w:tblPrEx>
        <w:trPr>
          <w:trHeight w:val="595"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项目资金</w:t>
            </w:r>
          </w:p>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全年预算数（A）</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全年执行数（B）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预算执行率（B/A)</w:t>
            </w:r>
          </w:p>
        </w:tc>
      </w:tr>
      <w:tr>
        <w:tblPrEx>
          <w:tblCellMar>
            <w:top w:w="0" w:type="dxa"/>
            <w:left w:w="108" w:type="dxa"/>
            <w:bottom w:w="0" w:type="dxa"/>
            <w:right w:w="108" w:type="dxa"/>
          </w:tblCellMar>
        </w:tblPrEx>
        <w:trPr>
          <w:trHeight w:val="595"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921.93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921.93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r>
      <w:tr>
        <w:tblPrEx>
          <w:tblCellMar>
            <w:top w:w="0" w:type="dxa"/>
            <w:left w:w="108" w:type="dxa"/>
            <w:bottom w:w="0" w:type="dxa"/>
            <w:right w:w="108" w:type="dxa"/>
          </w:tblCellMar>
        </w:tblPrEx>
        <w:trPr>
          <w:trHeight w:val="595"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 xml:space="preserve"> </w:t>
            </w:r>
            <w:r>
              <w:rPr>
                <w:rStyle w:val="42"/>
                <w:rFonts w:hint="default" w:ascii="仿宋_GB2312" w:eastAsia="仿宋_GB2312"/>
                <w:sz w:val="21"/>
                <w:szCs w:val="21"/>
              </w:rPr>
              <w:t>其中：中央、省补助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661.93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661.93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r>
      <w:tr>
        <w:tblPrEx>
          <w:tblCellMar>
            <w:top w:w="0" w:type="dxa"/>
            <w:left w:w="108" w:type="dxa"/>
            <w:bottom w:w="0" w:type="dxa"/>
            <w:right w:w="108" w:type="dxa"/>
          </w:tblCellMar>
        </w:tblPrEx>
        <w:trPr>
          <w:trHeight w:val="595"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市级补助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r>
      <w:tr>
        <w:tblPrEx>
          <w:tblCellMar>
            <w:top w:w="0" w:type="dxa"/>
            <w:left w:w="108" w:type="dxa"/>
            <w:bottom w:w="0" w:type="dxa"/>
            <w:right w:w="108" w:type="dxa"/>
          </w:tblCellMar>
        </w:tblPrEx>
        <w:trPr>
          <w:trHeight w:val="595"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 xml:space="preserve"> </w:t>
            </w:r>
            <w:r>
              <w:rPr>
                <w:rStyle w:val="42"/>
                <w:rFonts w:hint="default" w:ascii="仿宋_GB2312" w:eastAsia="仿宋_GB2312"/>
                <w:sz w:val="21"/>
                <w:szCs w:val="21"/>
              </w:rPr>
              <w:t xml:space="preserve">      地方资金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160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r>
      <w:tr>
        <w:tblPrEx>
          <w:tblCellMar>
            <w:top w:w="0" w:type="dxa"/>
            <w:left w:w="108" w:type="dxa"/>
            <w:bottom w:w="0" w:type="dxa"/>
            <w:right w:w="108" w:type="dxa"/>
          </w:tblCellMar>
        </w:tblPrEx>
        <w:trPr>
          <w:trHeight w:val="595"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 xml:space="preserve">      </w:t>
            </w:r>
            <w:r>
              <w:rPr>
                <w:rStyle w:val="42"/>
                <w:rFonts w:hint="default" w:ascii="仿宋_GB2312" w:eastAsia="仿宋_GB2312"/>
                <w:sz w:val="21"/>
                <w:szCs w:val="21"/>
              </w:rPr>
              <w:t xml:space="preserve">  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宋体"/>
                <w:color w:val="000000"/>
                <w:szCs w:val="21"/>
              </w:rPr>
            </w:pPr>
          </w:p>
        </w:tc>
      </w:tr>
      <w:tr>
        <w:tblPrEx>
          <w:tblCellMar>
            <w:top w:w="0" w:type="dxa"/>
            <w:left w:w="108" w:type="dxa"/>
            <w:bottom w:w="0" w:type="dxa"/>
            <w:right w:w="108" w:type="dxa"/>
          </w:tblCellMar>
        </w:tblPrEx>
        <w:trPr>
          <w:trHeight w:val="59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总体目标完成情况</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全年实际完成情况</w:t>
            </w:r>
          </w:p>
        </w:tc>
      </w:tr>
      <w:tr>
        <w:tblPrEx>
          <w:tblCellMar>
            <w:top w:w="0" w:type="dxa"/>
            <w:left w:w="108" w:type="dxa"/>
            <w:bottom w:w="0" w:type="dxa"/>
            <w:right w:w="108" w:type="dxa"/>
          </w:tblCellMar>
        </w:tblPrEx>
        <w:trPr>
          <w:trHeight w:val="5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基本建立是有中国特色的权责清晰，管理科学、治理完善、监督有力的现代医院管理制度，建立维护公益性。调动积极性、保障可持续的运行新机制和科学合理的补偿机制。</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基本建立现代医院管理制度，调动医务人员积极性。</w:t>
            </w:r>
          </w:p>
        </w:tc>
      </w:tr>
      <w:tr>
        <w:tblPrEx>
          <w:tblCellMar>
            <w:top w:w="0" w:type="dxa"/>
            <w:left w:w="108" w:type="dxa"/>
            <w:bottom w:w="0" w:type="dxa"/>
            <w:right w:w="108" w:type="dxa"/>
          </w:tblCellMar>
        </w:tblPrEx>
        <w:trPr>
          <w:trHeight w:val="39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一级</w:t>
            </w:r>
          </w:p>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全年实际完成值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未完成原因和改进措施</w:t>
            </w:r>
          </w:p>
        </w:tc>
      </w:tr>
      <w:tr>
        <w:tblPrEx>
          <w:tblCellMar>
            <w:top w:w="0" w:type="dxa"/>
            <w:left w:w="108" w:type="dxa"/>
            <w:bottom w:w="0" w:type="dxa"/>
            <w:right w:w="108" w:type="dxa"/>
          </w:tblCellMar>
        </w:tblPrEx>
        <w:trPr>
          <w:cantSplit/>
          <w:trHeight w:val="39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宋体" w:eastAsia="仿宋_GB2312" w:cs="宋体"/>
                <w:color w:val="000000"/>
                <w:szCs w:val="21"/>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产</w:t>
            </w:r>
          </w:p>
          <w:p>
            <w:pPr>
              <w:widowControl/>
              <w:jc w:val="center"/>
              <w:textAlignment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出</w:t>
            </w:r>
          </w:p>
          <w:p>
            <w:pPr>
              <w:widowControl/>
              <w:jc w:val="center"/>
              <w:textAlignment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指</w:t>
            </w:r>
          </w:p>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医疗服务收入（不含药品、检查、耗</w:t>
            </w:r>
          </w:p>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材、化验收入）占公立医院医疗收八的比例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较上年提高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较上年增加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39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公立医院资产负债率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较上年降低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较上年降低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39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公立医院基本建设、设备购置长期负较上年降低债占总资产的比例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较上年降低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较上年降低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39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三级公立医院出院患者手术占比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较上年提高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较上年提高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39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质量三级公立医院出院患者四级手术比例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较上年提高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较上年提高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39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公立医院平均住院日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较上年降低(≤9.35天）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较上年降低(=8.35天）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39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39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39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39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公立医院百元医疗收入的医疗支出指标（不含药品收入）</w:t>
            </w:r>
          </w:p>
        </w:tc>
        <w:tc>
          <w:tcPr>
            <w:tcW w:w="0" w:type="auto"/>
            <w:tcBorders>
              <w:top w:val="nil"/>
              <w:left w:val="nil"/>
              <w:bottom w:val="nil"/>
              <w:right w:val="nil"/>
            </w:tcBorders>
            <w:shd w:val="clear" w:color="auto" w:fill="auto"/>
            <w:noWrap/>
            <w:vAlign w:val="center"/>
          </w:tcPr>
          <w:p>
            <w:pPr>
              <w:widowControl/>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较上年降低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较上年降低7.4%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39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39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39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trHeight w:val="39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宋体" w:eastAsia="仿宋_GB2312" w:cs="宋体"/>
                <w:color w:val="000000"/>
                <w:szCs w:val="21"/>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效益</w:t>
            </w:r>
          </w:p>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经济效益</w:t>
            </w:r>
          </w:p>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trHeight w:val="39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trHeight w:val="39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r>
    </w:tbl>
    <w:p/>
    <w:tbl>
      <w:tblPr>
        <w:tblStyle w:val="16"/>
        <w:tblW w:w="0" w:type="auto"/>
        <w:tblInd w:w="93" w:type="dxa"/>
        <w:tblLayout w:type="autofit"/>
        <w:tblCellMar>
          <w:top w:w="0" w:type="dxa"/>
          <w:left w:w="108" w:type="dxa"/>
          <w:bottom w:w="0" w:type="dxa"/>
          <w:right w:w="108" w:type="dxa"/>
        </w:tblCellMar>
      </w:tblPr>
      <w:tblGrid>
        <w:gridCol w:w="617"/>
        <w:gridCol w:w="1120"/>
        <w:gridCol w:w="1156"/>
        <w:gridCol w:w="6150"/>
        <w:gridCol w:w="1437"/>
        <w:gridCol w:w="1432"/>
        <w:gridCol w:w="1987"/>
      </w:tblGrid>
      <w:tr>
        <w:tblPrEx>
          <w:tblCellMar>
            <w:top w:w="0" w:type="dxa"/>
            <w:left w:w="108" w:type="dxa"/>
            <w:bottom w:w="0" w:type="dxa"/>
            <w:right w:w="108" w:type="dxa"/>
          </w:tblCellMar>
        </w:tblPrEx>
        <w:trPr>
          <w:cantSplit/>
          <w:trHeight w:val="20" w:hRule="atLeast"/>
        </w:trPr>
        <w:tc>
          <w:tcPr>
            <w:tcW w:w="0" w:type="auto"/>
            <w:vMerge w:val="restart"/>
            <w:tcBorders>
              <w:top w:val="single" w:color="000000" w:sz="4" w:space="0"/>
              <w:left w:val="single" w:color="000000" w:sz="4" w:space="0"/>
              <w:right w:val="single" w:color="000000" w:sz="4" w:space="0"/>
            </w:tcBorders>
            <w:shd w:val="clear" w:color="auto" w:fill="auto"/>
            <w:textDirection w:val="tbRlV"/>
            <w:vAlign w:val="center"/>
          </w:tcPr>
          <w:p>
            <w:pPr>
              <w:jc w:val="center"/>
              <w:rPr>
                <w:rFonts w:ascii="仿宋_GB2312" w:hAnsi="宋体" w:eastAsia="仿宋_GB2312" w:cs="宋体"/>
                <w:color w:val="000000"/>
                <w:szCs w:val="21"/>
              </w:rPr>
            </w:pPr>
            <w:r>
              <w:rPr>
                <w:rFonts w:hint="eastAsia" w:ascii="仿宋_GB2312" w:hAnsi="宋体" w:eastAsia="仿宋_GB2312" w:cs="宋体"/>
                <w:color w:val="000000"/>
                <w:szCs w:val="21"/>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Cs w:val="21"/>
                <w:lang w:eastAsia="zh-CN"/>
              </w:rPr>
            </w:pPr>
            <w:r>
              <w:rPr>
                <w:rFonts w:hint="eastAsia" w:ascii="仿宋_GB2312" w:hAnsi="宋体" w:eastAsia="仿宋_GB2312" w:cs="宋体"/>
                <w:color w:val="000000"/>
                <w:szCs w:val="21"/>
              </w:rPr>
              <w:t>一级</w:t>
            </w:r>
          </w:p>
          <w:p>
            <w:pPr>
              <w:jc w:val="center"/>
              <w:rPr>
                <w:rFonts w:ascii="仿宋_GB2312" w:hAnsi="宋体" w:eastAsia="仿宋_GB2312" w:cs="宋体"/>
                <w:color w:val="000000"/>
                <w:szCs w:val="21"/>
              </w:rPr>
            </w:pPr>
            <w:r>
              <w:rPr>
                <w:rFonts w:hint="eastAsia" w:ascii="仿宋_GB2312" w:hAnsi="宋体" w:eastAsia="仿宋_GB2312" w:cs="宋体"/>
                <w:color w:val="000000"/>
                <w:szCs w:val="21"/>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三级指标</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指标值</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全年实际完成值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r>
              <w:rPr>
                <w:rFonts w:hint="eastAsia" w:ascii="仿宋_GB2312" w:hAnsi="宋体" w:eastAsia="仿宋_GB2312" w:cs="宋体"/>
                <w:color w:val="000000"/>
                <w:szCs w:val="21"/>
              </w:rPr>
              <w:t>未完成原因和改进措施</w:t>
            </w:r>
          </w:p>
        </w:tc>
      </w:tr>
      <w:tr>
        <w:tblPrEx>
          <w:tblCellMar>
            <w:top w:w="0" w:type="dxa"/>
            <w:left w:w="108" w:type="dxa"/>
            <w:bottom w:w="0" w:type="dxa"/>
            <w:right w:w="108" w:type="dxa"/>
          </w:tblCellMar>
        </w:tblPrEx>
        <w:trPr>
          <w:cantSplit/>
          <w:trHeight w:val="20" w:hRule="atLeast"/>
        </w:trPr>
        <w:tc>
          <w:tcPr>
            <w:tcW w:w="0" w:type="auto"/>
            <w:vMerge w:val="continue"/>
            <w:tcBorders>
              <w:left w:val="single" w:color="000000" w:sz="4" w:space="0"/>
              <w:right w:val="single" w:color="000000" w:sz="4" w:space="0"/>
            </w:tcBorders>
            <w:shd w:val="clear" w:color="auto" w:fill="auto"/>
            <w:textDirection w:val="tbRlV"/>
            <w:vAlign w:val="center"/>
          </w:tcPr>
          <w:p>
            <w:pPr>
              <w:jc w:val="center"/>
              <w:rPr>
                <w:rFonts w:ascii="仿宋_GB2312" w:hAnsi="宋体" w:eastAsia="仿宋_GB2312" w:cs="宋体"/>
                <w:color w:val="000000"/>
                <w:szCs w:val="21"/>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效益</w:t>
            </w:r>
          </w:p>
          <w:p>
            <w:pPr>
              <w:jc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社会效益</w:t>
            </w:r>
          </w:p>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基层医疗卫生机构诊疗人次数占医疗较上年提高卫生机构诊疗总人次数的比例</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较上年提高</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较上年提高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20" w:hRule="atLeast"/>
        </w:trPr>
        <w:tc>
          <w:tcPr>
            <w:tcW w:w="0" w:type="auto"/>
            <w:vMerge w:val="continue"/>
            <w:tcBorders>
              <w:left w:val="single" w:color="000000" w:sz="4" w:space="0"/>
              <w:right w:val="single" w:color="000000" w:sz="4" w:space="0"/>
            </w:tcBorders>
            <w:shd w:val="clear" w:color="auto" w:fill="auto"/>
            <w:textDirection w:val="tbRlV"/>
            <w:vAlign w:val="center"/>
          </w:tcPr>
          <w:p>
            <w:pPr>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105" w:right="-105"/>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社会公立医院每门急诊人次平均收费水平增长比例</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较上年降低</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较上年降低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20" w:hRule="atLeast"/>
        </w:trPr>
        <w:tc>
          <w:tcPr>
            <w:tcW w:w="0" w:type="auto"/>
            <w:vMerge w:val="continue"/>
            <w:tcBorders>
              <w:left w:val="single" w:color="000000" w:sz="4" w:space="0"/>
              <w:right w:val="single" w:color="000000" w:sz="4" w:space="0"/>
            </w:tcBorders>
            <w:shd w:val="clear" w:color="auto" w:fill="auto"/>
            <w:textDirection w:val="tbRlV"/>
            <w:vAlign w:val="center"/>
          </w:tcPr>
          <w:p>
            <w:pPr>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公立医院出院患者平均医药费用增长比例</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较上年降低</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较上年降低10.4%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20" w:hRule="atLeast"/>
        </w:trPr>
        <w:tc>
          <w:tcPr>
            <w:tcW w:w="0" w:type="auto"/>
            <w:vMerge w:val="continue"/>
            <w:tcBorders>
              <w:left w:val="single" w:color="000000" w:sz="4" w:space="0"/>
              <w:right w:val="single" w:color="000000" w:sz="4" w:space="0"/>
            </w:tcBorders>
            <w:shd w:val="clear" w:color="auto" w:fill="auto"/>
            <w:textDirection w:val="tbRlV"/>
            <w:vAlign w:val="center"/>
          </w:tcPr>
          <w:p>
            <w:pPr>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三级公立医院门诊人次数与出院人次数比</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较上年降低</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较上年降低10%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trHeight w:val="20" w:hRule="atLeast"/>
        </w:trPr>
        <w:tc>
          <w:tcPr>
            <w:tcW w:w="0" w:type="auto"/>
            <w:vMerge w:val="continue"/>
            <w:tcBorders>
              <w:left w:val="single" w:color="000000" w:sz="4" w:space="0"/>
              <w:right w:val="single" w:color="000000" w:sz="4" w:space="0"/>
            </w:tcBorders>
            <w:shd w:val="clear" w:color="auto" w:fill="auto"/>
            <w:textDirection w:val="tbRlV"/>
            <w:vAlign w:val="center"/>
          </w:tcPr>
          <w:p>
            <w:pPr>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生态效益</w:t>
            </w:r>
          </w:p>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_GB2312" w:hAnsi="宋体" w:eastAsia="仿宋_GB2312" w:cs="宋体"/>
                <w:color w:val="000000"/>
                <w:szCs w:val="21"/>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trHeight w:val="20" w:hRule="atLeast"/>
        </w:trPr>
        <w:tc>
          <w:tcPr>
            <w:tcW w:w="0" w:type="auto"/>
            <w:vMerge w:val="continue"/>
            <w:tcBorders>
              <w:left w:val="single" w:color="000000" w:sz="4" w:space="0"/>
              <w:right w:val="single" w:color="000000" w:sz="4" w:space="0"/>
            </w:tcBorders>
            <w:shd w:val="clear" w:color="auto" w:fill="auto"/>
            <w:textDirection w:val="tbRlV"/>
            <w:vAlign w:val="center"/>
          </w:tcPr>
          <w:p>
            <w:pPr>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_GB2312" w:hAnsi="宋体" w:eastAsia="仿宋_GB2312" w:cs="宋体"/>
                <w:color w:val="000000"/>
                <w:szCs w:val="21"/>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trHeight w:val="20" w:hRule="atLeast"/>
        </w:trPr>
        <w:tc>
          <w:tcPr>
            <w:tcW w:w="0" w:type="auto"/>
            <w:vMerge w:val="continue"/>
            <w:tcBorders>
              <w:left w:val="single" w:color="000000" w:sz="4" w:space="0"/>
              <w:right w:val="single" w:color="000000" w:sz="4" w:space="0"/>
            </w:tcBorders>
            <w:shd w:val="clear" w:color="auto" w:fill="auto"/>
            <w:textDirection w:val="tbRlV"/>
            <w:vAlign w:val="center"/>
          </w:tcPr>
          <w:p>
            <w:pPr>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_GB2312" w:hAnsi="宋体" w:eastAsia="仿宋_GB2312" w:cs="宋体"/>
                <w:color w:val="000000"/>
                <w:szCs w:val="21"/>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trHeight w:val="20" w:hRule="atLeast"/>
        </w:trPr>
        <w:tc>
          <w:tcPr>
            <w:tcW w:w="0" w:type="auto"/>
            <w:vMerge w:val="continue"/>
            <w:tcBorders>
              <w:left w:val="single" w:color="000000" w:sz="4" w:space="0"/>
              <w:right w:val="single" w:color="000000" w:sz="4" w:space="0"/>
            </w:tcBorders>
            <w:shd w:val="clear" w:color="auto" w:fill="auto"/>
            <w:textDirection w:val="tbRlV"/>
            <w:vAlign w:val="center"/>
          </w:tcPr>
          <w:p>
            <w:pPr>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可持续</w:t>
            </w:r>
          </w:p>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管理费用占公立医院业务支出的比例</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较上年降低</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较上年降低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trHeight w:val="20" w:hRule="atLeast"/>
        </w:trPr>
        <w:tc>
          <w:tcPr>
            <w:tcW w:w="0" w:type="auto"/>
            <w:vMerge w:val="continue"/>
            <w:tcBorders>
              <w:left w:val="single" w:color="000000" w:sz="4" w:space="0"/>
              <w:right w:val="single" w:color="000000" w:sz="4" w:space="0"/>
            </w:tcBorders>
            <w:shd w:val="clear" w:color="auto" w:fill="auto"/>
            <w:textDirection w:val="tbRlV"/>
            <w:vAlign w:val="center"/>
          </w:tcPr>
          <w:p>
            <w:pPr>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三级公立医院万元收入能耗支出</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较上年降低</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较上年降低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trHeight w:val="20" w:hRule="atLeast"/>
        </w:trPr>
        <w:tc>
          <w:tcPr>
            <w:tcW w:w="0" w:type="auto"/>
            <w:vMerge w:val="continue"/>
            <w:tcBorders>
              <w:left w:val="single" w:color="000000" w:sz="4" w:space="0"/>
              <w:right w:val="single" w:color="000000" w:sz="4" w:space="0"/>
            </w:tcBorders>
            <w:shd w:val="clear" w:color="auto" w:fill="auto"/>
            <w:textDirection w:val="tbRlV"/>
            <w:vAlign w:val="center"/>
          </w:tcPr>
          <w:p>
            <w:pPr>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实现收支平衡的公立医院占公立医院总数的比例</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较上年提高</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较上年提高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trHeight w:val="20" w:hRule="atLeast"/>
        </w:trPr>
        <w:tc>
          <w:tcPr>
            <w:tcW w:w="0" w:type="auto"/>
            <w:vMerge w:val="continue"/>
            <w:tcBorders>
              <w:left w:val="single" w:color="000000" w:sz="4" w:space="0"/>
              <w:right w:val="single" w:color="000000" w:sz="4" w:space="0"/>
            </w:tcBorders>
            <w:shd w:val="clear" w:color="auto" w:fill="auto"/>
            <w:textDirection w:val="tbRlV"/>
            <w:vAlign w:val="center"/>
          </w:tcPr>
          <w:p>
            <w:pPr>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_GB2312" w:hAnsi="宋体" w:eastAsia="仿宋_GB2312" w:cs="宋体"/>
                <w:color w:val="000000"/>
                <w:szCs w:val="21"/>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trHeight w:val="20" w:hRule="atLeast"/>
        </w:trPr>
        <w:tc>
          <w:tcPr>
            <w:tcW w:w="0" w:type="auto"/>
            <w:vMerge w:val="continue"/>
            <w:tcBorders>
              <w:left w:val="single" w:color="000000" w:sz="4" w:space="0"/>
              <w:right w:val="single" w:color="000000" w:sz="4" w:space="0"/>
            </w:tcBorders>
            <w:shd w:val="clear" w:color="auto" w:fill="auto"/>
            <w:textDirection w:val="tbRlV"/>
            <w:vAlign w:val="center"/>
          </w:tcPr>
          <w:p>
            <w:pPr>
              <w:jc w:val="center"/>
              <w:rPr>
                <w:rFonts w:ascii="仿宋_GB2312" w:hAnsi="宋体" w:eastAsia="仿宋_GB2312" w:cs="宋体"/>
                <w:color w:val="000000"/>
                <w:szCs w:val="21"/>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服务对象</w:t>
            </w:r>
          </w:p>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公立医院住院患者满意度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cs="宋体"/>
                <w:color w:val="000000"/>
                <w:kern w:val="0"/>
                <w:szCs w:val="21"/>
              </w:rPr>
              <w:t>≧</w:t>
            </w:r>
            <w:r>
              <w:rPr>
                <w:rFonts w:hint="eastAsia" w:ascii="仿宋_GB2312" w:hAnsi="宋体" w:eastAsia="仿宋_GB2312" w:cs="宋体"/>
                <w:color w:val="000000"/>
                <w:kern w:val="0"/>
                <w:szCs w:val="21"/>
              </w:rPr>
              <w:t>93分</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95分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trHeight w:val="20" w:hRule="atLeast"/>
        </w:trPr>
        <w:tc>
          <w:tcPr>
            <w:tcW w:w="0" w:type="auto"/>
            <w:vMerge w:val="continue"/>
            <w:tcBorders>
              <w:left w:val="single" w:color="000000" w:sz="4" w:space="0"/>
              <w:right w:val="single" w:color="000000" w:sz="4" w:space="0"/>
            </w:tcBorders>
            <w:shd w:val="clear" w:color="auto" w:fill="auto"/>
            <w:textDirection w:val="tbRlV"/>
            <w:vAlign w:val="center"/>
          </w:tcPr>
          <w:p>
            <w:pPr>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_GB2312" w:hAnsi="宋体" w:eastAsia="仿宋_GB2312" w:cs="宋体"/>
                <w:color w:val="000000"/>
                <w:szCs w:val="21"/>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trHeight w:val="20" w:hRule="atLeast"/>
        </w:trPr>
        <w:tc>
          <w:tcPr>
            <w:tcW w:w="0" w:type="auto"/>
            <w:vMerge w:val="continue"/>
            <w:tcBorders>
              <w:left w:val="single" w:color="000000" w:sz="4" w:space="0"/>
              <w:right w:val="single" w:color="000000" w:sz="4" w:space="0"/>
            </w:tcBorders>
            <w:shd w:val="clear" w:color="auto" w:fill="auto"/>
            <w:textDirection w:val="tbRlV"/>
            <w:vAlign w:val="center"/>
          </w:tcPr>
          <w:p>
            <w:pPr>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_GB2312" w:hAnsi="宋体" w:eastAsia="仿宋_GB2312" w:cs="宋体"/>
                <w:color w:val="000000"/>
                <w:szCs w:val="21"/>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trHeight w:val="20" w:hRule="atLeast"/>
        </w:trPr>
        <w:tc>
          <w:tcPr>
            <w:tcW w:w="0" w:type="auto"/>
            <w:vMerge w:val="continue"/>
            <w:tcBorders>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宋体" w:eastAsia="仿宋_GB2312" w:cs="宋体"/>
                <w:color w:val="000000"/>
                <w:szCs w:val="21"/>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_GB2312" w:hAnsi="宋体" w:eastAsia="仿宋_GB2312" w:cs="宋体"/>
                <w:color w:val="000000"/>
                <w:szCs w:val="21"/>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说明</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请在此处简要说明中央巡视、各级审计和财政监督中发现的问题及其所涉及的金额，如没有请填无。</w:t>
            </w:r>
          </w:p>
        </w:tc>
      </w:tr>
    </w:tbl>
    <w:p>
      <w:pPr>
        <w:widowControl/>
        <w:spacing w:line="240" w:lineRule="exact"/>
        <w:jc w:val="left"/>
        <w:textAlignment w:val="bottom"/>
        <w:rPr>
          <w:rFonts w:ascii="仿宋_GB2312" w:hAnsi="宋体" w:eastAsia="仿宋_GB2312" w:cs="宋体"/>
          <w:color w:val="000000"/>
          <w:kern w:val="0"/>
          <w:szCs w:val="21"/>
        </w:rPr>
      </w:pPr>
    </w:p>
    <w:p>
      <w:pPr>
        <w:widowControl/>
        <w:spacing w:line="240" w:lineRule="exact"/>
        <w:jc w:val="left"/>
        <w:textAlignment w:val="bottom"/>
        <w:rPr>
          <w:rFonts w:ascii="仿宋_GB2312" w:hAnsi="宋体" w:eastAsia="仿宋_GB2312" w:cs="宋体"/>
          <w:color w:val="000000"/>
          <w:szCs w:val="21"/>
        </w:rPr>
      </w:pPr>
      <w:r>
        <w:rPr>
          <w:rFonts w:hint="eastAsia" w:ascii="仿宋_GB2312" w:hAnsi="宋体" w:eastAsia="仿宋_GB2312" w:cs="宋体"/>
          <w:color w:val="000000"/>
          <w:kern w:val="0"/>
          <w:szCs w:val="21"/>
        </w:rPr>
        <w:t>注：</w:t>
      </w:r>
      <w:r>
        <w:rPr>
          <w:rStyle w:val="43"/>
          <w:rFonts w:hint="default" w:ascii="仿宋_GB2312" w:eastAsia="仿宋_GB2312"/>
          <w:sz w:val="21"/>
          <w:szCs w:val="21"/>
        </w:rPr>
        <w:t xml:space="preserve"> 1.资金使用单位按项目绩效目标填报，主管部门汇总时按区域绩效目标填报。</w:t>
      </w:r>
    </w:p>
    <w:p>
      <w:pPr>
        <w:widowControl/>
        <w:spacing w:line="240" w:lineRule="exact"/>
        <w:jc w:val="left"/>
        <w:textAlignment w:val="bottom"/>
        <w:rPr>
          <w:rFonts w:ascii="仿宋_GB2312" w:hAnsi="宋体" w:eastAsia="仿宋_GB2312" w:cs="宋体"/>
          <w:color w:val="000000"/>
          <w:szCs w:val="21"/>
        </w:rPr>
      </w:pPr>
      <w:r>
        <w:rPr>
          <w:rFonts w:hint="eastAsia" w:ascii="仿宋_GB2312" w:hAnsi="宋体" w:eastAsia="仿宋_GB2312" w:cs="宋体"/>
          <w:color w:val="000000"/>
          <w:kern w:val="0"/>
          <w:szCs w:val="21"/>
        </w:rPr>
        <w:t xml:space="preserve">      2.其他资金包括与中央财政资金、地方财政资金共同投入到同一项目的自有资金、社会资金，以及以前年度的结转结余资金等。</w:t>
      </w:r>
    </w:p>
    <w:p>
      <w:pPr>
        <w:widowControl/>
        <w:spacing w:line="240" w:lineRule="exact"/>
        <w:jc w:val="left"/>
        <w:textAlignment w:val="bottom"/>
        <w:rPr>
          <w:rFonts w:ascii="仿宋_GB2312" w:hAnsi="宋体" w:eastAsia="仿宋_GB2312" w:cs="宋体"/>
          <w:color w:val="000000"/>
          <w:szCs w:val="21"/>
        </w:rPr>
      </w:pPr>
      <w:r>
        <w:rPr>
          <w:rFonts w:hint="eastAsia" w:ascii="仿宋_GB2312" w:hAnsi="宋体" w:eastAsia="仿宋_GB2312" w:cs="宋体"/>
          <w:color w:val="000000"/>
          <w:kern w:val="0"/>
          <w:szCs w:val="21"/>
        </w:rPr>
        <w:t xml:space="preserve">      3.全年执行数是指按照国库集中支付制度要求所形成的实际支出。</w:t>
      </w:r>
    </w:p>
    <w:p>
      <w:pPr>
        <w:widowControl/>
        <w:spacing w:line="240" w:lineRule="exact"/>
        <w:jc w:val="left"/>
        <w:textAlignment w:val="bottom"/>
        <w:rPr>
          <w:rFonts w:ascii="仿宋_GB2312" w:hAnsi="宋体" w:eastAsia="仿宋_GB2312" w:cs="宋体"/>
          <w:color w:val="000000"/>
          <w:szCs w:val="21"/>
        </w:rPr>
      </w:pPr>
      <w:r>
        <w:rPr>
          <w:rFonts w:hint="eastAsia" w:ascii="仿宋_GB2312" w:hAnsi="宋体" w:eastAsia="仿宋_GB2312" w:cs="宋体"/>
          <w:color w:val="000000"/>
          <w:kern w:val="0"/>
          <w:szCs w:val="21"/>
        </w:rPr>
        <w:t xml:space="preserve">      4.定量指标，地方各级主管部门对资金使用单位填写的实际完成值汇总时，绝对值直接累加计算，相对值按照资金额度加权平均计算。</w:t>
      </w:r>
    </w:p>
    <w:p>
      <w:pPr>
        <w:widowControl/>
        <w:spacing w:line="240" w:lineRule="exact"/>
        <w:jc w:val="left"/>
        <w:textAlignment w:val="bottom"/>
        <w:rPr>
          <w:rFonts w:ascii="仿宋_GB2312" w:hAnsi="宋体" w:eastAsia="仿宋_GB2312" w:cs="宋体"/>
          <w:color w:val="000000"/>
          <w:szCs w:val="21"/>
        </w:rPr>
      </w:pPr>
      <w:r>
        <w:rPr>
          <w:rFonts w:hint="eastAsia" w:ascii="仿宋_GB2312" w:hAnsi="宋体" w:eastAsia="仿宋_GB2312" w:cs="宋体"/>
          <w:color w:val="000000"/>
          <w:kern w:val="0"/>
          <w:szCs w:val="21"/>
        </w:rPr>
        <w:t xml:space="preserve">      5.定性指标。资金使用单位分别按照80%（含）-100%、60%（含）-80%、0%-60合理填写实际完成值，地方各级主管部门汇总时，按照资金额度加权平均计算完成值。</w:t>
      </w:r>
    </w:p>
    <w:p>
      <w:pPr>
        <w:pStyle w:val="15"/>
        <w:spacing w:line="560" w:lineRule="exact"/>
        <w:ind w:left="0" w:leftChars="0" w:firstLine="0" w:firstLineChars="0"/>
        <w:rPr>
          <w:rFonts w:hAnsi="仿宋_GB2312" w:eastAsia="仿宋_GB2312" w:cs="仿宋_GB2312"/>
          <w:sz w:val="32"/>
          <w:lang w:val="zh-CN"/>
        </w:rPr>
      </w:pPr>
      <w:r>
        <w:rPr>
          <w:rFonts w:hint="eastAsia" w:hAnsi="仿宋_GB2312" w:eastAsia="仿宋_GB2312" w:cs="仿宋_GB2312"/>
          <w:sz w:val="32"/>
          <w:lang w:val="zh-CN"/>
        </w:rPr>
        <w:t>附件5</w:t>
      </w:r>
      <w:r>
        <w:rPr>
          <w:rFonts w:hAnsi="仿宋_GB2312" w:eastAsia="仿宋_GB2312" w:cs="仿宋_GB2312"/>
          <w:sz w:val="32"/>
          <w:lang w:val="zh-CN"/>
        </w:rPr>
        <w:tab/>
      </w:r>
      <w:r>
        <w:rPr>
          <w:rFonts w:hAnsi="仿宋_GB2312" w:eastAsia="仿宋_GB2312" w:cs="仿宋_GB2312"/>
          <w:sz w:val="32"/>
          <w:lang w:val="zh-CN"/>
        </w:rPr>
        <w:tab/>
      </w:r>
      <w:r>
        <w:rPr>
          <w:rFonts w:hAnsi="仿宋_GB2312" w:eastAsia="仿宋_GB2312" w:cs="仿宋_GB2312"/>
          <w:sz w:val="32"/>
          <w:lang w:val="zh-CN"/>
        </w:rPr>
        <w:tab/>
      </w:r>
      <w:r>
        <w:rPr>
          <w:rFonts w:hAnsi="仿宋_GB2312" w:eastAsia="仿宋_GB2312" w:cs="仿宋_GB2312"/>
          <w:sz w:val="32"/>
          <w:lang w:val="zh-CN"/>
        </w:rPr>
        <w:tab/>
      </w:r>
      <w:r>
        <w:rPr>
          <w:rFonts w:hAnsi="仿宋_GB2312" w:eastAsia="仿宋_GB2312" w:cs="仿宋_GB2312"/>
          <w:sz w:val="32"/>
          <w:lang w:val="zh-CN"/>
        </w:rPr>
        <w:tab/>
      </w:r>
      <w:r>
        <w:rPr>
          <w:rFonts w:hAnsi="仿宋_GB2312" w:eastAsia="仿宋_GB2312" w:cs="仿宋_GB2312"/>
          <w:sz w:val="32"/>
          <w:lang w:val="zh-CN"/>
        </w:rPr>
        <w:tab/>
      </w:r>
      <w:r>
        <w:rPr>
          <w:rFonts w:hAnsi="仿宋_GB2312" w:eastAsia="仿宋_GB2312" w:cs="仿宋_GB2312"/>
          <w:sz w:val="32"/>
          <w:lang w:val="zh-CN"/>
        </w:rPr>
        <w:tab/>
      </w:r>
      <w:r>
        <w:rPr>
          <w:rFonts w:hAnsi="仿宋_GB2312" w:eastAsia="仿宋_GB2312" w:cs="仿宋_GB2312"/>
          <w:sz w:val="32"/>
          <w:lang w:val="zh-CN"/>
        </w:rPr>
        <w:tab/>
      </w:r>
      <w:r>
        <w:rPr>
          <w:rFonts w:hAnsi="仿宋_GB2312" w:eastAsia="仿宋_GB2312" w:cs="仿宋_GB2312"/>
          <w:sz w:val="32"/>
          <w:lang w:val="zh-CN"/>
        </w:rPr>
        <w:tab/>
      </w:r>
    </w:p>
    <w:p>
      <w:pPr>
        <w:widowControl/>
        <w:ind w:left="93"/>
        <w:jc w:val="center"/>
        <w:textAlignment w:val="center"/>
      </w:pPr>
      <w:r>
        <w:rPr>
          <w:rFonts w:hint="eastAsia" w:ascii="方正小标宋简体" w:hAnsi="宋体" w:eastAsia="方正小标宋简体" w:cs="宋体"/>
          <w:b/>
          <w:bCs/>
          <w:color w:val="000000"/>
          <w:kern w:val="0"/>
          <w:sz w:val="36"/>
          <w:szCs w:val="36"/>
        </w:rPr>
        <w:t>2022年度部门预算项目支出绩效自评表</w:t>
      </w:r>
    </w:p>
    <w:tbl>
      <w:tblPr>
        <w:tblStyle w:val="16"/>
        <w:tblW w:w="14474" w:type="dxa"/>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autofit"/>
        <w:tblCellMar>
          <w:top w:w="0" w:type="dxa"/>
          <w:left w:w="108" w:type="dxa"/>
          <w:bottom w:w="0" w:type="dxa"/>
          <w:right w:w="108" w:type="dxa"/>
        </w:tblCellMar>
      </w:tblPr>
      <w:tblGrid>
        <w:gridCol w:w="539"/>
        <w:gridCol w:w="648"/>
        <w:gridCol w:w="648"/>
        <w:gridCol w:w="4227"/>
        <w:gridCol w:w="2272"/>
        <w:gridCol w:w="2213"/>
        <w:gridCol w:w="1090"/>
        <w:gridCol w:w="1005"/>
        <w:gridCol w:w="1056"/>
        <w:gridCol w:w="776"/>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0" w:type="auto"/>
            <w:gridSpan w:val="3"/>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项目名称</w:t>
            </w:r>
          </w:p>
        </w:tc>
        <w:tc>
          <w:tcPr>
            <w:tcW w:w="0" w:type="auto"/>
            <w:gridSpan w:val="2"/>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重大传染病及公共卫生</w:t>
            </w:r>
          </w:p>
        </w:tc>
        <w:tc>
          <w:tcPr>
            <w:tcW w:w="2213" w:type="dxa"/>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项目负责人及电话</w:t>
            </w:r>
          </w:p>
        </w:tc>
        <w:tc>
          <w:tcPr>
            <w:tcW w:w="3955" w:type="dxa"/>
            <w:gridSpan w:val="4"/>
            <w:shd w:val="clear" w:color="auto" w:fill="auto"/>
            <w:vAlign w:val="center"/>
          </w:tcPr>
          <w:p>
            <w:pPr>
              <w:jc w:val="center"/>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0" w:type="auto"/>
            <w:gridSpan w:val="3"/>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主管部门</w:t>
            </w:r>
          </w:p>
        </w:tc>
        <w:tc>
          <w:tcPr>
            <w:tcW w:w="0" w:type="auto"/>
            <w:gridSpan w:val="2"/>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剑阁县卫健局</w:t>
            </w:r>
          </w:p>
        </w:tc>
        <w:tc>
          <w:tcPr>
            <w:tcW w:w="2213" w:type="dxa"/>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实施单位</w:t>
            </w:r>
          </w:p>
        </w:tc>
        <w:tc>
          <w:tcPr>
            <w:tcW w:w="3955" w:type="dxa"/>
            <w:gridSpan w:val="4"/>
            <w:shd w:val="clear" w:color="auto" w:fill="auto"/>
            <w:vAlign w:val="center"/>
          </w:tcPr>
          <w:p>
            <w:pPr>
              <w:widowControl/>
              <w:jc w:val="center"/>
              <w:textAlignment w:val="center"/>
              <w:rPr>
                <w:rFonts w:hint="default" w:ascii="仿宋_GB2312" w:hAnsi="宋体" w:eastAsia="仿宋_GB2312" w:cs="宋体"/>
                <w:color w:val="000000"/>
                <w:szCs w:val="21"/>
                <w:lang w:val="en"/>
              </w:rPr>
            </w:pPr>
            <w:r>
              <w:rPr>
                <w:rFonts w:hint="eastAsia" w:ascii="仿宋_GB2312" w:hAnsi="宋体" w:eastAsia="仿宋_GB2312" w:cs="宋体"/>
                <w:color w:val="000000"/>
                <w:kern w:val="0"/>
                <w:szCs w:val="21"/>
              </w:rPr>
              <w:t>剑阁县</w:t>
            </w:r>
            <w:r>
              <w:rPr>
                <w:rFonts w:hint="default" w:ascii="仿宋_GB2312" w:hAnsi="宋体" w:eastAsia="仿宋_GB2312" w:cs="宋体"/>
                <w:color w:val="000000"/>
                <w:kern w:val="0"/>
                <w:szCs w:val="21"/>
                <w:lang w:val="en"/>
              </w:rPr>
              <w:t>疾病预防控制中心</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0" w:type="auto"/>
            <w:gridSpan w:val="3"/>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资金情况</w:t>
            </w:r>
          </w:p>
        </w:tc>
        <w:tc>
          <w:tcPr>
            <w:tcW w:w="0" w:type="auto"/>
            <w:shd w:val="clear" w:color="auto" w:fill="auto"/>
            <w:vAlign w:val="center"/>
          </w:tcPr>
          <w:p>
            <w:pPr>
              <w:jc w:val="center"/>
              <w:rPr>
                <w:rFonts w:ascii="仿宋_GB2312" w:hAnsi="宋体" w:eastAsia="仿宋_GB2312" w:cs="宋体"/>
                <w:color w:val="000000"/>
                <w:szCs w:val="21"/>
              </w:rPr>
            </w:pPr>
          </w:p>
        </w:tc>
        <w:tc>
          <w:tcPr>
            <w:tcW w:w="0" w:type="auto"/>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全年预算数（A）</w:t>
            </w:r>
          </w:p>
        </w:tc>
        <w:tc>
          <w:tcPr>
            <w:tcW w:w="2213" w:type="dxa"/>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全年执行数（B）</w:t>
            </w:r>
          </w:p>
        </w:tc>
        <w:tc>
          <w:tcPr>
            <w:tcW w:w="0" w:type="auto"/>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分值</w:t>
            </w:r>
          </w:p>
        </w:tc>
        <w:tc>
          <w:tcPr>
            <w:tcW w:w="2061" w:type="dxa"/>
            <w:gridSpan w:val="2"/>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执行率（B/A)</w:t>
            </w:r>
          </w:p>
        </w:tc>
        <w:tc>
          <w:tcPr>
            <w:tcW w:w="776" w:type="dxa"/>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得分</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0" w:type="auto"/>
            <w:gridSpan w:val="3"/>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（万元）</w:t>
            </w:r>
          </w:p>
        </w:tc>
        <w:tc>
          <w:tcPr>
            <w:tcW w:w="0" w:type="auto"/>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年度资金总额：</w:t>
            </w:r>
          </w:p>
        </w:tc>
        <w:tc>
          <w:tcPr>
            <w:tcW w:w="0" w:type="auto"/>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407.5</w:t>
            </w:r>
          </w:p>
        </w:tc>
        <w:tc>
          <w:tcPr>
            <w:tcW w:w="2213" w:type="dxa"/>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407.5</w:t>
            </w:r>
          </w:p>
        </w:tc>
        <w:tc>
          <w:tcPr>
            <w:tcW w:w="0" w:type="auto"/>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w:t>
            </w:r>
          </w:p>
        </w:tc>
        <w:tc>
          <w:tcPr>
            <w:tcW w:w="2061" w:type="dxa"/>
            <w:gridSpan w:val="2"/>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776" w:type="dxa"/>
            <w:shd w:val="clear" w:color="auto" w:fill="auto"/>
            <w:vAlign w:val="center"/>
          </w:tcPr>
          <w:p>
            <w:pPr>
              <w:jc w:val="center"/>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0" w:type="auto"/>
            <w:gridSpan w:val="3"/>
            <w:shd w:val="clear" w:color="auto" w:fill="auto"/>
            <w:noWrap/>
            <w:vAlign w:val="center"/>
          </w:tcPr>
          <w:p>
            <w:pPr>
              <w:rPr>
                <w:rFonts w:ascii="仿宋_GB2312" w:hAnsi="宋体" w:eastAsia="仿宋_GB2312" w:cs="宋体"/>
                <w:color w:val="000000"/>
                <w:szCs w:val="21"/>
              </w:rPr>
            </w:pPr>
          </w:p>
        </w:tc>
        <w:tc>
          <w:tcPr>
            <w:tcW w:w="0" w:type="auto"/>
            <w:shd w:val="clear" w:color="auto" w:fill="auto"/>
            <w:vAlign w:val="center"/>
          </w:tcPr>
          <w:p>
            <w:pPr>
              <w:widowControl/>
              <w:jc w:val="center"/>
              <w:textAlignment w:val="center"/>
              <w:rPr>
                <w:rFonts w:ascii="仿宋_GB2312" w:hAnsi="宋体" w:eastAsia="仿宋_GB2312" w:cs="宋体"/>
                <w:color w:val="000000"/>
                <w:szCs w:val="21"/>
              </w:rPr>
            </w:pPr>
            <w:r>
              <w:rPr>
                <w:rStyle w:val="44"/>
                <w:rFonts w:hint="default" w:ascii="仿宋_GB2312" w:eastAsia="仿宋_GB2312"/>
                <w:sz w:val="21"/>
                <w:szCs w:val="21"/>
              </w:rPr>
              <w:t xml:space="preserve"> 其中：中央、省、市财政资金</w:t>
            </w:r>
          </w:p>
        </w:tc>
        <w:tc>
          <w:tcPr>
            <w:tcW w:w="0" w:type="auto"/>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407.5</w:t>
            </w:r>
          </w:p>
        </w:tc>
        <w:tc>
          <w:tcPr>
            <w:tcW w:w="2213" w:type="dxa"/>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407.5</w:t>
            </w:r>
          </w:p>
        </w:tc>
        <w:tc>
          <w:tcPr>
            <w:tcW w:w="0" w:type="auto"/>
            <w:shd w:val="clear" w:color="auto" w:fill="auto"/>
            <w:vAlign w:val="center"/>
          </w:tcPr>
          <w:p>
            <w:pPr>
              <w:jc w:val="center"/>
              <w:rPr>
                <w:rFonts w:ascii="仿宋_GB2312" w:hAnsi="宋体" w:eastAsia="仿宋_GB2312" w:cs="宋体"/>
                <w:color w:val="000000"/>
                <w:szCs w:val="21"/>
              </w:rPr>
            </w:pPr>
          </w:p>
        </w:tc>
        <w:tc>
          <w:tcPr>
            <w:tcW w:w="2061" w:type="dxa"/>
            <w:gridSpan w:val="2"/>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776" w:type="dxa"/>
            <w:shd w:val="clear" w:color="auto" w:fill="auto"/>
            <w:vAlign w:val="center"/>
          </w:tcPr>
          <w:p>
            <w:pPr>
              <w:jc w:val="center"/>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0" w:type="auto"/>
            <w:gridSpan w:val="3"/>
            <w:shd w:val="clear" w:color="auto" w:fill="auto"/>
            <w:noWrap/>
            <w:vAlign w:val="center"/>
          </w:tcPr>
          <w:p>
            <w:pPr>
              <w:rPr>
                <w:rFonts w:ascii="仿宋_GB2312" w:hAnsi="宋体" w:eastAsia="仿宋_GB2312" w:cs="宋体"/>
                <w:color w:val="000000"/>
                <w:szCs w:val="21"/>
              </w:rPr>
            </w:pPr>
          </w:p>
        </w:tc>
        <w:tc>
          <w:tcPr>
            <w:tcW w:w="0" w:type="auto"/>
            <w:shd w:val="clear" w:color="auto" w:fill="auto"/>
            <w:vAlign w:val="center"/>
          </w:tcPr>
          <w:p>
            <w:pPr>
              <w:widowControl/>
              <w:jc w:val="center"/>
              <w:textAlignment w:val="center"/>
              <w:rPr>
                <w:rFonts w:ascii="仿宋_GB2312" w:hAnsi="宋体" w:eastAsia="仿宋_GB2312" w:cs="宋体"/>
                <w:color w:val="000000"/>
                <w:szCs w:val="21"/>
              </w:rPr>
            </w:pPr>
            <w:r>
              <w:rPr>
                <w:rStyle w:val="44"/>
                <w:rFonts w:hint="default" w:ascii="仿宋_GB2312" w:eastAsia="仿宋_GB2312"/>
                <w:sz w:val="21"/>
                <w:szCs w:val="21"/>
              </w:rPr>
              <w:t xml:space="preserve">       县级财政资金</w:t>
            </w:r>
          </w:p>
        </w:tc>
        <w:tc>
          <w:tcPr>
            <w:tcW w:w="0" w:type="auto"/>
            <w:shd w:val="clear" w:color="auto" w:fill="auto"/>
            <w:vAlign w:val="center"/>
          </w:tcPr>
          <w:p>
            <w:pPr>
              <w:jc w:val="center"/>
              <w:rPr>
                <w:rFonts w:ascii="仿宋_GB2312" w:hAnsi="宋体" w:eastAsia="仿宋_GB2312" w:cs="宋体"/>
                <w:color w:val="000000"/>
                <w:szCs w:val="21"/>
              </w:rPr>
            </w:pPr>
          </w:p>
        </w:tc>
        <w:tc>
          <w:tcPr>
            <w:tcW w:w="2213" w:type="dxa"/>
            <w:shd w:val="clear" w:color="auto" w:fill="auto"/>
            <w:vAlign w:val="center"/>
          </w:tcPr>
          <w:p>
            <w:pPr>
              <w:jc w:val="center"/>
              <w:rPr>
                <w:rFonts w:ascii="仿宋_GB2312" w:hAnsi="宋体" w:eastAsia="仿宋_GB2312" w:cs="宋体"/>
                <w:color w:val="000000"/>
                <w:szCs w:val="21"/>
              </w:rPr>
            </w:pPr>
          </w:p>
        </w:tc>
        <w:tc>
          <w:tcPr>
            <w:tcW w:w="0" w:type="auto"/>
            <w:shd w:val="clear" w:color="auto" w:fill="auto"/>
            <w:vAlign w:val="center"/>
          </w:tcPr>
          <w:p>
            <w:pPr>
              <w:jc w:val="center"/>
              <w:rPr>
                <w:rFonts w:ascii="仿宋_GB2312" w:hAnsi="宋体" w:eastAsia="仿宋_GB2312" w:cs="宋体"/>
                <w:color w:val="000000"/>
                <w:szCs w:val="21"/>
              </w:rPr>
            </w:pPr>
          </w:p>
        </w:tc>
        <w:tc>
          <w:tcPr>
            <w:tcW w:w="2061" w:type="dxa"/>
            <w:gridSpan w:val="2"/>
            <w:shd w:val="clear" w:color="auto" w:fill="auto"/>
            <w:vAlign w:val="center"/>
          </w:tcPr>
          <w:p>
            <w:pPr>
              <w:jc w:val="center"/>
              <w:rPr>
                <w:rFonts w:ascii="仿宋_GB2312" w:hAnsi="宋体" w:eastAsia="仿宋_GB2312" w:cs="宋体"/>
                <w:color w:val="000000"/>
                <w:szCs w:val="21"/>
              </w:rPr>
            </w:pPr>
          </w:p>
        </w:tc>
        <w:tc>
          <w:tcPr>
            <w:tcW w:w="776" w:type="dxa"/>
            <w:shd w:val="clear" w:color="auto" w:fill="auto"/>
            <w:vAlign w:val="center"/>
          </w:tcPr>
          <w:p>
            <w:pPr>
              <w:jc w:val="center"/>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0" w:type="auto"/>
            <w:gridSpan w:val="3"/>
            <w:shd w:val="clear" w:color="auto" w:fill="auto"/>
            <w:noWrap/>
            <w:vAlign w:val="center"/>
          </w:tcPr>
          <w:p>
            <w:pPr>
              <w:rPr>
                <w:rFonts w:ascii="仿宋_GB2312" w:hAnsi="宋体" w:eastAsia="仿宋_GB2312" w:cs="宋体"/>
                <w:color w:val="000000"/>
                <w:szCs w:val="21"/>
              </w:rPr>
            </w:pPr>
          </w:p>
        </w:tc>
        <w:tc>
          <w:tcPr>
            <w:tcW w:w="0" w:type="auto"/>
            <w:shd w:val="clear" w:color="auto" w:fill="auto"/>
            <w:vAlign w:val="center"/>
          </w:tcPr>
          <w:p>
            <w:pPr>
              <w:widowControl/>
              <w:jc w:val="center"/>
              <w:textAlignment w:val="center"/>
              <w:rPr>
                <w:rFonts w:ascii="仿宋_GB2312" w:hAnsi="宋体" w:eastAsia="仿宋_GB2312" w:cs="宋体"/>
                <w:color w:val="000000"/>
                <w:szCs w:val="21"/>
              </w:rPr>
            </w:pPr>
            <w:r>
              <w:rPr>
                <w:rStyle w:val="44"/>
                <w:rFonts w:hint="default" w:ascii="仿宋_GB2312" w:eastAsia="仿宋_GB2312"/>
                <w:sz w:val="21"/>
                <w:szCs w:val="21"/>
              </w:rPr>
              <w:t xml:space="preserve">       其他资金</w:t>
            </w:r>
          </w:p>
        </w:tc>
        <w:tc>
          <w:tcPr>
            <w:tcW w:w="0" w:type="auto"/>
            <w:shd w:val="clear" w:color="auto" w:fill="auto"/>
            <w:vAlign w:val="center"/>
          </w:tcPr>
          <w:p>
            <w:pPr>
              <w:jc w:val="center"/>
              <w:rPr>
                <w:rFonts w:ascii="仿宋_GB2312" w:hAnsi="宋体" w:eastAsia="仿宋_GB2312" w:cs="宋体"/>
                <w:color w:val="000000"/>
                <w:szCs w:val="21"/>
              </w:rPr>
            </w:pPr>
          </w:p>
        </w:tc>
        <w:tc>
          <w:tcPr>
            <w:tcW w:w="2213" w:type="dxa"/>
            <w:shd w:val="clear" w:color="auto" w:fill="auto"/>
            <w:vAlign w:val="center"/>
          </w:tcPr>
          <w:p>
            <w:pPr>
              <w:jc w:val="center"/>
              <w:rPr>
                <w:rFonts w:ascii="仿宋_GB2312" w:hAnsi="宋体" w:eastAsia="仿宋_GB2312" w:cs="宋体"/>
                <w:color w:val="000000"/>
                <w:szCs w:val="21"/>
              </w:rPr>
            </w:pPr>
          </w:p>
        </w:tc>
        <w:tc>
          <w:tcPr>
            <w:tcW w:w="0" w:type="auto"/>
            <w:shd w:val="clear" w:color="auto" w:fill="auto"/>
            <w:vAlign w:val="center"/>
          </w:tcPr>
          <w:p>
            <w:pPr>
              <w:jc w:val="center"/>
              <w:rPr>
                <w:rFonts w:ascii="仿宋_GB2312" w:hAnsi="宋体" w:eastAsia="仿宋_GB2312" w:cs="宋体"/>
                <w:color w:val="000000"/>
                <w:szCs w:val="21"/>
              </w:rPr>
            </w:pPr>
          </w:p>
        </w:tc>
        <w:tc>
          <w:tcPr>
            <w:tcW w:w="2061" w:type="dxa"/>
            <w:gridSpan w:val="2"/>
            <w:shd w:val="clear" w:color="auto" w:fill="auto"/>
            <w:vAlign w:val="center"/>
          </w:tcPr>
          <w:p>
            <w:pPr>
              <w:jc w:val="center"/>
              <w:rPr>
                <w:rFonts w:ascii="仿宋_GB2312" w:hAnsi="宋体" w:eastAsia="仿宋_GB2312" w:cs="宋体"/>
                <w:color w:val="000000"/>
                <w:szCs w:val="21"/>
              </w:rPr>
            </w:pPr>
          </w:p>
        </w:tc>
        <w:tc>
          <w:tcPr>
            <w:tcW w:w="776" w:type="dxa"/>
            <w:shd w:val="clear" w:color="auto" w:fill="auto"/>
            <w:vAlign w:val="center"/>
          </w:tcPr>
          <w:p>
            <w:pPr>
              <w:jc w:val="center"/>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0" w:type="auto"/>
            <w:vMerge w:val="restart"/>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总体目标完成情况</w:t>
            </w:r>
          </w:p>
        </w:tc>
        <w:tc>
          <w:tcPr>
            <w:tcW w:w="0" w:type="auto"/>
            <w:gridSpan w:val="4"/>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预期目标</w:t>
            </w:r>
          </w:p>
        </w:tc>
        <w:tc>
          <w:tcPr>
            <w:tcW w:w="6168" w:type="dxa"/>
            <w:gridSpan w:val="5"/>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实际完成目标</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gridSpan w:val="4"/>
            <w:shd w:val="clear" w:color="auto" w:fill="auto"/>
            <w:vAlign w:val="center"/>
          </w:tcPr>
          <w:p>
            <w:pPr>
              <w:widowControl/>
              <w:jc w:val="left"/>
              <w:textAlignment w:val="center"/>
              <w:rPr>
                <w:rFonts w:ascii="仿宋_GB2312" w:hAnsi="宋体" w:eastAsia="仿宋_GB2312" w:cs="宋体"/>
                <w:bCs/>
                <w:color w:val="000000"/>
                <w:szCs w:val="21"/>
              </w:rPr>
            </w:pPr>
            <w:r>
              <w:rPr>
                <w:rStyle w:val="45"/>
                <w:rFonts w:hint="default" w:ascii="仿宋_GB2312" w:eastAsia="仿宋_GB2312"/>
                <w:sz w:val="21"/>
                <w:szCs w:val="21"/>
              </w:rPr>
              <w:t>目标1</w:t>
            </w:r>
            <w:r>
              <w:rPr>
                <w:rFonts w:hint="eastAsia" w:ascii="仿宋_GB2312" w:hAnsi="宋体" w:eastAsia="仿宋_GB2312" w:cs="宋体"/>
                <w:color w:val="000000"/>
                <w:kern w:val="0"/>
                <w:szCs w:val="21"/>
              </w:rPr>
              <w:t>：进一步完善“政府组织领导、部门各司其职、全社会共同参与”的防治机制，全面落实各项艾滋病和性病预防控制，提高发现率，扩大治疗覆盖面，提升治疗成功率，减低死亡率，减低新发感染，提高感染者和病人的生活质量。</w:t>
            </w:r>
            <w:r>
              <w:rPr>
                <w:rStyle w:val="45"/>
                <w:rFonts w:hint="default" w:ascii="仿宋_GB2312" w:eastAsia="仿宋_GB2312"/>
                <w:sz w:val="21"/>
                <w:szCs w:val="21"/>
              </w:rPr>
              <w:t>目标2</w:t>
            </w:r>
            <w:r>
              <w:rPr>
                <w:rFonts w:hint="eastAsia" w:ascii="仿宋_GB2312" w:hAnsi="宋体" w:eastAsia="仿宋_GB2312" w:cs="宋体"/>
                <w:color w:val="000000"/>
                <w:kern w:val="0"/>
                <w:szCs w:val="21"/>
              </w:rPr>
              <w:t>：及时发现和规范治疗结核病患者，持续降低结核病的感染、发病与死亡，确保结核病疫情稳步下降，提高群众健康水平。</w:t>
            </w:r>
            <w:r>
              <w:rPr>
                <w:rStyle w:val="45"/>
                <w:rFonts w:hint="default" w:ascii="仿宋_GB2312" w:eastAsia="仿宋_GB2312"/>
                <w:sz w:val="21"/>
                <w:szCs w:val="21"/>
              </w:rPr>
              <w:t>目标3：</w:t>
            </w:r>
            <w:r>
              <w:rPr>
                <w:rFonts w:hint="eastAsia" w:ascii="仿宋_GB2312" w:hAnsi="宋体" w:eastAsia="仿宋_GB2312" w:cs="宋体"/>
                <w:color w:val="000000"/>
                <w:kern w:val="0"/>
                <w:szCs w:val="21"/>
              </w:rPr>
              <w:t xml:space="preserve"> 完成慢性病健康单位、健康社区、健康食堂创建。完善肿瘤登记、网络随访，按照肿瘤登记工作规范我省实施方案、质量控制方案要求开展肿瘤随访登记工作。保时保质保量完成肿瘤宣传周活动，加强群众对肿瘤的认知；加强对医疗机构肿瘤管理人员培训及督导.</w:t>
            </w:r>
            <w:r>
              <w:rPr>
                <w:rStyle w:val="45"/>
                <w:rFonts w:hint="default" w:ascii="仿宋_GB2312" w:eastAsia="仿宋_GB2312"/>
                <w:sz w:val="21"/>
                <w:szCs w:val="21"/>
              </w:rPr>
              <w:t>目标4：完</w:t>
            </w:r>
            <w:r>
              <w:rPr>
                <w:rFonts w:hint="eastAsia" w:ascii="仿宋_GB2312" w:hAnsi="宋体" w:eastAsia="仿宋_GB2312" w:cs="宋体"/>
                <w:color w:val="000000"/>
                <w:kern w:val="0"/>
                <w:szCs w:val="21"/>
              </w:rPr>
              <w:t>成全县疫苗冷链运转及免疫规划管理工作，继续加强对麻疹、风疹的监测和管理，预防接种异常反应调查卡调查表完整率达100%，报告率达100%。建成全县6家中心卫生院预防接种数字化门诊。</w:t>
            </w:r>
            <w:r>
              <w:rPr>
                <w:rStyle w:val="45"/>
                <w:rFonts w:hint="default" w:ascii="仿宋_GB2312" w:eastAsia="仿宋_GB2312"/>
                <w:sz w:val="21"/>
                <w:szCs w:val="21"/>
              </w:rPr>
              <w:t>目标5：</w:t>
            </w:r>
            <w:r>
              <w:rPr>
                <w:rFonts w:hint="eastAsia" w:ascii="仿宋_GB2312" w:hAnsi="宋体" w:eastAsia="仿宋_GB2312" w:cs="宋体"/>
                <w:color w:val="000000"/>
                <w:kern w:val="0"/>
                <w:szCs w:val="21"/>
              </w:rPr>
              <w:t>按照中央与省市财政要求，建立和完善地方病监测体系，开展地方病监测与调查，巩固防治成果。碘缺乏病监测，年度指标</w:t>
            </w:r>
            <w:r>
              <w:rPr>
                <w:rFonts w:hint="eastAsia" w:ascii="仿宋_GB2312" w:hAnsi="宋体" w:cs="宋体"/>
                <w:color w:val="000000"/>
                <w:kern w:val="0"/>
                <w:szCs w:val="21"/>
              </w:rPr>
              <w:t>≧</w:t>
            </w:r>
            <w:r>
              <w:rPr>
                <w:rFonts w:hint="eastAsia" w:ascii="仿宋_GB2312" w:hAnsi="宋体" w:eastAsia="仿宋_GB2312" w:cs="宋体"/>
                <w:color w:val="000000"/>
                <w:kern w:val="0"/>
                <w:szCs w:val="21"/>
              </w:rPr>
              <w:t>95%；克山病监测，年度指标</w:t>
            </w:r>
            <w:r>
              <w:rPr>
                <w:rFonts w:hint="eastAsia" w:ascii="仿宋_GB2312" w:hAnsi="宋体" w:cs="宋体"/>
                <w:color w:val="000000"/>
                <w:kern w:val="0"/>
                <w:szCs w:val="21"/>
              </w:rPr>
              <w:t>≧</w:t>
            </w:r>
            <w:r>
              <w:rPr>
                <w:rFonts w:hint="eastAsia" w:ascii="仿宋_GB2312" w:hAnsi="宋体" w:eastAsia="仿宋_GB2312" w:cs="宋体"/>
                <w:color w:val="000000"/>
                <w:kern w:val="0"/>
                <w:szCs w:val="21"/>
              </w:rPr>
              <w:t>95%；地方病监测年度指标</w:t>
            </w:r>
            <w:r>
              <w:rPr>
                <w:rFonts w:hint="eastAsia" w:ascii="仿宋_GB2312" w:hAnsi="宋体" w:cs="宋体"/>
                <w:color w:val="000000"/>
                <w:kern w:val="0"/>
                <w:szCs w:val="21"/>
              </w:rPr>
              <w:t>≧</w:t>
            </w:r>
            <w:r>
              <w:rPr>
                <w:rFonts w:hint="eastAsia" w:ascii="仿宋_GB2312" w:hAnsi="宋体" w:eastAsia="仿宋_GB2312" w:cs="宋体"/>
                <w:color w:val="000000"/>
                <w:kern w:val="0"/>
                <w:szCs w:val="21"/>
              </w:rPr>
              <w:t>95%，主要在全县范围内开展监测，健康教育</w:t>
            </w:r>
            <w:r>
              <w:rPr>
                <w:rStyle w:val="46"/>
                <w:rFonts w:hint="eastAsia" w:ascii="仿宋_GB2312" w:eastAsia="仿宋_GB2312"/>
                <w:sz w:val="21"/>
                <w:szCs w:val="21"/>
              </w:rPr>
              <w:t>。</w:t>
            </w:r>
            <w:r>
              <w:rPr>
                <w:rFonts w:hint="eastAsia" w:ascii="仿宋_GB2312" w:hAnsi="宋体" w:eastAsia="仿宋_GB2312" w:cs="宋体"/>
                <w:color w:val="000000"/>
                <w:kern w:val="0"/>
                <w:szCs w:val="21"/>
              </w:rPr>
              <w:t xml:space="preserve"> </w:t>
            </w:r>
            <w:r>
              <w:rPr>
                <w:rStyle w:val="45"/>
                <w:rFonts w:hint="default" w:ascii="仿宋_GB2312" w:eastAsia="仿宋_GB2312"/>
                <w:sz w:val="21"/>
                <w:szCs w:val="21"/>
              </w:rPr>
              <w:t>目标6</w:t>
            </w:r>
            <w:r>
              <w:rPr>
                <w:rFonts w:hint="eastAsia" w:ascii="仿宋_GB2312" w:hAnsi="宋体" w:eastAsia="仿宋_GB2312" w:cs="宋体"/>
                <w:color w:val="000000"/>
                <w:kern w:val="0"/>
                <w:szCs w:val="21"/>
              </w:rPr>
              <w:t>:</w:t>
            </w:r>
            <w:r>
              <w:rPr>
                <w:rStyle w:val="47"/>
                <w:rFonts w:hint="default" w:ascii="仿宋_GB2312" w:eastAsia="仿宋_GB2312"/>
                <w:sz w:val="21"/>
                <w:szCs w:val="21"/>
              </w:rPr>
              <w:t>全面完成全县血吸虫（肺吸虫）监测管理年度目标考核任务，开展了宣传1次、培训1次、现场指导1次，监测采样，完成现场监测采样，采样率达100%。提升血吸虫（肺吸虫）监测管理能力及监测处置能力，促</w:t>
            </w:r>
            <w:r>
              <w:rPr>
                <w:rFonts w:hint="eastAsia" w:ascii="仿宋_GB2312" w:hAnsi="宋体" w:eastAsia="仿宋_GB2312" w:cs="宋体"/>
                <w:color w:val="000000"/>
                <w:kern w:val="0"/>
                <w:szCs w:val="21"/>
              </w:rPr>
              <w:t>进全县血吸虫（肺吸虫）监测工作有序开展。</w:t>
            </w:r>
            <w:r>
              <w:rPr>
                <w:rStyle w:val="45"/>
                <w:rFonts w:hint="default" w:ascii="仿宋_GB2312" w:eastAsia="仿宋_GB2312"/>
                <w:sz w:val="21"/>
                <w:szCs w:val="21"/>
              </w:rPr>
              <w:t>目标7</w:t>
            </w:r>
            <w:r>
              <w:rPr>
                <w:rFonts w:hint="eastAsia" w:ascii="仿宋_GB2312" w:hAnsi="宋体" w:eastAsia="仿宋_GB2312" w:cs="宋体"/>
                <w:color w:val="000000"/>
                <w:kern w:val="0"/>
                <w:szCs w:val="21"/>
              </w:rPr>
              <w:t>:完成以新冠肺炎为主病毒性传染病监测、基于国家致病性识别网的细菌性传染病监测。</w:t>
            </w:r>
            <w:r>
              <w:rPr>
                <w:rStyle w:val="45"/>
                <w:rFonts w:hint="default" w:ascii="仿宋_GB2312" w:eastAsia="仿宋_GB2312"/>
                <w:sz w:val="21"/>
                <w:szCs w:val="21"/>
              </w:rPr>
              <w:t>目标8：全</w:t>
            </w:r>
            <w:r>
              <w:rPr>
                <w:rFonts w:hint="eastAsia" w:ascii="仿宋_GB2312" w:hAnsi="宋体" w:eastAsia="仿宋_GB2312" w:cs="宋体"/>
                <w:color w:val="000000"/>
                <w:kern w:val="0"/>
                <w:szCs w:val="21"/>
              </w:rPr>
              <w:t>面完成全县职业病防治年度目标任务，完成职业危害因素现状调查，完成工作场所职业病危害因素监测、完成职业性放射性疾病监测、提升了我县职业病防治能力，促进全县职业病防</w:t>
            </w:r>
            <w:r>
              <w:rPr>
                <w:rStyle w:val="45"/>
                <w:rFonts w:hint="default" w:ascii="仿宋_GB2312" w:eastAsia="仿宋_GB2312"/>
                <w:b w:val="0"/>
                <w:sz w:val="21"/>
                <w:szCs w:val="21"/>
              </w:rPr>
              <w:t>治工作有序开展。</w:t>
            </w:r>
          </w:p>
        </w:tc>
        <w:tc>
          <w:tcPr>
            <w:tcW w:w="6168" w:type="dxa"/>
            <w:gridSpan w:val="5"/>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全面完成</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1253" w:hRule="atLeast"/>
          <w:jc w:val="center"/>
        </w:trPr>
        <w:tc>
          <w:tcPr>
            <w:tcW w:w="0" w:type="auto"/>
            <w:vMerge w:val="restart"/>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绩效指标</w:t>
            </w:r>
          </w:p>
        </w:tc>
        <w:tc>
          <w:tcPr>
            <w:tcW w:w="0" w:type="auto"/>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一级</w:t>
            </w:r>
          </w:p>
          <w:p>
            <w:pPr>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指标</w:t>
            </w:r>
          </w:p>
        </w:tc>
        <w:tc>
          <w:tcPr>
            <w:tcW w:w="0" w:type="auto"/>
            <w:shd w:val="clear" w:color="auto" w:fill="auto"/>
            <w:vAlign w:val="center"/>
          </w:tcPr>
          <w:p>
            <w:pPr>
              <w:widowControl/>
              <w:jc w:val="center"/>
              <w:textAlignment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二级</w:t>
            </w:r>
          </w:p>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指标</w:t>
            </w:r>
          </w:p>
        </w:tc>
        <w:tc>
          <w:tcPr>
            <w:tcW w:w="0" w:type="auto"/>
            <w:gridSpan w:val="2"/>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三级指标</w:t>
            </w:r>
          </w:p>
        </w:tc>
        <w:tc>
          <w:tcPr>
            <w:tcW w:w="2213" w:type="dxa"/>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预期指标值（包含数字及文字描述）</w:t>
            </w:r>
          </w:p>
        </w:tc>
        <w:tc>
          <w:tcPr>
            <w:tcW w:w="0" w:type="auto"/>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实际完成指标值（包含数字及文字描述）</w:t>
            </w:r>
          </w:p>
        </w:tc>
        <w:tc>
          <w:tcPr>
            <w:tcW w:w="1005" w:type="dxa"/>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未完成原因及拟采取措施</w:t>
            </w:r>
          </w:p>
        </w:tc>
        <w:tc>
          <w:tcPr>
            <w:tcW w:w="0" w:type="auto"/>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自评得分</w:t>
            </w:r>
          </w:p>
        </w:tc>
        <w:tc>
          <w:tcPr>
            <w:tcW w:w="776" w:type="dxa"/>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财政复评得分</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vMerge w:val="restart"/>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产</w:t>
            </w:r>
          </w:p>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出</w:t>
            </w:r>
          </w:p>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指</w:t>
            </w:r>
          </w:p>
          <w:p>
            <w:pPr>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标</w:t>
            </w:r>
          </w:p>
        </w:tc>
        <w:tc>
          <w:tcPr>
            <w:tcW w:w="0" w:type="auto"/>
            <w:vMerge w:val="restart"/>
            <w:shd w:val="clear" w:color="auto" w:fill="auto"/>
            <w:vAlign w:val="center"/>
          </w:tcPr>
          <w:p>
            <w:pPr>
              <w:widowControl/>
              <w:jc w:val="center"/>
              <w:textAlignment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数量</w:t>
            </w:r>
          </w:p>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指标</w:t>
            </w:r>
          </w:p>
        </w:tc>
        <w:tc>
          <w:tcPr>
            <w:tcW w:w="0" w:type="auto"/>
            <w:gridSpan w:val="2"/>
            <w:shd w:val="clear" w:color="auto" w:fill="auto"/>
          </w:tcPr>
          <w:p>
            <w:pPr>
              <w:widowControl/>
              <w:jc w:val="left"/>
              <w:textAlignment w:val="top"/>
              <w:rPr>
                <w:rFonts w:ascii="仿宋_GB2312" w:hAnsi="宋体" w:eastAsia="仿宋_GB2312" w:cs="宋体"/>
                <w:b/>
                <w:bCs/>
                <w:color w:val="000000"/>
                <w:szCs w:val="21"/>
              </w:rPr>
            </w:pPr>
            <w:r>
              <w:rPr>
                <w:rStyle w:val="45"/>
                <w:rFonts w:hint="default" w:ascii="仿宋_GB2312" w:eastAsia="仿宋_GB2312"/>
                <w:sz w:val="21"/>
                <w:szCs w:val="21"/>
              </w:rPr>
              <w:t>指标1</w:t>
            </w:r>
            <w:r>
              <w:rPr>
                <w:rFonts w:hint="eastAsia" w:ascii="仿宋_GB2312" w:hAnsi="宋体" w:eastAsia="仿宋_GB2312" w:cs="宋体"/>
                <w:color w:val="000000"/>
                <w:kern w:val="0"/>
                <w:szCs w:val="21"/>
              </w:rPr>
              <w:t>：艾滋病监测检测率</w:t>
            </w:r>
          </w:p>
        </w:tc>
        <w:tc>
          <w:tcPr>
            <w:tcW w:w="2213"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10万人次</w:t>
            </w:r>
          </w:p>
        </w:tc>
        <w:tc>
          <w:tcPr>
            <w:tcW w:w="0" w:type="auto"/>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129720人</w:t>
            </w:r>
          </w:p>
        </w:tc>
        <w:tc>
          <w:tcPr>
            <w:tcW w:w="1005"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jc w:val="left"/>
              <w:rPr>
                <w:rFonts w:ascii="仿宋_GB2312" w:hAnsi="宋体" w:eastAsia="仿宋_GB2312" w:cs="宋体"/>
                <w:color w:val="000000"/>
                <w:szCs w:val="21"/>
              </w:rPr>
            </w:pPr>
          </w:p>
        </w:tc>
        <w:tc>
          <w:tcPr>
            <w:tcW w:w="776" w:type="dxa"/>
            <w:shd w:val="clear" w:color="auto" w:fill="auto"/>
            <w:vAlign w:val="center"/>
          </w:tcPr>
          <w:p>
            <w:pPr>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vMerge w:val="continue"/>
            <w:shd w:val="clear" w:color="auto" w:fill="auto"/>
            <w:vAlign w:val="center"/>
          </w:tcPr>
          <w:p>
            <w:pPr>
              <w:jc w:val="center"/>
              <w:textAlignment w:val="center"/>
              <w:rPr>
                <w:rFonts w:ascii="仿宋_GB2312" w:hAnsi="宋体" w:eastAsia="仿宋_GB2312" w:cs="宋体"/>
                <w:color w:val="000000"/>
                <w:szCs w:val="21"/>
              </w:rPr>
            </w:pPr>
          </w:p>
        </w:tc>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gridSpan w:val="2"/>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艾滋病感染者和病人抗病毒治疗覆盖率</w:t>
            </w:r>
          </w:p>
        </w:tc>
        <w:tc>
          <w:tcPr>
            <w:tcW w:w="2213" w:type="dxa"/>
            <w:shd w:val="clear" w:color="auto" w:fill="auto"/>
            <w:noWrap/>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≥91%</w:t>
            </w:r>
          </w:p>
        </w:tc>
        <w:tc>
          <w:tcPr>
            <w:tcW w:w="0" w:type="auto"/>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94.97%</w:t>
            </w:r>
          </w:p>
        </w:tc>
        <w:tc>
          <w:tcPr>
            <w:tcW w:w="1005"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jc w:val="left"/>
              <w:rPr>
                <w:rFonts w:ascii="仿宋_GB2312" w:hAnsi="宋体" w:eastAsia="仿宋_GB2312" w:cs="宋体"/>
                <w:color w:val="000000"/>
                <w:szCs w:val="21"/>
              </w:rPr>
            </w:pPr>
          </w:p>
        </w:tc>
        <w:tc>
          <w:tcPr>
            <w:tcW w:w="776" w:type="dxa"/>
            <w:shd w:val="clear" w:color="auto" w:fill="auto"/>
            <w:vAlign w:val="center"/>
          </w:tcPr>
          <w:p>
            <w:pPr>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vMerge w:val="continue"/>
            <w:shd w:val="clear" w:color="auto" w:fill="auto"/>
            <w:vAlign w:val="center"/>
          </w:tcPr>
          <w:p>
            <w:pPr>
              <w:jc w:val="center"/>
              <w:textAlignment w:val="center"/>
              <w:rPr>
                <w:rFonts w:ascii="仿宋_GB2312" w:hAnsi="宋体" w:eastAsia="仿宋_GB2312" w:cs="宋体"/>
                <w:color w:val="000000"/>
                <w:szCs w:val="21"/>
              </w:rPr>
            </w:pPr>
          </w:p>
        </w:tc>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gridSpan w:val="2"/>
            <w:shd w:val="clear" w:color="auto" w:fill="auto"/>
            <w:noWrap/>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高危行为干预和重点人群防治</w:t>
            </w:r>
          </w:p>
        </w:tc>
        <w:tc>
          <w:tcPr>
            <w:tcW w:w="2213"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1000人</w:t>
            </w:r>
          </w:p>
        </w:tc>
        <w:tc>
          <w:tcPr>
            <w:tcW w:w="0" w:type="auto"/>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2511人</w:t>
            </w:r>
          </w:p>
        </w:tc>
        <w:tc>
          <w:tcPr>
            <w:tcW w:w="1005"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jc w:val="left"/>
              <w:rPr>
                <w:rFonts w:ascii="仿宋_GB2312" w:hAnsi="宋体" w:eastAsia="仿宋_GB2312" w:cs="宋体"/>
                <w:color w:val="000000"/>
                <w:szCs w:val="21"/>
              </w:rPr>
            </w:pPr>
          </w:p>
        </w:tc>
        <w:tc>
          <w:tcPr>
            <w:tcW w:w="776" w:type="dxa"/>
            <w:shd w:val="clear" w:color="auto" w:fill="auto"/>
            <w:vAlign w:val="center"/>
          </w:tcPr>
          <w:p>
            <w:pPr>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vMerge w:val="continue"/>
            <w:shd w:val="clear" w:color="auto" w:fill="auto"/>
            <w:vAlign w:val="center"/>
          </w:tcPr>
          <w:p>
            <w:pPr>
              <w:widowControl/>
              <w:jc w:val="center"/>
              <w:textAlignment w:val="center"/>
              <w:rPr>
                <w:rFonts w:ascii="仿宋_GB2312" w:hAnsi="宋体" w:eastAsia="仿宋_GB2312" w:cs="宋体"/>
                <w:color w:val="000000"/>
                <w:szCs w:val="21"/>
              </w:rPr>
            </w:pPr>
          </w:p>
        </w:tc>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gridSpan w:val="2"/>
            <w:shd w:val="clear" w:color="auto" w:fill="auto"/>
            <w:noWrap/>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艾滋病“三线一网底”防治体系例会、督导 、考核</w:t>
            </w:r>
          </w:p>
        </w:tc>
        <w:tc>
          <w:tcPr>
            <w:tcW w:w="2213"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16次</w:t>
            </w:r>
          </w:p>
        </w:tc>
        <w:tc>
          <w:tcPr>
            <w:tcW w:w="0" w:type="auto"/>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20次</w:t>
            </w:r>
          </w:p>
        </w:tc>
        <w:tc>
          <w:tcPr>
            <w:tcW w:w="1005"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jc w:val="left"/>
              <w:rPr>
                <w:rFonts w:ascii="仿宋_GB2312" w:hAnsi="宋体" w:eastAsia="仿宋_GB2312" w:cs="宋体"/>
                <w:color w:val="000000"/>
                <w:szCs w:val="21"/>
              </w:rPr>
            </w:pPr>
          </w:p>
        </w:tc>
        <w:tc>
          <w:tcPr>
            <w:tcW w:w="776" w:type="dxa"/>
            <w:shd w:val="clear" w:color="auto" w:fill="auto"/>
            <w:vAlign w:val="center"/>
          </w:tcPr>
          <w:p>
            <w:pPr>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vMerge w:val="continue"/>
            <w:shd w:val="clear" w:color="auto" w:fill="auto"/>
            <w:noWrap/>
            <w:vAlign w:val="center"/>
          </w:tcPr>
          <w:p>
            <w:pPr>
              <w:rPr>
                <w:rFonts w:ascii="仿宋_GB2312" w:hAnsi="宋体" w:eastAsia="仿宋_GB2312" w:cs="宋体"/>
                <w:color w:val="000000"/>
                <w:szCs w:val="21"/>
              </w:rPr>
            </w:pPr>
          </w:p>
        </w:tc>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gridSpan w:val="2"/>
            <w:shd w:val="clear" w:color="auto" w:fill="auto"/>
            <w:noWrap/>
            <w:vAlign w:val="center"/>
          </w:tcPr>
          <w:p>
            <w:pPr>
              <w:widowControl/>
              <w:jc w:val="left"/>
              <w:textAlignment w:val="center"/>
              <w:rPr>
                <w:rFonts w:ascii="仿宋_GB2312" w:hAnsi="宋体" w:eastAsia="仿宋_GB2312" w:cs="宋体"/>
                <w:b/>
                <w:bCs/>
                <w:color w:val="000000"/>
                <w:szCs w:val="21"/>
              </w:rPr>
            </w:pPr>
            <w:r>
              <w:rPr>
                <w:rStyle w:val="45"/>
                <w:rFonts w:hint="default" w:ascii="仿宋_GB2312" w:eastAsia="仿宋_GB2312"/>
                <w:sz w:val="21"/>
                <w:szCs w:val="21"/>
              </w:rPr>
              <w:t>指标2</w:t>
            </w:r>
            <w:r>
              <w:rPr>
                <w:rFonts w:hint="eastAsia" w:ascii="仿宋_GB2312" w:hAnsi="宋体" w:eastAsia="仿宋_GB2312" w:cs="宋体"/>
                <w:color w:val="000000"/>
                <w:kern w:val="0"/>
                <w:szCs w:val="21"/>
              </w:rPr>
              <w:t>：结核病等项目培训</w:t>
            </w:r>
          </w:p>
        </w:tc>
        <w:tc>
          <w:tcPr>
            <w:tcW w:w="2213"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2次</w:t>
            </w:r>
          </w:p>
        </w:tc>
        <w:tc>
          <w:tcPr>
            <w:tcW w:w="0" w:type="auto"/>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3次</w:t>
            </w:r>
          </w:p>
        </w:tc>
        <w:tc>
          <w:tcPr>
            <w:tcW w:w="1005"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jc w:val="left"/>
              <w:rPr>
                <w:rFonts w:ascii="仿宋_GB2312" w:hAnsi="宋体" w:eastAsia="仿宋_GB2312" w:cs="宋体"/>
                <w:color w:val="000000"/>
                <w:szCs w:val="21"/>
              </w:rPr>
            </w:pPr>
          </w:p>
        </w:tc>
        <w:tc>
          <w:tcPr>
            <w:tcW w:w="776" w:type="dxa"/>
            <w:shd w:val="clear" w:color="auto" w:fill="auto"/>
            <w:vAlign w:val="center"/>
          </w:tcPr>
          <w:p>
            <w:pPr>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vMerge w:val="continue"/>
            <w:shd w:val="clear" w:color="auto" w:fill="auto"/>
            <w:noWrap/>
            <w:vAlign w:val="center"/>
          </w:tcPr>
          <w:p>
            <w:pPr>
              <w:rPr>
                <w:rFonts w:ascii="仿宋_GB2312" w:hAnsi="宋体" w:eastAsia="仿宋_GB2312" w:cs="宋体"/>
                <w:color w:val="000000"/>
                <w:szCs w:val="21"/>
              </w:rPr>
            </w:pPr>
          </w:p>
        </w:tc>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gridSpan w:val="2"/>
            <w:shd w:val="clear" w:color="auto" w:fill="auto"/>
            <w:noWrap/>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健康教育</w:t>
            </w:r>
          </w:p>
        </w:tc>
        <w:tc>
          <w:tcPr>
            <w:tcW w:w="2213"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2次</w:t>
            </w:r>
          </w:p>
        </w:tc>
        <w:tc>
          <w:tcPr>
            <w:tcW w:w="0" w:type="auto"/>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5次</w:t>
            </w:r>
          </w:p>
        </w:tc>
        <w:tc>
          <w:tcPr>
            <w:tcW w:w="1005"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jc w:val="left"/>
              <w:rPr>
                <w:rFonts w:ascii="仿宋_GB2312" w:hAnsi="宋体" w:eastAsia="仿宋_GB2312" w:cs="宋体"/>
                <w:color w:val="000000"/>
                <w:szCs w:val="21"/>
              </w:rPr>
            </w:pPr>
          </w:p>
        </w:tc>
        <w:tc>
          <w:tcPr>
            <w:tcW w:w="776" w:type="dxa"/>
            <w:shd w:val="clear" w:color="auto" w:fill="auto"/>
            <w:vAlign w:val="center"/>
          </w:tcPr>
          <w:p>
            <w:pPr>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vMerge w:val="continue"/>
            <w:shd w:val="clear" w:color="auto" w:fill="auto"/>
            <w:noWrap/>
            <w:vAlign w:val="center"/>
          </w:tcPr>
          <w:p>
            <w:pPr>
              <w:rPr>
                <w:rFonts w:ascii="仿宋_GB2312" w:hAnsi="宋体" w:eastAsia="仿宋_GB2312" w:cs="宋体"/>
                <w:color w:val="000000"/>
                <w:szCs w:val="21"/>
              </w:rPr>
            </w:pPr>
          </w:p>
        </w:tc>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gridSpan w:val="2"/>
            <w:shd w:val="clear" w:color="auto" w:fill="auto"/>
            <w:noWrap/>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督导</w:t>
            </w:r>
          </w:p>
        </w:tc>
        <w:tc>
          <w:tcPr>
            <w:tcW w:w="2213"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2次</w:t>
            </w:r>
          </w:p>
        </w:tc>
        <w:tc>
          <w:tcPr>
            <w:tcW w:w="0" w:type="auto"/>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3次</w:t>
            </w:r>
          </w:p>
        </w:tc>
        <w:tc>
          <w:tcPr>
            <w:tcW w:w="1005"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jc w:val="left"/>
              <w:rPr>
                <w:rFonts w:ascii="仿宋_GB2312" w:hAnsi="宋体" w:eastAsia="仿宋_GB2312" w:cs="宋体"/>
                <w:color w:val="000000"/>
                <w:szCs w:val="21"/>
              </w:rPr>
            </w:pPr>
          </w:p>
        </w:tc>
        <w:tc>
          <w:tcPr>
            <w:tcW w:w="776" w:type="dxa"/>
            <w:shd w:val="clear" w:color="auto" w:fill="auto"/>
            <w:vAlign w:val="center"/>
          </w:tcPr>
          <w:p>
            <w:pPr>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vMerge w:val="continue"/>
            <w:shd w:val="clear" w:color="auto" w:fill="auto"/>
            <w:noWrap/>
            <w:vAlign w:val="center"/>
          </w:tcPr>
          <w:p>
            <w:pPr>
              <w:rPr>
                <w:rFonts w:ascii="仿宋_GB2312" w:hAnsi="宋体" w:eastAsia="仿宋_GB2312" w:cs="宋体"/>
                <w:color w:val="000000"/>
                <w:szCs w:val="21"/>
              </w:rPr>
            </w:pPr>
          </w:p>
        </w:tc>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gridSpan w:val="2"/>
            <w:shd w:val="clear" w:color="auto" w:fill="auto"/>
            <w:noWrap/>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可疑症状检查</w:t>
            </w:r>
          </w:p>
        </w:tc>
        <w:tc>
          <w:tcPr>
            <w:tcW w:w="2213"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678人</w:t>
            </w:r>
          </w:p>
        </w:tc>
        <w:tc>
          <w:tcPr>
            <w:tcW w:w="0" w:type="auto"/>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4770人</w:t>
            </w:r>
          </w:p>
        </w:tc>
        <w:tc>
          <w:tcPr>
            <w:tcW w:w="1005"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jc w:val="left"/>
              <w:rPr>
                <w:rFonts w:ascii="仿宋_GB2312" w:hAnsi="宋体" w:eastAsia="仿宋_GB2312" w:cs="宋体"/>
                <w:color w:val="000000"/>
                <w:szCs w:val="21"/>
              </w:rPr>
            </w:pPr>
          </w:p>
        </w:tc>
        <w:tc>
          <w:tcPr>
            <w:tcW w:w="776" w:type="dxa"/>
            <w:shd w:val="clear" w:color="auto" w:fill="auto"/>
            <w:vAlign w:val="center"/>
          </w:tcPr>
          <w:p>
            <w:pPr>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vMerge w:val="continue"/>
            <w:shd w:val="clear" w:color="auto" w:fill="auto"/>
            <w:noWrap/>
            <w:vAlign w:val="center"/>
          </w:tcPr>
          <w:p>
            <w:pPr>
              <w:rPr>
                <w:rFonts w:ascii="仿宋_GB2312" w:hAnsi="宋体" w:eastAsia="仿宋_GB2312" w:cs="宋体"/>
                <w:color w:val="000000"/>
                <w:szCs w:val="21"/>
              </w:rPr>
            </w:pPr>
          </w:p>
        </w:tc>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gridSpan w:val="2"/>
            <w:shd w:val="clear" w:color="auto" w:fill="auto"/>
            <w:noWrap/>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肺结核患者追踪</w:t>
            </w:r>
          </w:p>
        </w:tc>
        <w:tc>
          <w:tcPr>
            <w:tcW w:w="2213"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200人</w:t>
            </w:r>
          </w:p>
        </w:tc>
        <w:tc>
          <w:tcPr>
            <w:tcW w:w="0" w:type="auto"/>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351人</w:t>
            </w:r>
          </w:p>
        </w:tc>
        <w:tc>
          <w:tcPr>
            <w:tcW w:w="1005"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jc w:val="left"/>
              <w:rPr>
                <w:rFonts w:ascii="仿宋_GB2312" w:hAnsi="宋体" w:eastAsia="仿宋_GB2312" w:cs="宋体"/>
                <w:color w:val="000000"/>
                <w:szCs w:val="21"/>
              </w:rPr>
            </w:pPr>
          </w:p>
        </w:tc>
        <w:tc>
          <w:tcPr>
            <w:tcW w:w="776" w:type="dxa"/>
            <w:shd w:val="clear" w:color="auto" w:fill="auto"/>
            <w:vAlign w:val="center"/>
          </w:tcPr>
          <w:p>
            <w:pPr>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vMerge w:val="continue"/>
            <w:shd w:val="clear" w:color="auto" w:fill="auto"/>
            <w:noWrap/>
            <w:vAlign w:val="center"/>
          </w:tcPr>
          <w:p>
            <w:pPr>
              <w:rPr>
                <w:rFonts w:ascii="仿宋_GB2312" w:hAnsi="宋体" w:eastAsia="仿宋_GB2312" w:cs="宋体"/>
                <w:color w:val="000000"/>
                <w:szCs w:val="21"/>
              </w:rPr>
            </w:pPr>
          </w:p>
        </w:tc>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gridSpan w:val="2"/>
            <w:shd w:val="clear" w:color="auto" w:fill="auto"/>
            <w:noWrap/>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肺结核患者随访检查</w:t>
            </w:r>
          </w:p>
        </w:tc>
        <w:tc>
          <w:tcPr>
            <w:tcW w:w="2213"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226人</w:t>
            </w:r>
          </w:p>
        </w:tc>
        <w:tc>
          <w:tcPr>
            <w:tcW w:w="0" w:type="auto"/>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410人</w:t>
            </w:r>
          </w:p>
        </w:tc>
        <w:tc>
          <w:tcPr>
            <w:tcW w:w="1005"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jc w:val="left"/>
              <w:rPr>
                <w:rFonts w:ascii="仿宋_GB2312" w:hAnsi="宋体" w:eastAsia="仿宋_GB2312" w:cs="宋体"/>
                <w:color w:val="000000"/>
                <w:szCs w:val="21"/>
              </w:rPr>
            </w:pPr>
          </w:p>
        </w:tc>
        <w:tc>
          <w:tcPr>
            <w:tcW w:w="776" w:type="dxa"/>
            <w:shd w:val="clear" w:color="auto" w:fill="auto"/>
            <w:vAlign w:val="center"/>
          </w:tcPr>
          <w:p>
            <w:pPr>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vMerge w:val="continue"/>
            <w:shd w:val="clear" w:color="auto" w:fill="auto"/>
            <w:noWrap/>
            <w:vAlign w:val="center"/>
          </w:tcPr>
          <w:p>
            <w:pPr>
              <w:rPr>
                <w:rFonts w:ascii="仿宋_GB2312" w:hAnsi="宋体" w:eastAsia="仿宋_GB2312" w:cs="宋体"/>
                <w:color w:val="000000"/>
                <w:szCs w:val="21"/>
              </w:rPr>
            </w:pPr>
          </w:p>
        </w:tc>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gridSpan w:val="2"/>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肺结核病原学阳性密切接触者筛查</w:t>
            </w:r>
          </w:p>
        </w:tc>
        <w:tc>
          <w:tcPr>
            <w:tcW w:w="2213"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318人</w:t>
            </w:r>
          </w:p>
        </w:tc>
        <w:tc>
          <w:tcPr>
            <w:tcW w:w="0" w:type="auto"/>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531人</w:t>
            </w:r>
          </w:p>
        </w:tc>
        <w:tc>
          <w:tcPr>
            <w:tcW w:w="1005"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jc w:val="left"/>
              <w:rPr>
                <w:rFonts w:ascii="仿宋_GB2312" w:hAnsi="宋体" w:eastAsia="仿宋_GB2312" w:cs="宋体"/>
                <w:color w:val="000000"/>
                <w:szCs w:val="21"/>
              </w:rPr>
            </w:pPr>
          </w:p>
        </w:tc>
        <w:tc>
          <w:tcPr>
            <w:tcW w:w="776" w:type="dxa"/>
            <w:shd w:val="clear" w:color="auto" w:fill="auto"/>
            <w:vAlign w:val="center"/>
          </w:tcPr>
          <w:p>
            <w:pPr>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vMerge w:val="continue"/>
            <w:shd w:val="clear" w:color="auto" w:fill="auto"/>
            <w:noWrap/>
            <w:vAlign w:val="center"/>
          </w:tcPr>
          <w:p>
            <w:pPr>
              <w:rPr>
                <w:rFonts w:ascii="仿宋_GB2312" w:hAnsi="宋体" w:eastAsia="仿宋_GB2312" w:cs="宋体"/>
                <w:color w:val="000000"/>
                <w:szCs w:val="21"/>
              </w:rPr>
            </w:pPr>
          </w:p>
        </w:tc>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gridSpan w:val="2"/>
            <w:shd w:val="clear" w:color="auto" w:fill="auto"/>
            <w:vAlign w:val="center"/>
          </w:tcPr>
          <w:p>
            <w:pPr>
              <w:widowControl/>
              <w:jc w:val="left"/>
              <w:textAlignment w:val="center"/>
              <w:rPr>
                <w:rFonts w:ascii="仿宋_GB2312" w:hAnsi="宋体" w:eastAsia="仿宋_GB2312" w:cs="宋体"/>
                <w:b/>
                <w:bCs/>
                <w:color w:val="000000"/>
                <w:szCs w:val="21"/>
              </w:rPr>
            </w:pPr>
            <w:r>
              <w:rPr>
                <w:rStyle w:val="45"/>
                <w:rFonts w:hint="default" w:ascii="仿宋_GB2312" w:eastAsia="仿宋_GB2312"/>
                <w:sz w:val="21"/>
                <w:szCs w:val="21"/>
              </w:rPr>
              <w:t>指标3</w:t>
            </w:r>
            <w:r>
              <w:rPr>
                <w:rFonts w:hint="eastAsia" w:ascii="仿宋_GB2312" w:hAnsi="宋体" w:eastAsia="仿宋_GB2312" w:cs="宋体"/>
                <w:color w:val="000000"/>
                <w:kern w:val="0"/>
                <w:szCs w:val="21"/>
              </w:rPr>
              <w:t>：慢性病心脑血管监测年度发病报告数量</w:t>
            </w:r>
          </w:p>
        </w:tc>
        <w:tc>
          <w:tcPr>
            <w:tcW w:w="2213"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160/10万</w:t>
            </w:r>
          </w:p>
        </w:tc>
        <w:tc>
          <w:tcPr>
            <w:tcW w:w="0" w:type="auto"/>
            <w:shd w:val="clear" w:color="auto" w:fill="auto"/>
            <w:vAlign w:val="center"/>
          </w:tcPr>
          <w:p>
            <w:pPr>
              <w:widowControl/>
              <w:ind w:left="-105" w:leftChars="-50" w:right="-105" w:rightChars="-50"/>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593.4/10万</w:t>
            </w:r>
          </w:p>
        </w:tc>
        <w:tc>
          <w:tcPr>
            <w:tcW w:w="1005"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jc w:val="left"/>
              <w:rPr>
                <w:rFonts w:ascii="仿宋_GB2312" w:hAnsi="宋体" w:eastAsia="仿宋_GB2312" w:cs="宋体"/>
                <w:color w:val="000000"/>
                <w:szCs w:val="21"/>
              </w:rPr>
            </w:pPr>
          </w:p>
        </w:tc>
        <w:tc>
          <w:tcPr>
            <w:tcW w:w="776" w:type="dxa"/>
            <w:shd w:val="clear" w:color="auto" w:fill="auto"/>
            <w:vAlign w:val="center"/>
          </w:tcPr>
          <w:p>
            <w:pPr>
              <w:jc w:val="left"/>
              <w:rPr>
                <w:rFonts w:ascii="仿宋_GB2312" w:hAnsi="宋体" w:eastAsia="仿宋_GB2312" w:cs="宋体"/>
                <w:color w:val="000000"/>
                <w:szCs w:val="21"/>
              </w:rPr>
            </w:pPr>
          </w:p>
        </w:tc>
      </w:tr>
    </w:tbl>
    <w:p>
      <w:pPr>
        <w:spacing w:line="100" w:lineRule="exact"/>
      </w:pPr>
    </w:p>
    <w:tbl>
      <w:tblPr>
        <w:tblStyle w:val="16"/>
        <w:tblW w:w="14474" w:type="dxa"/>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autofit"/>
        <w:tblCellMar>
          <w:top w:w="0" w:type="dxa"/>
          <w:left w:w="108" w:type="dxa"/>
          <w:bottom w:w="0" w:type="dxa"/>
          <w:right w:w="108" w:type="dxa"/>
        </w:tblCellMar>
      </w:tblPr>
      <w:tblGrid>
        <w:gridCol w:w="607"/>
        <w:gridCol w:w="636"/>
        <w:gridCol w:w="607"/>
        <w:gridCol w:w="3736"/>
        <w:gridCol w:w="2213"/>
        <w:gridCol w:w="3925"/>
        <w:gridCol w:w="1005"/>
        <w:gridCol w:w="969"/>
        <w:gridCol w:w="776"/>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blHeader/>
          <w:jc w:val="center"/>
        </w:trPr>
        <w:tc>
          <w:tcPr>
            <w:tcW w:w="0" w:type="auto"/>
            <w:vMerge w:val="restart"/>
            <w:tcBorders>
              <w:top w:val="single" w:color="000000" w:sz="8" w:space="0"/>
              <w:left w:val="single" w:color="000000" w:sz="8" w:space="0"/>
              <w:right w:val="single" w:color="000000" w:sz="6" w:space="0"/>
            </w:tcBorders>
            <w:shd w:val="clear" w:color="auto" w:fill="auto"/>
            <w:vAlign w:val="center"/>
          </w:tcPr>
          <w:p>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绩效</w:t>
            </w:r>
          </w:p>
          <w:p>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指标</w:t>
            </w:r>
          </w:p>
        </w:tc>
        <w:tc>
          <w:tcPr>
            <w:tcW w:w="0" w:type="auto"/>
            <w:vMerge w:val="restart"/>
            <w:tcBorders>
              <w:top w:val="single" w:color="000000" w:sz="8" w:space="0"/>
              <w:left w:val="single" w:color="000000" w:sz="6" w:space="0"/>
              <w:bottom w:val="single" w:color="000000" w:sz="6" w:space="0"/>
              <w:right w:val="single" w:color="000000" w:sz="6" w:space="0"/>
            </w:tcBorders>
            <w:shd w:val="clear" w:color="auto" w:fill="auto"/>
            <w:noWrap/>
            <w:vAlign w:val="center"/>
          </w:tcPr>
          <w:p>
            <w:pPr>
              <w:widowControl/>
              <w:spacing w:line="240" w:lineRule="exact"/>
              <w:jc w:val="center"/>
              <w:textAlignment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一级</w:t>
            </w:r>
          </w:p>
          <w:p>
            <w:pPr>
              <w:widowControl/>
              <w:spacing w:line="240" w:lineRule="exact"/>
              <w:jc w:val="center"/>
              <w:textAlignment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w:t>
            </w:r>
          </w:p>
        </w:tc>
        <w:tc>
          <w:tcPr>
            <w:tcW w:w="0" w:type="auto"/>
            <w:vMerge w:val="restart"/>
            <w:tcBorders>
              <w:top w:val="single" w:color="000000" w:sz="8" w:space="0"/>
              <w:left w:val="single" w:color="000000" w:sz="6" w:space="0"/>
              <w:bottom w:val="single" w:color="000000" w:sz="6" w:space="0"/>
              <w:right w:val="single" w:color="000000" w:sz="6" w:space="0"/>
            </w:tcBorders>
            <w:shd w:val="clear" w:color="auto" w:fill="auto"/>
            <w:vAlign w:val="center"/>
          </w:tcPr>
          <w:p>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二级</w:t>
            </w:r>
          </w:p>
          <w:p>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指标</w:t>
            </w:r>
          </w:p>
        </w:tc>
        <w:tc>
          <w:tcPr>
            <w:tcW w:w="0" w:type="auto"/>
            <w:tcBorders>
              <w:top w:val="single" w:color="000000" w:sz="8" w:space="0"/>
              <w:left w:val="single" w:color="000000" w:sz="6" w:space="0"/>
              <w:bottom w:val="single" w:color="000000" w:sz="6" w:space="0"/>
              <w:right w:val="single" w:color="000000" w:sz="6" w:space="0"/>
            </w:tcBorders>
            <w:shd w:val="clear" w:color="auto" w:fill="auto"/>
            <w:vAlign w:val="center"/>
          </w:tcPr>
          <w:p>
            <w:pPr>
              <w:widowControl/>
              <w:spacing w:line="240" w:lineRule="exact"/>
              <w:jc w:val="center"/>
              <w:textAlignment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三级指标</w:t>
            </w:r>
          </w:p>
        </w:tc>
        <w:tc>
          <w:tcPr>
            <w:tcW w:w="2213" w:type="dxa"/>
            <w:tcBorders>
              <w:top w:val="single" w:color="000000" w:sz="8" w:space="0"/>
              <w:left w:val="single" w:color="000000" w:sz="6" w:space="0"/>
              <w:bottom w:val="single" w:color="000000" w:sz="6" w:space="0"/>
              <w:right w:val="single" w:color="000000" w:sz="6" w:space="0"/>
            </w:tcBorders>
            <w:shd w:val="clear" w:color="auto" w:fill="auto"/>
            <w:noWrap/>
            <w:vAlign w:val="center"/>
          </w:tcPr>
          <w:p>
            <w:pPr>
              <w:widowControl/>
              <w:spacing w:line="240" w:lineRule="exact"/>
              <w:jc w:val="center"/>
              <w:textAlignment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预期指标值（包含数字及文字描述）</w:t>
            </w:r>
          </w:p>
        </w:tc>
        <w:tc>
          <w:tcPr>
            <w:tcW w:w="0" w:type="auto"/>
            <w:tcBorders>
              <w:top w:val="single" w:color="000000" w:sz="8" w:space="0"/>
              <w:left w:val="single" w:color="000000" w:sz="6" w:space="0"/>
              <w:bottom w:val="single" w:color="000000" w:sz="6" w:space="0"/>
              <w:right w:val="single" w:color="000000" w:sz="6" w:space="0"/>
            </w:tcBorders>
            <w:shd w:val="clear" w:color="auto" w:fill="auto"/>
            <w:vAlign w:val="center"/>
          </w:tcPr>
          <w:p>
            <w:pPr>
              <w:widowControl/>
              <w:spacing w:line="240" w:lineRule="exact"/>
              <w:jc w:val="center"/>
              <w:textAlignment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实际完成指标值（包含数字及文字描述）</w:t>
            </w:r>
          </w:p>
        </w:tc>
        <w:tc>
          <w:tcPr>
            <w:tcW w:w="1005" w:type="dxa"/>
            <w:tcBorders>
              <w:top w:val="single" w:color="000000" w:sz="8" w:space="0"/>
              <w:left w:val="single" w:color="000000" w:sz="6" w:space="0"/>
              <w:bottom w:val="single" w:color="000000" w:sz="6" w:space="0"/>
              <w:right w:val="single" w:color="000000" w:sz="6" w:space="0"/>
            </w:tcBorders>
            <w:shd w:val="clear" w:color="auto" w:fill="auto"/>
            <w:vAlign w:val="center"/>
          </w:tcPr>
          <w:p>
            <w:pPr>
              <w:widowControl/>
              <w:spacing w:line="240" w:lineRule="exact"/>
              <w:jc w:val="center"/>
              <w:textAlignment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未完成原因及拟采取措施</w:t>
            </w:r>
          </w:p>
        </w:tc>
        <w:tc>
          <w:tcPr>
            <w:tcW w:w="0" w:type="auto"/>
            <w:tcBorders>
              <w:top w:val="single" w:color="000000" w:sz="8" w:space="0"/>
              <w:left w:val="single" w:color="000000" w:sz="6" w:space="0"/>
              <w:bottom w:val="single" w:color="000000" w:sz="6" w:space="0"/>
              <w:right w:val="single" w:color="000000" w:sz="6" w:space="0"/>
            </w:tcBorders>
            <w:shd w:val="clear" w:color="auto" w:fill="auto"/>
            <w:vAlign w:val="center"/>
          </w:tcPr>
          <w:p>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自评得分</w:t>
            </w:r>
          </w:p>
        </w:tc>
        <w:tc>
          <w:tcPr>
            <w:tcW w:w="776" w:type="dxa"/>
            <w:tcBorders>
              <w:top w:val="single" w:color="000000" w:sz="8" w:space="0"/>
              <w:left w:val="single" w:color="000000" w:sz="6" w:space="0"/>
              <w:bottom w:val="single" w:color="000000" w:sz="6" w:space="0"/>
              <w:right w:val="single" w:color="000000" w:sz="8" w:space="0"/>
            </w:tcBorders>
            <w:shd w:val="clear" w:color="auto" w:fill="auto"/>
            <w:vAlign w:val="center"/>
          </w:tcPr>
          <w:p>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财政复评得分</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restart"/>
            <w:tcBorders>
              <w:left w:val="single" w:color="000000" w:sz="6" w:space="0"/>
            </w:tcBorders>
            <w:shd w:val="clear" w:color="auto" w:fill="auto"/>
            <w:noWrap/>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产</w:t>
            </w:r>
          </w:p>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出</w:t>
            </w:r>
          </w:p>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指</w:t>
            </w:r>
          </w:p>
          <w:p>
            <w:pPr>
              <w:jc w:val="center"/>
              <w:rPr>
                <w:rFonts w:ascii="仿宋_GB2312" w:hAnsi="宋体" w:eastAsia="仿宋_GB2312" w:cs="宋体"/>
                <w:color w:val="000000"/>
                <w:szCs w:val="21"/>
              </w:rPr>
            </w:pPr>
            <w:r>
              <w:rPr>
                <w:rFonts w:hint="eastAsia" w:ascii="仿宋_GB2312" w:hAnsi="宋体" w:eastAsia="仿宋_GB2312" w:cs="宋体"/>
                <w:color w:val="000000"/>
                <w:kern w:val="0"/>
                <w:szCs w:val="21"/>
              </w:rPr>
              <w:t>标</w:t>
            </w:r>
          </w:p>
        </w:tc>
        <w:tc>
          <w:tcPr>
            <w:tcW w:w="0" w:type="auto"/>
            <w:vMerge w:val="restart"/>
            <w:shd w:val="clear" w:color="auto" w:fill="auto"/>
            <w:vAlign w:val="center"/>
          </w:tcPr>
          <w:p>
            <w:pPr>
              <w:widowControl/>
              <w:jc w:val="center"/>
              <w:textAlignment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数量</w:t>
            </w:r>
          </w:p>
          <w:p>
            <w:pPr>
              <w:jc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指标</w:t>
            </w:r>
          </w:p>
        </w:tc>
        <w:tc>
          <w:tcPr>
            <w:tcW w:w="0" w:type="auto"/>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慢性病死因监测</w:t>
            </w:r>
          </w:p>
        </w:tc>
        <w:tc>
          <w:tcPr>
            <w:tcW w:w="2213" w:type="dxa"/>
            <w:shd w:val="clear" w:color="auto" w:fill="auto"/>
            <w:noWrap/>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死亡率达到650/10万</w:t>
            </w:r>
          </w:p>
        </w:tc>
        <w:tc>
          <w:tcPr>
            <w:tcW w:w="0" w:type="auto"/>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763/10万</w:t>
            </w:r>
          </w:p>
        </w:tc>
        <w:tc>
          <w:tcPr>
            <w:tcW w:w="1005"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jc w:val="left"/>
              <w:rPr>
                <w:rFonts w:ascii="仿宋_GB2312" w:hAnsi="宋体" w:eastAsia="仿宋_GB2312" w:cs="宋体"/>
                <w:color w:val="000000"/>
                <w:szCs w:val="21"/>
              </w:rPr>
            </w:pPr>
          </w:p>
        </w:tc>
        <w:tc>
          <w:tcPr>
            <w:tcW w:w="776" w:type="dxa"/>
            <w:shd w:val="clear" w:color="auto" w:fill="auto"/>
            <w:vAlign w:val="center"/>
          </w:tcPr>
          <w:p>
            <w:pPr>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shd w:val="clear" w:color="auto" w:fill="auto"/>
            <w:vAlign w:val="center"/>
          </w:tcPr>
          <w:p>
            <w:pPr>
              <w:widowControl/>
              <w:spacing w:line="22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慢性病肿瘤随访登记</w:t>
            </w:r>
          </w:p>
        </w:tc>
        <w:tc>
          <w:tcPr>
            <w:tcW w:w="2213" w:type="dxa"/>
            <w:shd w:val="clear" w:color="auto" w:fill="auto"/>
            <w:vAlign w:val="center"/>
          </w:tcPr>
          <w:p>
            <w:pPr>
              <w:widowControl/>
              <w:spacing w:line="22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粗发病率大于180/10万，粗死亡率大于120/10万</w:t>
            </w:r>
          </w:p>
        </w:tc>
        <w:tc>
          <w:tcPr>
            <w:tcW w:w="0" w:type="auto"/>
            <w:shd w:val="clear" w:color="auto" w:fill="auto"/>
            <w:vAlign w:val="center"/>
          </w:tcPr>
          <w:p>
            <w:pPr>
              <w:widowControl/>
              <w:spacing w:line="220" w:lineRule="exact"/>
              <w:ind w:left="-105" w:leftChars="-50" w:right="-105" w:rightChars="-50"/>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粗发病率306/10万，粗死亡率190.2/10万</w:t>
            </w:r>
          </w:p>
        </w:tc>
        <w:tc>
          <w:tcPr>
            <w:tcW w:w="1005"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jc w:val="left"/>
              <w:rPr>
                <w:rFonts w:ascii="仿宋_GB2312" w:hAnsi="宋体" w:eastAsia="仿宋_GB2312" w:cs="宋体"/>
                <w:color w:val="000000"/>
                <w:szCs w:val="21"/>
              </w:rPr>
            </w:pPr>
          </w:p>
        </w:tc>
        <w:tc>
          <w:tcPr>
            <w:tcW w:w="776" w:type="dxa"/>
            <w:shd w:val="clear" w:color="auto" w:fill="auto"/>
            <w:vAlign w:val="center"/>
          </w:tcPr>
          <w:p>
            <w:pPr>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shd w:val="clear" w:color="auto" w:fill="auto"/>
            <w:vAlign w:val="center"/>
          </w:tcPr>
          <w:p>
            <w:pPr>
              <w:widowControl/>
              <w:spacing w:line="220" w:lineRule="exact"/>
              <w:jc w:val="left"/>
              <w:textAlignment w:val="center"/>
              <w:rPr>
                <w:rFonts w:ascii="仿宋_GB2312" w:hAnsi="宋体" w:eastAsia="仿宋_GB2312" w:cs="宋体"/>
                <w:b/>
                <w:bCs/>
                <w:color w:val="000000"/>
                <w:szCs w:val="21"/>
              </w:rPr>
            </w:pPr>
            <w:r>
              <w:rPr>
                <w:rStyle w:val="45"/>
                <w:rFonts w:hint="default" w:ascii="仿宋_GB2312" w:eastAsia="仿宋_GB2312"/>
                <w:sz w:val="21"/>
                <w:szCs w:val="21"/>
              </w:rPr>
              <w:t>指标4</w:t>
            </w:r>
            <w:r>
              <w:rPr>
                <w:rFonts w:hint="eastAsia" w:ascii="仿宋_GB2312" w:hAnsi="宋体" w:eastAsia="仿宋_GB2312" w:cs="宋体"/>
                <w:color w:val="000000"/>
                <w:kern w:val="0"/>
                <w:szCs w:val="21"/>
              </w:rPr>
              <w:t>：免疫规划麻疹样品采集</w:t>
            </w:r>
          </w:p>
        </w:tc>
        <w:tc>
          <w:tcPr>
            <w:tcW w:w="2213" w:type="dxa"/>
            <w:shd w:val="clear" w:color="auto" w:fill="auto"/>
            <w:vAlign w:val="center"/>
          </w:tcPr>
          <w:p>
            <w:pPr>
              <w:widowControl/>
              <w:spacing w:line="22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11个</w:t>
            </w:r>
          </w:p>
        </w:tc>
        <w:tc>
          <w:tcPr>
            <w:tcW w:w="0" w:type="auto"/>
            <w:shd w:val="clear" w:color="auto" w:fill="auto"/>
            <w:vAlign w:val="center"/>
          </w:tcPr>
          <w:p>
            <w:pPr>
              <w:widowControl/>
              <w:spacing w:line="22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11个</w:t>
            </w:r>
          </w:p>
        </w:tc>
        <w:tc>
          <w:tcPr>
            <w:tcW w:w="1005"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jc w:val="left"/>
              <w:rPr>
                <w:rFonts w:ascii="仿宋_GB2312" w:hAnsi="宋体" w:eastAsia="仿宋_GB2312" w:cs="宋体"/>
                <w:color w:val="000000"/>
                <w:szCs w:val="21"/>
              </w:rPr>
            </w:pPr>
          </w:p>
        </w:tc>
        <w:tc>
          <w:tcPr>
            <w:tcW w:w="776" w:type="dxa"/>
            <w:shd w:val="clear" w:color="auto" w:fill="auto"/>
            <w:vAlign w:val="center"/>
          </w:tcPr>
          <w:p>
            <w:pPr>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shd w:val="clear" w:color="auto" w:fill="auto"/>
            <w:vAlign w:val="center"/>
          </w:tcPr>
          <w:p>
            <w:pPr>
              <w:widowControl/>
              <w:spacing w:line="22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数字化计免门诊打造</w:t>
            </w:r>
          </w:p>
        </w:tc>
        <w:tc>
          <w:tcPr>
            <w:tcW w:w="2213" w:type="dxa"/>
            <w:shd w:val="clear" w:color="auto" w:fill="auto"/>
            <w:vAlign w:val="center"/>
          </w:tcPr>
          <w:p>
            <w:pPr>
              <w:widowControl/>
              <w:spacing w:line="22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6个</w:t>
            </w:r>
          </w:p>
        </w:tc>
        <w:tc>
          <w:tcPr>
            <w:tcW w:w="0" w:type="auto"/>
            <w:shd w:val="clear" w:color="auto" w:fill="auto"/>
            <w:vAlign w:val="center"/>
          </w:tcPr>
          <w:p>
            <w:pPr>
              <w:widowControl/>
              <w:spacing w:line="22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6个</w:t>
            </w:r>
          </w:p>
        </w:tc>
        <w:tc>
          <w:tcPr>
            <w:tcW w:w="1005"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jc w:val="left"/>
              <w:rPr>
                <w:rFonts w:ascii="仿宋_GB2312" w:hAnsi="宋体" w:eastAsia="仿宋_GB2312" w:cs="宋体"/>
                <w:color w:val="000000"/>
                <w:szCs w:val="21"/>
              </w:rPr>
            </w:pPr>
          </w:p>
        </w:tc>
        <w:tc>
          <w:tcPr>
            <w:tcW w:w="776" w:type="dxa"/>
            <w:shd w:val="clear" w:color="auto" w:fill="auto"/>
            <w:vAlign w:val="center"/>
          </w:tcPr>
          <w:p>
            <w:pPr>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shd w:val="clear" w:color="auto" w:fill="auto"/>
            <w:vAlign w:val="center"/>
          </w:tcPr>
          <w:p>
            <w:pPr>
              <w:widowControl/>
              <w:spacing w:line="22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免疫规划培训1次</w:t>
            </w:r>
          </w:p>
        </w:tc>
        <w:tc>
          <w:tcPr>
            <w:tcW w:w="2213" w:type="dxa"/>
            <w:shd w:val="clear" w:color="auto" w:fill="auto"/>
            <w:vAlign w:val="center"/>
          </w:tcPr>
          <w:p>
            <w:pPr>
              <w:widowControl/>
              <w:spacing w:line="22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1次</w:t>
            </w:r>
          </w:p>
        </w:tc>
        <w:tc>
          <w:tcPr>
            <w:tcW w:w="0" w:type="auto"/>
            <w:shd w:val="clear" w:color="auto" w:fill="auto"/>
            <w:vAlign w:val="center"/>
          </w:tcPr>
          <w:p>
            <w:pPr>
              <w:widowControl/>
              <w:spacing w:line="22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2次</w:t>
            </w:r>
          </w:p>
        </w:tc>
        <w:tc>
          <w:tcPr>
            <w:tcW w:w="1005"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jc w:val="left"/>
              <w:rPr>
                <w:rFonts w:ascii="仿宋_GB2312" w:hAnsi="宋体" w:eastAsia="仿宋_GB2312" w:cs="宋体"/>
                <w:color w:val="000000"/>
                <w:szCs w:val="21"/>
              </w:rPr>
            </w:pPr>
          </w:p>
        </w:tc>
        <w:tc>
          <w:tcPr>
            <w:tcW w:w="776" w:type="dxa"/>
            <w:shd w:val="clear" w:color="auto" w:fill="auto"/>
            <w:vAlign w:val="center"/>
          </w:tcPr>
          <w:p>
            <w:pPr>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shd w:val="clear" w:color="auto" w:fill="auto"/>
            <w:vAlign w:val="center"/>
          </w:tcPr>
          <w:p>
            <w:pPr>
              <w:widowControl/>
              <w:spacing w:line="22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开展督导及现场指导</w:t>
            </w:r>
          </w:p>
        </w:tc>
        <w:tc>
          <w:tcPr>
            <w:tcW w:w="2213" w:type="dxa"/>
            <w:shd w:val="clear" w:color="auto" w:fill="auto"/>
            <w:vAlign w:val="center"/>
          </w:tcPr>
          <w:p>
            <w:pPr>
              <w:widowControl/>
              <w:spacing w:line="22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4次</w:t>
            </w:r>
          </w:p>
        </w:tc>
        <w:tc>
          <w:tcPr>
            <w:tcW w:w="0" w:type="auto"/>
            <w:shd w:val="clear" w:color="auto" w:fill="auto"/>
            <w:vAlign w:val="center"/>
          </w:tcPr>
          <w:p>
            <w:pPr>
              <w:widowControl/>
              <w:spacing w:line="22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4次</w:t>
            </w:r>
          </w:p>
        </w:tc>
        <w:tc>
          <w:tcPr>
            <w:tcW w:w="1005"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jc w:val="left"/>
              <w:rPr>
                <w:rFonts w:ascii="仿宋_GB2312" w:hAnsi="宋体" w:eastAsia="仿宋_GB2312" w:cs="宋体"/>
                <w:color w:val="000000"/>
                <w:szCs w:val="21"/>
              </w:rPr>
            </w:pPr>
          </w:p>
        </w:tc>
        <w:tc>
          <w:tcPr>
            <w:tcW w:w="776" w:type="dxa"/>
            <w:shd w:val="clear" w:color="auto" w:fill="auto"/>
            <w:vAlign w:val="center"/>
          </w:tcPr>
          <w:p>
            <w:pPr>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shd w:val="clear" w:color="auto" w:fill="auto"/>
            <w:vAlign w:val="center"/>
          </w:tcPr>
          <w:p>
            <w:pPr>
              <w:widowControl/>
              <w:spacing w:line="220" w:lineRule="exact"/>
              <w:jc w:val="left"/>
              <w:textAlignment w:val="center"/>
              <w:rPr>
                <w:rFonts w:ascii="仿宋_GB2312" w:hAnsi="宋体" w:eastAsia="仿宋_GB2312" w:cs="宋体"/>
                <w:b/>
                <w:bCs/>
                <w:color w:val="000000"/>
                <w:szCs w:val="21"/>
              </w:rPr>
            </w:pPr>
            <w:r>
              <w:rPr>
                <w:rStyle w:val="45"/>
                <w:rFonts w:hint="default" w:ascii="仿宋_GB2312" w:eastAsia="仿宋_GB2312"/>
                <w:sz w:val="21"/>
                <w:szCs w:val="21"/>
              </w:rPr>
              <w:t>指标5</w:t>
            </w:r>
            <w:r>
              <w:rPr>
                <w:rFonts w:hint="eastAsia" w:ascii="仿宋_GB2312" w:hAnsi="宋体" w:eastAsia="仿宋_GB2312" w:cs="宋体"/>
                <w:color w:val="000000"/>
                <w:kern w:val="0"/>
                <w:szCs w:val="21"/>
              </w:rPr>
              <w:t>：地方病碘缺乏病监测</w:t>
            </w:r>
          </w:p>
        </w:tc>
        <w:tc>
          <w:tcPr>
            <w:tcW w:w="2213" w:type="dxa"/>
            <w:shd w:val="clear" w:color="auto" w:fill="auto"/>
            <w:vAlign w:val="center"/>
          </w:tcPr>
          <w:p>
            <w:pPr>
              <w:widowControl/>
              <w:spacing w:line="22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监测学生尿碘200人，孕妇尿碘100人，盐碘300份。</w:t>
            </w:r>
          </w:p>
        </w:tc>
        <w:tc>
          <w:tcPr>
            <w:tcW w:w="0" w:type="auto"/>
            <w:shd w:val="clear" w:color="auto" w:fill="auto"/>
            <w:vAlign w:val="center"/>
          </w:tcPr>
          <w:p>
            <w:pPr>
              <w:widowControl/>
              <w:spacing w:line="220" w:lineRule="exac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尿碘200人，孕妇尿碘100人，盐碘300份。</w:t>
            </w:r>
          </w:p>
        </w:tc>
        <w:tc>
          <w:tcPr>
            <w:tcW w:w="1005"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jc w:val="left"/>
              <w:rPr>
                <w:rFonts w:ascii="仿宋_GB2312" w:hAnsi="宋体" w:eastAsia="仿宋_GB2312" w:cs="宋体"/>
                <w:color w:val="000000"/>
                <w:szCs w:val="21"/>
              </w:rPr>
            </w:pPr>
          </w:p>
        </w:tc>
        <w:tc>
          <w:tcPr>
            <w:tcW w:w="776" w:type="dxa"/>
            <w:shd w:val="clear" w:color="auto" w:fill="auto"/>
            <w:vAlign w:val="center"/>
          </w:tcPr>
          <w:p>
            <w:pPr>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shd w:val="clear" w:color="auto" w:fill="auto"/>
            <w:vAlign w:val="center"/>
          </w:tcPr>
          <w:p>
            <w:pPr>
              <w:widowControl/>
              <w:spacing w:line="22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儿童甲状腺筛查</w:t>
            </w:r>
          </w:p>
        </w:tc>
        <w:tc>
          <w:tcPr>
            <w:tcW w:w="2213" w:type="dxa"/>
            <w:shd w:val="clear" w:color="auto" w:fill="auto"/>
            <w:vAlign w:val="center"/>
          </w:tcPr>
          <w:p>
            <w:pPr>
              <w:widowControl/>
              <w:spacing w:line="22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200人</w:t>
            </w:r>
          </w:p>
        </w:tc>
        <w:tc>
          <w:tcPr>
            <w:tcW w:w="0" w:type="auto"/>
            <w:shd w:val="clear" w:color="auto" w:fill="auto"/>
            <w:vAlign w:val="center"/>
          </w:tcPr>
          <w:p>
            <w:pPr>
              <w:widowControl/>
              <w:spacing w:line="22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200人</w:t>
            </w:r>
          </w:p>
        </w:tc>
        <w:tc>
          <w:tcPr>
            <w:tcW w:w="1005"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jc w:val="left"/>
              <w:rPr>
                <w:rFonts w:ascii="仿宋_GB2312" w:hAnsi="宋体" w:eastAsia="仿宋_GB2312" w:cs="宋体"/>
                <w:color w:val="000000"/>
                <w:szCs w:val="21"/>
              </w:rPr>
            </w:pPr>
          </w:p>
        </w:tc>
        <w:tc>
          <w:tcPr>
            <w:tcW w:w="776" w:type="dxa"/>
            <w:shd w:val="clear" w:color="auto" w:fill="auto"/>
            <w:vAlign w:val="center"/>
          </w:tcPr>
          <w:p>
            <w:pPr>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shd w:val="clear" w:color="auto" w:fill="auto"/>
            <w:vAlign w:val="center"/>
          </w:tcPr>
          <w:p>
            <w:pPr>
              <w:widowControl/>
              <w:spacing w:line="22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媒地方病地氟病监测</w:t>
            </w:r>
          </w:p>
        </w:tc>
        <w:tc>
          <w:tcPr>
            <w:tcW w:w="2213" w:type="dxa"/>
            <w:shd w:val="clear" w:color="auto" w:fill="auto"/>
            <w:vAlign w:val="center"/>
          </w:tcPr>
          <w:p>
            <w:pPr>
              <w:widowControl/>
              <w:spacing w:line="22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地氟病入户调查180户，儿童氟斑牙调查279人。</w:t>
            </w:r>
          </w:p>
        </w:tc>
        <w:tc>
          <w:tcPr>
            <w:tcW w:w="0" w:type="auto"/>
            <w:shd w:val="clear" w:color="auto" w:fill="auto"/>
            <w:vAlign w:val="center"/>
          </w:tcPr>
          <w:p>
            <w:pPr>
              <w:widowControl/>
              <w:spacing w:line="220" w:lineRule="exact"/>
              <w:ind w:left="-105" w:leftChars="-50" w:right="-105" w:rightChars="-50"/>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入户调查180户，儿童氟斑牙调查279人</w:t>
            </w:r>
          </w:p>
        </w:tc>
        <w:tc>
          <w:tcPr>
            <w:tcW w:w="1005"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jc w:val="left"/>
              <w:rPr>
                <w:rFonts w:ascii="仿宋_GB2312" w:hAnsi="宋体" w:eastAsia="仿宋_GB2312" w:cs="宋体"/>
                <w:color w:val="000000"/>
                <w:szCs w:val="21"/>
              </w:rPr>
            </w:pPr>
          </w:p>
        </w:tc>
        <w:tc>
          <w:tcPr>
            <w:tcW w:w="776" w:type="dxa"/>
            <w:shd w:val="clear" w:color="auto" w:fill="auto"/>
            <w:vAlign w:val="center"/>
          </w:tcPr>
          <w:p>
            <w:pPr>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shd w:val="clear" w:color="auto" w:fill="auto"/>
            <w:vAlign w:val="center"/>
          </w:tcPr>
          <w:p>
            <w:pPr>
              <w:widowControl/>
              <w:spacing w:line="22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地方病克山病搜索</w:t>
            </w:r>
          </w:p>
        </w:tc>
        <w:tc>
          <w:tcPr>
            <w:tcW w:w="2213" w:type="dxa"/>
            <w:shd w:val="clear" w:color="auto" w:fill="auto"/>
            <w:vAlign w:val="center"/>
          </w:tcPr>
          <w:p>
            <w:pPr>
              <w:widowControl/>
              <w:spacing w:line="22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克山病搜索3322人</w:t>
            </w:r>
          </w:p>
        </w:tc>
        <w:tc>
          <w:tcPr>
            <w:tcW w:w="0" w:type="auto"/>
            <w:shd w:val="clear" w:color="auto" w:fill="auto"/>
            <w:vAlign w:val="center"/>
          </w:tcPr>
          <w:p>
            <w:pPr>
              <w:widowControl/>
              <w:spacing w:line="22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3322人</w:t>
            </w:r>
          </w:p>
        </w:tc>
        <w:tc>
          <w:tcPr>
            <w:tcW w:w="1005"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jc w:val="left"/>
              <w:rPr>
                <w:rFonts w:ascii="仿宋_GB2312" w:hAnsi="宋体" w:eastAsia="仿宋_GB2312" w:cs="宋体"/>
                <w:color w:val="000000"/>
                <w:szCs w:val="21"/>
              </w:rPr>
            </w:pPr>
          </w:p>
        </w:tc>
        <w:tc>
          <w:tcPr>
            <w:tcW w:w="776" w:type="dxa"/>
            <w:shd w:val="clear" w:color="auto" w:fill="auto"/>
            <w:vAlign w:val="center"/>
          </w:tcPr>
          <w:p>
            <w:pPr>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shd w:val="clear" w:color="auto" w:fill="auto"/>
            <w:vAlign w:val="center"/>
          </w:tcPr>
          <w:p>
            <w:pPr>
              <w:widowControl/>
              <w:spacing w:line="22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地方病克山病体检</w:t>
            </w:r>
          </w:p>
        </w:tc>
        <w:tc>
          <w:tcPr>
            <w:tcW w:w="2213" w:type="dxa"/>
            <w:shd w:val="clear" w:color="auto" w:fill="auto"/>
            <w:vAlign w:val="center"/>
          </w:tcPr>
          <w:p>
            <w:pPr>
              <w:widowControl/>
              <w:spacing w:line="22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78人</w:t>
            </w:r>
          </w:p>
        </w:tc>
        <w:tc>
          <w:tcPr>
            <w:tcW w:w="0" w:type="auto"/>
            <w:shd w:val="clear" w:color="auto" w:fill="auto"/>
            <w:vAlign w:val="center"/>
          </w:tcPr>
          <w:p>
            <w:pPr>
              <w:widowControl/>
              <w:spacing w:line="22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78人</w:t>
            </w:r>
          </w:p>
        </w:tc>
        <w:tc>
          <w:tcPr>
            <w:tcW w:w="1005"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jc w:val="left"/>
              <w:rPr>
                <w:rFonts w:ascii="仿宋_GB2312" w:hAnsi="宋体" w:eastAsia="仿宋_GB2312" w:cs="宋体"/>
                <w:color w:val="000000"/>
                <w:szCs w:val="21"/>
              </w:rPr>
            </w:pPr>
          </w:p>
        </w:tc>
        <w:tc>
          <w:tcPr>
            <w:tcW w:w="776" w:type="dxa"/>
            <w:shd w:val="clear" w:color="auto" w:fill="auto"/>
            <w:vAlign w:val="center"/>
          </w:tcPr>
          <w:p>
            <w:pPr>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shd w:val="clear" w:color="auto" w:fill="auto"/>
            <w:noWrap/>
            <w:vAlign w:val="center"/>
          </w:tcPr>
          <w:p>
            <w:pPr>
              <w:widowControl/>
              <w:spacing w:line="220" w:lineRule="exact"/>
              <w:jc w:val="left"/>
              <w:textAlignment w:val="center"/>
              <w:rPr>
                <w:rFonts w:ascii="仿宋_GB2312" w:hAnsi="宋体" w:eastAsia="仿宋_GB2312" w:cs="宋体"/>
                <w:b/>
                <w:bCs/>
                <w:color w:val="000000"/>
                <w:szCs w:val="21"/>
              </w:rPr>
            </w:pPr>
            <w:r>
              <w:rPr>
                <w:rStyle w:val="45"/>
                <w:rFonts w:hint="default" w:ascii="仿宋_GB2312" w:eastAsia="仿宋_GB2312"/>
                <w:sz w:val="21"/>
                <w:szCs w:val="21"/>
              </w:rPr>
              <w:t>指标6</w:t>
            </w:r>
            <w:r>
              <w:rPr>
                <w:rFonts w:hint="eastAsia" w:ascii="仿宋_GB2312" w:hAnsi="宋体" w:eastAsia="仿宋_GB2312" w:cs="宋体"/>
                <w:color w:val="000000"/>
                <w:kern w:val="0"/>
                <w:szCs w:val="21"/>
              </w:rPr>
              <w:t>：血吸虫（肺吸虫病）宣传活动</w:t>
            </w:r>
          </w:p>
        </w:tc>
        <w:tc>
          <w:tcPr>
            <w:tcW w:w="2213" w:type="dxa"/>
            <w:shd w:val="clear" w:color="auto" w:fill="auto"/>
            <w:vAlign w:val="center"/>
          </w:tcPr>
          <w:p>
            <w:pPr>
              <w:widowControl/>
              <w:spacing w:line="22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1次</w:t>
            </w:r>
          </w:p>
        </w:tc>
        <w:tc>
          <w:tcPr>
            <w:tcW w:w="0" w:type="auto"/>
            <w:shd w:val="clear" w:color="auto" w:fill="auto"/>
            <w:vAlign w:val="center"/>
          </w:tcPr>
          <w:p>
            <w:pPr>
              <w:widowControl/>
              <w:spacing w:line="22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现场宣传活动1次</w:t>
            </w:r>
          </w:p>
        </w:tc>
        <w:tc>
          <w:tcPr>
            <w:tcW w:w="1005"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jc w:val="left"/>
              <w:rPr>
                <w:rFonts w:ascii="仿宋_GB2312" w:hAnsi="宋体" w:eastAsia="仿宋_GB2312" w:cs="宋体"/>
                <w:color w:val="000000"/>
                <w:szCs w:val="21"/>
              </w:rPr>
            </w:pPr>
          </w:p>
        </w:tc>
        <w:tc>
          <w:tcPr>
            <w:tcW w:w="776" w:type="dxa"/>
            <w:shd w:val="clear" w:color="auto" w:fill="auto"/>
            <w:vAlign w:val="center"/>
          </w:tcPr>
          <w:p>
            <w:pPr>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shd w:val="clear" w:color="auto" w:fill="auto"/>
            <w:noWrap/>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肺吸虫监测点血样采集</w:t>
            </w:r>
          </w:p>
        </w:tc>
        <w:tc>
          <w:tcPr>
            <w:tcW w:w="2213"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400人份</w:t>
            </w:r>
          </w:p>
        </w:tc>
        <w:tc>
          <w:tcPr>
            <w:tcW w:w="0" w:type="auto"/>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406人份</w:t>
            </w:r>
          </w:p>
        </w:tc>
        <w:tc>
          <w:tcPr>
            <w:tcW w:w="1005"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完成101</w:t>
            </w:r>
          </w:p>
        </w:tc>
        <w:tc>
          <w:tcPr>
            <w:tcW w:w="0" w:type="auto"/>
            <w:shd w:val="clear" w:color="auto" w:fill="auto"/>
            <w:vAlign w:val="center"/>
          </w:tcPr>
          <w:p>
            <w:pPr>
              <w:jc w:val="left"/>
              <w:rPr>
                <w:rFonts w:ascii="仿宋_GB2312" w:hAnsi="宋体" w:eastAsia="仿宋_GB2312" w:cs="宋体"/>
                <w:color w:val="000000"/>
                <w:szCs w:val="21"/>
              </w:rPr>
            </w:pPr>
          </w:p>
        </w:tc>
        <w:tc>
          <w:tcPr>
            <w:tcW w:w="776" w:type="dxa"/>
            <w:shd w:val="clear" w:color="auto" w:fill="auto"/>
            <w:vAlign w:val="center"/>
          </w:tcPr>
          <w:p>
            <w:pPr>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shd w:val="clear" w:color="auto" w:fill="auto"/>
            <w:noWrap/>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肺吸虫中间宿主采样（螃蟹）</w:t>
            </w:r>
          </w:p>
        </w:tc>
        <w:tc>
          <w:tcPr>
            <w:tcW w:w="2213"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200人份</w:t>
            </w:r>
          </w:p>
        </w:tc>
        <w:tc>
          <w:tcPr>
            <w:tcW w:w="0" w:type="auto"/>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200人份</w:t>
            </w:r>
          </w:p>
        </w:tc>
        <w:tc>
          <w:tcPr>
            <w:tcW w:w="1005"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jc w:val="left"/>
              <w:rPr>
                <w:rFonts w:ascii="仿宋_GB2312" w:hAnsi="宋体" w:eastAsia="仿宋_GB2312" w:cs="宋体"/>
                <w:color w:val="000000"/>
                <w:szCs w:val="21"/>
              </w:rPr>
            </w:pPr>
          </w:p>
        </w:tc>
        <w:tc>
          <w:tcPr>
            <w:tcW w:w="776" w:type="dxa"/>
            <w:shd w:val="clear" w:color="auto" w:fill="auto"/>
            <w:vAlign w:val="center"/>
          </w:tcPr>
          <w:p>
            <w:pPr>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shd w:val="clear" w:color="auto" w:fill="auto"/>
            <w:vAlign w:val="center"/>
          </w:tcPr>
          <w:p>
            <w:pPr>
              <w:widowControl/>
              <w:jc w:val="left"/>
              <w:textAlignment w:val="center"/>
              <w:rPr>
                <w:rFonts w:ascii="仿宋_GB2312" w:hAnsi="宋体" w:eastAsia="仿宋_GB2312" w:cs="宋体"/>
                <w:b/>
                <w:bCs/>
                <w:color w:val="000000"/>
                <w:szCs w:val="21"/>
              </w:rPr>
            </w:pPr>
            <w:r>
              <w:rPr>
                <w:rStyle w:val="45"/>
                <w:rFonts w:hint="default" w:ascii="仿宋_GB2312" w:eastAsia="仿宋_GB2312"/>
                <w:sz w:val="21"/>
                <w:szCs w:val="21"/>
              </w:rPr>
              <w:t>指标7</w:t>
            </w:r>
            <w:r>
              <w:rPr>
                <w:rFonts w:hint="eastAsia" w:ascii="仿宋_GB2312" w:hAnsi="宋体" w:eastAsia="仿宋_GB2312" w:cs="宋体"/>
                <w:color w:val="000000"/>
                <w:kern w:val="0"/>
                <w:szCs w:val="21"/>
              </w:rPr>
              <w:t>：新冠肺炎网络实验室建成完成</w:t>
            </w:r>
          </w:p>
        </w:tc>
        <w:tc>
          <w:tcPr>
            <w:tcW w:w="2213"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1个</w:t>
            </w:r>
          </w:p>
        </w:tc>
        <w:tc>
          <w:tcPr>
            <w:tcW w:w="0" w:type="auto"/>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1个</w:t>
            </w:r>
          </w:p>
        </w:tc>
        <w:tc>
          <w:tcPr>
            <w:tcW w:w="1005"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jc w:val="left"/>
              <w:rPr>
                <w:rFonts w:ascii="仿宋_GB2312" w:hAnsi="宋体" w:eastAsia="仿宋_GB2312" w:cs="宋体"/>
                <w:color w:val="000000"/>
                <w:szCs w:val="21"/>
              </w:rPr>
            </w:pPr>
          </w:p>
        </w:tc>
        <w:tc>
          <w:tcPr>
            <w:tcW w:w="776" w:type="dxa"/>
            <w:shd w:val="clear" w:color="auto" w:fill="auto"/>
            <w:vAlign w:val="center"/>
          </w:tcPr>
          <w:p>
            <w:pPr>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shd w:val="clear" w:color="auto" w:fill="auto"/>
            <w:noWrap/>
            <w:vAlign w:val="center"/>
          </w:tcPr>
          <w:p>
            <w:pPr>
              <w:widowControl/>
              <w:jc w:val="left"/>
              <w:textAlignment w:val="center"/>
              <w:rPr>
                <w:rFonts w:ascii="仿宋_GB2312" w:hAnsi="宋体" w:eastAsia="仿宋_GB2312" w:cs="宋体"/>
                <w:b/>
                <w:bCs/>
                <w:color w:val="000000"/>
                <w:szCs w:val="21"/>
              </w:rPr>
            </w:pPr>
            <w:r>
              <w:rPr>
                <w:rStyle w:val="45"/>
                <w:rFonts w:hint="default" w:ascii="仿宋_GB2312" w:eastAsia="仿宋_GB2312"/>
                <w:sz w:val="21"/>
                <w:szCs w:val="21"/>
              </w:rPr>
              <w:t>指标8</w:t>
            </w:r>
            <w:r>
              <w:rPr>
                <w:rFonts w:hint="eastAsia" w:ascii="仿宋_GB2312" w:hAnsi="宋体" w:eastAsia="仿宋_GB2312" w:cs="宋体"/>
                <w:color w:val="000000"/>
                <w:kern w:val="0"/>
                <w:szCs w:val="21"/>
              </w:rPr>
              <w:t>：开展职业病防治监测</w:t>
            </w:r>
          </w:p>
        </w:tc>
        <w:tc>
          <w:tcPr>
            <w:tcW w:w="2213"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18家</w:t>
            </w:r>
          </w:p>
        </w:tc>
        <w:tc>
          <w:tcPr>
            <w:tcW w:w="0" w:type="auto"/>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18家</w:t>
            </w:r>
          </w:p>
        </w:tc>
        <w:tc>
          <w:tcPr>
            <w:tcW w:w="1005"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jc w:val="left"/>
              <w:rPr>
                <w:rFonts w:ascii="仿宋_GB2312" w:hAnsi="宋体" w:eastAsia="仿宋_GB2312" w:cs="宋体"/>
                <w:color w:val="000000"/>
                <w:szCs w:val="21"/>
              </w:rPr>
            </w:pPr>
          </w:p>
        </w:tc>
        <w:tc>
          <w:tcPr>
            <w:tcW w:w="776" w:type="dxa"/>
            <w:shd w:val="clear" w:color="auto" w:fill="auto"/>
            <w:vAlign w:val="center"/>
          </w:tcPr>
          <w:p>
            <w:pPr>
              <w:jc w:val="left"/>
              <w:rPr>
                <w:rFonts w:ascii="仿宋_GB2312" w:hAnsi="宋体" w:eastAsia="仿宋_GB2312" w:cs="宋体"/>
                <w:color w:val="000000"/>
                <w:szCs w:val="21"/>
              </w:rPr>
            </w:pPr>
          </w:p>
        </w:tc>
      </w:tr>
    </w:tbl>
    <w:p>
      <w:pPr>
        <w:spacing w:line="60" w:lineRule="exact"/>
      </w:pPr>
    </w:p>
    <w:tbl>
      <w:tblPr>
        <w:tblStyle w:val="16"/>
        <w:tblW w:w="14474" w:type="dxa"/>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autofit"/>
        <w:tblCellMar>
          <w:top w:w="0" w:type="dxa"/>
          <w:left w:w="108" w:type="dxa"/>
          <w:bottom w:w="0" w:type="dxa"/>
          <w:right w:w="108" w:type="dxa"/>
        </w:tblCellMar>
      </w:tblPr>
      <w:tblGrid>
        <w:gridCol w:w="562"/>
        <w:gridCol w:w="636"/>
        <w:gridCol w:w="562"/>
        <w:gridCol w:w="5009"/>
        <w:gridCol w:w="2212"/>
        <w:gridCol w:w="2879"/>
        <w:gridCol w:w="1005"/>
        <w:gridCol w:w="833"/>
        <w:gridCol w:w="776"/>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0" w:type="auto"/>
            <w:vMerge w:val="restart"/>
            <w:tcBorders>
              <w:top w:val="single" w:color="000000" w:sz="8" w:space="0"/>
              <w:left w:val="single" w:color="000000" w:sz="8" w:space="0"/>
              <w:right w:val="single" w:color="000000" w:sz="6" w:space="0"/>
            </w:tcBorders>
            <w:shd w:val="clear" w:color="auto" w:fill="auto"/>
            <w:vAlign w:val="center"/>
          </w:tcPr>
          <w:p>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绩</w:t>
            </w:r>
          </w:p>
          <w:p>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效</w:t>
            </w:r>
          </w:p>
          <w:p>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指标</w:t>
            </w:r>
          </w:p>
        </w:tc>
        <w:tc>
          <w:tcPr>
            <w:tcW w:w="0" w:type="auto"/>
            <w:tcBorders>
              <w:top w:val="single" w:color="000000" w:sz="8" w:space="0"/>
              <w:left w:val="single" w:color="000000" w:sz="6" w:space="0"/>
              <w:bottom w:val="single" w:color="000000" w:sz="6" w:space="0"/>
              <w:right w:val="single" w:color="000000" w:sz="6" w:space="0"/>
            </w:tcBorders>
            <w:shd w:val="clear" w:color="auto" w:fill="auto"/>
            <w:noWrap/>
            <w:vAlign w:val="center"/>
          </w:tcPr>
          <w:p>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一级</w:t>
            </w:r>
          </w:p>
          <w:p>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指标</w:t>
            </w:r>
          </w:p>
        </w:tc>
        <w:tc>
          <w:tcPr>
            <w:tcW w:w="0" w:type="auto"/>
            <w:tcBorders>
              <w:top w:val="single" w:color="000000" w:sz="8" w:space="0"/>
              <w:left w:val="single" w:color="000000" w:sz="6" w:space="0"/>
              <w:bottom w:val="single" w:color="000000" w:sz="6" w:space="0"/>
              <w:right w:val="single" w:color="000000" w:sz="6" w:space="0"/>
            </w:tcBorders>
            <w:shd w:val="clear" w:color="auto" w:fill="auto"/>
            <w:vAlign w:val="center"/>
          </w:tcPr>
          <w:p>
            <w:pPr>
              <w:widowControl/>
              <w:spacing w:line="200" w:lineRule="exact"/>
              <w:jc w:val="center"/>
              <w:textAlignment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二级</w:t>
            </w:r>
          </w:p>
          <w:p>
            <w:pPr>
              <w:widowControl/>
              <w:spacing w:line="200" w:lineRule="exact"/>
              <w:jc w:val="center"/>
              <w:textAlignment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w:t>
            </w:r>
          </w:p>
        </w:tc>
        <w:tc>
          <w:tcPr>
            <w:tcW w:w="0" w:type="auto"/>
            <w:tcBorders>
              <w:top w:val="single" w:color="000000" w:sz="8" w:space="0"/>
              <w:left w:val="single" w:color="000000" w:sz="6" w:space="0"/>
              <w:bottom w:val="single" w:color="000000" w:sz="6" w:space="0"/>
              <w:right w:val="single" w:color="000000" w:sz="6" w:space="0"/>
            </w:tcBorders>
            <w:shd w:val="clear" w:color="auto" w:fill="auto"/>
            <w:vAlign w:val="center"/>
          </w:tcPr>
          <w:p>
            <w:pPr>
              <w:widowControl/>
              <w:spacing w:line="200" w:lineRule="exact"/>
              <w:jc w:val="center"/>
              <w:textAlignment w:val="center"/>
              <w:rPr>
                <w:rFonts w:ascii="仿宋_GB2312" w:hAnsi="宋体" w:eastAsia="仿宋_GB2312" w:cs="宋体"/>
                <w:bCs/>
                <w:color w:val="000000"/>
                <w:szCs w:val="21"/>
              </w:rPr>
            </w:pPr>
            <w:r>
              <w:rPr>
                <w:rFonts w:hint="eastAsia" w:ascii="仿宋_GB2312" w:hAnsi="宋体" w:eastAsia="仿宋_GB2312" w:cs="宋体"/>
                <w:bCs/>
                <w:color w:val="000000"/>
                <w:szCs w:val="21"/>
              </w:rPr>
              <w:t>三级指标</w:t>
            </w:r>
          </w:p>
        </w:tc>
        <w:tc>
          <w:tcPr>
            <w:tcW w:w="2213" w:type="dxa"/>
            <w:tcBorders>
              <w:top w:val="single" w:color="000000" w:sz="8" w:space="0"/>
              <w:left w:val="single" w:color="000000" w:sz="6" w:space="0"/>
              <w:bottom w:val="single" w:color="000000" w:sz="6" w:space="0"/>
              <w:right w:val="single" w:color="000000" w:sz="6" w:space="0"/>
            </w:tcBorders>
            <w:shd w:val="clear" w:color="auto" w:fill="auto"/>
            <w:vAlign w:val="center"/>
          </w:tcPr>
          <w:p>
            <w:pPr>
              <w:widowControl/>
              <w:spacing w:line="200" w:lineRule="exact"/>
              <w:jc w:val="center"/>
              <w:textAlignment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预期指标值（包含数字及文字描述）</w:t>
            </w:r>
          </w:p>
        </w:tc>
        <w:tc>
          <w:tcPr>
            <w:tcW w:w="0" w:type="auto"/>
            <w:tcBorders>
              <w:top w:val="single" w:color="000000" w:sz="8" w:space="0"/>
              <w:left w:val="single" w:color="000000" w:sz="6" w:space="0"/>
              <w:bottom w:val="single" w:color="000000" w:sz="6" w:space="0"/>
              <w:right w:val="single" w:color="000000" w:sz="6" w:space="0"/>
            </w:tcBorders>
            <w:shd w:val="clear" w:color="auto" w:fill="auto"/>
            <w:vAlign w:val="center"/>
          </w:tcPr>
          <w:p>
            <w:pPr>
              <w:widowControl/>
              <w:spacing w:line="200" w:lineRule="exact"/>
              <w:jc w:val="center"/>
              <w:textAlignment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实际完成指标值（包含数字及文字描述）</w:t>
            </w:r>
          </w:p>
        </w:tc>
        <w:tc>
          <w:tcPr>
            <w:tcW w:w="1005" w:type="dxa"/>
            <w:tcBorders>
              <w:top w:val="single" w:color="000000" w:sz="8" w:space="0"/>
              <w:left w:val="single" w:color="000000" w:sz="6" w:space="0"/>
              <w:bottom w:val="single" w:color="000000" w:sz="6" w:space="0"/>
              <w:right w:val="single" w:color="000000" w:sz="6" w:space="0"/>
            </w:tcBorders>
            <w:shd w:val="clear" w:color="auto" w:fill="auto"/>
            <w:vAlign w:val="center"/>
          </w:tcPr>
          <w:p>
            <w:pPr>
              <w:widowControl/>
              <w:spacing w:line="200" w:lineRule="exact"/>
              <w:ind w:left="-105" w:leftChars="-50" w:right="-105" w:rightChars="-50"/>
              <w:jc w:val="center"/>
              <w:textAlignment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未完成原因及拟采取措施</w:t>
            </w:r>
          </w:p>
        </w:tc>
        <w:tc>
          <w:tcPr>
            <w:tcW w:w="0" w:type="auto"/>
            <w:tcBorders>
              <w:top w:val="single" w:color="000000" w:sz="8" w:space="0"/>
              <w:left w:val="single" w:color="000000" w:sz="6" w:space="0"/>
              <w:bottom w:val="single" w:color="000000" w:sz="6" w:space="0"/>
              <w:right w:val="single" w:color="000000" w:sz="6" w:space="0"/>
            </w:tcBorders>
            <w:shd w:val="clear" w:color="auto" w:fill="auto"/>
            <w:vAlign w:val="center"/>
          </w:tcPr>
          <w:p>
            <w:pPr>
              <w:spacing w:line="20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自评得分</w:t>
            </w:r>
          </w:p>
        </w:tc>
        <w:tc>
          <w:tcPr>
            <w:tcW w:w="776" w:type="dxa"/>
            <w:tcBorders>
              <w:top w:val="single" w:color="000000" w:sz="8" w:space="0"/>
              <w:left w:val="single" w:color="000000" w:sz="6" w:space="0"/>
              <w:bottom w:val="single" w:color="000000" w:sz="6" w:space="0"/>
              <w:right w:val="single" w:color="000000" w:sz="8" w:space="0"/>
            </w:tcBorders>
            <w:shd w:val="clear" w:color="auto" w:fill="auto"/>
            <w:vAlign w:val="center"/>
          </w:tcPr>
          <w:p>
            <w:pPr>
              <w:spacing w:line="20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财政复评得分</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57"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restart"/>
            <w:tcBorders>
              <w:left w:val="single" w:color="000000" w:sz="6" w:space="0"/>
            </w:tcBorders>
            <w:shd w:val="clear" w:color="auto" w:fill="auto"/>
            <w:noWrap/>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产</w:t>
            </w:r>
          </w:p>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出</w:t>
            </w:r>
          </w:p>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指</w:t>
            </w:r>
          </w:p>
          <w:p>
            <w:pPr>
              <w:jc w:val="center"/>
              <w:rPr>
                <w:rFonts w:ascii="仿宋_GB2312" w:hAnsi="宋体" w:eastAsia="仿宋_GB2312" w:cs="宋体"/>
                <w:color w:val="000000"/>
                <w:szCs w:val="21"/>
              </w:rPr>
            </w:pPr>
            <w:r>
              <w:rPr>
                <w:rFonts w:hint="eastAsia" w:ascii="仿宋_GB2312" w:hAnsi="宋体" w:eastAsia="仿宋_GB2312" w:cs="宋体"/>
                <w:color w:val="000000"/>
                <w:kern w:val="0"/>
                <w:szCs w:val="21"/>
              </w:rPr>
              <w:t>标</w:t>
            </w:r>
          </w:p>
        </w:tc>
        <w:tc>
          <w:tcPr>
            <w:tcW w:w="0" w:type="auto"/>
            <w:vMerge w:val="restart"/>
            <w:shd w:val="clear" w:color="auto" w:fill="auto"/>
            <w:vAlign w:val="center"/>
          </w:tcPr>
          <w:p>
            <w:pPr>
              <w:widowControl/>
              <w:jc w:val="center"/>
              <w:textAlignment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质量</w:t>
            </w:r>
          </w:p>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指标</w:t>
            </w:r>
          </w:p>
        </w:tc>
        <w:tc>
          <w:tcPr>
            <w:tcW w:w="0" w:type="auto"/>
            <w:shd w:val="clear" w:color="auto" w:fill="auto"/>
            <w:vAlign w:val="center"/>
          </w:tcPr>
          <w:p>
            <w:pPr>
              <w:widowControl/>
              <w:spacing w:line="200" w:lineRule="exact"/>
              <w:jc w:val="left"/>
              <w:textAlignment w:val="center"/>
              <w:rPr>
                <w:rFonts w:ascii="仿宋_GB2312" w:hAnsi="宋体" w:eastAsia="仿宋_GB2312" w:cs="宋体"/>
                <w:b/>
                <w:bCs/>
                <w:color w:val="000000"/>
                <w:szCs w:val="21"/>
              </w:rPr>
            </w:pPr>
            <w:r>
              <w:rPr>
                <w:rStyle w:val="45"/>
                <w:rFonts w:hint="default" w:ascii="仿宋_GB2312" w:eastAsia="仿宋_GB2312"/>
                <w:sz w:val="21"/>
                <w:szCs w:val="21"/>
              </w:rPr>
              <w:t>指标1</w:t>
            </w:r>
            <w:r>
              <w:rPr>
                <w:rFonts w:hint="eastAsia" w:ascii="仿宋_GB2312" w:hAnsi="宋体" w:eastAsia="仿宋_GB2312" w:cs="宋体"/>
                <w:color w:val="000000"/>
                <w:kern w:val="0"/>
                <w:szCs w:val="21"/>
              </w:rPr>
              <w:t>：艾滋病知晓率</w:t>
            </w:r>
          </w:p>
        </w:tc>
        <w:tc>
          <w:tcPr>
            <w:tcW w:w="2213" w:type="dxa"/>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≥90%</w:t>
            </w:r>
          </w:p>
        </w:tc>
        <w:tc>
          <w:tcPr>
            <w:tcW w:w="0" w:type="auto"/>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93%</w:t>
            </w:r>
          </w:p>
        </w:tc>
        <w:tc>
          <w:tcPr>
            <w:tcW w:w="1005" w:type="dxa"/>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spacing w:line="200" w:lineRule="exact"/>
              <w:jc w:val="left"/>
              <w:rPr>
                <w:rFonts w:ascii="仿宋_GB2312" w:hAnsi="宋体" w:eastAsia="仿宋_GB2312" w:cs="宋体"/>
                <w:color w:val="000000"/>
                <w:szCs w:val="21"/>
              </w:rPr>
            </w:pPr>
          </w:p>
        </w:tc>
        <w:tc>
          <w:tcPr>
            <w:tcW w:w="776" w:type="dxa"/>
            <w:shd w:val="clear" w:color="auto" w:fill="auto"/>
            <w:vAlign w:val="center"/>
          </w:tcPr>
          <w:p>
            <w:pPr>
              <w:spacing w:line="200" w:lineRule="exact"/>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57"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艾滋病感染者和病人抗病毒治疗覆盖率</w:t>
            </w:r>
          </w:p>
        </w:tc>
        <w:tc>
          <w:tcPr>
            <w:tcW w:w="2213" w:type="dxa"/>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≥91%</w:t>
            </w:r>
          </w:p>
        </w:tc>
        <w:tc>
          <w:tcPr>
            <w:tcW w:w="0" w:type="auto"/>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覆盖率94.97%</w:t>
            </w:r>
          </w:p>
        </w:tc>
        <w:tc>
          <w:tcPr>
            <w:tcW w:w="1005" w:type="dxa"/>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spacing w:line="200" w:lineRule="exact"/>
              <w:jc w:val="left"/>
              <w:rPr>
                <w:rFonts w:ascii="仿宋_GB2312" w:hAnsi="宋体" w:eastAsia="仿宋_GB2312" w:cs="宋体"/>
                <w:color w:val="000000"/>
                <w:szCs w:val="21"/>
              </w:rPr>
            </w:pPr>
          </w:p>
        </w:tc>
        <w:tc>
          <w:tcPr>
            <w:tcW w:w="776" w:type="dxa"/>
            <w:shd w:val="clear" w:color="auto" w:fill="auto"/>
            <w:vAlign w:val="center"/>
          </w:tcPr>
          <w:p>
            <w:pPr>
              <w:spacing w:line="200" w:lineRule="exact"/>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57"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艾滋病高危行为干预和重点人群防治率</w:t>
            </w:r>
          </w:p>
        </w:tc>
        <w:tc>
          <w:tcPr>
            <w:tcW w:w="2213" w:type="dxa"/>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0" w:type="auto"/>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1005" w:type="dxa"/>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spacing w:line="200" w:lineRule="exact"/>
              <w:jc w:val="left"/>
              <w:rPr>
                <w:rFonts w:ascii="仿宋_GB2312" w:hAnsi="宋体" w:eastAsia="仿宋_GB2312" w:cs="宋体"/>
                <w:color w:val="000000"/>
                <w:szCs w:val="21"/>
              </w:rPr>
            </w:pPr>
          </w:p>
        </w:tc>
        <w:tc>
          <w:tcPr>
            <w:tcW w:w="776" w:type="dxa"/>
            <w:shd w:val="clear" w:color="auto" w:fill="auto"/>
            <w:vAlign w:val="center"/>
          </w:tcPr>
          <w:p>
            <w:pPr>
              <w:spacing w:line="200" w:lineRule="exact"/>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57"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shd w:val="clear" w:color="auto" w:fill="auto"/>
            <w:noWrap/>
            <w:vAlign w:val="center"/>
          </w:tcPr>
          <w:p>
            <w:pPr>
              <w:widowControl/>
              <w:spacing w:line="200" w:lineRule="exact"/>
              <w:jc w:val="left"/>
              <w:textAlignment w:val="center"/>
              <w:rPr>
                <w:rFonts w:ascii="仿宋_GB2312" w:hAnsi="宋体" w:eastAsia="仿宋_GB2312" w:cs="宋体"/>
                <w:b/>
                <w:bCs/>
                <w:color w:val="000000"/>
                <w:szCs w:val="21"/>
              </w:rPr>
            </w:pPr>
            <w:r>
              <w:rPr>
                <w:rStyle w:val="45"/>
                <w:rFonts w:hint="default" w:ascii="仿宋_GB2312" w:eastAsia="仿宋_GB2312"/>
                <w:sz w:val="21"/>
                <w:szCs w:val="21"/>
              </w:rPr>
              <w:t>指标2</w:t>
            </w:r>
            <w:r>
              <w:rPr>
                <w:rFonts w:hint="eastAsia" w:ascii="仿宋_GB2312" w:hAnsi="宋体" w:eastAsia="仿宋_GB2312" w:cs="宋体"/>
                <w:color w:val="000000"/>
                <w:kern w:val="0"/>
                <w:szCs w:val="21"/>
              </w:rPr>
              <w:t>：结核病培训率</w:t>
            </w:r>
          </w:p>
        </w:tc>
        <w:tc>
          <w:tcPr>
            <w:tcW w:w="2213" w:type="dxa"/>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0" w:type="auto"/>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1005" w:type="dxa"/>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spacing w:line="200" w:lineRule="exact"/>
              <w:jc w:val="left"/>
              <w:rPr>
                <w:rFonts w:ascii="仿宋_GB2312" w:hAnsi="宋体" w:eastAsia="仿宋_GB2312" w:cs="宋体"/>
                <w:color w:val="000000"/>
                <w:szCs w:val="21"/>
              </w:rPr>
            </w:pPr>
          </w:p>
        </w:tc>
        <w:tc>
          <w:tcPr>
            <w:tcW w:w="776" w:type="dxa"/>
            <w:shd w:val="clear" w:color="auto" w:fill="auto"/>
            <w:vAlign w:val="center"/>
          </w:tcPr>
          <w:p>
            <w:pPr>
              <w:spacing w:line="200" w:lineRule="exact"/>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57"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shd w:val="clear" w:color="auto" w:fill="auto"/>
            <w:noWrap/>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督导率</w:t>
            </w:r>
          </w:p>
        </w:tc>
        <w:tc>
          <w:tcPr>
            <w:tcW w:w="2213" w:type="dxa"/>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0" w:type="auto"/>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1005" w:type="dxa"/>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spacing w:line="200" w:lineRule="exact"/>
              <w:jc w:val="left"/>
              <w:rPr>
                <w:rFonts w:ascii="仿宋_GB2312" w:hAnsi="宋体" w:eastAsia="仿宋_GB2312" w:cs="宋体"/>
                <w:color w:val="000000"/>
                <w:szCs w:val="21"/>
              </w:rPr>
            </w:pPr>
          </w:p>
        </w:tc>
        <w:tc>
          <w:tcPr>
            <w:tcW w:w="776" w:type="dxa"/>
            <w:shd w:val="clear" w:color="auto" w:fill="auto"/>
            <w:vAlign w:val="center"/>
          </w:tcPr>
          <w:p>
            <w:pPr>
              <w:spacing w:line="200" w:lineRule="exact"/>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57"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可疑症状检查任务完成率</w:t>
            </w:r>
          </w:p>
        </w:tc>
        <w:tc>
          <w:tcPr>
            <w:tcW w:w="2213" w:type="dxa"/>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≥85%</w:t>
            </w:r>
          </w:p>
        </w:tc>
        <w:tc>
          <w:tcPr>
            <w:tcW w:w="0" w:type="auto"/>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1005" w:type="dxa"/>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spacing w:line="200" w:lineRule="exact"/>
              <w:jc w:val="left"/>
              <w:rPr>
                <w:rFonts w:ascii="仿宋_GB2312" w:hAnsi="宋体" w:eastAsia="仿宋_GB2312" w:cs="宋体"/>
                <w:color w:val="000000"/>
                <w:szCs w:val="21"/>
              </w:rPr>
            </w:pPr>
          </w:p>
        </w:tc>
        <w:tc>
          <w:tcPr>
            <w:tcW w:w="776" w:type="dxa"/>
            <w:shd w:val="clear" w:color="auto" w:fill="auto"/>
            <w:vAlign w:val="center"/>
          </w:tcPr>
          <w:p>
            <w:pPr>
              <w:spacing w:line="200" w:lineRule="exact"/>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57"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肺结核患者发现任务完成率</w:t>
            </w:r>
          </w:p>
        </w:tc>
        <w:tc>
          <w:tcPr>
            <w:tcW w:w="2213" w:type="dxa"/>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≥85%</w:t>
            </w:r>
          </w:p>
        </w:tc>
        <w:tc>
          <w:tcPr>
            <w:tcW w:w="0" w:type="auto"/>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1005" w:type="dxa"/>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spacing w:line="200" w:lineRule="exact"/>
              <w:jc w:val="left"/>
              <w:rPr>
                <w:rFonts w:ascii="仿宋_GB2312" w:hAnsi="宋体" w:eastAsia="仿宋_GB2312" w:cs="宋体"/>
                <w:color w:val="000000"/>
                <w:szCs w:val="21"/>
              </w:rPr>
            </w:pPr>
          </w:p>
        </w:tc>
        <w:tc>
          <w:tcPr>
            <w:tcW w:w="776" w:type="dxa"/>
            <w:shd w:val="clear" w:color="auto" w:fill="auto"/>
            <w:vAlign w:val="center"/>
          </w:tcPr>
          <w:p>
            <w:pPr>
              <w:spacing w:line="200" w:lineRule="exact"/>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57"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肺结核患者成功治疗率</w:t>
            </w:r>
          </w:p>
        </w:tc>
        <w:tc>
          <w:tcPr>
            <w:tcW w:w="2213" w:type="dxa"/>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≥90%</w:t>
            </w:r>
          </w:p>
        </w:tc>
        <w:tc>
          <w:tcPr>
            <w:tcW w:w="0" w:type="auto"/>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94%</w:t>
            </w:r>
          </w:p>
        </w:tc>
        <w:tc>
          <w:tcPr>
            <w:tcW w:w="1005" w:type="dxa"/>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spacing w:line="200" w:lineRule="exact"/>
              <w:jc w:val="left"/>
              <w:rPr>
                <w:rFonts w:ascii="仿宋_GB2312" w:hAnsi="宋体" w:eastAsia="仿宋_GB2312" w:cs="宋体"/>
                <w:color w:val="000000"/>
                <w:szCs w:val="21"/>
              </w:rPr>
            </w:pPr>
          </w:p>
        </w:tc>
        <w:tc>
          <w:tcPr>
            <w:tcW w:w="776" w:type="dxa"/>
            <w:shd w:val="clear" w:color="auto" w:fill="auto"/>
            <w:vAlign w:val="center"/>
          </w:tcPr>
          <w:p>
            <w:pPr>
              <w:spacing w:line="200" w:lineRule="exact"/>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57"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肺结核病原学阳性密切接触者筛查</w:t>
            </w:r>
          </w:p>
        </w:tc>
        <w:tc>
          <w:tcPr>
            <w:tcW w:w="2213" w:type="dxa"/>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95%</w:t>
            </w:r>
          </w:p>
        </w:tc>
        <w:tc>
          <w:tcPr>
            <w:tcW w:w="0" w:type="auto"/>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1005" w:type="dxa"/>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spacing w:line="200" w:lineRule="exact"/>
              <w:jc w:val="left"/>
              <w:rPr>
                <w:rFonts w:ascii="仿宋_GB2312" w:hAnsi="宋体" w:eastAsia="仿宋_GB2312" w:cs="宋体"/>
                <w:color w:val="000000"/>
                <w:szCs w:val="21"/>
              </w:rPr>
            </w:pPr>
          </w:p>
        </w:tc>
        <w:tc>
          <w:tcPr>
            <w:tcW w:w="776" w:type="dxa"/>
            <w:shd w:val="clear" w:color="auto" w:fill="auto"/>
            <w:vAlign w:val="center"/>
          </w:tcPr>
          <w:p>
            <w:pPr>
              <w:spacing w:line="200" w:lineRule="exact"/>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57"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shd w:val="clear" w:color="auto" w:fill="auto"/>
            <w:noWrap/>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专报监测</w:t>
            </w:r>
          </w:p>
        </w:tc>
        <w:tc>
          <w:tcPr>
            <w:tcW w:w="2213" w:type="dxa"/>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0" w:type="auto"/>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1005" w:type="dxa"/>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spacing w:line="200" w:lineRule="exact"/>
              <w:jc w:val="left"/>
              <w:rPr>
                <w:rFonts w:ascii="仿宋_GB2312" w:hAnsi="宋体" w:eastAsia="仿宋_GB2312" w:cs="宋体"/>
                <w:color w:val="000000"/>
                <w:szCs w:val="21"/>
              </w:rPr>
            </w:pPr>
          </w:p>
        </w:tc>
        <w:tc>
          <w:tcPr>
            <w:tcW w:w="776" w:type="dxa"/>
            <w:shd w:val="clear" w:color="auto" w:fill="auto"/>
            <w:vAlign w:val="center"/>
          </w:tcPr>
          <w:p>
            <w:pPr>
              <w:spacing w:line="200" w:lineRule="exact"/>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57"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shd w:val="clear" w:color="auto" w:fill="auto"/>
            <w:noWrap/>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耐药筛查</w:t>
            </w:r>
          </w:p>
        </w:tc>
        <w:tc>
          <w:tcPr>
            <w:tcW w:w="2213" w:type="dxa"/>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90%</w:t>
            </w:r>
          </w:p>
        </w:tc>
        <w:tc>
          <w:tcPr>
            <w:tcW w:w="0" w:type="auto"/>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1005" w:type="dxa"/>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spacing w:line="200" w:lineRule="exact"/>
              <w:jc w:val="left"/>
              <w:rPr>
                <w:rFonts w:ascii="仿宋_GB2312" w:hAnsi="宋体" w:eastAsia="仿宋_GB2312" w:cs="宋体"/>
                <w:color w:val="000000"/>
                <w:szCs w:val="21"/>
              </w:rPr>
            </w:pPr>
          </w:p>
        </w:tc>
        <w:tc>
          <w:tcPr>
            <w:tcW w:w="776" w:type="dxa"/>
            <w:shd w:val="clear" w:color="auto" w:fill="auto"/>
            <w:vAlign w:val="center"/>
          </w:tcPr>
          <w:p>
            <w:pPr>
              <w:spacing w:line="200" w:lineRule="exact"/>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57"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菌株运输</w:t>
            </w:r>
          </w:p>
        </w:tc>
        <w:tc>
          <w:tcPr>
            <w:tcW w:w="2213" w:type="dxa"/>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0" w:type="auto"/>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1005" w:type="dxa"/>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spacing w:line="200" w:lineRule="exact"/>
              <w:jc w:val="left"/>
              <w:rPr>
                <w:rFonts w:ascii="仿宋_GB2312" w:hAnsi="宋体" w:eastAsia="仿宋_GB2312" w:cs="宋体"/>
                <w:color w:val="000000"/>
                <w:szCs w:val="21"/>
              </w:rPr>
            </w:pPr>
          </w:p>
        </w:tc>
        <w:tc>
          <w:tcPr>
            <w:tcW w:w="776" w:type="dxa"/>
            <w:shd w:val="clear" w:color="auto" w:fill="auto"/>
            <w:vAlign w:val="center"/>
          </w:tcPr>
          <w:p>
            <w:pPr>
              <w:spacing w:line="200" w:lineRule="exact"/>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57"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shd w:val="clear" w:color="auto" w:fill="auto"/>
            <w:vAlign w:val="center"/>
          </w:tcPr>
          <w:p>
            <w:pPr>
              <w:widowControl/>
              <w:spacing w:line="200" w:lineRule="exact"/>
              <w:jc w:val="left"/>
              <w:textAlignment w:val="center"/>
              <w:rPr>
                <w:rFonts w:ascii="仿宋_GB2312" w:hAnsi="宋体" w:eastAsia="仿宋_GB2312" w:cs="宋体"/>
                <w:b/>
                <w:bCs/>
                <w:color w:val="000000"/>
                <w:szCs w:val="21"/>
              </w:rPr>
            </w:pPr>
            <w:r>
              <w:rPr>
                <w:rStyle w:val="45"/>
                <w:rFonts w:hint="default" w:ascii="仿宋_GB2312" w:eastAsia="仿宋_GB2312"/>
                <w:sz w:val="21"/>
                <w:szCs w:val="21"/>
              </w:rPr>
              <w:t>指标3</w:t>
            </w:r>
            <w:r>
              <w:rPr>
                <w:rFonts w:hint="eastAsia" w:ascii="仿宋_GB2312" w:hAnsi="宋体" w:eastAsia="仿宋_GB2312" w:cs="宋体"/>
                <w:color w:val="000000"/>
                <w:kern w:val="0"/>
                <w:szCs w:val="21"/>
              </w:rPr>
              <w:t>：慢性病类风湿、慢阻肺规范管理率</w:t>
            </w:r>
          </w:p>
        </w:tc>
        <w:tc>
          <w:tcPr>
            <w:tcW w:w="2213" w:type="dxa"/>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≥85%</w:t>
            </w:r>
          </w:p>
        </w:tc>
        <w:tc>
          <w:tcPr>
            <w:tcW w:w="0" w:type="auto"/>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≥85%</w:t>
            </w:r>
          </w:p>
        </w:tc>
        <w:tc>
          <w:tcPr>
            <w:tcW w:w="1005" w:type="dxa"/>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spacing w:line="200" w:lineRule="exact"/>
              <w:jc w:val="left"/>
              <w:rPr>
                <w:rFonts w:ascii="仿宋_GB2312" w:hAnsi="宋体" w:eastAsia="仿宋_GB2312" w:cs="宋体"/>
                <w:color w:val="000000"/>
                <w:szCs w:val="21"/>
              </w:rPr>
            </w:pPr>
          </w:p>
        </w:tc>
        <w:tc>
          <w:tcPr>
            <w:tcW w:w="776" w:type="dxa"/>
            <w:shd w:val="clear" w:color="auto" w:fill="auto"/>
            <w:vAlign w:val="center"/>
          </w:tcPr>
          <w:p>
            <w:pPr>
              <w:spacing w:line="200" w:lineRule="exact"/>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57"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确保各项要求指标达到标准以上，上报医疗单位肿瘤登记覆盖率达到</w:t>
            </w:r>
          </w:p>
        </w:tc>
        <w:tc>
          <w:tcPr>
            <w:tcW w:w="2213" w:type="dxa"/>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100%，漏报率&lt;5%</w:t>
            </w:r>
          </w:p>
        </w:tc>
        <w:tc>
          <w:tcPr>
            <w:tcW w:w="0" w:type="auto"/>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1005" w:type="dxa"/>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spacing w:line="200" w:lineRule="exact"/>
              <w:jc w:val="left"/>
              <w:rPr>
                <w:rFonts w:ascii="仿宋_GB2312" w:hAnsi="宋体" w:eastAsia="仿宋_GB2312" w:cs="宋体"/>
                <w:color w:val="000000"/>
                <w:szCs w:val="21"/>
              </w:rPr>
            </w:pPr>
          </w:p>
        </w:tc>
        <w:tc>
          <w:tcPr>
            <w:tcW w:w="776" w:type="dxa"/>
            <w:shd w:val="clear" w:color="auto" w:fill="auto"/>
            <w:vAlign w:val="center"/>
          </w:tcPr>
          <w:p>
            <w:pPr>
              <w:spacing w:line="200" w:lineRule="exact"/>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57"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死因监测规范报告率</w:t>
            </w:r>
          </w:p>
        </w:tc>
        <w:tc>
          <w:tcPr>
            <w:tcW w:w="2213" w:type="dxa"/>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&gt;80%</w:t>
            </w:r>
          </w:p>
        </w:tc>
        <w:tc>
          <w:tcPr>
            <w:tcW w:w="0" w:type="auto"/>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95%</w:t>
            </w:r>
          </w:p>
        </w:tc>
        <w:tc>
          <w:tcPr>
            <w:tcW w:w="1005" w:type="dxa"/>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spacing w:line="200" w:lineRule="exact"/>
              <w:jc w:val="left"/>
              <w:rPr>
                <w:rFonts w:ascii="仿宋_GB2312" w:hAnsi="宋体" w:eastAsia="仿宋_GB2312" w:cs="宋体"/>
                <w:color w:val="000000"/>
                <w:szCs w:val="21"/>
              </w:rPr>
            </w:pPr>
          </w:p>
        </w:tc>
        <w:tc>
          <w:tcPr>
            <w:tcW w:w="776" w:type="dxa"/>
            <w:shd w:val="clear" w:color="auto" w:fill="auto"/>
            <w:vAlign w:val="center"/>
          </w:tcPr>
          <w:p>
            <w:pPr>
              <w:spacing w:line="200" w:lineRule="exact"/>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57"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shd w:val="clear" w:color="auto" w:fill="auto"/>
            <w:vAlign w:val="center"/>
          </w:tcPr>
          <w:p>
            <w:pPr>
              <w:widowControl/>
              <w:spacing w:line="200" w:lineRule="exact"/>
              <w:jc w:val="left"/>
              <w:textAlignment w:val="center"/>
              <w:rPr>
                <w:rFonts w:ascii="仿宋_GB2312" w:hAnsi="宋体" w:eastAsia="仿宋_GB2312" w:cs="宋体"/>
                <w:b/>
                <w:bCs/>
                <w:color w:val="000000"/>
                <w:szCs w:val="21"/>
              </w:rPr>
            </w:pPr>
            <w:r>
              <w:rPr>
                <w:rStyle w:val="45"/>
                <w:rFonts w:hint="default" w:ascii="仿宋_GB2312" w:eastAsia="仿宋_GB2312"/>
                <w:sz w:val="21"/>
                <w:szCs w:val="21"/>
              </w:rPr>
              <w:t>指标4</w:t>
            </w:r>
            <w:r>
              <w:rPr>
                <w:rFonts w:hint="eastAsia" w:ascii="仿宋_GB2312" w:hAnsi="宋体" w:eastAsia="仿宋_GB2312" w:cs="宋体"/>
                <w:color w:val="000000"/>
                <w:kern w:val="0"/>
                <w:szCs w:val="21"/>
              </w:rPr>
              <w:t>：免疫规划门诊打造完成率</w:t>
            </w:r>
          </w:p>
        </w:tc>
        <w:tc>
          <w:tcPr>
            <w:tcW w:w="2213" w:type="dxa"/>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0" w:type="auto"/>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1005" w:type="dxa"/>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spacing w:line="200" w:lineRule="exact"/>
              <w:jc w:val="left"/>
              <w:rPr>
                <w:rFonts w:ascii="仿宋_GB2312" w:hAnsi="宋体" w:eastAsia="仿宋_GB2312" w:cs="宋体"/>
                <w:color w:val="000000"/>
                <w:szCs w:val="21"/>
              </w:rPr>
            </w:pPr>
          </w:p>
        </w:tc>
        <w:tc>
          <w:tcPr>
            <w:tcW w:w="776" w:type="dxa"/>
            <w:shd w:val="clear" w:color="auto" w:fill="auto"/>
            <w:vAlign w:val="center"/>
          </w:tcPr>
          <w:p>
            <w:pPr>
              <w:spacing w:line="200" w:lineRule="exact"/>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57"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免疫规划样品送检率</w:t>
            </w:r>
          </w:p>
        </w:tc>
        <w:tc>
          <w:tcPr>
            <w:tcW w:w="2213" w:type="dxa"/>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0" w:type="auto"/>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1005" w:type="dxa"/>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spacing w:line="200" w:lineRule="exact"/>
              <w:jc w:val="left"/>
              <w:rPr>
                <w:rFonts w:ascii="仿宋_GB2312" w:hAnsi="宋体" w:eastAsia="仿宋_GB2312" w:cs="宋体"/>
                <w:color w:val="000000"/>
                <w:szCs w:val="21"/>
              </w:rPr>
            </w:pPr>
          </w:p>
        </w:tc>
        <w:tc>
          <w:tcPr>
            <w:tcW w:w="776" w:type="dxa"/>
            <w:shd w:val="clear" w:color="auto" w:fill="auto"/>
            <w:vAlign w:val="center"/>
          </w:tcPr>
          <w:p>
            <w:pPr>
              <w:spacing w:line="200" w:lineRule="exact"/>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57"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计免督导及现场质控全年覆盖率</w:t>
            </w:r>
          </w:p>
        </w:tc>
        <w:tc>
          <w:tcPr>
            <w:tcW w:w="2213" w:type="dxa"/>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0" w:type="auto"/>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1005" w:type="dxa"/>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spacing w:line="200" w:lineRule="exact"/>
              <w:jc w:val="left"/>
              <w:rPr>
                <w:rFonts w:ascii="仿宋_GB2312" w:hAnsi="宋体" w:eastAsia="仿宋_GB2312" w:cs="宋体"/>
                <w:color w:val="000000"/>
                <w:szCs w:val="21"/>
              </w:rPr>
            </w:pPr>
          </w:p>
        </w:tc>
        <w:tc>
          <w:tcPr>
            <w:tcW w:w="776" w:type="dxa"/>
            <w:shd w:val="clear" w:color="auto" w:fill="auto"/>
            <w:vAlign w:val="center"/>
          </w:tcPr>
          <w:p>
            <w:pPr>
              <w:spacing w:line="200" w:lineRule="exact"/>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57"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shd w:val="clear" w:color="auto" w:fill="auto"/>
            <w:vAlign w:val="center"/>
          </w:tcPr>
          <w:p>
            <w:pPr>
              <w:widowControl/>
              <w:spacing w:line="200" w:lineRule="exact"/>
              <w:jc w:val="left"/>
              <w:textAlignment w:val="center"/>
              <w:rPr>
                <w:rFonts w:ascii="仿宋_GB2312" w:hAnsi="宋体" w:eastAsia="仿宋_GB2312" w:cs="宋体"/>
                <w:b/>
                <w:bCs/>
                <w:color w:val="000000"/>
                <w:szCs w:val="21"/>
              </w:rPr>
            </w:pPr>
            <w:r>
              <w:rPr>
                <w:rStyle w:val="45"/>
                <w:rFonts w:hint="default" w:ascii="仿宋_GB2312" w:eastAsia="仿宋_GB2312"/>
                <w:sz w:val="21"/>
                <w:szCs w:val="21"/>
              </w:rPr>
              <w:t>指标5</w:t>
            </w:r>
            <w:r>
              <w:rPr>
                <w:rFonts w:hint="eastAsia" w:ascii="仿宋_GB2312" w:hAnsi="宋体" w:eastAsia="仿宋_GB2312" w:cs="宋体"/>
                <w:color w:val="000000"/>
                <w:kern w:val="0"/>
                <w:szCs w:val="21"/>
              </w:rPr>
              <w:t>：方病监测完成率</w:t>
            </w:r>
          </w:p>
        </w:tc>
        <w:tc>
          <w:tcPr>
            <w:tcW w:w="2213" w:type="dxa"/>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0" w:type="auto"/>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1005" w:type="dxa"/>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spacing w:line="200" w:lineRule="exact"/>
              <w:jc w:val="left"/>
              <w:rPr>
                <w:rFonts w:ascii="仿宋_GB2312" w:hAnsi="宋体" w:eastAsia="仿宋_GB2312" w:cs="宋体"/>
                <w:color w:val="000000"/>
                <w:szCs w:val="21"/>
              </w:rPr>
            </w:pPr>
          </w:p>
        </w:tc>
        <w:tc>
          <w:tcPr>
            <w:tcW w:w="776" w:type="dxa"/>
            <w:shd w:val="clear" w:color="auto" w:fill="auto"/>
            <w:vAlign w:val="center"/>
          </w:tcPr>
          <w:p>
            <w:pPr>
              <w:spacing w:line="200" w:lineRule="exact"/>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57"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shd w:val="clear" w:color="auto" w:fill="auto"/>
            <w:vAlign w:val="center"/>
          </w:tcPr>
          <w:p>
            <w:pPr>
              <w:widowControl/>
              <w:spacing w:line="200" w:lineRule="exact"/>
              <w:jc w:val="left"/>
              <w:textAlignment w:val="center"/>
              <w:rPr>
                <w:rFonts w:ascii="仿宋_GB2312" w:hAnsi="宋体" w:eastAsia="仿宋_GB2312" w:cs="宋体"/>
                <w:b/>
                <w:bCs/>
                <w:color w:val="000000"/>
                <w:szCs w:val="21"/>
              </w:rPr>
            </w:pPr>
            <w:r>
              <w:rPr>
                <w:rStyle w:val="45"/>
                <w:rFonts w:hint="default" w:ascii="仿宋_GB2312" w:eastAsia="仿宋_GB2312"/>
                <w:sz w:val="21"/>
                <w:szCs w:val="21"/>
              </w:rPr>
              <w:t>指标6</w:t>
            </w:r>
            <w:r>
              <w:rPr>
                <w:rFonts w:hint="eastAsia" w:ascii="仿宋_GB2312" w:hAnsi="宋体" w:eastAsia="仿宋_GB2312" w:cs="宋体"/>
                <w:color w:val="000000"/>
                <w:kern w:val="0"/>
                <w:szCs w:val="21"/>
              </w:rPr>
              <w:t>：血吸虫（肺吸虫）监测采样率</w:t>
            </w:r>
          </w:p>
        </w:tc>
        <w:tc>
          <w:tcPr>
            <w:tcW w:w="2213" w:type="dxa"/>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0" w:type="auto"/>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1005" w:type="dxa"/>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已完成</w:t>
            </w:r>
          </w:p>
        </w:tc>
        <w:tc>
          <w:tcPr>
            <w:tcW w:w="0" w:type="auto"/>
            <w:shd w:val="clear" w:color="auto" w:fill="auto"/>
            <w:vAlign w:val="center"/>
          </w:tcPr>
          <w:p>
            <w:pPr>
              <w:spacing w:line="200" w:lineRule="exact"/>
              <w:jc w:val="left"/>
              <w:rPr>
                <w:rFonts w:ascii="仿宋_GB2312" w:hAnsi="宋体" w:eastAsia="仿宋_GB2312" w:cs="宋体"/>
                <w:color w:val="000000"/>
                <w:szCs w:val="21"/>
              </w:rPr>
            </w:pPr>
          </w:p>
        </w:tc>
        <w:tc>
          <w:tcPr>
            <w:tcW w:w="776" w:type="dxa"/>
            <w:shd w:val="clear" w:color="auto" w:fill="auto"/>
            <w:vAlign w:val="center"/>
          </w:tcPr>
          <w:p>
            <w:pPr>
              <w:spacing w:line="200" w:lineRule="exact"/>
              <w:jc w:val="left"/>
              <w:rPr>
                <w:rFonts w:ascii="仿宋_GB2312" w:hAnsi="宋体" w:eastAsia="仿宋_GB2312" w:cs="宋体"/>
                <w:color w:val="000000"/>
                <w:szCs w:val="21"/>
              </w:rPr>
            </w:pPr>
          </w:p>
        </w:tc>
      </w:tr>
    </w:tbl>
    <w:p>
      <w:pPr>
        <w:spacing w:line="100" w:lineRule="exact"/>
      </w:pPr>
    </w:p>
    <w:tbl>
      <w:tblPr>
        <w:tblStyle w:val="16"/>
        <w:tblW w:w="14897" w:type="dxa"/>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autofit"/>
        <w:tblCellMar>
          <w:top w:w="0" w:type="dxa"/>
          <w:left w:w="108" w:type="dxa"/>
          <w:bottom w:w="0" w:type="dxa"/>
          <w:right w:w="108" w:type="dxa"/>
        </w:tblCellMar>
      </w:tblPr>
      <w:tblGrid>
        <w:gridCol w:w="566"/>
        <w:gridCol w:w="636"/>
        <w:gridCol w:w="989"/>
        <w:gridCol w:w="4985"/>
        <w:gridCol w:w="2213"/>
        <w:gridCol w:w="2880"/>
        <w:gridCol w:w="1005"/>
        <w:gridCol w:w="847"/>
        <w:gridCol w:w="776"/>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0" w:type="auto"/>
            <w:vMerge w:val="restart"/>
            <w:tcBorders>
              <w:top w:val="single" w:color="000000" w:sz="8" w:space="0"/>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r>
              <w:rPr>
                <w:rFonts w:hint="eastAsia" w:ascii="仿宋_GB2312" w:hAnsi="宋体" w:eastAsia="仿宋_GB2312" w:cs="宋体"/>
                <w:color w:val="000000"/>
                <w:szCs w:val="21"/>
              </w:rPr>
              <w:t>绩</w:t>
            </w:r>
          </w:p>
          <w:p>
            <w:pPr>
              <w:jc w:val="center"/>
              <w:rPr>
                <w:rFonts w:ascii="仿宋_GB2312" w:hAnsi="宋体" w:eastAsia="仿宋_GB2312" w:cs="宋体"/>
                <w:color w:val="000000"/>
                <w:szCs w:val="21"/>
              </w:rPr>
            </w:pPr>
            <w:r>
              <w:rPr>
                <w:rFonts w:hint="eastAsia" w:ascii="仿宋_GB2312" w:hAnsi="宋体" w:eastAsia="仿宋_GB2312" w:cs="宋体"/>
                <w:color w:val="000000"/>
                <w:szCs w:val="21"/>
              </w:rPr>
              <w:t>效</w:t>
            </w:r>
          </w:p>
          <w:p>
            <w:pPr>
              <w:jc w:val="center"/>
              <w:rPr>
                <w:rFonts w:ascii="仿宋_GB2312" w:hAnsi="宋体" w:eastAsia="仿宋_GB2312" w:cs="宋体"/>
                <w:color w:val="000000"/>
                <w:szCs w:val="21"/>
              </w:rPr>
            </w:pPr>
            <w:r>
              <w:rPr>
                <w:rFonts w:hint="eastAsia" w:ascii="仿宋_GB2312" w:hAnsi="宋体" w:eastAsia="仿宋_GB2312" w:cs="宋体"/>
                <w:color w:val="000000"/>
                <w:szCs w:val="21"/>
              </w:rPr>
              <w:t>指标</w:t>
            </w:r>
          </w:p>
        </w:tc>
        <w:tc>
          <w:tcPr>
            <w:tcW w:w="0" w:type="auto"/>
            <w:tcBorders>
              <w:top w:val="single" w:color="000000" w:sz="8" w:space="0"/>
              <w:left w:val="single" w:color="000000" w:sz="6" w:space="0"/>
              <w:bottom w:val="single" w:color="000000" w:sz="6" w:space="0"/>
              <w:right w:val="single" w:color="000000" w:sz="6" w:space="0"/>
            </w:tcBorders>
            <w:shd w:val="clear" w:color="auto" w:fill="auto"/>
            <w:noWrap/>
            <w:vAlign w:val="center"/>
          </w:tcPr>
          <w:p>
            <w:pPr>
              <w:widowControl/>
              <w:jc w:val="center"/>
              <w:textAlignment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一级</w:t>
            </w:r>
          </w:p>
          <w:p>
            <w:pPr>
              <w:widowControl/>
              <w:jc w:val="center"/>
              <w:textAlignment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w:t>
            </w:r>
          </w:p>
        </w:tc>
        <w:tc>
          <w:tcPr>
            <w:tcW w:w="989" w:type="dxa"/>
            <w:tcBorders>
              <w:top w:val="single" w:color="000000" w:sz="8" w:space="0"/>
              <w:left w:val="single" w:color="000000" w:sz="6" w:space="0"/>
              <w:bottom w:val="single" w:color="000000" w:sz="6" w:space="0"/>
              <w:right w:val="single" w:color="000000" w:sz="6" w:space="0"/>
            </w:tcBorders>
            <w:shd w:val="clear" w:color="auto" w:fill="auto"/>
            <w:vAlign w:val="center"/>
          </w:tcPr>
          <w:p>
            <w:pPr>
              <w:widowControl/>
              <w:jc w:val="center"/>
              <w:textAlignment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二级</w:t>
            </w:r>
          </w:p>
          <w:p>
            <w:pPr>
              <w:widowControl/>
              <w:jc w:val="center"/>
              <w:textAlignment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w:t>
            </w:r>
          </w:p>
        </w:tc>
        <w:tc>
          <w:tcPr>
            <w:tcW w:w="0" w:type="auto"/>
            <w:tcBorders>
              <w:top w:val="single" w:color="000000" w:sz="8" w:space="0"/>
              <w:left w:val="single" w:color="000000" w:sz="6" w:space="0"/>
              <w:bottom w:val="single" w:color="000000" w:sz="6" w:space="0"/>
              <w:right w:val="single" w:color="000000" w:sz="6" w:space="0"/>
            </w:tcBorders>
            <w:shd w:val="clear" w:color="auto" w:fill="auto"/>
            <w:vAlign w:val="center"/>
          </w:tcPr>
          <w:p>
            <w:pPr>
              <w:widowControl/>
              <w:spacing w:line="200" w:lineRule="exact"/>
              <w:jc w:val="center"/>
              <w:textAlignment w:val="center"/>
              <w:rPr>
                <w:rFonts w:ascii="仿宋_GB2312" w:hAnsi="宋体" w:eastAsia="仿宋_GB2312" w:cs="宋体"/>
                <w:b/>
                <w:bCs/>
                <w:color w:val="000000"/>
                <w:szCs w:val="21"/>
              </w:rPr>
            </w:pPr>
            <w:r>
              <w:rPr>
                <w:rFonts w:hint="eastAsia" w:ascii="仿宋_GB2312" w:hAnsi="宋体" w:eastAsia="仿宋_GB2312" w:cs="宋体"/>
                <w:b/>
                <w:bCs/>
                <w:color w:val="000000"/>
                <w:szCs w:val="21"/>
              </w:rPr>
              <w:t>三级指标</w:t>
            </w:r>
          </w:p>
        </w:tc>
        <w:tc>
          <w:tcPr>
            <w:tcW w:w="2213" w:type="dxa"/>
            <w:tcBorders>
              <w:top w:val="single" w:color="000000" w:sz="8" w:space="0"/>
              <w:left w:val="single" w:color="000000" w:sz="6" w:space="0"/>
              <w:bottom w:val="single" w:color="000000" w:sz="6" w:space="0"/>
              <w:right w:val="single" w:color="000000" w:sz="6" w:space="0"/>
            </w:tcBorders>
            <w:shd w:val="clear" w:color="auto" w:fill="auto"/>
            <w:vAlign w:val="center"/>
          </w:tcPr>
          <w:p>
            <w:pPr>
              <w:widowControl/>
              <w:spacing w:line="200" w:lineRule="exact"/>
              <w:jc w:val="center"/>
              <w:textAlignment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预期指标值（包含数字及文字描述）</w:t>
            </w:r>
          </w:p>
        </w:tc>
        <w:tc>
          <w:tcPr>
            <w:tcW w:w="0" w:type="auto"/>
            <w:tcBorders>
              <w:top w:val="single" w:color="000000" w:sz="8" w:space="0"/>
              <w:left w:val="single" w:color="000000" w:sz="6" w:space="0"/>
              <w:bottom w:val="single" w:color="000000" w:sz="6" w:space="0"/>
              <w:right w:val="single" w:color="000000" w:sz="6" w:space="0"/>
            </w:tcBorders>
            <w:shd w:val="clear" w:color="auto" w:fill="auto"/>
            <w:vAlign w:val="center"/>
          </w:tcPr>
          <w:p>
            <w:pPr>
              <w:widowControl/>
              <w:spacing w:line="200" w:lineRule="exact"/>
              <w:jc w:val="center"/>
              <w:textAlignment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实际完成指标值（包含数字及文字描述）</w:t>
            </w:r>
          </w:p>
        </w:tc>
        <w:tc>
          <w:tcPr>
            <w:tcW w:w="1005" w:type="dxa"/>
            <w:tcBorders>
              <w:top w:val="single" w:color="000000" w:sz="8" w:space="0"/>
              <w:left w:val="single" w:color="000000" w:sz="6" w:space="0"/>
              <w:bottom w:val="single" w:color="000000" w:sz="6" w:space="0"/>
              <w:right w:val="single" w:color="000000" w:sz="6" w:space="0"/>
            </w:tcBorders>
            <w:shd w:val="clear" w:color="auto" w:fill="auto"/>
            <w:vAlign w:val="center"/>
          </w:tcPr>
          <w:p>
            <w:pPr>
              <w:widowControl/>
              <w:spacing w:line="200" w:lineRule="exact"/>
              <w:jc w:val="center"/>
              <w:textAlignment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未完成原因及拟采取措施</w:t>
            </w:r>
          </w:p>
        </w:tc>
        <w:tc>
          <w:tcPr>
            <w:tcW w:w="0" w:type="auto"/>
            <w:tcBorders>
              <w:top w:val="single" w:color="000000" w:sz="8" w:space="0"/>
              <w:left w:val="single" w:color="000000" w:sz="6" w:space="0"/>
              <w:bottom w:val="single" w:color="000000" w:sz="6" w:space="0"/>
              <w:right w:val="single" w:color="000000" w:sz="6" w:space="0"/>
            </w:tcBorders>
            <w:shd w:val="clear" w:color="auto" w:fill="auto"/>
            <w:vAlign w:val="center"/>
          </w:tcPr>
          <w:p>
            <w:pPr>
              <w:spacing w:line="20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自评得分</w:t>
            </w:r>
          </w:p>
        </w:tc>
        <w:tc>
          <w:tcPr>
            <w:tcW w:w="776" w:type="dxa"/>
            <w:tcBorders>
              <w:top w:val="single" w:color="000000" w:sz="8" w:space="0"/>
              <w:left w:val="single" w:color="000000" w:sz="6" w:space="0"/>
              <w:bottom w:val="single" w:color="000000" w:sz="6" w:space="0"/>
              <w:right w:val="single" w:color="000000" w:sz="8" w:space="0"/>
            </w:tcBorders>
            <w:shd w:val="clear" w:color="auto" w:fill="auto"/>
            <w:vAlign w:val="center"/>
          </w:tcPr>
          <w:p>
            <w:pPr>
              <w:spacing w:line="20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财政复评得分</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restart"/>
            <w:tcBorders>
              <w:left w:val="single" w:color="000000" w:sz="6" w:space="0"/>
            </w:tcBorders>
            <w:shd w:val="clear" w:color="auto" w:fill="auto"/>
            <w:noWrap/>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产</w:t>
            </w:r>
          </w:p>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出</w:t>
            </w:r>
          </w:p>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指</w:t>
            </w:r>
          </w:p>
          <w:p>
            <w:pPr>
              <w:jc w:val="center"/>
              <w:rPr>
                <w:rFonts w:ascii="仿宋_GB2312" w:hAnsi="宋体" w:eastAsia="仿宋_GB2312" w:cs="宋体"/>
                <w:color w:val="000000"/>
                <w:szCs w:val="21"/>
              </w:rPr>
            </w:pPr>
            <w:r>
              <w:rPr>
                <w:rFonts w:hint="eastAsia" w:ascii="仿宋_GB2312" w:hAnsi="宋体" w:eastAsia="仿宋_GB2312" w:cs="宋体"/>
                <w:color w:val="000000"/>
                <w:kern w:val="0"/>
                <w:szCs w:val="21"/>
              </w:rPr>
              <w:t>标</w:t>
            </w:r>
          </w:p>
        </w:tc>
        <w:tc>
          <w:tcPr>
            <w:tcW w:w="989" w:type="dxa"/>
            <w:vMerge w:val="restart"/>
            <w:shd w:val="clear" w:color="auto" w:fill="auto"/>
            <w:vAlign w:val="center"/>
          </w:tcPr>
          <w:p>
            <w:pPr>
              <w:widowControl/>
              <w:jc w:val="center"/>
              <w:textAlignment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质量</w:t>
            </w:r>
          </w:p>
          <w:p>
            <w:pPr>
              <w:jc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指标</w:t>
            </w:r>
          </w:p>
        </w:tc>
        <w:tc>
          <w:tcPr>
            <w:tcW w:w="0" w:type="auto"/>
            <w:shd w:val="clear" w:color="auto" w:fill="auto"/>
            <w:vAlign w:val="center"/>
          </w:tcPr>
          <w:p>
            <w:pPr>
              <w:widowControl/>
              <w:spacing w:line="240" w:lineRule="exact"/>
              <w:jc w:val="left"/>
              <w:textAlignment w:val="center"/>
              <w:rPr>
                <w:rFonts w:ascii="仿宋_GB2312" w:hAnsi="宋体" w:eastAsia="仿宋_GB2312" w:cs="宋体"/>
                <w:b/>
                <w:bCs/>
                <w:color w:val="000000"/>
                <w:szCs w:val="21"/>
              </w:rPr>
            </w:pPr>
            <w:r>
              <w:rPr>
                <w:rStyle w:val="45"/>
                <w:rFonts w:hint="default" w:ascii="仿宋_GB2312" w:eastAsia="仿宋_GB2312"/>
                <w:sz w:val="21"/>
                <w:szCs w:val="21"/>
              </w:rPr>
              <w:t>指标7</w:t>
            </w:r>
            <w:r>
              <w:rPr>
                <w:rFonts w:hint="eastAsia" w:ascii="仿宋_GB2312" w:hAnsi="宋体" w:eastAsia="仿宋_GB2312" w:cs="宋体"/>
                <w:color w:val="000000"/>
                <w:kern w:val="0"/>
                <w:szCs w:val="21"/>
              </w:rPr>
              <w:t>：新冠致病菌监测率</w:t>
            </w:r>
          </w:p>
        </w:tc>
        <w:tc>
          <w:tcPr>
            <w:tcW w:w="221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0" w:type="auto"/>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1005" w:type="dxa"/>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已完成</w:t>
            </w:r>
          </w:p>
        </w:tc>
        <w:tc>
          <w:tcPr>
            <w:tcW w:w="0" w:type="auto"/>
            <w:shd w:val="clear" w:color="auto" w:fill="auto"/>
            <w:vAlign w:val="center"/>
          </w:tcPr>
          <w:p>
            <w:pPr>
              <w:spacing w:line="200" w:lineRule="exact"/>
              <w:jc w:val="left"/>
              <w:rPr>
                <w:rFonts w:ascii="仿宋_GB2312" w:hAnsi="宋体" w:eastAsia="仿宋_GB2312" w:cs="宋体"/>
                <w:color w:val="000000"/>
                <w:szCs w:val="21"/>
              </w:rPr>
            </w:pPr>
          </w:p>
        </w:tc>
        <w:tc>
          <w:tcPr>
            <w:tcW w:w="776" w:type="dxa"/>
            <w:shd w:val="clear" w:color="auto" w:fill="auto"/>
            <w:vAlign w:val="center"/>
          </w:tcPr>
          <w:p>
            <w:pPr>
              <w:spacing w:line="200" w:lineRule="exact"/>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989" w:type="dxa"/>
            <w:vMerge w:val="continue"/>
            <w:shd w:val="clear" w:color="auto" w:fill="auto"/>
            <w:vAlign w:val="center"/>
          </w:tcPr>
          <w:p>
            <w:pPr>
              <w:jc w:val="center"/>
              <w:rPr>
                <w:rFonts w:ascii="仿宋_GB2312" w:hAnsi="宋体" w:eastAsia="仿宋_GB2312" w:cs="宋体"/>
                <w:color w:val="000000"/>
                <w:szCs w:val="21"/>
              </w:rPr>
            </w:pPr>
          </w:p>
        </w:tc>
        <w:tc>
          <w:tcPr>
            <w:tcW w:w="0" w:type="auto"/>
            <w:shd w:val="clear" w:color="auto" w:fill="auto"/>
            <w:vAlign w:val="center"/>
          </w:tcPr>
          <w:p>
            <w:pPr>
              <w:widowControl/>
              <w:spacing w:line="240" w:lineRule="exact"/>
              <w:jc w:val="left"/>
              <w:textAlignment w:val="center"/>
              <w:rPr>
                <w:rFonts w:ascii="仿宋_GB2312" w:hAnsi="宋体" w:eastAsia="仿宋_GB2312" w:cs="宋体"/>
                <w:b/>
                <w:bCs/>
                <w:color w:val="000000"/>
                <w:szCs w:val="21"/>
              </w:rPr>
            </w:pPr>
            <w:r>
              <w:rPr>
                <w:rStyle w:val="45"/>
                <w:rFonts w:hint="default" w:ascii="仿宋_GB2312" w:eastAsia="仿宋_GB2312"/>
                <w:sz w:val="21"/>
                <w:szCs w:val="21"/>
              </w:rPr>
              <w:t>指标8</w:t>
            </w:r>
            <w:r>
              <w:rPr>
                <w:rFonts w:hint="eastAsia" w:ascii="仿宋_GB2312" w:hAnsi="宋体" w:eastAsia="仿宋_GB2312" w:cs="宋体"/>
                <w:color w:val="000000"/>
                <w:kern w:val="0"/>
                <w:szCs w:val="21"/>
              </w:rPr>
              <w:t>：职业性尘肺病患者随访调查与管理</w:t>
            </w:r>
          </w:p>
        </w:tc>
        <w:tc>
          <w:tcPr>
            <w:tcW w:w="221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0" w:type="auto"/>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1005" w:type="dxa"/>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spacing w:line="200" w:lineRule="exact"/>
              <w:jc w:val="left"/>
              <w:rPr>
                <w:rFonts w:ascii="仿宋_GB2312" w:hAnsi="宋体" w:eastAsia="仿宋_GB2312" w:cs="宋体"/>
                <w:color w:val="000000"/>
                <w:szCs w:val="21"/>
              </w:rPr>
            </w:pPr>
          </w:p>
        </w:tc>
        <w:tc>
          <w:tcPr>
            <w:tcW w:w="776" w:type="dxa"/>
            <w:shd w:val="clear" w:color="auto" w:fill="auto"/>
            <w:vAlign w:val="center"/>
          </w:tcPr>
          <w:p>
            <w:pPr>
              <w:spacing w:line="200" w:lineRule="exact"/>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989" w:type="dxa"/>
            <w:vMerge w:val="continue"/>
            <w:shd w:val="clear" w:color="auto" w:fill="auto"/>
            <w:vAlign w:val="center"/>
          </w:tcPr>
          <w:p>
            <w:pPr>
              <w:jc w:val="center"/>
              <w:rPr>
                <w:rFonts w:ascii="仿宋_GB2312" w:hAnsi="宋体" w:eastAsia="仿宋_GB2312" w:cs="宋体"/>
                <w:color w:val="000000"/>
                <w:szCs w:val="21"/>
              </w:rPr>
            </w:pPr>
          </w:p>
        </w:tc>
        <w:tc>
          <w:tcPr>
            <w:tcW w:w="0" w:type="auto"/>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非医疗机构放射性危害因素监测</w:t>
            </w:r>
          </w:p>
        </w:tc>
        <w:tc>
          <w:tcPr>
            <w:tcW w:w="221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0" w:type="auto"/>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1005" w:type="dxa"/>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spacing w:line="200" w:lineRule="exact"/>
              <w:jc w:val="left"/>
              <w:rPr>
                <w:rFonts w:ascii="仿宋_GB2312" w:hAnsi="宋体" w:eastAsia="仿宋_GB2312" w:cs="宋体"/>
                <w:color w:val="000000"/>
                <w:szCs w:val="21"/>
              </w:rPr>
            </w:pPr>
          </w:p>
        </w:tc>
        <w:tc>
          <w:tcPr>
            <w:tcW w:w="776" w:type="dxa"/>
            <w:shd w:val="clear" w:color="auto" w:fill="auto"/>
            <w:vAlign w:val="center"/>
          </w:tcPr>
          <w:p>
            <w:pPr>
              <w:spacing w:line="200" w:lineRule="exact"/>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989" w:type="dxa"/>
            <w:vMerge w:val="continue"/>
            <w:shd w:val="clear" w:color="auto" w:fill="auto"/>
            <w:vAlign w:val="center"/>
          </w:tcPr>
          <w:p>
            <w:pPr>
              <w:jc w:val="center"/>
              <w:rPr>
                <w:rFonts w:ascii="仿宋_GB2312" w:hAnsi="宋体" w:eastAsia="仿宋_GB2312" w:cs="宋体"/>
                <w:color w:val="000000"/>
                <w:szCs w:val="21"/>
              </w:rPr>
            </w:pPr>
          </w:p>
        </w:tc>
        <w:tc>
          <w:tcPr>
            <w:tcW w:w="0" w:type="auto"/>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职业性放射性疾病监测</w:t>
            </w:r>
          </w:p>
        </w:tc>
        <w:tc>
          <w:tcPr>
            <w:tcW w:w="221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0" w:type="auto"/>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1005" w:type="dxa"/>
            <w:shd w:val="clear" w:color="auto" w:fill="auto"/>
            <w:vAlign w:val="center"/>
          </w:tcPr>
          <w:p>
            <w:pPr>
              <w:widowControl/>
              <w:spacing w:line="20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spacing w:line="200" w:lineRule="exact"/>
              <w:jc w:val="left"/>
              <w:rPr>
                <w:rFonts w:ascii="仿宋_GB2312" w:hAnsi="宋体" w:eastAsia="仿宋_GB2312" w:cs="宋体"/>
                <w:color w:val="000000"/>
                <w:szCs w:val="21"/>
              </w:rPr>
            </w:pPr>
          </w:p>
        </w:tc>
        <w:tc>
          <w:tcPr>
            <w:tcW w:w="776" w:type="dxa"/>
            <w:shd w:val="clear" w:color="auto" w:fill="auto"/>
            <w:vAlign w:val="center"/>
          </w:tcPr>
          <w:p>
            <w:pPr>
              <w:spacing w:line="200" w:lineRule="exact"/>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989" w:type="dxa"/>
            <w:vMerge w:val="restart"/>
            <w:shd w:val="clear" w:color="auto" w:fill="auto"/>
            <w:vAlign w:val="center"/>
          </w:tcPr>
          <w:p>
            <w:pPr>
              <w:widowControl/>
              <w:jc w:val="center"/>
              <w:textAlignment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时效</w:t>
            </w:r>
          </w:p>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指标</w:t>
            </w:r>
          </w:p>
        </w:tc>
        <w:tc>
          <w:tcPr>
            <w:tcW w:w="0" w:type="auto"/>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以上所有任务</w:t>
            </w:r>
          </w:p>
        </w:tc>
        <w:tc>
          <w:tcPr>
            <w:tcW w:w="221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2022年12月底前完成</w:t>
            </w:r>
          </w:p>
        </w:tc>
        <w:tc>
          <w:tcPr>
            <w:tcW w:w="0" w:type="auto"/>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2022年12月底完成</w:t>
            </w:r>
          </w:p>
        </w:tc>
        <w:tc>
          <w:tcPr>
            <w:tcW w:w="1005"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jc w:val="left"/>
              <w:rPr>
                <w:rFonts w:ascii="仿宋_GB2312" w:hAnsi="宋体" w:eastAsia="仿宋_GB2312" w:cs="宋体"/>
                <w:color w:val="000000"/>
                <w:szCs w:val="21"/>
              </w:rPr>
            </w:pPr>
          </w:p>
        </w:tc>
        <w:tc>
          <w:tcPr>
            <w:tcW w:w="776" w:type="dxa"/>
            <w:shd w:val="clear" w:color="auto" w:fill="auto"/>
            <w:vAlign w:val="center"/>
          </w:tcPr>
          <w:p>
            <w:pPr>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989" w:type="dxa"/>
            <w:vMerge w:val="continue"/>
            <w:shd w:val="clear" w:color="auto" w:fill="auto"/>
            <w:vAlign w:val="center"/>
          </w:tcPr>
          <w:p>
            <w:pPr>
              <w:jc w:val="center"/>
              <w:rPr>
                <w:rFonts w:ascii="仿宋_GB2312" w:hAnsi="宋体" w:eastAsia="仿宋_GB2312" w:cs="宋体"/>
                <w:color w:val="000000"/>
                <w:szCs w:val="21"/>
              </w:rPr>
            </w:pPr>
          </w:p>
        </w:tc>
        <w:tc>
          <w:tcPr>
            <w:tcW w:w="0" w:type="auto"/>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医疗机构督导</w:t>
            </w:r>
          </w:p>
        </w:tc>
        <w:tc>
          <w:tcPr>
            <w:tcW w:w="221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2022年11月底完成</w:t>
            </w:r>
          </w:p>
        </w:tc>
        <w:tc>
          <w:tcPr>
            <w:tcW w:w="0" w:type="auto"/>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1005"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jc w:val="left"/>
              <w:rPr>
                <w:rFonts w:ascii="仿宋_GB2312" w:hAnsi="宋体" w:eastAsia="仿宋_GB2312" w:cs="宋体"/>
                <w:color w:val="000000"/>
                <w:szCs w:val="21"/>
              </w:rPr>
            </w:pPr>
          </w:p>
        </w:tc>
        <w:tc>
          <w:tcPr>
            <w:tcW w:w="776" w:type="dxa"/>
            <w:shd w:val="clear" w:color="auto" w:fill="auto"/>
            <w:vAlign w:val="center"/>
          </w:tcPr>
          <w:p>
            <w:pPr>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989" w:type="dxa"/>
            <w:vMerge w:val="restart"/>
            <w:shd w:val="clear" w:color="auto" w:fill="auto"/>
            <w:vAlign w:val="center"/>
          </w:tcPr>
          <w:p>
            <w:pPr>
              <w:widowControl/>
              <w:jc w:val="center"/>
              <w:textAlignment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成本</w:t>
            </w:r>
          </w:p>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指标</w:t>
            </w:r>
          </w:p>
        </w:tc>
        <w:tc>
          <w:tcPr>
            <w:tcW w:w="0" w:type="auto"/>
            <w:shd w:val="clear" w:color="auto" w:fill="auto"/>
            <w:vAlign w:val="center"/>
          </w:tcPr>
          <w:p>
            <w:pPr>
              <w:widowControl/>
              <w:spacing w:line="240" w:lineRule="exac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按照文件资金使用</w:t>
            </w:r>
          </w:p>
        </w:tc>
        <w:tc>
          <w:tcPr>
            <w:tcW w:w="221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0" w:type="auto"/>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1005"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jc w:val="left"/>
              <w:rPr>
                <w:rFonts w:ascii="仿宋_GB2312" w:hAnsi="宋体" w:eastAsia="仿宋_GB2312" w:cs="宋体"/>
                <w:color w:val="000000"/>
                <w:szCs w:val="21"/>
              </w:rPr>
            </w:pPr>
          </w:p>
        </w:tc>
        <w:tc>
          <w:tcPr>
            <w:tcW w:w="776" w:type="dxa"/>
            <w:shd w:val="clear" w:color="auto" w:fill="auto"/>
            <w:vAlign w:val="center"/>
          </w:tcPr>
          <w:p>
            <w:pPr>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989" w:type="dxa"/>
            <w:vMerge w:val="continue"/>
            <w:shd w:val="clear" w:color="auto" w:fill="auto"/>
            <w:vAlign w:val="center"/>
          </w:tcPr>
          <w:p>
            <w:pPr>
              <w:jc w:val="center"/>
              <w:rPr>
                <w:rFonts w:ascii="仿宋_GB2312" w:hAnsi="宋体" w:eastAsia="仿宋_GB2312" w:cs="宋体"/>
                <w:color w:val="000000"/>
                <w:szCs w:val="21"/>
              </w:rPr>
            </w:pPr>
          </w:p>
        </w:tc>
        <w:tc>
          <w:tcPr>
            <w:tcW w:w="0" w:type="auto"/>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艾滋病防治项目</w:t>
            </w:r>
          </w:p>
        </w:tc>
        <w:tc>
          <w:tcPr>
            <w:tcW w:w="221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按预算73.25执行</w:t>
            </w:r>
          </w:p>
        </w:tc>
        <w:tc>
          <w:tcPr>
            <w:tcW w:w="0" w:type="auto"/>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使用100%</w:t>
            </w:r>
          </w:p>
        </w:tc>
        <w:tc>
          <w:tcPr>
            <w:tcW w:w="1005"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jc w:val="left"/>
              <w:rPr>
                <w:rFonts w:ascii="仿宋_GB2312" w:hAnsi="宋体" w:eastAsia="仿宋_GB2312" w:cs="宋体"/>
                <w:color w:val="000000"/>
                <w:szCs w:val="21"/>
              </w:rPr>
            </w:pPr>
          </w:p>
        </w:tc>
        <w:tc>
          <w:tcPr>
            <w:tcW w:w="776" w:type="dxa"/>
            <w:shd w:val="clear" w:color="auto" w:fill="auto"/>
            <w:vAlign w:val="center"/>
          </w:tcPr>
          <w:p>
            <w:pPr>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989" w:type="dxa"/>
            <w:vMerge w:val="continue"/>
            <w:shd w:val="clear" w:color="auto" w:fill="auto"/>
            <w:vAlign w:val="center"/>
          </w:tcPr>
          <w:p>
            <w:pPr>
              <w:jc w:val="center"/>
              <w:rPr>
                <w:rFonts w:ascii="仿宋_GB2312" w:hAnsi="宋体" w:eastAsia="仿宋_GB2312" w:cs="宋体"/>
                <w:color w:val="000000"/>
                <w:szCs w:val="21"/>
              </w:rPr>
            </w:pPr>
          </w:p>
        </w:tc>
        <w:tc>
          <w:tcPr>
            <w:tcW w:w="0" w:type="auto"/>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结核病防治项目</w:t>
            </w:r>
          </w:p>
        </w:tc>
        <w:tc>
          <w:tcPr>
            <w:tcW w:w="221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按预算15.9执行</w:t>
            </w:r>
          </w:p>
        </w:tc>
        <w:tc>
          <w:tcPr>
            <w:tcW w:w="0" w:type="auto"/>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使用100%</w:t>
            </w:r>
          </w:p>
        </w:tc>
        <w:tc>
          <w:tcPr>
            <w:tcW w:w="1005"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jc w:val="left"/>
              <w:rPr>
                <w:rFonts w:ascii="仿宋_GB2312" w:hAnsi="宋体" w:eastAsia="仿宋_GB2312" w:cs="宋体"/>
                <w:color w:val="000000"/>
                <w:szCs w:val="21"/>
              </w:rPr>
            </w:pPr>
          </w:p>
        </w:tc>
        <w:tc>
          <w:tcPr>
            <w:tcW w:w="776" w:type="dxa"/>
            <w:shd w:val="clear" w:color="auto" w:fill="auto"/>
            <w:vAlign w:val="center"/>
          </w:tcPr>
          <w:p>
            <w:pPr>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989" w:type="dxa"/>
            <w:vMerge w:val="continue"/>
            <w:shd w:val="clear" w:color="auto" w:fill="auto"/>
            <w:vAlign w:val="center"/>
          </w:tcPr>
          <w:p>
            <w:pPr>
              <w:jc w:val="center"/>
              <w:rPr>
                <w:rFonts w:ascii="仿宋_GB2312" w:hAnsi="宋体" w:eastAsia="仿宋_GB2312" w:cs="宋体"/>
                <w:color w:val="000000"/>
                <w:szCs w:val="21"/>
              </w:rPr>
            </w:pPr>
          </w:p>
        </w:tc>
        <w:tc>
          <w:tcPr>
            <w:tcW w:w="0" w:type="auto"/>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慢性病防治项目</w:t>
            </w:r>
          </w:p>
        </w:tc>
        <w:tc>
          <w:tcPr>
            <w:tcW w:w="221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按预算25.82执行（含中医院两癌筛查17.6）</w:t>
            </w:r>
          </w:p>
        </w:tc>
        <w:tc>
          <w:tcPr>
            <w:tcW w:w="0" w:type="auto"/>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使用100%</w:t>
            </w:r>
          </w:p>
        </w:tc>
        <w:tc>
          <w:tcPr>
            <w:tcW w:w="1005"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jc w:val="left"/>
              <w:rPr>
                <w:rFonts w:ascii="仿宋_GB2312" w:hAnsi="宋体" w:eastAsia="仿宋_GB2312" w:cs="宋体"/>
                <w:color w:val="000000"/>
                <w:szCs w:val="21"/>
              </w:rPr>
            </w:pPr>
          </w:p>
        </w:tc>
        <w:tc>
          <w:tcPr>
            <w:tcW w:w="776" w:type="dxa"/>
            <w:shd w:val="clear" w:color="auto" w:fill="auto"/>
            <w:vAlign w:val="center"/>
          </w:tcPr>
          <w:p>
            <w:pPr>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989" w:type="dxa"/>
            <w:vMerge w:val="continue"/>
            <w:shd w:val="clear" w:color="auto" w:fill="auto"/>
            <w:vAlign w:val="center"/>
          </w:tcPr>
          <w:p>
            <w:pPr>
              <w:jc w:val="center"/>
              <w:rPr>
                <w:rFonts w:ascii="仿宋_GB2312" w:hAnsi="宋体" w:eastAsia="仿宋_GB2312" w:cs="宋体"/>
                <w:color w:val="000000"/>
                <w:szCs w:val="21"/>
              </w:rPr>
            </w:pPr>
          </w:p>
        </w:tc>
        <w:tc>
          <w:tcPr>
            <w:tcW w:w="0" w:type="auto"/>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免疫规划项目</w:t>
            </w:r>
          </w:p>
        </w:tc>
        <w:tc>
          <w:tcPr>
            <w:tcW w:w="221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按预算94.84执行（含计免门诊打造费90.0）</w:t>
            </w:r>
          </w:p>
        </w:tc>
        <w:tc>
          <w:tcPr>
            <w:tcW w:w="0" w:type="auto"/>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使用100%</w:t>
            </w:r>
          </w:p>
        </w:tc>
        <w:tc>
          <w:tcPr>
            <w:tcW w:w="1005"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jc w:val="left"/>
              <w:rPr>
                <w:rFonts w:ascii="仿宋_GB2312" w:hAnsi="宋体" w:eastAsia="仿宋_GB2312" w:cs="宋体"/>
                <w:color w:val="000000"/>
                <w:szCs w:val="21"/>
              </w:rPr>
            </w:pPr>
          </w:p>
        </w:tc>
        <w:tc>
          <w:tcPr>
            <w:tcW w:w="776" w:type="dxa"/>
            <w:shd w:val="clear" w:color="auto" w:fill="auto"/>
            <w:vAlign w:val="center"/>
          </w:tcPr>
          <w:p>
            <w:pPr>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989" w:type="dxa"/>
            <w:vMerge w:val="continue"/>
            <w:shd w:val="clear" w:color="auto" w:fill="auto"/>
            <w:vAlign w:val="center"/>
          </w:tcPr>
          <w:p>
            <w:pPr>
              <w:jc w:val="center"/>
              <w:rPr>
                <w:rFonts w:ascii="仿宋_GB2312" w:hAnsi="宋体" w:eastAsia="仿宋_GB2312" w:cs="宋体"/>
                <w:color w:val="000000"/>
                <w:szCs w:val="21"/>
              </w:rPr>
            </w:pPr>
          </w:p>
        </w:tc>
        <w:tc>
          <w:tcPr>
            <w:tcW w:w="0" w:type="auto"/>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血吸虫病项目</w:t>
            </w:r>
          </w:p>
        </w:tc>
        <w:tc>
          <w:tcPr>
            <w:tcW w:w="221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按预算4.0执行</w:t>
            </w:r>
          </w:p>
        </w:tc>
        <w:tc>
          <w:tcPr>
            <w:tcW w:w="0" w:type="auto"/>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使用100%</w:t>
            </w:r>
          </w:p>
        </w:tc>
        <w:tc>
          <w:tcPr>
            <w:tcW w:w="1005"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jc w:val="left"/>
              <w:rPr>
                <w:rFonts w:ascii="仿宋_GB2312" w:hAnsi="宋体" w:eastAsia="仿宋_GB2312" w:cs="宋体"/>
                <w:color w:val="000000"/>
                <w:szCs w:val="21"/>
              </w:rPr>
            </w:pPr>
          </w:p>
        </w:tc>
        <w:tc>
          <w:tcPr>
            <w:tcW w:w="776" w:type="dxa"/>
            <w:shd w:val="clear" w:color="auto" w:fill="auto"/>
            <w:vAlign w:val="center"/>
          </w:tcPr>
          <w:p>
            <w:pPr>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989" w:type="dxa"/>
            <w:vMerge w:val="continue"/>
            <w:shd w:val="clear" w:color="auto" w:fill="auto"/>
            <w:vAlign w:val="center"/>
          </w:tcPr>
          <w:p>
            <w:pPr>
              <w:jc w:val="center"/>
              <w:rPr>
                <w:rFonts w:ascii="仿宋_GB2312" w:hAnsi="宋体" w:eastAsia="仿宋_GB2312" w:cs="宋体"/>
                <w:color w:val="000000"/>
                <w:szCs w:val="21"/>
              </w:rPr>
            </w:pPr>
          </w:p>
        </w:tc>
        <w:tc>
          <w:tcPr>
            <w:tcW w:w="0" w:type="auto"/>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地方病防治项目</w:t>
            </w:r>
          </w:p>
        </w:tc>
        <w:tc>
          <w:tcPr>
            <w:tcW w:w="221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按预算29.74执行</w:t>
            </w:r>
          </w:p>
        </w:tc>
        <w:tc>
          <w:tcPr>
            <w:tcW w:w="0" w:type="auto"/>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使用100%</w:t>
            </w:r>
          </w:p>
        </w:tc>
        <w:tc>
          <w:tcPr>
            <w:tcW w:w="1005"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jc w:val="left"/>
              <w:rPr>
                <w:rFonts w:ascii="仿宋_GB2312" w:hAnsi="宋体" w:eastAsia="仿宋_GB2312" w:cs="宋体"/>
                <w:color w:val="000000"/>
                <w:szCs w:val="21"/>
              </w:rPr>
            </w:pPr>
          </w:p>
        </w:tc>
        <w:tc>
          <w:tcPr>
            <w:tcW w:w="776" w:type="dxa"/>
            <w:shd w:val="clear" w:color="auto" w:fill="auto"/>
            <w:vAlign w:val="center"/>
          </w:tcPr>
          <w:p>
            <w:pPr>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989" w:type="dxa"/>
            <w:vMerge w:val="continue"/>
            <w:shd w:val="clear" w:color="auto" w:fill="auto"/>
            <w:vAlign w:val="center"/>
          </w:tcPr>
          <w:p>
            <w:pPr>
              <w:jc w:val="center"/>
              <w:rPr>
                <w:rFonts w:ascii="仿宋_GB2312" w:hAnsi="宋体" w:eastAsia="仿宋_GB2312" w:cs="宋体"/>
                <w:color w:val="000000"/>
                <w:szCs w:val="21"/>
              </w:rPr>
            </w:pPr>
          </w:p>
        </w:tc>
        <w:tc>
          <w:tcPr>
            <w:tcW w:w="0" w:type="auto"/>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新冠监测</w:t>
            </w:r>
          </w:p>
        </w:tc>
        <w:tc>
          <w:tcPr>
            <w:tcW w:w="221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按预算2.0执行</w:t>
            </w:r>
          </w:p>
        </w:tc>
        <w:tc>
          <w:tcPr>
            <w:tcW w:w="0" w:type="auto"/>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使用100%</w:t>
            </w:r>
          </w:p>
        </w:tc>
        <w:tc>
          <w:tcPr>
            <w:tcW w:w="1005"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jc w:val="left"/>
              <w:rPr>
                <w:rFonts w:ascii="仿宋_GB2312" w:hAnsi="宋体" w:eastAsia="仿宋_GB2312" w:cs="宋体"/>
                <w:color w:val="000000"/>
                <w:szCs w:val="21"/>
              </w:rPr>
            </w:pPr>
          </w:p>
        </w:tc>
        <w:tc>
          <w:tcPr>
            <w:tcW w:w="776" w:type="dxa"/>
            <w:shd w:val="clear" w:color="auto" w:fill="auto"/>
            <w:vAlign w:val="center"/>
          </w:tcPr>
          <w:p>
            <w:pPr>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989" w:type="dxa"/>
            <w:vMerge w:val="continue"/>
            <w:shd w:val="clear" w:color="auto" w:fill="auto"/>
            <w:vAlign w:val="center"/>
          </w:tcPr>
          <w:p>
            <w:pPr>
              <w:jc w:val="center"/>
              <w:rPr>
                <w:rFonts w:ascii="仿宋_GB2312" w:hAnsi="宋体" w:eastAsia="仿宋_GB2312" w:cs="宋体"/>
                <w:color w:val="000000"/>
                <w:szCs w:val="21"/>
              </w:rPr>
            </w:pPr>
          </w:p>
        </w:tc>
        <w:tc>
          <w:tcPr>
            <w:tcW w:w="0" w:type="auto"/>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职业防治项目</w:t>
            </w:r>
          </w:p>
        </w:tc>
        <w:tc>
          <w:tcPr>
            <w:tcW w:w="221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按预算5.42执行</w:t>
            </w:r>
          </w:p>
        </w:tc>
        <w:tc>
          <w:tcPr>
            <w:tcW w:w="0" w:type="auto"/>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使用100%</w:t>
            </w:r>
          </w:p>
        </w:tc>
        <w:tc>
          <w:tcPr>
            <w:tcW w:w="1005"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jc w:val="left"/>
              <w:rPr>
                <w:rFonts w:ascii="仿宋_GB2312" w:hAnsi="宋体" w:eastAsia="仿宋_GB2312" w:cs="宋体"/>
                <w:color w:val="000000"/>
                <w:szCs w:val="21"/>
              </w:rPr>
            </w:pPr>
          </w:p>
        </w:tc>
        <w:tc>
          <w:tcPr>
            <w:tcW w:w="776" w:type="dxa"/>
            <w:shd w:val="clear" w:color="auto" w:fill="auto"/>
            <w:vAlign w:val="center"/>
          </w:tcPr>
          <w:p>
            <w:pPr>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restart"/>
            <w:tcBorders>
              <w:left w:val="single" w:color="000000" w:sz="6" w:space="0"/>
            </w:tcBorders>
            <w:shd w:val="clear" w:color="auto" w:fill="auto"/>
            <w:vAlign w:val="center"/>
          </w:tcPr>
          <w:p>
            <w:pPr>
              <w:widowControl/>
              <w:jc w:val="center"/>
              <w:textAlignment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效益</w:t>
            </w:r>
          </w:p>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指标</w:t>
            </w:r>
          </w:p>
        </w:tc>
        <w:tc>
          <w:tcPr>
            <w:tcW w:w="989" w:type="dxa"/>
            <w:vMerge w:val="restart"/>
            <w:shd w:val="clear" w:color="auto" w:fill="auto"/>
            <w:vAlign w:val="center"/>
          </w:tcPr>
          <w:p>
            <w:pPr>
              <w:widowControl/>
              <w:jc w:val="center"/>
              <w:textAlignment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经济</w:t>
            </w:r>
          </w:p>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效益</w:t>
            </w:r>
          </w:p>
          <w:p>
            <w:pPr>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指标</w:t>
            </w:r>
          </w:p>
        </w:tc>
        <w:tc>
          <w:tcPr>
            <w:tcW w:w="0" w:type="auto"/>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加强宣传教育，养成良好生活方式，完成全民健康生活方式。</w:t>
            </w:r>
          </w:p>
        </w:tc>
        <w:tc>
          <w:tcPr>
            <w:tcW w:w="221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提升群众健康素养</w:t>
            </w:r>
          </w:p>
        </w:tc>
        <w:tc>
          <w:tcPr>
            <w:tcW w:w="0" w:type="auto"/>
            <w:shd w:val="clear" w:color="auto" w:fill="auto"/>
            <w:vAlign w:val="center"/>
          </w:tcPr>
          <w:p>
            <w:pPr>
              <w:rPr>
                <w:rFonts w:ascii="仿宋_GB2312" w:hAnsi="宋体" w:eastAsia="仿宋_GB2312" w:cs="宋体"/>
                <w:color w:val="000000"/>
                <w:szCs w:val="21"/>
              </w:rPr>
            </w:pPr>
          </w:p>
        </w:tc>
        <w:tc>
          <w:tcPr>
            <w:tcW w:w="1005"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jc w:val="left"/>
              <w:rPr>
                <w:rFonts w:ascii="仿宋_GB2312" w:hAnsi="宋体" w:eastAsia="仿宋_GB2312" w:cs="宋体"/>
                <w:color w:val="000000"/>
                <w:szCs w:val="21"/>
              </w:rPr>
            </w:pPr>
          </w:p>
        </w:tc>
        <w:tc>
          <w:tcPr>
            <w:tcW w:w="776" w:type="dxa"/>
            <w:shd w:val="clear" w:color="auto" w:fill="auto"/>
            <w:vAlign w:val="center"/>
          </w:tcPr>
          <w:p>
            <w:pPr>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vAlign w:val="center"/>
          </w:tcPr>
          <w:p>
            <w:pPr>
              <w:widowControl/>
              <w:jc w:val="center"/>
              <w:textAlignment w:val="center"/>
              <w:rPr>
                <w:rFonts w:ascii="仿宋_GB2312" w:hAnsi="宋体" w:eastAsia="仿宋_GB2312" w:cs="宋体"/>
                <w:color w:val="000000"/>
                <w:szCs w:val="21"/>
              </w:rPr>
            </w:pPr>
          </w:p>
        </w:tc>
        <w:tc>
          <w:tcPr>
            <w:tcW w:w="989" w:type="dxa"/>
            <w:vMerge w:val="continue"/>
            <w:shd w:val="clear" w:color="auto" w:fill="auto"/>
            <w:vAlign w:val="center"/>
          </w:tcPr>
          <w:p>
            <w:pPr>
              <w:widowControl/>
              <w:jc w:val="center"/>
              <w:textAlignment w:val="center"/>
              <w:rPr>
                <w:rFonts w:ascii="仿宋_GB2312" w:hAnsi="宋体" w:eastAsia="仿宋_GB2312" w:cs="宋体"/>
                <w:color w:val="000000"/>
                <w:szCs w:val="21"/>
              </w:rPr>
            </w:pPr>
          </w:p>
        </w:tc>
        <w:tc>
          <w:tcPr>
            <w:tcW w:w="0" w:type="auto"/>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通过各种传染病综合防治，减少传染病暴发，降低的发病率，解放生产力。</w:t>
            </w:r>
          </w:p>
        </w:tc>
        <w:tc>
          <w:tcPr>
            <w:tcW w:w="221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降低医疗成本</w:t>
            </w:r>
          </w:p>
        </w:tc>
        <w:tc>
          <w:tcPr>
            <w:tcW w:w="0" w:type="auto"/>
            <w:shd w:val="clear" w:color="auto" w:fill="auto"/>
            <w:vAlign w:val="center"/>
          </w:tcPr>
          <w:p>
            <w:pPr>
              <w:rPr>
                <w:rFonts w:ascii="仿宋_GB2312" w:hAnsi="宋体" w:eastAsia="仿宋_GB2312" w:cs="宋体"/>
                <w:color w:val="000000"/>
                <w:szCs w:val="21"/>
              </w:rPr>
            </w:pPr>
          </w:p>
        </w:tc>
        <w:tc>
          <w:tcPr>
            <w:tcW w:w="1005"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jc w:val="left"/>
              <w:rPr>
                <w:rFonts w:ascii="仿宋_GB2312" w:hAnsi="宋体" w:eastAsia="仿宋_GB2312" w:cs="宋体"/>
                <w:color w:val="000000"/>
                <w:szCs w:val="21"/>
              </w:rPr>
            </w:pPr>
          </w:p>
        </w:tc>
        <w:tc>
          <w:tcPr>
            <w:tcW w:w="776" w:type="dxa"/>
            <w:shd w:val="clear" w:color="auto" w:fill="auto"/>
            <w:vAlign w:val="center"/>
          </w:tcPr>
          <w:p>
            <w:pPr>
              <w:jc w:val="left"/>
              <w:rPr>
                <w:rFonts w:ascii="仿宋_GB2312" w:hAnsi="宋体" w:eastAsia="仿宋_GB2312" w:cs="宋体"/>
                <w:color w:val="000000"/>
                <w:szCs w:val="21"/>
              </w:rPr>
            </w:pPr>
          </w:p>
        </w:tc>
      </w:tr>
    </w:tbl>
    <w:p>
      <w:pPr>
        <w:spacing w:line="100" w:lineRule="exact"/>
      </w:pPr>
    </w:p>
    <w:tbl>
      <w:tblPr>
        <w:tblStyle w:val="16"/>
        <w:tblW w:w="14474" w:type="dxa"/>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autofit"/>
        <w:tblCellMar>
          <w:top w:w="0" w:type="dxa"/>
          <w:left w:w="108" w:type="dxa"/>
          <w:bottom w:w="0" w:type="dxa"/>
          <w:right w:w="108" w:type="dxa"/>
        </w:tblCellMar>
      </w:tblPr>
      <w:tblGrid>
        <w:gridCol w:w="561"/>
        <w:gridCol w:w="966"/>
        <w:gridCol w:w="1236"/>
        <w:gridCol w:w="4013"/>
        <w:gridCol w:w="2214"/>
        <w:gridCol w:w="2872"/>
        <w:gridCol w:w="1005"/>
        <w:gridCol w:w="831"/>
        <w:gridCol w:w="776"/>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0" w:type="auto"/>
            <w:vMerge w:val="restart"/>
            <w:tcBorders>
              <w:top w:val="single" w:color="000000" w:sz="8" w:space="0"/>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r>
              <w:rPr>
                <w:rFonts w:hint="eastAsia" w:ascii="仿宋_GB2312" w:hAnsi="宋体" w:eastAsia="仿宋_GB2312" w:cs="宋体"/>
                <w:color w:val="000000"/>
                <w:szCs w:val="21"/>
              </w:rPr>
              <w:t>绩</w:t>
            </w:r>
          </w:p>
          <w:p>
            <w:pPr>
              <w:jc w:val="center"/>
              <w:rPr>
                <w:rFonts w:ascii="仿宋_GB2312" w:hAnsi="宋体" w:eastAsia="仿宋_GB2312" w:cs="宋体"/>
                <w:color w:val="000000"/>
                <w:szCs w:val="21"/>
              </w:rPr>
            </w:pPr>
            <w:r>
              <w:rPr>
                <w:rFonts w:hint="eastAsia" w:ascii="仿宋_GB2312" w:hAnsi="宋体" w:eastAsia="仿宋_GB2312" w:cs="宋体"/>
                <w:color w:val="000000"/>
                <w:szCs w:val="21"/>
              </w:rPr>
              <w:t>效</w:t>
            </w:r>
          </w:p>
          <w:p>
            <w:pPr>
              <w:jc w:val="center"/>
              <w:rPr>
                <w:rFonts w:ascii="仿宋_GB2312" w:hAnsi="宋体" w:eastAsia="仿宋_GB2312" w:cs="宋体"/>
                <w:color w:val="000000"/>
                <w:szCs w:val="21"/>
              </w:rPr>
            </w:pPr>
            <w:r>
              <w:rPr>
                <w:rFonts w:hint="eastAsia" w:ascii="仿宋_GB2312" w:hAnsi="宋体" w:eastAsia="仿宋_GB2312" w:cs="宋体"/>
                <w:color w:val="000000"/>
                <w:szCs w:val="21"/>
              </w:rPr>
              <w:t>指标</w:t>
            </w:r>
          </w:p>
        </w:tc>
        <w:tc>
          <w:tcPr>
            <w:tcW w:w="0" w:type="auto"/>
            <w:tcBorders>
              <w:top w:val="single" w:color="000000" w:sz="8" w:space="0"/>
              <w:left w:val="single" w:color="000000" w:sz="6" w:space="0"/>
              <w:bottom w:val="single" w:color="000000" w:sz="6" w:space="0"/>
              <w:right w:val="single" w:color="000000" w:sz="6" w:space="0"/>
            </w:tcBorders>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一级</w:t>
            </w:r>
          </w:p>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指标</w:t>
            </w:r>
          </w:p>
        </w:tc>
        <w:tc>
          <w:tcPr>
            <w:tcW w:w="0" w:type="auto"/>
            <w:vMerge w:val="restart"/>
            <w:tcBorders>
              <w:top w:val="single" w:color="000000" w:sz="8" w:space="0"/>
              <w:left w:val="single" w:color="000000" w:sz="6" w:space="0"/>
              <w:bottom w:val="single" w:color="000000" w:sz="6" w:space="0"/>
              <w:right w:val="single" w:color="000000" w:sz="6" w:space="0"/>
            </w:tcBorders>
            <w:shd w:val="clear" w:color="auto" w:fill="auto"/>
            <w:vAlign w:val="center"/>
          </w:tcPr>
          <w:p>
            <w:pPr>
              <w:widowControl/>
              <w:jc w:val="center"/>
              <w:textAlignment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二级</w:t>
            </w:r>
          </w:p>
          <w:p>
            <w:pPr>
              <w:widowControl/>
              <w:jc w:val="center"/>
              <w:textAlignment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w:t>
            </w:r>
          </w:p>
        </w:tc>
        <w:tc>
          <w:tcPr>
            <w:tcW w:w="0" w:type="auto"/>
            <w:tcBorders>
              <w:top w:val="single" w:color="000000" w:sz="8" w:space="0"/>
              <w:left w:val="single" w:color="000000" w:sz="6" w:space="0"/>
              <w:bottom w:val="single" w:color="000000" w:sz="6" w:space="0"/>
              <w:right w:val="single" w:color="000000" w:sz="6" w:space="0"/>
            </w:tcBorders>
            <w:shd w:val="clear" w:color="auto" w:fill="auto"/>
            <w:vAlign w:val="center"/>
          </w:tcPr>
          <w:p>
            <w:pPr>
              <w:widowControl/>
              <w:spacing w:line="240" w:lineRule="exact"/>
              <w:jc w:val="center"/>
              <w:textAlignment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三级指标</w:t>
            </w:r>
          </w:p>
        </w:tc>
        <w:tc>
          <w:tcPr>
            <w:tcW w:w="2213" w:type="dxa"/>
            <w:tcBorders>
              <w:top w:val="single" w:color="000000" w:sz="8" w:space="0"/>
              <w:left w:val="single" w:color="000000" w:sz="6" w:space="0"/>
              <w:bottom w:val="single" w:color="000000" w:sz="6" w:space="0"/>
              <w:right w:val="single" w:color="000000" w:sz="6" w:space="0"/>
            </w:tcBorders>
            <w:shd w:val="clear" w:color="auto" w:fill="auto"/>
            <w:vAlign w:val="center"/>
          </w:tcPr>
          <w:p>
            <w:pPr>
              <w:widowControl/>
              <w:spacing w:line="240" w:lineRule="exact"/>
              <w:jc w:val="center"/>
              <w:textAlignment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预期指标值（包含数字及文字描述）</w:t>
            </w:r>
          </w:p>
        </w:tc>
        <w:tc>
          <w:tcPr>
            <w:tcW w:w="0" w:type="auto"/>
            <w:tcBorders>
              <w:top w:val="single" w:color="000000" w:sz="8" w:space="0"/>
              <w:left w:val="single" w:color="000000" w:sz="6" w:space="0"/>
              <w:bottom w:val="single" w:color="000000" w:sz="6" w:space="0"/>
              <w:right w:val="single" w:color="000000" w:sz="6" w:space="0"/>
            </w:tcBorders>
            <w:shd w:val="clear" w:color="auto" w:fill="auto"/>
            <w:vAlign w:val="center"/>
          </w:tcPr>
          <w:p>
            <w:pPr>
              <w:jc w:val="center"/>
              <w:rPr>
                <w:rFonts w:ascii="仿宋_GB2312" w:hAnsi="宋体" w:eastAsia="仿宋_GB2312" w:cs="宋体"/>
                <w:color w:val="000000"/>
                <w:szCs w:val="21"/>
              </w:rPr>
            </w:pPr>
            <w:r>
              <w:rPr>
                <w:rFonts w:hint="eastAsia" w:ascii="仿宋_GB2312" w:hAnsi="宋体" w:eastAsia="仿宋_GB2312" w:cs="宋体"/>
                <w:color w:val="000000"/>
                <w:szCs w:val="21"/>
              </w:rPr>
              <w:t>实际完成指标值（包含数字及文字描述）</w:t>
            </w:r>
          </w:p>
        </w:tc>
        <w:tc>
          <w:tcPr>
            <w:tcW w:w="1005" w:type="dxa"/>
            <w:tcBorders>
              <w:top w:val="single" w:color="000000" w:sz="8" w:space="0"/>
              <w:left w:val="single" w:color="000000" w:sz="6" w:space="0"/>
              <w:bottom w:val="single" w:color="000000" w:sz="6" w:space="0"/>
              <w:right w:val="single" w:color="000000" w:sz="6" w:space="0"/>
            </w:tcBorders>
            <w:shd w:val="clear" w:color="auto" w:fill="auto"/>
            <w:vAlign w:val="center"/>
          </w:tcPr>
          <w:p>
            <w:pPr>
              <w:widowControl/>
              <w:spacing w:line="240" w:lineRule="exact"/>
              <w:jc w:val="center"/>
              <w:textAlignment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未完成原因及拟采取措施</w:t>
            </w:r>
          </w:p>
        </w:tc>
        <w:tc>
          <w:tcPr>
            <w:tcW w:w="0" w:type="auto"/>
            <w:tcBorders>
              <w:top w:val="single" w:color="000000" w:sz="8" w:space="0"/>
              <w:left w:val="single" w:color="000000" w:sz="6" w:space="0"/>
              <w:bottom w:val="single" w:color="000000" w:sz="6" w:space="0"/>
              <w:right w:val="single" w:color="000000" w:sz="6" w:space="0"/>
            </w:tcBorders>
            <w:shd w:val="clear" w:color="auto" w:fill="auto"/>
            <w:vAlign w:val="center"/>
          </w:tcPr>
          <w:p>
            <w:pPr>
              <w:jc w:val="center"/>
              <w:rPr>
                <w:rFonts w:ascii="仿宋_GB2312" w:hAnsi="宋体" w:eastAsia="仿宋_GB2312" w:cs="宋体"/>
                <w:color w:val="000000"/>
                <w:szCs w:val="21"/>
              </w:rPr>
            </w:pPr>
            <w:r>
              <w:rPr>
                <w:rFonts w:hint="eastAsia" w:ascii="仿宋_GB2312" w:hAnsi="宋体" w:eastAsia="仿宋_GB2312" w:cs="宋体"/>
                <w:color w:val="000000"/>
                <w:szCs w:val="21"/>
              </w:rPr>
              <w:t>自评得分</w:t>
            </w:r>
          </w:p>
        </w:tc>
        <w:tc>
          <w:tcPr>
            <w:tcW w:w="776" w:type="dxa"/>
            <w:tcBorders>
              <w:top w:val="single" w:color="000000" w:sz="8" w:space="0"/>
              <w:left w:val="single" w:color="000000" w:sz="6" w:space="0"/>
              <w:bottom w:val="single" w:color="000000" w:sz="6" w:space="0"/>
              <w:right w:val="single" w:color="000000" w:sz="8" w:space="0"/>
            </w:tcBorders>
            <w:shd w:val="clear" w:color="auto" w:fill="auto"/>
            <w:vAlign w:val="center"/>
          </w:tcPr>
          <w:p>
            <w:pPr>
              <w:widowControl/>
              <w:spacing w:line="240" w:lineRule="exact"/>
              <w:jc w:val="center"/>
              <w:textAlignment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财政复评得分</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restart"/>
            <w:tcBorders>
              <w:left w:val="single" w:color="000000" w:sz="6" w:space="0"/>
            </w:tcBorders>
            <w:shd w:val="clear" w:color="auto" w:fill="auto"/>
            <w:vAlign w:val="center"/>
          </w:tcPr>
          <w:p>
            <w:pPr>
              <w:widowControl/>
              <w:jc w:val="center"/>
              <w:textAlignment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经济</w:t>
            </w:r>
          </w:p>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效益</w:t>
            </w:r>
          </w:p>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指标</w:t>
            </w:r>
          </w:p>
        </w:tc>
        <w:tc>
          <w:tcPr>
            <w:tcW w:w="0" w:type="auto"/>
            <w:vMerge w:val="restart"/>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社会效益指标</w:t>
            </w:r>
          </w:p>
        </w:tc>
        <w:tc>
          <w:tcPr>
            <w:tcW w:w="0" w:type="auto"/>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尽早和尽多的发现病人，减少患者传播。</w:t>
            </w:r>
          </w:p>
        </w:tc>
        <w:tc>
          <w:tcPr>
            <w:tcW w:w="221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减低发病率，提高感染者和病人的生活质量</w:t>
            </w:r>
          </w:p>
        </w:tc>
        <w:tc>
          <w:tcPr>
            <w:tcW w:w="0" w:type="auto"/>
            <w:shd w:val="clear" w:color="auto" w:fill="auto"/>
            <w:vAlign w:val="center"/>
          </w:tcPr>
          <w:p>
            <w:pPr>
              <w:jc w:val="left"/>
              <w:rPr>
                <w:rFonts w:ascii="仿宋_GB2312" w:hAnsi="宋体" w:eastAsia="仿宋_GB2312" w:cs="宋体"/>
                <w:color w:val="000000"/>
                <w:szCs w:val="21"/>
              </w:rPr>
            </w:pPr>
          </w:p>
        </w:tc>
        <w:tc>
          <w:tcPr>
            <w:tcW w:w="1005"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jc w:val="left"/>
              <w:rPr>
                <w:rFonts w:ascii="仿宋_GB2312" w:hAnsi="宋体" w:eastAsia="仿宋_GB2312" w:cs="宋体"/>
                <w:color w:val="000000"/>
                <w:szCs w:val="21"/>
              </w:rPr>
            </w:pPr>
          </w:p>
        </w:tc>
        <w:tc>
          <w:tcPr>
            <w:tcW w:w="776" w:type="dxa"/>
            <w:shd w:val="clear" w:color="auto" w:fill="auto"/>
            <w:vAlign w:val="center"/>
          </w:tcPr>
          <w:p>
            <w:pPr>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vAlign w:val="center"/>
          </w:tcPr>
          <w:p>
            <w:pPr>
              <w:widowControl/>
              <w:jc w:val="center"/>
              <w:textAlignment w:val="center"/>
              <w:rPr>
                <w:rFonts w:ascii="仿宋_GB2312" w:hAnsi="宋体" w:eastAsia="仿宋_GB2312" w:cs="宋体"/>
                <w:color w:val="000000"/>
                <w:szCs w:val="21"/>
              </w:rPr>
            </w:pPr>
          </w:p>
        </w:tc>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规范治疗患者，消除传染病危害。保障患者和群众身体健康。</w:t>
            </w:r>
          </w:p>
        </w:tc>
        <w:tc>
          <w:tcPr>
            <w:tcW w:w="221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维护社会稳定</w:t>
            </w:r>
          </w:p>
        </w:tc>
        <w:tc>
          <w:tcPr>
            <w:tcW w:w="0" w:type="auto"/>
            <w:shd w:val="clear" w:color="auto" w:fill="auto"/>
            <w:vAlign w:val="center"/>
          </w:tcPr>
          <w:p>
            <w:pPr>
              <w:jc w:val="left"/>
              <w:rPr>
                <w:rFonts w:ascii="仿宋_GB2312" w:hAnsi="宋体" w:eastAsia="仿宋_GB2312" w:cs="宋体"/>
                <w:color w:val="000000"/>
                <w:szCs w:val="21"/>
              </w:rPr>
            </w:pPr>
          </w:p>
        </w:tc>
        <w:tc>
          <w:tcPr>
            <w:tcW w:w="1005"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jc w:val="left"/>
              <w:rPr>
                <w:rFonts w:ascii="仿宋_GB2312" w:hAnsi="宋体" w:eastAsia="仿宋_GB2312" w:cs="宋体"/>
                <w:color w:val="000000"/>
                <w:szCs w:val="21"/>
              </w:rPr>
            </w:pPr>
          </w:p>
        </w:tc>
        <w:tc>
          <w:tcPr>
            <w:tcW w:w="776" w:type="dxa"/>
            <w:shd w:val="clear" w:color="auto" w:fill="auto"/>
            <w:vAlign w:val="center"/>
          </w:tcPr>
          <w:p>
            <w:pPr>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预防接种服务质量得到提升，</w:t>
            </w:r>
          </w:p>
        </w:tc>
        <w:tc>
          <w:tcPr>
            <w:tcW w:w="221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无预防接种安全事故发生</w:t>
            </w:r>
          </w:p>
        </w:tc>
        <w:tc>
          <w:tcPr>
            <w:tcW w:w="0" w:type="auto"/>
            <w:shd w:val="clear" w:color="auto" w:fill="auto"/>
            <w:vAlign w:val="center"/>
          </w:tcPr>
          <w:p>
            <w:pPr>
              <w:jc w:val="left"/>
              <w:rPr>
                <w:rFonts w:ascii="仿宋_GB2312" w:hAnsi="宋体" w:eastAsia="仿宋_GB2312" w:cs="宋体"/>
                <w:color w:val="000000"/>
                <w:szCs w:val="21"/>
              </w:rPr>
            </w:pPr>
          </w:p>
        </w:tc>
        <w:tc>
          <w:tcPr>
            <w:tcW w:w="1005"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jc w:val="left"/>
              <w:rPr>
                <w:rFonts w:ascii="仿宋_GB2312" w:hAnsi="宋体" w:eastAsia="仿宋_GB2312" w:cs="宋体"/>
                <w:color w:val="000000"/>
                <w:szCs w:val="21"/>
              </w:rPr>
            </w:pPr>
          </w:p>
        </w:tc>
        <w:tc>
          <w:tcPr>
            <w:tcW w:w="776" w:type="dxa"/>
            <w:shd w:val="clear" w:color="auto" w:fill="auto"/>
            <w:vAlign w:val="center"/>
          </w:tcPr>
          <w:p>
            <w:pPr>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完成督导和培训，</w:t>
            </w:r>
          </w:p>
        </w:tc>
        <w:tc>
          <w:tcPr>
            <w:tcW w:w="2213" w:type="dxa"/>
            <w:shd w:val="clear" w:color="auto" w:fill="auto"/>
            <w:vAlign w:val="center"/>
          </w:tcPr>
          <w:p>
            <w:pPr>
              <w:widowControl/>
              <w:spacing w:line="24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提升医疗机构工作能力</w:t>
            </w:r>
          </w:p>
        </w:tc>
        <w:tc>
          <w:tcPr>
            <w:tcW w:w="0" w:type="auto"/>
            <w:shd w:val="clear" w:color="auto" w:fill="auto"/>
            <w:vAlign w:val="center"/>
          </w:tcPr>
          <w:p>
            <w:pPr>
              <w:jc w:val="left"/>
              <w:rPr>
                <w:rFonts w:ascii="仿宋_GB2312" w:hAnsi="宋体" w:eastAsia="仿宋_GB2312" w:cs="宋体"/>
                <w:color w:val="000000"/>
                <w:szCs w:val="21"/>
              </w:rPr>
            </w:pPr>
          </w:p>
        </w:tc>
        <w:tc>
          <w:tcPr>
            <w:tcW w:w="1005"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jc w:val="left"/>
              <w:rPr>
                <w:rFonts w:ascii="仿宋_GB2312" w:hAnsi="宋体" w:eastAsia="仿宋_GB2312" w:cs="宋体"/>
                <w:color w:val="000000"/>
                <w:szCs w:val="21"/>
              </w:rPr>
            </w:pPr>
          </w:p>
        </w:tc>
        <w:tc>
          <w:tcPr>
            <w:tcW w:w="776" w:type="dxa"/>
            <w:shd w:val="clear" w:color="auto" w:fill="auto"/>
            <w:vAlign w:val="center"/>
          </w:tcPr>
          <w:p>
            <w:pPr>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0" w:type="auto"/>
            <w:vMerge w:val="restart"/>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生态效益</w:t>
            </w:r>
          </w:p>
          <w:p>
            <w:pPr>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指标</w:t>
            </w:r>
          </w:p>
        </w:tc>
        <w:tc>
          <w:tcPr>
            <w:tcW w:w="0" w:type="auto"/>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通过治愈患者，</w:t>
            </w:r>
          </w:p>
        </w:tc>
        <w:tc>
          <w:tcPr>
            <w:tcW w:w="2213"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维护生态平衡</w:t>
            </w:r>
          </w:p>
        </w:tc>
        <w:tc>
          <w:tcPr>
            <w:tcW w:w="0" w:type="auto"/>
            <w:shd w:val="clear" w:color="auto" w:fill="auto"/>
            <w:vAlign w:val="center"/>
          </w:tcPr>
          <w:p>
            <w:pPr>
              <w:jc w:val="left"/>
              <w:rPr>
                <w:rFonts w:ascii="仿宋_GB2312" w:hAnsi="宋体" w:eastAsia="仿宋_GB2312" w:cs="宋体"/>
                <w:color w:val="000000"/>
                <w:szCs w:val="21"/>
              </w:rPr>
            </w:pPr>
          </w:p>
        </w:tc>
        <w:tc>
          <w:tcPr>
            <w:tcW w:w="1005"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jc w:val="left"/>
              <w:rPr>
                <w:rFonts w:ascii="仿宋_GB2312" w:hAnsi="宋体" w:eastAsia="仿宋_GB2312" w:cs="宋体"/>
                <w:color w:val="000000"/>
                <w:szCs w:val="21"/>
              </w:rPr>
            </w:pPr>
          </w:p>
        </w:tc>
        <w:tc>
          <w:tcPr>
            <w:tcW w:w="776" w:type="dxa"/>
            <w:shd w:val="clear" w:color="auto" w:fill="auto"/>
            <w:vAlign w:val="center"/>
          </w:tcPr>
          <w:p>
            <w:pPr>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0" w:type="auto"/>
            <w:vMerge w:val="continue"/>
            <w:shd w:val="clear" w:color="auto" w:fill="auto"/>
            <w:vAlign w:val="center"/>
          </w:tcPr>
          <w:p>
            <w:pPr>
              <w:widowControl/>
              <w:jc w:val="center"/>
              <w:textAlignment w:val="center"/>
              <w:rPr>
                <w:rFonts w:ascii="仿宋_GB2312" w:hAnsi="宋体" w:eastAsia="仿宋_GB2312" w:cs="宋体"/>
                <w:color w:val="000000"/>
                <w:szCs w:val="21"/>
              </w:rPr>
            </w:pPr>
          </w:p>
        </w:tc>
        <w:tc>
          <w:tcPr>
            <w:tcW w:w="0" w:type="auto"/>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对公共场所卫生，医疗机构消毒质量监测，</w:t>
            </w:r>
          </w:p>
        </w:tc>
        <w:tc>
          <w:tcPr>
            <w:tcW w:w="2213"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使生态效益与经济效益能达到统一。</w:t>
            </w:r>
          </w:p>
        </w:tc>
        <w:tc>
          <w:tcPr>
            <w:tcW w:w="0" w:type="auto"/>
            <w:shd w:val="clear" w:color="auto" w:fill="auto"/>
            <w:vAlign w:val="center"/>
          </w:tcPr>
          <w:p>
            <w:pPr>
              <w:jc w:val="left"/>
              <w:rPr>
                <w:rFonts w:ascii="仿宋_GB2312" w:hAnsi="宋体" w:eastAsia="仿宋_GB2312" w:cs="宋体"/>
                <w:color w:val="000000"/>
                <w:szCs w:val="21"/>
              </w:rPr>
            </w:pPr>
          </w:p>
        </w:tc>
        <w:tc>
          <w:tcPr>
            <w:tcW w:w="1005"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jc w:val="left"/>
              <w:rPr>
                <w:rFonts w:ascii="仿宋_GB2312" w:hAnsi="宋体" w:eastAsia="仿宋_GB2312" w:cs="宋体"/>
                <w:color w:val="000000"/>
                <w:szCs w:val="21"/>
              </w:rPr>
            </w:pPr>
          </w:p>
        </w:tc>
        <w:tc>
          <w:tcPr>
            <w:tcW w:w="776" w:type="dxa"/>
            <w:shd w:val="clear" w:color="auto" w:fill="auto"/>
            <w:vAlign w:val="center"/>
          </w:tcPr>
          <w:p>
            <w:pPr>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0" w:type="auto"/>
            <w:vMerge w:val="restart"/>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可持续影响指标</w:t>
            </w:r>
          </w:p>
        </w:tc>
        <w:tc>
          <w:tcPr>
            <w:tcW w:w="0" w:type="auto"/>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健康守门人作用和重大公共卫生服务水平</w:t>
            </w:r>
          </w:p>
        </w:tc>
        <w:tc>
          <w:tcPr>
            <w:tcW w:w="2213"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不断提升</w:t>
            </w:r>
          </w:p>
        </w:tc>
        <w:tc>
          <w:tcPr>
            <w:tcW w:w="0" w:type="auto"/>
            <w:shd w:val="clear" w:color="auto" w:fill="auto"/>
            <w:vAlign w:val="center"/>
          </w:tcPr>
          <w:p>
            <w:pPr>
              <w:jc w:val="left"/>
              <w:rPr>
                <w:rFonts w:ascii="仿宋_GB2312" w:hAnsi="宋体" w:eastAsia="仿宋_GB2312" w:cs="宋体"/>
                <w:color w:val="000000"/>
                <w:szCs w:val="21"/>
              </w:rPr>
            </w:pPr>
          </w:p>
        </w:tc>
        <w:tc>
          <w:tcPr>
            <w:tcW w:w="1005"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jc w:val="left"/>
              <w:rPr>
                <w:rFonts w:ascii="仿宋_GB2312" w:hAnsi="宋体" w:eastAsia="仿宋_GB2312" w:cs="宋体"/>
                <w:color w:val="000000"/>
                <w:szCs w:val="21"/>
              </w:rPr>
            </w:pPr>
          </w:p>
        </w:tc>
        <w:tc>
          <w:tcPr>
            <w:tcW w:w="776" w:type="dxa"/>
            <w:shd w:val="clear" w:color="auto" w:fill="auto"/>
            <w:vAlign w:val="center"/>
          </w:tcPr>
          <w:p>
            <w:pPr>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noWrap/>
            <w:vAlign w:val="center"/>
          </w:tcPr>
          <w:p>
            <w:pPr>
              <w:rPr>
                <w:rFonts w:ascii="仿宋_GB2312" w:hAnsi="宋体" w:eastAsia="仿宋_GB2312" w:cs="宋体"/>
                <w:color w:val="000000"/>
                <w:szCs w:val="21"/>
              </w:rPr>
            </w:pPr>
          </w:p>
        </w:tc>
        <w:tc>
          <w:tcPr>
            <w:tcW w:w="0" w:type="auto"/>
            <w:vMerge w:val="continue"/>
            <w:shd w:val="clear" w:color="auto" w:fill="auto"/>
            <w:vAlign w:val="center"/>
          </w:tcPr>
          <w:p>
            <w:pPr>
              <w:jc w:val="center"/>
              <w:rPr>
                <w:rFonts w:ascii="仿宋_GB2312" w:hAnsi="宋体" w:eastAsia="仿宋_GB2312" w:cs="宋体"/>
                <w:color w:val="000000"/>
                <w:szCs w:val="21"/>
              </w:rPr>
            </w:pPr>
          </w:p>
        </w:tc>
        <w:tc>
          <w:tcPr>
            <w:tcW w:w="0" w:type="auto"/>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推动疾控事业有序发展</w:t>
            </w:r>
          </w:p>
        </w:tc>
        <w:tc>
          <w:tcPr>
            <w:tcW w:w="2213" w:type="dxa"/>
            <w:shd w:val="clear" w:color="auto" w:fill="FFFFFF"/>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不断提升疾病防控能力和应急处置能力。</w:t>
            </w:r>
          </w:p>
        </w:tc>
        <w:tc>
          <w:tcPr>
            <w:tcW w:w="0" w:type="auto"/>
            <w:shd w:val="clear" w:color="auto" w:fill="auto"/>
            <w:vAlign w:val="center"/>
          </w:tcPr>
          <w:p>
            <w:pPr>
              <w:jc w:val="left"/>
              <w:rPr>
                <w:rFonts w:ascii="仿宋_GB2312" w:hAnsi="宋体" w:eastAsia="仿宋_GB2312" w:cs="宋体"/>
                <w:color w:val="000000"/>
                <w:szCs w:val="21"/>
              </w:rPr>
            </w:pPr>
          </w:p>
        </w:tc>
        <w:tc>
          <w:tcPr>
            <w:tcW w:w="1005" w:type="dxa"/>
            <w:shd w:val="clear" w:color="auto" w:fill="auto"/>
            <w:vAlign w:val="center"/>
          </w:tcPr>
          <w:p>
            <w:pPr>
              <w:jc w:val="left"/>
              <w:rPr>
                <w:rFonts w:ascii="仿宋_GB2312" w:hAnsi="宋体" w:eastAsia="仿宋_GB2312" w:cs="宋体"/>
                <w:color w:val="000000"/>
                <w:szCs w:val="21"/>
              </w:rPr>
            </w:pPr>
          </w:p>
        </w:tc>
        <w:tc>
          <w:tcPr>
            <w:tcW w:w="0" w:type="auto"/>
            <w:shd w:val="clear" w:color="auto" w:fill="auto"/>
            <w:vAlign w:val="center"/>
          </w:tcPr>
          <w:p>
            <w:pPr>
              <w:jc w:val="left"/>
              <w:rPr>
                <w:rFonts w:ascii="仿宋_GB2312" w:hAnsi="宋体" w:eastAsia="仿宋_GB2312" w:cs="宋体"/>
                <w:color w:val="000000"/>
                <w:szCs w:val="21"/>
              </w:rPr>
            </w:pPr>
          </w:p>
        </w:tc>
        <w:tc>
          <w:tcPr>
            <w:tcW w:w="776" w:type="dxa"/>
            <w:shd w:val="clear" w:color="auto" w:fill="auto"/>
            <w:vAlign w:val="center"/>
          </w:tcPr>
          <w:p>
            <w:pPr>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restart"/>
            <w:tcBorders>
              <w:left w:val="single" w:color="000000" w:sz="6" w:space="0"/>
            </w:tcBorders>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满意度指标</w:t>
            </w:r>
          </w:p>
        </w:tc>
        <w:tc>
          <w:tcPr>
            <w:tcW w:w="0" w:type="auto"/>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服务对象</w:t>
            </w:r>
          </w:p>
        </w:tc>
        <w:tc>
          <w:tcPr>
            <w:tcW w:w="0" w:type="auto"/>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疾病服务对象满意度</w:t>
            </w:r>
          </w:p>
        </w:tc>
        <w:tc>
          <w:tcPr>
            <w:tcW w:w="2213"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　≥90%</w:t>
            </w:r>
          </w:p>
        </w:tc>
        <w:tc>
          <w:tcPr>
            <w:tcW w:w="0" w:type="auto"/>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92.50%</w:t>
            </w:r>
          </w:p>
        </w:tc>
        <w:tc>
          <w:tcPr>
            <w:tcW w:w="1005"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jc w:val="left"/>
              <w:rPr>
                <w:rFonts w:ascii="仿宋_GB2312" w:hAnsi="宋体" w:eastAsia="仿宋_GB2312" w:cs="宋体"/>
                <w:color w:val="000000"/>
                <w:szCs w:val="21"/>
              </w:rPr>
            </w:pPr>
          </w:p>
        </w:tc>
        <w:tc>
          <w:tcPr>
            <w:tcW w:w="776" w:type="dxa"/>
            <w:shd w:val="clear" w:color="auto" w:fill="auto"/>
            <w:vAlign w:val="center"/>
          </w:tcPr>
          <w:p>
            <w:pPr>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0" w:type="auto"/>
            <w:vMerge w:val="continue"/>
            <w:tcBorders>
              <w:left w:val="single" w:color="000000" w:sz="8" w:space="0"/>
              <w:righ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vMerge w:val="continue"/>
            <w:tcBorders>
              <w:left w:val="single" w:color="000000" w:sz="6" w:space="0"/>
            </w:tcBorders>
            <w:shd w:val="clear" w:color="auto" w:fill="auto"/>
            <w:vAlign w:val="center"/>
          </w:tcPr>
          <w:p>
            <w:pPr>
              <w:jc w:val="center"/>
              <w:rPr>
                <w:rFonts w:ascii="仿宋_GB2312" w:hAnsi="宋体" w:eastAsia="仿宋_GB2312" w:cs="宋体"/>
                <w:color w:val="000000"/>
                <w:szCs w:val="21"/>
              </w:rPr>
            </w:pPr>
          </w:p>
        </w:tc>
        <w:tc>
          <w:tcPr>
            <w:tcW w:w="0" w:type="auto"/>
            <w:shd w:val="clear" w:color="auto" w:fill="auto"/>
            <w:vAlign w:val="center"/>
          </w:tcPr>
          <w:p>
            <w:pPr>
              <w:widowControl/>
              <w:jc w:val="center"/>
              <w:textAlignment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满意度</w:t>
            </w:r>
          </w:p>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指标</w:t>
            </w:r>
          </w:p>
        </w:tc>
        <w:tc>
          <w:tcPr>
            <w:tcW w:w="0" w:type="auto"/>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医疗机构满意度</w:t>
            </w:r>
          </w:p>
        </w:tc>
        <w:tc>
          <w:tcPr>
            <w:tcW w:w="2213"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　≥90%</w:t>
            </w:r>
          </w:p>
        </w:tc>
        <w:tc>
          <w:tcPr>
            <w:tcW w:w="0" w:type="auto"/>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98%</w:t>
            </w:r>
          </w:p>
        </w:tc>
        <w:tc>
          <w:tcPr>
            <w:tcW w:w="1005" w:type="dxa"/>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完成</w:t>
            </w:r>
          </w:p>
        </w:tc>
        <w:tc>
          <w:tcPr>
            <w:tcW w:w="0" w:type="auto"/>
            <w:shd w:val="clear" w:color="auto" w:fill="auto"/>
            <w:vAlign w:val="center"/>
          </w:tcPr>
          <w:p>
            <w:pPr>
              <w:jc w:val="left"/>
              <w:rPr>
                <w:rFonts w:ascii="仿宋_GB2312" w:hAnsi="宋体" w:eastAsia="仿宋_GB2312" w:cs="宋体"/>
                <w:color w:val="000000"/>
                <w:szCs w:val="21"/>
              </w:rPr>
            </w:pPr>
          </w:p>
        </w:tc>
        <w:tc>
          <w:tcPr>
            <w:tcW w:w="776" w:type="dxa"/>
            <w:shd w:val="clear" w:color="auto" w:fill="auto"/>
            <w:vAlign w:val="center"/>
          </w:tcPr>
          <w:p>
            <w:pPr>
              <w:jc w:val="left"/>
              <w:rPr>
                <w:rFonts w:ascii="仿宋_GB2312" w:hAnsi="宋体"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0" w:type="auto"/>
            <w:shd w:val="clear" w:color="auto" w:fill="auto"/>
            <w:vAlign w:val="center"/>
          </w:tcPr>
          <w:p>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说明</w:t>
            </w:r>
          </w:p>
        </w:tc>
        <w:tc>
          <w:tcPr>
            <w:tcW w:w="12305" w:type="dxa"/>
            <w:gridSpan w:val="6"/>
            <w:shd w:val="clear" w:color="auto" w:fill="auto"/>
            <w:vAlign w:val="center"/>
          </w:tcPr>
          <w:p>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无。</w:t>
            </w:r>
          </w:p>
        </w:tc>
        <w:tc>
          <w:tcPr>
            <w:tcW w:w="0" w:type="auto"/>
            <w:shd w:val="clear" w:color="auto" w:fill="auto"/>
            <w:vAlign w:val="center"/>
          </w:tcPr>
          <w:p>
            <w:pPr>
              <w:jc w:val="left"/>
              <w:rPr>
                <w:rFonts w:ascii="仿宋_GB2312" w:hAnsi="宋体" w:eastAsia="仿宋_GB2312" w:cs="宋体"/>
                <w:color w:val="000000"/>
                <w:szCs w:val="21"/>
              </w:rPr>
            </w:pPr>
          </w:p>
        </w:tc>
        <w:tc>
          <w:tcPr>
            <w:tcW w:w="776" w:type="dxa"/>
            <w:shd w:val="clear" w:color="auto" w:fill="auto"/>
            <w:vAlign w:val="center"/>
          </w:tcPr>
          <w:p>
            <w:pPr>
              <w:jc w:val="left"/>
              <w:rPr>
                <w:rFonts w:ascii="仿宋_GB2312" w:hAnsi="宋体" w:eastAsia="仿宋_GB2312" w:cs="宋体"/>
                <w:color w:val="000000"/>
                <w:szCs w:val="21"/>
              </w:rPr>
            </w:pPr>
          </w:p>
        </w:tc>
      </w:tr>
    </w:tbl>
    <w:p>
      <w:pPr>
        <w:tabs>
          <w:tab w:val="left" w:pos="12960"/>
          <w:tab w:val="left" w:pos="13791"/>
        </w:tabs>
        <w:ind w:left="93"/>
        <w:jc w:val="left"/>
        <w:rPr>
          <w:rFonts w:ascii="仿宋_GB2312" w:hAnsi="宋体" w:eastAsia="仿宋_GB2312" w:cs="宋体"/>
          <w:color w:val="000000"/>
          <w:szCs w:val="21"/>
        </w:rPr>
      </w:pPr>
      <w:r>
        <w:rPr>
          <w:rFonts w:hint="eastAsia" w:ascii="仿宋_GB2312" w:hAnsi="宋体" w:eastAsia="仿宋_GB2312" w:cs="宋体"/>
          <w:color w:val="000000"/>
          <w:kern w:val="0"/>
          <w:szCs w:val="21"/>
        </w:rPr>
        <w:t>注：1.其他资金包括与中央财政资金、地方财政资金共同投入到同一项目的自有资金、社会资金，以及以前年度的结转结余资金等。</w:t>
      </w:r>
      <w:r>
        <w:rPr>
          <w:rFonts w:hint="eastAsia" w:ascii="仿宋_GB2312" w:hAnsi="宋体" w:eastAsia="仿宋_GB2312" w:cs="宋体"/>
          <w:color w:val="000000"/>
          <w:szCs w:val="21"/>
        </w:rPr>
        <w:tab/>
      </w:r>
      <w:r>
        <w:rPr>
          <w:rFonts w:hint="eastAsia" w:ascii="仿宋_GB2312" w:hAnsi="宋体" w:eastAsia="仿宋_GB2312" w:cs="宋体"/>
          <w:color w:val="000000"/>
          <w:szCs w:val="21"/>
        </w:rPr>
        <w:tab/>
      </w:r>
    </w:p>
    <w:p>
      <w:pPr>
        <w:tabs>
          <w:tab w:val="left" w:pos="12960"/>
          <w:tab w:val="left" w:pos="13791"/>
        </w:tabs>
        <w:ind w:left="93"/>
        <w:jc w:val="left"/>
        <w:rPr>
          <w:rFonts w:ascii="仿宋_GB2312" w:hAnsi="宋体" w:eastAsia="仿宋_GB2312" w:cs="宋体"/>
          <w:color w:val="000000"/>
          <w:szCs w:val="21"/>
        </w:rPr>
      </w:pPr>
      <w:r>
        <w:rPr>
          <w:rStyle w:val="48"/>
          <w:rFonts w:hint="default" w:ascii="仿宋_GB2312" w:eastAsia="仿宋_GB2312"/>
          <w:sz w:val="21"/>
          <w:szCs w:val="21"/>
        </w:rPr>
        <w:t xml:space="preserve">    2.定量指标，地方各级主管部门对资金使用单位填写的实际完成值汇总时，绝对值直接累加计算，相对值按照资金额度加权平均计算。</w:t>
      </w:r>
      <w:r>
        <w:rPr>
          <w:rFonts w:hint="eastAsia" w:ascii="仿宋_GB2312" w:hAnsi="宋体" w:eastAsia="仿宋_GB2312" w:cs="宋体"/>
          <w:color w:val="000000"/>
          <w:szCs w:val="21"/>
        </w:rPr>
        <w:tab/>
      </w:r>
      <w:r>
        <w:rPr>
          <w:rFonts w:hint="eastAsia" w:ascii="仿宋_GB2312" w:hAnsi="宋体" w:eastAsia="仿宋_GB2312" w:cs="宋体"/>
          <w:color w:val="000000"/>
          <w:szCs w:val="21"/>
        </w:rPr>
        <w:tab/>
      </w:r>
    </w:p>
    <w:p>
      <w:pPr>
        <w:tabs>
          <w:tab w:val="left" w:pos="12960"/>
          <w:tab w:val="left" w:pos="13791"/>
        </w:tabs>
        <w:ind w:left="93"/>
        <w:jc w:val="left"/>
        <w:rPr>
          <w:rFonts w:ascii="仿宋_GB2312" w:hAnsi="宋体" w:eastAsia="仿宋_GB2312" w:cs="宋体"/>
          <w:color w:val="000000"/>
          <w:szCs w:val="21"/>
        </w:rPr>
      </w:pPr>
      <w:r>
        <w:rPr>
          <w:rStyle w:val="48"/>
          <w:rFonts w:hint="default" w:ascii="仿宋_GB2312" w:eastAsia="仿宋_GB2312"/>
          <w:sz w:val="21"/>
          <w:szCs w:val="21"/>
        </w:rPr>
        <w:t xml:space="preserve">    3.定性指标。资金使用单位分别按照100%-80%（含）、80%-60%（含）、60-0%合理填写实际完成值，地方各级主管部门汇总时，按照资金额度加权平均计算。</w:t>
      </w:r>
      <w:r>
        <w:rPr>
          <w:rFonts w:hint="eastAsia" w:ascii="仿宋_GB2312" w:hAnsi="宋体" w:eastAsia="仿宋_GB2312" w:cs="宋体"/>
          <w:color w:val="000000"/>
          <w:szCs w:val="21"/>
        </w:rPr>
        <w:tab/>
      </w:r>
      <w:r>
        <w:rPr>
          <w:rFonts w:hint="eastAsia" w:ascii="仿宋_GB2312" w:hAnsi="宋体" w:eastAsia="仿宋_GB2312" w:cs="宋体"/>
          <w:color w:val="000000"/>
          <w:szCs w:val="21"/>
        </w:rPr>
        <w:tab/>
      </w:r>
    </w:p>
    <w:p>
      <w:pPr>
        <w:tabs>
          <w:tab w:val="left" w:pos="12960"/>
          <w:tab w:val="left" w:pos="13791"/>
        </w:tabs>
        <w:ind w:left="93"/>
        <w:jc w:val="left"/>
        <w:rPr>
          <w:rFonts w:ascii="仿宋_GB2312" w:hAnsi="宋体" w:eastAsia="仿宋_GB2312" w:cs="宋体"/>
          <w:color w:val="000000"/>
          <w:szCs w:val="21"/>
        </w:rPr>
      </w:pPr>
      <w:r>
        <w:rPr>
          <w:rStyle w:val="48"/>
          <w:rFonts w:hint="default" w:ascii="仿宋_GB2312" w:eastAsia="仿宋_GB2312"/>
          <w:sz w:val="21"/>
          <w:szCs w:val="21"/>
        </w:rPr>
        <w:t xml:space="preserve">    4.全年执行数是指按照国库集中支付制度要求，支付到商品和劳务供应者或者用款单位形成的实际支出。</w:t>
      </w:r>
      <w:r>
        <w:rPr>
          <w:rFonts w:hint="eastAsia" w:ascii="仿宋_GB2312" w:hAnsi="宋体" w:eastAsia="仿宋_GB2312" w:cs="宋体"/>
          <w:color w:val="000000"/>
          <w:szCs w:val="21"/>
        </w:rPr>
        <w:tab/>
      </w:r>
      <w:r>
        <w:rPr>
          <w:rFonts w:hint="eastAsia" w:ascii="仿宋_GB2312" w:hAnsi="宋体" w:eastAsia="仿宋_GB2312" w:cs="宋体"/>
          <w:color w:val="000000"/>
          <w:szCs w:val="21"/>
        </w:rPr>
        <w:tab/>
      </w:r>
    </w:p>
    <w:p>
      <w:pPr>
        <w:tabs>
          <w:tab w:val="left" w:pos="12960"/>
          <w:tab w:val="left" w:pos="13791"/>
        </w:tabs>
        <w:ind w:left="93"/>
        <w:jc w:val="left"/>
        <w:rPr>
          <w:rFonts w:ascii="仿宋_GB2312" w:hAnsi="宋体" w:eastAsia="仿宋_GB2312" w:cs="宋体"/>
          <w:color w:val="000000"/>
          <w:szCs w:val="21"/>
        </w:rPr>
      </w:pPr>
      <w:r>
        <w:rPr>
          <w:rStyle w:val="48"/>
          <w:rFonts w:hint="default" w:ascii="仿宋_GB2312" w:eastAsia="仿宋_GB2312"/>
          <w:sz w:val="21"/>
          <w:szCs w:val="21"/>
        </w:rPr>
        <w:t xml:space="preserve">    5.资金使用单位按项目填报，主管部门和财政部门汇总时按区域绩效目标填报。</w:t>
      </w:r>
      <w:r>
        <w:rPr>
          <w:rFonts w:hint="eastAsia" w:ascii="仿宋_GB2312" w:hAnsi="宋体" w:eastAsia="仿宋_GB2312" w:cs="宋体"/>
          <w:color w:val="000000"/>
          <w:szCs w:val="21"/>
        </w:rPr>
        <w:tab/>
      </w:r>
      <w:r>
        <w:rPr>
          <w:rFonts w:hint="eastAsia" w:ascii="仿宋_GB2312" w:hAnsi="宋体" w:eastAsia="仿宋_GB2312" w:cs="宋体"/>
          <w:color w:val="000000"/>
          <w:szCs w:val="21"/>
        </w:rPr>
        <w:tab/>
      </w:r>
    </w:p>
    <w:p>
      <w:pPr>
        <w:pStyle w:val="15"/>
        <w:spacing w:after="0" w:line="560" w:lineRule="exact"/>
        <w:ind w:left="0" w:leftChars="0" w:firstLine="0" w:firstLineChars="0"/>
        <w:rPr>
          <w:rFonts w:hAnsi="仿宋_GB2312" w:eastAsia="仿宋_GB2312" w:cs="仿宋_GB2312"/>
          <w:sz w:val="32"/>
          <w:lang w:val="zh-CN"/>
        </w:rPr>
      </w:pPr>
      <w:r>
        <w:rPr>
          <w:rFonts w:hint="eastAsia" w:hAnsi="仿宋_GB2312" w:eastAsia="仿宋_GB2312" w:cs="仿宋_GB2312"/>
          <w:sz w:val="32"/>
          <w:lang w:val="zh-CN"/>
        </w:rPr>
        <w:t>附件6</w:t>
      </w:r>
      <w:r>
        <w:rPr>
          <w:rFonts w:hAnsi="仿宋_GB2312" w:eastAsia="仿宋_GB2312" w:cs="仿宋_GB2312"/>
          <w:sz w:val="32"/>
          <w:lang w:val="zh-CN"/>
        </w:rPr>
        <w:tab/>
      </w:r>
      <w:r>
        <w:rPr>
          <w:rFonts w:hAnsi="仿宋_GB2312" w:eastAsia="仿宋_GB2312" w:cs="仿宋_GB2312"/>
          <w:sz w:val="32"/>
          <w:lang w:val="zh-CN"/>
        </w:rPr>
        <w:tab/>
      </w:r>
      <w:r>
        <w:rPr>
          <w:rFonts w:hAnsi="仿宋_GB2312" w:eastAsia="仿宋_GB2312" w:cs="仿宋_GB2312"/>
          <w:sz w:val="32"/>
          <w:lang w:val="zh-CN"/>
        </w:rPr>
        <w:tab/>
      </w:r>
      <w:r>
        <w:rPr>
          <w:rFonts w:hAnsi="仿宋_GB2312" w:eastAsia="仿宋_GB2312" w:cs="仿宋_GB2312"/>
          <w:sz w:val="32"/>
          <w:lang w:val="zh-CN"/>
        </w:rPr>
        <w:tab/>
      </w:r>
      <w:r>
        <w:rPr>
          <w:rFonts w:hAnsi="仿宋_GB2312" w:eastAsia="仿宋_GB2312" w:cs="仿宋_GB2312"/>
          <w:sz w:val="32"/>
          <w:lang w:val="zh-CN"/>
        </w:rPr>
        <w:tab/>
      </w:r>
      <w:r>
        <w:rPr>
          <w:rFonts w:hAnsi="仿宋_GB2312" w:eastAsia="仿宋_GB2312" w:cs="仿宋_GB2312"/>
          <w:sz w:val="32"/>
          <w:lang w:val="zh-CN"/>
        </w:rPr>
        <w:tab/>
      </w:r>
      <w:r>
        <w:rPr>
          <w:rFonts w:hAnsi="仿宋_GB2312" w:eastAsia="仿宋_GB2312" w:cs="仿宋_GB2312"/>
          <w:sz w:val="32"/>
          <w:lang w:val="zh-CN"/>
        </w:rPr>
        <w:tab/>
      </w:r>
    </w:p>
    <w:p>
      <w:pPr>
        <w:widowControl/>
        <w:spacing w:line="560" w:lineRule="exact"/>
        <w:ind w:left="93"/>
        <w:jc w:val="center"/>
        <w:textAlignment w:val="center"/>
        <w:rPr>
          <w:rFonts w:ascii="方正小标宋简体" w:hAnsi="宋体" w:eastAsia="方正小标宋简体" w:cs="宋体"/>
          <w:b/>
          <w:bCs/>
          <w:color w:val="000000"/>
          <w:kern w:val="0"/>
          <w:sz w:val="36"/>
          <w:szCs w:val="36"/>
        </w:rPr>
      </w:pPr>
      <w:r>
        <w:rPr>
          <w:rFonts w:hint="eastAsia" w:ascii="方正小标宋简体" w:hAnsi="宋体" w:eastAsia="方正小标宋简体" w:cs="宋体"/>
          <w:b/>
          <w:bCs/>
          <w:color w:val="000000"/>
          <w:kern w:val="0"/>
          <w:sz w:val="36"/>
          <w:szCs w:val="36"/>
        </w:rPr>
        <w:t xml:space="preserve">基本药物制度转移支付区域（项目）绩效目标自评表 </w:t>
      </w:r>
    </w:p>
    <w:p>
      <w:pPr>
        <w:widowControl/>
        <w:spacing w:line="560" w:lineRule="exact"/>
        <w:ind w:left="93"/>
        <w:jc w:val="center"/>
        <w:textAlignment w:val="center"/>
      </w:pPr>
      <w:r>
        <w:rPr>
          <w:rFonts w:hint="eastAsia" w:ascii="方正小标宋简体" w:hAnsi="宋体" w:eastAsia="方正小标宋简体" w:cs="宋体"/>
          <w:b/>
          <w:bCs/>
          <w:color w:val="000000"/>
          <w:kern w:val="0"/>
          <w:sz w:val="36"/>
          <w:szCs w:val="36"/>
        </w:rPr>
        <w:t>（2022年度）</w:t>
      </w:r>
    </w:p>
    <w:tbl>
      <w:tblPr>
        <w:tblStyle w:val="16"/>
        <w:tblW w:w="13977" w:type="dxa"/>
        <w:tblInd w:w="93" w:type="dxa"/>
        <w:tblLayout w:type="autofit"/>
        <w:tblCellMar>
          <w:top w:w="0" w:type="dxa"/>
          <w:left w:w="108" w:type="dxa"/>
          <w:bottom w:w="0" w:type="dxa"/>
          <w:right w:w="108" w:type="dxa"/>
        </w:tblCellMar>
      </w:tblPr>
      <w:tblGrid>
        <w:gridCol w:w="866"/>
        <w:gridCol w:w="976"/>
        <w:gridCol w:w="1324"/>
        <w:gridCol w:w="2012"/>
        <w:gridCol w:w="2492"/>
        <w:gridCol w:w="1778"/>
        <w:gridCol w:w="1844"/>
        <w:gridCol w:w="2685"/>
      </w:tblGrid>
      <w:tr>
        <w:tblPrEx>
          <w:tblCellMar>
            <w:top w:w="0" w:type="dxa"/>
            <w:left w:w="108" w:type="dxa"/>
            <w:bottom w:w="0" w:type="dxa"/>
            <w:right w:w="108" w:type="dxa"/>
          </w:tblCellMar>
        </w:tblPrEx>
        <w:trPr>
          <w:cantSplit/>
          <w:trHeight w:val="227" w:hRule="atLeast"/>
        </w:trPr>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转移支付（项目）名称</w:t>
            </w:r>
          </w:p>
        </w:tc>
        <w:tc>
          <w:tcPr>
            <w:tcW w:w="108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2022年基本药物制度服务项目</w:t>
            </w:r>
          </w:p>
        </w:tc>
      </w:tr>
      <w:tr>
        <w:tblPrEx>
          <w:tblCellMar>
            <w:top w:w="0" w:type="dxa"/>
            <w:left w:w="108" w:type="dxa"/>
            <w:bottom w:w="0" w:type="dxa"/>
            <w:right w:w="108" w:type="dxa"/>
          </w:tblCellMar>
        </w:tblPrEx>
        <w:trPr>
          <w:cantSplit/>
          <w:trHeight w:val="227" w:hRule="atLeast"/>
        </w:trPr>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中央主管部门</w:t>
            </w:r>
          </w:p>
        </w:tc>
        <w:tc>
          <w:tcPr>
            <w:tcW w:w="108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国家卫生健康委</w:t>
            </w:r>
          </w:p>
        </w:tc>
      </w:tr>
      <w:tr>
        <w:tblPrEx>
          <w:tblCellMar>
            <w:top w:w="0" w:type="dxa"/>
            <w:left w:w="108" w:type="dxa"/>
            <w:bottom w:w="0" w:type="dxa"/>
            <w:right w:w="108" w:type="dxa"/>
          </w:tblCellMar>
        </w:tblPrEx>
        <w:trPr>
          <w:cantSplit/>
          <w:trHeight w:val="227" w:hRule="atLeast"/>
        </w:trPr>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地方主管部门</w:t>
            </w:r>
          </w:p>
        </w:tc>
        <w:tc>
          <w:tcPr>
            <w:tcW w:w="4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剑阁县卫生健康局</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资金使用单位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剑阁县卫生健康局</w:t>
            </w:r>
          </w:p>
        </w:tc>
      </w:tr>
      <w:tr>
        <w:tblPrEx>
          <w:tblCellMar>
            <w:top w:w="0" w:type="dxa"/>
            <w:left w:w="108" w:type="dxa"/>
            <w:bottom w:w="0" w:type="dxa"/>
            <w:right w:w="108" w:type="dxa"/>
          </w:tblCellMar>
        </w:tblPrEx>
        <w:trPr>
          <w:cantSplit/>
          <w:trHeight w:val="227" w:hRule="atLeast"/>
        </w:trPr>
        <w:tc>
          <w:tcPr>
            <w:tcW w:w="316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项目资金</w:t>
            </w:r>
          </w:p>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rPr>
                <w:rFonts w:ascii="仿宋_GB2312" w:hAnsi="宋体" w:eastAsia="仿宋_GB2312" w:cs="宋体"/>
                <w:color w:val="000000"/>
                <w:szCs w:val="21"/>
              </w:rPr>
            </w:pP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全年预算数（A）</w:t>
            </w:r>
          </w:p>
        </w:tc>
        <w:tc>
          <w:tcPr>
            <w:tcW w:w="3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全年执行数（B）</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预算执行率（B/A)</w:t>
            </w:r>
          </w:p>
        </w:tc>
      </w:tr>
      <w:tr>
        <w:tblPrEx>
          <w:tblCellMar>
            <w:top w:w="0" w:type="dxa"/>
            <w:left w:w="108" w:type="dxa"/>
            <w:bottom w:w="0" w:type="dxa"/>
            <w:right w:w="108" w:type="dxa"/>
          </w:tblCellMar>
        </w:tblPrEx>
        <w:trPr>
          <w:cantSplit/>
          <w:trHeight w:val="227" w:hRule="atLeast"/>
        </w:trPr>
        <w:tc>
          <w:tcPr>
            <w:tcW w:w="31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年度资金总额：</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959.06</w:t>
            </w:r>
          </w:p>
        </w:tc>
        <w:tc>
          <w:tcPr>
            <w:tcW w:w="3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959.06</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r>
      <w:tr>
        <w:tblPrEx>
          <w:tblCellMar>
            <w:top w:w="0" w:type="dxa"/>
            <w:left w:w="108" w:type="dxa"/>
            <w:bottom w:w="0" w:type="dxa"/>
            <w:right w:w="108" w:type="dxa"/>
          </w:tblCellMar>
        </w:tblPrEx>
        <w:trPr>
          <w:cantSplit/>
          <w:trHeight w:val="227" w:hRule="atLeast"/>
        </w:trPr>
        <w:tc>
          <w:tcPr>
            <w:tcW w:w="31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 xml:space="preserve"> 其中：中央财政资金</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505.3</w:t>
            </w:r>
          </w:p>
        </w:tc>
        <w:tc>
          <w:tcPr>
            <w:tcW w:w="3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505.3</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r>
      <w:tr>
        <w:tblPrEx>
          <w:tblCellMar>
            <w:top w:w="0" w:type="dxa"/>
            <w:left w:w="108" w:type="dxa"/>
            <w:bottom w:w="0" w:type="dxa"/>
            <w:right w:w="108" w:type="dxa"/>
          </w:tblCellMar>
        </w:tblPrEx>
        <w:trPr>
          <w:cantSplit/>
          <w:trHeight w:val="227" w:hRule="atLeast"/>
        </w:trPr>
        <w:tc>
          <w:tcPr>
            <w:tcW w:w="31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 xml:space="preserve">       地方资金</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262.86</w:t>
            </w:r>
          </w:p>
        </w:tc>
        <w:tc>
          <w:tcPr>
            <w:tcW w:w="3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262.86</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r>
      <w:tr>
        <w:tblPrEx>
          <w:tblCellMar>
            <w:top w:w="0" w:type="dxa"/>
            <w:left w:w="108" w:type="dxa"/>
            <w:bottom w:w="0" w:type="dxa"/>
            <w:right w:w="108" w:type="dxa"/>
          </w:tblCellMar>
        </w:tblPrEx>
        <w:trPr>
          <w:cantSplit/>
          <w:trHeight w:val="227" w:hRule="atLeast"/>
        </w:trPr>
        <w:tc>
          <w:tcPr>
            <w:tcW w:w="31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 xml:space="preserve">        其他资金（市县）</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190.9</w:t>
            </w:r>
          </w:p>
        </w:tc>
        <w:tc>
          <w:tcPr>
            <w:tcW w:w="3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190.9</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r>
      <w:tr>
        <w:tblPrEx>
          <w:tblCellMar>
            <w:top w:w="0" w:type="dxa"/>
            <w:left w:w="108" w:type="dxa"/>
            <w:bottom w:w="0" w:type="dxa"/>
            <w:right w:w="108" w:type="dxa"/>
          </w:tblCellMar>
        </w:tblPrEx>
        <w:trPr>
          <w:cantSplit/>
          <w:trHeight w:val="227"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总体目标完成情况</w:t>
            </w:r>
          </w:p>
        </w:tc>
        <w:tc>
          <w:tcPr>
            <w:tcW w:w="68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总体目标</w:t>
            </w:r>
          </w:p>
        </w:tc>
        <w:tc>
          <w:tcPr>
            <w:tcW w:w="63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全年实际完成情况</w:t>
            </w:r>
          </w:p>
        </w:tc>
      </w:tr>
      <w:tr>
        <w:tblPrEx>
          <w:tblCellMar>
            <w:top w:w="0" w:type="dxa"/>
            <w:left w:w="108" w:type="dxa"/>
            <w:bottom w:w="0" w:type="dxa"/>
            <w:right w:w="108" w:type="dxa"/>
          </w:tblCellMar>
        </w:tblPrEx>
        <w:trPr>
          <w:cantSplit/>
          <w:trHeight w:val="227"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68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目标1：保证所有政府办基层医疗卫生机构实施国家基本药物制度，推进综合改革顺利进行。</w:t>
            </w:r>
          </w:p>
          <w:p>
            <w:pPr>
              <w:widowControl/>
              <w:spacing w:line="22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目标2：对实施基本药物制度的村卫生室给予补助，支持国家基本药物制度在村卫生室顺利实施。</w:t>
            </w:r>
          </w:p>
        </w:tc>
        <w:tc>
          <w:tcPr>
            <w:tcW w:w="63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 xml:space="preserve">   推进基层医疗卫生机构综合改革，保证所有政府办基层医疗卫生机构实施国家基本药物制度，对实施基本药物制度的村卫生室给予补助。</w:t>
            </w:r>
          </w:p>
        </w:tc>
      </w:tr>
      <w:tr>
        <w:tblPrEx>
          <w:tblCellMar>
            <w:top w:w="0" w:type="dxa"/>
            <w:left w:w="108" w:type="dxa"/>
            <w:bottom w:w="0" w:type="dxa"/>
            <w:right w:w="108" w:type="dxa"/>
          </w:tblCellMar>
        </w:tblPrEx>
        <w:trPr>
          <w:cantSplit/>
          <w:trHeight w:val="227"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一级</w:t>
            </w:r>
          </w:p>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二级指标</w:t>
            </w:r>
          </w:p>
        </w:tc>
        <w:tc>
          <w:tcPr>
            <w:tcW w:w="4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三级指标</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全年实际完成值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未完成原因和改进措施</w:t>
            </w:r>
          </w:p>
        </w:tc>
      </w:tr>
      <w:tr>
        <w:tblPrEx>
          <w:tblCellMar>
            <w:top w:w="0" w:type="dxa"/>
            <w:left w:w="108" w:type="dxa"/>
            <w:bottom w:w="0" w:type="dxa"/>
            <w:right w:w="108" w:type="dxa"/>
          </w:tblCellMar>
        </w:tblPrEx>
        <w:trPr>
          <w:cantSplit/>
          <w:trHeight w:val="227"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20" w:lineRule="exact"/>
              <w:jc w:val="center"/>
              <w:rPr>
                <w:rFonts w:ascii="仿宋_GB2312" w:hAnsi="宋体" w:eastAsia="仿宋_GB2312" w:cs="宋体"/>
                <w:color w:val="000000"/>
                <w:szCs w:val="21"/>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产</w:t>
            </w:r>
          </w:p>
          <w:p>
            <w:pPr>
              <w:widowControl/>
              <w:spacing w:line="220" w:lineRule="exact"/>
              <w:jc w:val="center"/>
              <w:textAlignment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出</w:t>
            </w:r>
          </w:p>
          <w:p>
            <w:pPr>
              <w:widowControl/>
              <w:spacing w:line="220" w:lineRule="exact"/>
              <w:jc w:val="center"/>
              <w:textAlignment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指</w:t>
            </w:r>
          </w:p>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数量指标</w:t>
            </w:r>
          </w:p>
        </w:tc>
        <w:tc>
          <w:tcPr>
            <w:tcW w:w="4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政府办基层医疗卫生机构实施国家基本药物制度覆盖率</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227"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2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4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村卫生室实施国家基本药物制度覆盖率</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227"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2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4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left"/>
              <w:rPr>
                <w:rFonts w:ascii="仿宋_GB2312" w:hAnsi="宋体" w:eastAsia="仿宋_GB2312" w:cs="宋体"/>
                <w:color w:val="000000"/>
                <w:szCs w:val="21"/>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227"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2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4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left"/>
              <w:rPr>
                <w:rFonts w:ascii="仿宋_GB2312" w:hAnsi="宋体" w:eastAsia="仿宋_GB2312" w:cs="宋体"/>
                <w:color w:val="000000"/>
                <w:szCs w:val="21"/>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227"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2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质量指标</w:t>
            </w:r>
          </w:p>
        </w:tc>
        <w:tc>
          <w:tcPr>
            <w:tcW w:w="4504" w:type="dxa"/>
            <w:gridSpan w:val="2"/>
            <w:tcBorders>
              <w:top w:val="single" w:color="000000" w:sz="4" w:space="0"/>
              <w:left w:val="single" w:color="000000" w:sz="4" w:space="0"/>
              <w:bottom w:val="single" w:color="000000" w:sz="4" w:space="0"/>
              <w:right w:val="nil"/>
            </w:tcBorders>
            <w:shd w:val="clear" w:color="auto" w:fill="auto"/>
            <w:vAlign w:val="center"/>
          </w:tcPr>
          <w:p>
            <w:pPr>
              <w:spacing w:line="220" w:lineRule="exact"/>
              <w:jc w:val="left"/>
              <w:rPr>
                <w:rFonts w:ascii="仿宋_GB2312" w:hAnsi="宋体" w:eastAsia="仿宋_GB2312" w:cs="宋体"/>
                <w:color w:val="000000"/>
                <w:szCs w:val="21"/>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227"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2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4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left"/>
              <w:rPr>
                <w:rFonts w:ascii="仿宋_GB2312" w:hAnsi="宋体" w:eastAsia="仿宋_GB2312" w:cs="宋体"/>
                <w:color w:val="000000"/>
                <w:szCs w:val="21"/>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227"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2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4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left"/>
              <w:rPr>
                <w:rFonts w:ascii="仿宋_GB2312" w:hAnsi="宋体" w:eastAsia="仿宋_GB2312" w:cs="宋体"/>
                <w:color w:val="000000"/>
                <w:szCs w:val="21"/>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227"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2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4504" w:type="dxa"/>
            <w:gridSpan w:val="2"/>
            <w:tcBorders>
              <w:top w:val="single" w:color="000000" w:sz="4" w:space="0"/>
              <w:left w:val="single" w:color="000000" w:sz="4" w:space="0"/>
              <w:bottom w:val="single" w:color="000000" w:sz="4" w:space="0"/>
              <w:right w:val="nil"/>
            </w:tcBorders>
            <w:shd w:val="clear" w:color="auto" w:fill="auto"/>
            <w:vAlign w:val="center"/>
          </w:tcPr>
          <w:p>
            <w:pPr>
              <w:spacing w:line="220" w:lineRule="exact"/>
              <w:jc w:val="left"/>
              <w:rPr>
                <w:rFonts w:ascii="仿宋_GB2312" w:hAnsi="宋体" w:eastAsia="仿宋_GB2312" w:cs="宋体"/>
                <w:color w:val="000000"/>
                <w:szCs w:val="21"/>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227"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2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时效指标</w:t>
            </w:r>
          </w:p>
        </w:tc>
        <w:tc>
          <w:tcPr>
            <w:tcW w:w="4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资金拨付时限</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2022年12月底前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2022年12月底前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227"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2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4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227"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2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4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227"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20" w:lineRule="exact"/>
              <w:jc w:val="center"/>
              <w:rPr>
                <w:rFonts w:ascii="仿宋_GB2312" w:hAnsi="宋体" w:eastAsia="仿宋_GB2312" w:cs="宋体"/>
                <w:color w:val="000000"/>
                <w:szCs w:val="21"/>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效</w:t>
            </w:r>
          </w:p>
          <w:p>
            <w:pPr>
              <w:widowControl/>
              <w:spacing w:line="220" w:lineRule="exact"/>
              <w:jc w:val="center"/>
              <w:textAlignment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益</w:t>
            </w:r>
          </w:p>
          <w:p>
            <w:pPr>
              <w:widowControl/>
              <w:spacing w:line="220" w:lineRule="exact"/>
              <w:jc w:val="center"/>
              <w:textAlignment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指</w:t>
            </w:r>
          </w:p>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经济效益</w:t>
            </w:r>
          </w:p>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指标</w:t>
            </w:r>
          </w:p>
        </w:tc>
        <w:tc>
          <w:tcPr>
            <w:tcW w:w="4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乡村医生收入</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227"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2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4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227"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2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4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227"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2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社会效益</w:t>
            </w:r>
          </w:p>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20" w:lineRule="exact"/>
              <w:rPr>
                <w:rFonts w:ascii="仿宋_GB2312" w:hAnsi="宋体" w:eastAsia="仿宋_GB2312" w:cs="宋体"/>
                <w:color w:val="000000"/>
                <w:szCs w:val="21"/>
              </w:rPr>
            </w:pPr>
          </w:p>
        </w:tc>
        <w:tc>
          <w:tcPr>
            <w:tcW w:w="2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20" w:lineRule="exact"/>
              <w:rPr>
                <w:rFonts w:ascii="仿宋_GB2312" w:hAnsi="宋体" w:eastAsia="仿宋_GB2312" w:cs="宋体"/>
                <w:color w:val="000000"/>
                <w:szCs w:val="21"/>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20" w:lineRule="exac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20" w:lineRule="exac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227"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2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4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left"/>
              <w:rPr>
                <w:rFonts w:ascii="仿宋_GB2312" w:hAnsi="宋体" w:eastAsia="仿宋_GB2312" w:cs="宋体"/>
                <w:color w:val="000000"/>
                <w:szCs w:val="21"/>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227"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2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4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lef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227"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2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生态效益</w:t>
            </w:r>
          </w:p>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指标</w:t>
            </w:r>
          </w:p>
        </w:tc>
        <w:tc>
          <w:tcPr>
            <w:tcW w:w="4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227"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2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4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227"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2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4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227"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2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可持续影响指标</w:t>
            </w:r>
          </w:p>
        </w:tc>
        <w:tc>
          <w:tcPr>
            <w:tcW w:w="4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国家基本药物制度在基层持续实施</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中长期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中长期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227"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2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4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227"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2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4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227"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2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w:t>
            </w:r>
          </w:p>
        </w:tc>
        <w:tc>
          <w:tcPr>
            <w:tcW w:w="4504" w:type="dxa"/>
            <w:gridSpan w:val="2"/>
            <w:tcBorders>
              <w:top w:val="single" w:color="000000" w:sz="4" w:space="0"/>
              <w:left w:val="single" w:color="000000" w:sz="4" w:space="0"/>
              <w:bottom w:val="nil"/>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227"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20" w:lineRule="exact"/>
              <w:jc w:val="center"/>
              <w:rPr>
                <w:rFonts w:ascii="仿宋_GB2312" w:hAnsi="宋体" w:eastAsia="仿宋_GB2312" w:cs="宋体"/>
                <w:color w:val="000000"/>
                <w:szCs w:val="21"/>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服务对象</w:t>
            </w:r>
          </w:p>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满意度指标</w:t>
            </w:r>
          </w:p>
        </w:tc>
        <w:tc>
          <w:tcPr>
            <w:tcW w:w="4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基层医疗机构满意度</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≥80%</w:t>
            </w:r>
          </w:p>
        </w:tc>
        <w:tc>
          <w:tcPr>
            <w:tcW w:w="0" w:type="auto"/>
            <w:tcBorders>
              <w:top w:val="nil"/>
              <w:left w:val="nil"/>
              <w:bottom w:val="nil"/>
              <w:right w:val="nil"/>
            </w:tcBorders>
            <w:shd w:val="clear" w:color="auto" w:fill="auto"/>
            <w:noWrap/>
            <w:vAlign w:val="center"/>
          </w:tcPr>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227"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2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4504" w:type="dxa"/>
            <w:gridSpan w:val="2"/>
            <w:tcBorders>
              <w:top w:val="nil"/>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227"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2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4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227"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220" w:lineRule="exact"/>
              <w:jc w:val="center"/>
              <w:rPr>
                <w:rFonts w:ascii="仿宋_GB2312" w:hAnsi="宋体" w:eastAsia="仿宋_GB2312"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w:t>
            </w:r>
          </w:p>
        </w:tc>
        <w:tc>
          <w:tcPr>
            <w:tcW w:w="4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rPr>
                <w:rFonts w:ascii="仿宋_GB2312" w:hAnsi="宋体" w:eastAsia="仿宋_GB2312"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宋体" w:eastAsia="仿宋_GB2312" w:cs="宋体"/>
                <w:color w:val="000000"/>
                <w:szCs w:val="21"/>
              </w:rPr>
            </w:pPr>
          </w:p>
        </w:tc>
      </w:tr>
      <w:tr>
        <w:tblPrEx>
          <w:tblCellMar>
            <w:top w:w="0" w:type="dxa"/>
            <w:left w:w="108" w:type="dxa"/>
            <w:bottom w:w="0" w:type="dxa"/>
            <w:right w:w="108" w:type="dxa"/>
          </w:tblCellMar>
        </w:tblPrEx>
        <w:trPr>
          <w:cantSplit/>
          <w:trHeight w:val="227"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说明</w:t>
            </w:r>
          </w:p>
        </w:tc>
        <w:tc>
          <w:tcPr>
            <w:tcW w:w="1311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无</w:t>
            </w:r>
          </w:p>
        </w:tc>
      </w:tr>
    </w:tbl>
    <w:p/>
    <w:p>
      <w:pPr>
        <w:widowControl/>
        <w:spacing w:line="240" w:lineRule="exact"/>
        <w:jc w:val="left"/>
        <w:textAlignment w:val="bottom"/>
        <w:rPr>
          <w:rFonts w:ascii="仿宋_GB2312" w:hAnsi="宋体" w:eastAsia="仿宋_GB2312" w:cs="宋体"/>
          <w:color w:val="000000"/>
          <w:szCs w:val="21"/>
        </w:rPr>
      </w:pPr>
      <w:r>
        <w:rPr>
          <w:rFonts w:hint="eastAsia" w:ascii="仿宋_GB2312" w:hAnsi="宋体" w:eastAsia="仿宋_GB2312" w:cs="宋体"/>
          <w:color w:val="000000"/>
          <w:kern w:val="0"/>
          <w:szCs w:val="21"/>
        </w:rPr>
        <w:t>注：1.资金使用单位按项目绩效目标填报，主管部门汇总时按区域绩效目标填报。</w:t>
      </w:r>
    </w:p>
    <w:p>
      <w:pPr>
        <w:widowControl/>
        <w:spacing w:line="240" w:lineRule="exact"/>
        <w:jc w:val="left"/>
        <w:textAlignment w:val="bottom"/>
        <w:rPr>
          <w:rFonts w:ascii="仿宋_GB2312" w:hAnsi="宋体" w:eastAsia="仿宋_GB2312" w:cs="宋体"/>
          <w:color w:val="000000"/>
          <w:szCs w:val="21"/>
        </w:rPr>
      </w:pPr>
      <w:r>
        <w:rPr>
          <w:rFonts w:hint="eastAsia" w:ascii="仿宋_GB2312" w:hAnsi="宋体" w:eastAsia="仿宋_GB2312" w:cs="宋体"/>
          <w:color w:val="000000"/>
          <w:kern w:val="0"/>
          <w:szCs w:val="21"/>
        </w:rPr>
        <w:t xml:space="preserve">    2.其他资金包括与中央财政资金、地方财政资金共同投入到同一项目的自有资金、社会资金，以及以前年度的结转结余资金等。</w:t>
      </w:r>
    </w:p>
    <w:p>
      <w:pPr>
        <w:widowControl/>
        <w:spacing w:line="240" w:lineRule="exact"/>
        <w:jc w:val="left"/>
        <w:textAlignment w:val="bottom"/>
        <w:rPr>
          <w:rFonts w:ascii="仿宋_GB2312" w:hAnsi="宋体" w:eastAsia="仿宋_GB2312" w:cs="宋体"/>
          <w:color w:val="000000"/>
          <w:szCs w:val="21"/>
        </w:rPr>
      </w:pPr>
      <w:r>
        <w:rPr>
          <w:rFonts w:hint="eastAsia" w:ascii="仿宋_GB2312" w:hAnsi="宋体" w:eastAsia="仿宋_GB2312" w:cs="宋体"/>
          <w:color w:val="000000"/>
          <w:kern w:val="0"/>
          <w:szCs w:val="21"/>
        </w:rPr>
        <w:t xml:space="preserve">    3.全年执行数是指按照国库集中支付制度要求所形成的实际支出。</w:t>
      </w:r>
    </w:p>
    <w:p>
      <w:pPr>
        <w:widowControl/>
        <w:spacing w:line="240" w:lineRule="exact"/>
        <w:jc w:val="left"/>
        <w:textAlignment w:val="bottom"/>
        <w:rPr>
          <w:rFonts w:ascii="仿宋_GB2312" w:hAnsi="宋体" w:eastAsia="仿宋_GB2312" w:cs="宋体"/>
          <w:color w:val="000000"/>
          <w:szCs w:val="21"/>
        </w:rPr>
      </w:pPr>
      <w:r>
        <w:rPr>
          <w:rFonts w:hint="eastAsia" w:ascii="仿宋_GB2312" w:hAnsi="宋体" w:eastAsia="仿宋_GB2312" w:cs="宋体"/>
          <w:color w:val="000000"/>
          <w:kern w:val="0"/>
          <w:szCs w:val="21"/>
        </w:rPr>
        <w:t xml:space="preserve">    4.定量指标，地方各级主管部门对资金使用单位填写的实际完成值汇总时，绝对值直接累加计算，相对值按照资金额度加权平均计算。</w:t>
      </w:r>
    </w:p>
    <w:p>
      <w:pPr>
        <w:widowControl/>
        <w:spacing w:line="240" w:lineRule="exact"/>
        <w:jc w:val="left"/>
        <w:textAlignment w:val="bottom"/>
        <w:rPr>
          <w:rFonts w:ascii="仿宋_GB2312" w:hAnsi="宋体" w:eastAsia="仿宋_GB2312" w:cs="宋体"/>
          <w:color w:val="000000"/>
          <w:szCs w:val="21"/>
        </w:rPr>
      </w:pPr>
      <w:r>
        <w:rPr>
          <w:rFonts w:hint="eastAsia" w:ascii="仿宋_GB2312" w:hAnsi="宋体" w:eastAsia="仿宋_GB2312" w:cs="宋体"/>
          <w:color w:val="000000"/>
          <w:kern w:val="0"/>
          <w:szCs w:val="21"/>
        </w:rPr>
        <w:t xml:space="preserve">    5.定性指标。资金使用单位分别按照100%-80%（含）、80%-60%（含）、60-0%合理填写实际完成值，地方各级主管部门汇总时，按照资金额度加权平均计算。</w:t>
      </w:r>
    </w:p>
    <w:p>
      <w:pPr>
        <w:pStyle w:val="2"/>
        <w:ind w:left="840" w:hanging="420"/>
        <w:rPr>
          <w:lang w:val="zh-CN"/>
        </w:rPr>
      </w:pPr>
    </w:p>
    <w:p>
      <w:pPr>
        <w:pStyle w:val="6"/>
        <w:spacing w:before="93"/>
        <w:rPr>
          <w:rFonts w:hAnsi="宋体" w:cs="宋体"/>
          <w:sz w:val="32"/>
          <w:szCs w:val="32"/>
          <w:shd w:val="clear" w:color="auto" w:fill="FFFFFF"/>
          <w:lang w:val="zh-CN"/>
        </w:rPr>
        <w:sectPr>
          <w:pgSz w:w="16838" w:h="11906" w:orient="landscape"/>
          <w:pgMar w:top="1701" w:right="1531" w:bottom="1701" w:left="1531" w:header="851" w:footer="992" w:gutter="0"/>
          <w:cols w:space="425" w:num="1"/>
          <w:titlePg/>
          <w:docGrid w:type="linesAndChars" w:linePitch="312" w:charSpace="0"/>
        </w:sectPr>
      </w:pPr>
    </w:p>
    <w:p>
      <w:pPr>
        <w:spacing w:line="600" w:lineRule="exact"/>
        <w:jc w:val="center"/>
        <w:outlineLvl w:val="0"/>
        <w:rPr>
          <w:rFonts w:ascii="仿宋" w:hAnsi="仿宋" w:eastAsia="仿宋"/>
        </w:rPr>
      </w:pPr>
      <w:bookmarkStart w:id="53" w:name="_Toc15396618"/>
      <w:r>
        <w:rPr>
          <w:rFonts w:hint="eastAsia" w:ascii="黑体" w:hAnsi="黑体" w:eastAsia="黑体"/>
          <w:sz w:val="44"/>
          <w:szCs w:val="44"/>
        </w:rPr>
        <w:t>第</w:t>
      </w:r>
      <w:r>
        <w:rPr>
          <w:rStyle w:val="29"/>
          <w:rFonts w:hint="eastAsia" w:ascii="黑体" w:hAnsi="黑体" w:eastAsia="黑体"/>
          <w:b w:val="0"/>
        </w:rPr>
        <w:t>五部分 附表</w:t>
      </w:r>
      <w:bookmarkEnd w:id="52"/>
      <w:bookmarkEnd w:id="53"/>
      <w:bookmarkStart w:id="54" w:name="_Toc15396619"/>
    </w:p>
    <w:p>
      <w:pPr>
        <w:pStyle w:val="4"/>
        <w:rPr>
          <w:rFonts w:ascii="仿宋" w:hAnsi="仿宋" w:eastAsia="仿宋"/>
        </w:rPr>
      </w:pPr>
      <w:r>
        <w:rPr>
          <w:rFonts w:hint="eastAsia" w:ascii="仿宋" w:hAnsi="仿宋" w:eastAsia="仿宋"/>
          <w:b w:val="0"/>
        </w:rPr>
        <w:t>一、收</w:t>
      </w:r>
      <w:r>
        <w:rPr>
          <w:rStyle w:val="30"/>
          <w:rFonts w:hint="eastAsia" w:ascii="仿宋" w:hAnsi="仿宋" w:eastAsia="仿宋"/>
          <w:b w:val="0"/>
          <w:bCs w:val="0"/>
        </w:rPr>
        <w:t>入支出决算总表</w:t>
      </w:r>
      <w:bookmarkEnd w:id="54"/>
    </w:p>
    <w:p>
      <w:pPr>
        <w:pStyle w:val="4"/>
        <w:rPr>
          <w:rFonts w:ascii="仿宋" w:hAnsi="仿宋" w:eastAsia="仿宋"/>
        </w:rPr>
      </w:pPr>
      <w:bookmarkStart w:id="55" w:name="_Toc15396620"/>
      <w:r>
        <w:rPr>
          <w:rFonts w:hint="eastAsia" w:ascii="仿宋" w:hAnsi="仿宋" w:eastAsia="仿宋"/>
          <w:b w:val="0"/>
        </w:rPr>
        <w:t>二、收</w:t>
      </w:r>
      <w:r>
        <w:rPr>
          <w:rStyle w:val="30"/>
          <w:rFonts w:hint="eastAsia" w:ascii="仿宋" w:hAnsi="仿宋" w:eastAsia="仿宋"/>
          <w:b w:val="0"/>
          <w:bCs w:val="0"/>
        </w:rPr>
        <w:t>入决算表</w:t>
      </w:r>
      <w:bookmarkEnd w:id="55"/>
    </w:p>
    <w:p>
      <w:pPr>
        <w:pStyle w:val="4"/>
        <w:rPr>
          <w:rFonts w:ascii="仿宋" w:hAnsi="仿宋" w:eastAsia="仿宋"/>
        </w:rPr>
      </w:pPr>
      <w:bookmarkStart w:id="56" w:name="_Toc15396621"/>
      <w:r>
        <w:rPr>
          <w:rStyle w:val="30"/>
          <w:rFonts w:hint="eastAsia" w:ascii="仿宋" w:hAnsi="仿宋" w:eastAsia="仿宋"/>
          <w:b w:val="0"/>
          <w:bCs w:val="0"/>
        </w:rPr>
        <w:t>三、</w:t>
      </w:r>
      <w:r>
        <w:rPr>
          <w:rFonts w:hint="eastAsia" w:ascii="仿宋" w:hAnsi="仿宋" w:eastAsia="仿宋"/>
          <w:b w:val="0"/>
        </w:rPr>
        <w:t>支</w:t>
      </w:r>
      <w:r>
        <w:rPr>
          <w:rStyle w:val="30"/>
          <w:rFonts w:hint="eastAsia" w:ascii="仿宋" w:hAnsi="仿宋" w:eastAsia="仿宋"/>
          <w:b w:val="0"/>
          <w:bCs w:val="0"/>
        </w:rPr>
        <w:t>出决算表</w:t>
      </w:r>
      <w:bookmarkEnd w:id="56"/>
    </w:p>
    <w:p>
      <w:pPr>
        <w:pStyle w:val="4"/>
        <w:rPr>
          <w:rFonts w:ascii="仿宋" w:hAnsi="仿宋" w:eastAsia="仿宋"/>
          <w:b w:val="0"/>
        </w:rPr>
      </w:pPr>
      <w:bookmarkStart w:id="57" w:name="_Toc15396622"/>
      <w:r>
        <w:rPr>
          <w:rStyle w:val="30"/>
          <w:rFonts w:hint="eastAsia" w:ascii="仿宋" w:hAnsi="仿宋" w:eastAsia="仿宋"/>
          <w:b w:val="0"/>
          <w:bCs w:val="0"/>
        </w:rPr>
        <w:t>四、</w:t>
      </w:r>
      <w:r>
        <w:rPr>
          <w:rFonts w:hint="eastAsia" w:ascii="仿宋" w:hAnsi="仿宋" w:eastAsia="仿宋"/>
          <w:b w:val="0"/>
        </w:rPr>
        <w:t>财</w:t>
      </w:r>
      <w:r>
        <w:rPr>
          <w:rStyle w:val="30"/>
          <w:rFonts w:hint="eastAsia" w:ascii="仿宋" w:hAnsi="仿宋" w:eastAsia="仿宋"/>
          <w:b w:val="0"/>
          <w:bCs w:val="0"/>
        </w:rPr>
        <w:t>政拨款收入支出决算总表</w:t>
      </w:r>
      <w:bookmarkEnd w:id="57"/>
    </w:p>
    <w:p>
      <w:pPr>
        <w:pStyle w:val="4"/>
        <w:rPr>
          <w:rStyle w:val="30"/>
          <w:rFonts w:ascii="仿宋" w:hAnsi="仿宋" w:eastAsia="仿宋"/>
          <w:b w:val="0"/>
          <w:bCs w:val="0"/>
        </w:rPr>
      </w:pPr>
      <w:bookmarkStart w:id="58" w:name="_Toc15396623"/>
      <w:r>
        <w:rPr>
          <w:rStyle w:val="30"/>
          <w:rFonts w:hint="eastAsia" w:ascii="仿宋" w:hAnsi="仿宋" w:eastAsia="仿宋"/>
          <w:b w:val="0"/>
          <w:bCs w:val="0"/>
        </w:rPr>
        <w:t>五、</w:t>
      </w:r>
      <w:r>
        <w:rPr>
          <w:rFonts w:hint="eastAsia" w:ascii="仿宋" w:hAnsi="仿宋" w:eastAsia="仿宋"/>
          <w:b w:val="0"/>
        </w:rPr>
        <w:t>财</w:t>
      </w:r>
      <w:r>
        <w:rPr>
          <w:rStyle w:val="30"/>
          <w:rFonts w:hint="eastAsia" w:ascii="仿宋" w:hAnsi="仿宋" w:eastAsia="仿宋"/>
          <w:b w:val="0"/>
          <w:bCs w:val="0"/>
        </w:rPr>
        <w:t>政拨款支出决算明细表</w:t>
      </w:r>
      <w:bookmarkEnd w:id="58"/>
      <w:bookmarkStart w:id="59" w:name="_Toc15396624"/>
    </w:p>
    <w:p>
      <w:pPr>
        <w:pStyle w:val="4"/>
        <w:rPr>
          <w:rFonts w:ascii="仿宋" w:hAnsi="仿宋" w:eastAsia="仿宋"/>
        </w:rPr>
      </w:pPr>
      <w:r>
        <w:rPr>
          <w:rStyle w:val="30"/>
          <w:rFonts w:hint="eastAsia" w:ascii="仿宋" w:hAnsi="仿宋" w:eastAsia="仿宋"/>
          <w:b w:val="0"/>
          <w:bCs w:val="0"/>
        </w:rPr>
        <w:t>六、</w:t>
      </w:r>
      <w:r>
        <w:rPr>
          <w:rFonts w:hint="eastAsia" w:ascii="仿宋" w:hAnsi="仿宋" w:eastAsia="仿宋"/>
          <w:b w:val="0"/>
        </w:rPr>
        <w:t>一</w:t>
      </w:r>
      <w:r>
        <w:rPr>
          <w:rStyle w:val="30"/>
          <w:rFonts w:hint="eastAsia" w:ascii="仿宋" w:hAnsi="仿宋" w:eastAsia="仿宋"/>
          <w:b w:val="0"/>
          <w:bCs w:val="0"/>
        </w:rPr>
        <w:t>般公共预算财政拨款支出决算表</w:t>
      </w:r>
      <w:bookmarkEnd w:id="59"/>
    </w:p>
    <w:p>
      <w:pPr>
        <w:pStyle w:val="4"/>
        <w:rPr>
          <w:rFonts w:ascii="仿宋" w:hAnsi="仿宋" w:eastAsia="仿宋"/>
        </w:rPr>
      </w:pPr>
      <w:bookmarkStart w:id="60" w:name="_Toc15396625"/>
      <w:r>
        <w:rPr>
          <w:rStyle w:val="30"/>
          <w:rFonts w:hint="eastAsia" w:ascii="仿宋" w:hAnsi="仿宋" w:eastAsia="仿宋"/>
          <w:b w:val="0"/>
          <w:bCs w:val="0"/>
        </w:rPr>
        <w:t>七、</w:t>
      </w:r>
      <w:r>
        <w:rPr>
          <w:rFonts w:hint="eastAsia" w:ascii="仿宋" w:hAnsi="仿宋" w:eastAsia="仿宋"/>
          <w:b w:val="0"/>
        </w:rPr>
        <w:t>一</w:t>
      </w:r>
      <w:r>
        <w:rPr>
          <w:rStyle w:val="30"/>
          <w:rFonts w:hint="eastAsia" w:ascii="仿宋" w:hAnsi="仿宋" w:eastAsia="仿宋"/>
          <w:b w:val="0"/>
          <w:bCs w:val="0"/>
        </w:rPr>
        <w:t>般公共预算财政拨款支出决算明细表</w:t>
      </w:r>
      <w:bookmarkEnd w:id="60"/>
    </w:p>
    <w:p>
      <w:pPr>
        <w:pStyle w:val="4"/>
        <w:rPr>
          <w:rFonts w:ascii="仿宋" w:hAnsi="仿宋" w:eastAsia="仿宋"/>
        </w:rPr>
      </w:pPr>
      <w:bookmarkStart w:id="61" w:name="_Toc15396626"/>
      <w:r>
        <w:rPr>
          <w:rStyle w:val="30"/>
          <w:rFonts w:hint="eastAsia" w:ascii="仿宋" w:hAnsi="仿宋" w:eastAsia="仿宋"/>
          <w:b w:val="0"/>
          <w:bCs w:val="0"/>
        </w:rPr>
        <w:t>八、</w:t>
      </w:r>
      <w:r>
        <w:rPr>
          <w:rFonts w:hint="eastAsia" w:ascii="仿宋" w:hAnsi="仿宋" w:eastAsia="仿宋"/>
          <w:b w:val="0"/>
        </w:rPr>
        <w:t>一</w:t>
      </w:r>
      <w:r>
        <w:rPr>
          <w:rStyle w:val="30"/>
          <w:rFonts w:hint="eastAsia" w:ascii="仿宋" w:hAnsi="仿宋" w:eastAsia="仿宋"/>
          <w:b w:val="0"/>
          <w:bCs w:val="0"/>
        </w:rPr>
        <w:t>般公共预算财政拨款基本支出决算表</w:t>
      </w:r>
      <w:bookmarkEnd w:id="61"/>
    </w:p>
    <w:p>
      <w:pPr>
        <w:pStyle w:val="4"/>
        <w:rPr>
          <w:rFonts w:ascii="仿宋" w:hAnsi="仿宋" w:eastAsia="仿宋"/>
        </w:rPr>
      </w:pPr>
      <w:bookmarkStart w:id="62" w:name="_Toc15396627"/>
      <w:r>
        <w:rPr>
          <w:rStyle w:val="30"/>
          <w:rFonts w:hint="eastAsia" w:ascii="仿宋" w:hAnsi="仿宋" w:eastAsia="仿宋"/>
          <w:b w:val="0"/>
          <w:bCs w:val="0"/>
        </w:rPr>
        <w:t>九、</w:t>
      </w:r>
      <w:r>
        <w:rPr>
          <w:rFonts w:hint="eastAsia" w:ascii="仿宋" w:hAnsi="仿宋" w:eastAsia="仿宋"/>
          <w:b w:val="0"/>
        </w:rPr>
        <w:t>一</w:t>
      </w:r>
      <w:r>
        <w:rPr>
          <w:rStyle w:val="30"/>
          <w:rFonts w:hint="eastAsia" w:ascii="仿宋" w:hAnsi="仿宋" w:eastAsia="仿宋"/>
          <w:b w:val="0"/>
          <w:bCs w:val="0"/>
        </w:rPr>
        <w:t>般公共预算财政拨款项目支出决算表</w:t>
      </w:r>
      <w:bookmarkEnd w:id="62"/>
    </w:p>
    <w:p>
      <w:pPr>
        <w:pStyle w:val="4"/>
        <w:rPr>
          <w:rFonts w:ascii="仿宋" w:hAnsi="仿宋" w:eastAsia="仿宋"/>
        </w:rPr>
      </w:pPr>
      <w:bookmarkStart w:id="63" w:name="_Toc15396628"/>
      <w:r>
        <w:rPr>
          <w:rStyle w:val="30"/>
          <w:rFonts w:hint="eastAsia" w:ascii="仿宋" w:hAnsi="仿宋" w:eastAsia="仿宋"/>
          <w:b w:val="0"/>
          <w:bCs w:val="0"/>
        </w:rPr>
        <w:t>十、</w:t>
      </w:r>
      <w:bookmarkEnd w:id="63"/>
      <w:r>
        <w:rPr>
          <w:rFonts w:hint="eastAsia" w:ascii="仿宋" w:hAnsi="仿宋" w:eastAsia="仿宋"/>
          <w:b w:val="0"/>
        </w:rPr>
        <w:t>政</w:t>
      </w:r>
      <w:r>
        <w:rPr>
          <w:rStyle w:val="30"/>
          <w:rFonts w:hint="eastAsia" w:ascii="仿宋" w:hAnsi="仿宋" w:eastAsia="仿宋"/>
          <w:b w:val="0"/>
          <w:bCs w:val="0"/>
        </w:rPr>
        <w:t>府性基金预算财政拨款收入支出决算表</w:t>
      </w:r>
    </w:p>
    <w:p>
      <w:pPr>
        <w:pStyle w:val="4"/>
        <w:rPr>
          <w:rFonts w:ascii="仿宋" w:hAnsi="仿宋" w:eastAsia="仿宋"/>
        </w:rPr>
      </w:pPr>
      <w:bookmarkStart w:id="64" w:name="_Toc15396629"/>
      <w:r>
        <w:rPr>
          <w:rStyle w:val="30"/>
          <w:rFonts w:hint="eastAsia" w:ascii="仿宋" w:hAnsi="仿宋" w:eastAsia="仿宋"/>
          <w:b w:val="0"/>
          <w:bCs w:val="0"/>
        </w:rPr>
        <w:t>十一、</w:t>
      </w:r>
      <w:bookmarkEnd w:id="64"/>
      <w:r>
        <w:rPr>
          <w:rFonts w:hint="eastAsia" w:ascii="仿宋" w:hAnsi="仿宋" w:eastAsia="仿宋"/>
          <w:b w:val="0"/>
        </w:rPr>
        <w:t>国</w:t>
      </w:r>
      <w:r>
        <w:rPr>
          <w:rStyle w:val="30"/>
          <w:rFonts w:hint="eastAsia" w:ascii="仿宋" w:hAnsi="仿宋" w:eastAsia="仿宋"/>
          <w:b w:val="0"/>
          <w:bCs w:val="0"/>
        </w:rPr>
        <w:t>有资本经营预算财政拨款收入支出决算表</w:t>
      </w:r>
    </w:p>
    <w:p>
      <w:pPr>
        <w:pStyle w:val="4"/>
        <w:rPr>
          <w:rFonts w:ascii="仿宋" w:hAnsi="仿宋" w:eastAsia="仿宋"/>
        </w:rPr>
      </w:pPr>
      <w:bookmarkStart w:id="65" w:name="_Toc15396630"/>
      <w:r>
        <w:rPr>
          <w:rStyle w:val="30"/>
          <w:rFonts w:hint="eastAsia" w:ascii="仿宋" w:hAnsi="仿宋" w:eastAsia="仿宋"/>
          <w:b w:val="0"/>
          <w:bCs w:val="0"/>
        </w:rPr>
        <w:t>十二、</w:t>
      </w:r>
      <w:bookmarkEnd w:id="65"/>
      <w:r>
        <w:rPr>
          <w:rStyle w:val="30"/>
          <w:rFonts w:hint="eastAsia" w:ascii="仿宋" w:hAnsi="仿宋" w:eastAsia="仿宋"/>
          <w:b w:val="0"/>
          <w:bCs w:val="0"/>
        </w:rPr>
        <w:t>国有资本经营预算财政拨款支出决算表</w:t>
      </w:r>
    </w:p>
    <w:p>
      <w:pPr>
        <w:pStyle w:val="4"/>
        <w:rPr>
          <w:rFonts w:eastAsia="仿宋"/>
        </w:rPr>
      </w:pPr>
      <w:bookmarkStart w:id="66" w:name="_Toc15396631"/>
      <w:r>
        <w:rPr>
          <w:rStyle w:val="30"/>
          <w:rFonts w:hint="eastAsia" w:ascii="仿宋" w:hAnsi="仿宋" w:eastAsia="仿宋"/>
          <w:b w:val="0"/>
          <w:bCs w:val="0"/>
        </w:rPr>
        <w:t>十三、</w:t>
      </w:r>
      <w:bookmarkEnd w:id="66"/>
      <w:r>
        <w:rPr>
          <w:rStyle w:val="30"/>
          <w:rFonts w:hint="eastAsia" w:ascii="仿宋" w:hAnsi="仿宋" w:eastAsia="仿宋"/>
          <w:b w:val="0"/>
          <w:bCs w:val="0"/>
        </w:rPr>
        <w:t>财政拨款“三公”经费支出决算表</w:t>
      </w:r>
    </w:p>
    <w:sectPr>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MingLiU">
    <w:altName w:val="宋体"/>
    <w:panose1 w:val="02020509000000000000"/>
    <w:charset w:val="88"/>
    <w:family w:val="modern"/>
    <w:pitch w:val="default"/>
    <w:sig w:usb0="00000000" w:usb1="00000000" w:usb2="00000016" w:usb3="00000000" w:csb0="00100001" w:csb1="00000000"/>
  </w:font>
  <w:font w:name="微软雅黑">
    <w:altName w:val="黑体"/>
    <w:panose1 w:val="020B0503020204020204"/>
    <w:charset w:val="86"/>
    <w:family w:val="swiss"/>
    <w:pitch w:val="default"/>
    <w:sig w:usb0="00000000" w:usb1="0000000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MS Mincho">
    <w:altName w:val="宋体"/>
    <w:panose1 w:val="02020609040205080304"/>
    <w:charset w:val="80"/>
    <w:family w:val="modern"/>
    <w:pitch w:val="default"/>
    <w:sig w:usb0="00000000" w:usb1="00000000" w:usb2="00000012" w:usb3="00000000" w:csb0="4002009F" w:csb1="DFD70000"/>
  </w:font>
  <w:font w:name="??_GB2312">
    <w:altName w:val="Times New Roman"/>
    <w:panose1 w:val="00000000000000000000"/>
    <w:charset w:val="00"/>
    <w:family w:val="auto"/>
    <w:pitch w:val="default"/>
    <w:sig w:usb0="00000000"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文泉驿正黑">
    <w:panose1 w:val="02000603000000000000"/>
    <w:charset w:val="86"/>
    <w:family w:val="auto"/>
    <w:pitch w:val="default"/>
    <w:sig w:usb0="900002BF" w:usb1="2BDF7DFB" w:usb2="00000036" w:usb3="00000000" w:csb0="603E000D" w:csb1="D2D7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3</w:t>
        </w:r>
        <w:r>
          <w:rPr>
            <w:lang w:val="zh-CN"/>
          </w:rPr>
          <w:fldChar w:fldCharType="end"/>
        </w: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3216"/>
      <w:docPartObj>
        <w:docPartGallery w:val="autotext"/>
      </w:docPartObj>
    </w:sdtPr>
    <w:sdtContent>
      <w:p>
        <w:pPr>
          <w:pStyle w:val="10"/>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U5YmQ3MzViMjljM2I3ZDcxZjRhMDgxMDFhNjI1ZjcifQ=="/>
  </w:docVars>
  <w:rsids>
    <w:rsidRoot w:val="00F1361C"/>
    <w:rsid w:val="000222C6"/>
    <w:rsid w:val="0002549F"/>
    <w:rsid w:val="000468DB"/>
    <w:rsid w:val="00046F27"/>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2BC2"/>
    <w:rsid w:val="001E737D"/>
    <w:rsid w:val="001F0592"/>
    <w:rsid w:val="001F1529"/>
    <w:rsid w:val="001F7506"/>
    <w:rsid w:val="002006CD"/>
    <w:rsid w:val="00202B36"/>
    <w:rsid w:val="00204B7A"/>
    <w:rsid w:val="00204CDE"/>
    <w:rsid w:val="0021101A"/>
    <w:rsid w:val="00220536"/>
    <w:rsid w:val="00235629"/>
    <w:rsid w:val="00253CE0"/>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2C24"/>
    <w:rsid w:val="00342F6E"/>
    <w:rsid w:val="00353ED5"/>
    <w:rsid w:val="00357D1A"/>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22A3"/>
    <w:rsid w:val="00406254"/>
    <w:rsid w:val="004223DE"/>
    <w:rsid w:val="00422E7F"/>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870FF"/>
    <w:rsid w:val="0059014D"/>
    <w:rsid w:val="005B5C64"/>
    <w:rsid w:val="005C5337"/>
    <w:rsid w:val="005C6BD0"/>
    <w:rsid w:val="005D1C8B"/>
    <w:rsid w:val="005D2A80"/>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D3A79"/>
    <w:rsid w:val="006F020C"/>
    <w:rsid w:val="006F2B0B"/>
    <w:rsid w:val="007127B7"/>
    <w:rsid w:val="0071798E"/>
    <w:rsid w:val="007416B6"/>
    <w:rsid w:val="00746F48"/>
    <w:rsid w:val="0075404D"/>
    <w:rsid w:val="0076182A"/>
    <w:rsid w:val="00767B7E"/>
    <w:rsid w:val="007770C3"/>
    <w:rsid w:val="00784D24"/>
    <w:rsid w:val="00785FBA"/>
    <w:rsid w:val="0078688C"/>
    <w:rsid w:val="00786E4A"/>
    <w:rsid w:val="007875EB"/>
    <w:rsid w:val="0079426B"/>
    <w:rsid w:val="0079437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9666D"/>
    <w:rsid w:val="008B0651"/>
    <w:rsid w:val="008B768C"/>
    <w:rsid w:val="008C4DB1"/>
    <w:rsid w:val="008C4EAF"/>
    <w:rsid w:val="008C5176"/>
    <w:rsid w:val="008C7FD0"/>
    <w:rsid w:val="008E1DE7"/>
    <w:rsid w:val="008E24B3"/>
    <w:rsid w:val="008E707C"/>
    <w:rsid w:val="00900B08"/>
    <w:rsid w:val="00902155"/>
    <w:rsid w:val="00902FA3"/>
    <w:rsid w:val="00923564"/>
    <w:rsid w:val="0092392E"/>
    <w:rsid w:val="009315F9"/>
    <w:rsid w:val="00933499"/>
    <w:rsid w:val="00935057"/>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5526"/>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647E"/>
    <w:rsid w:val="00B310B9"/>
    <w:rsid w:val="00B35F3F"/>
    <w:rsid w:val="00B36CBB"/>
    <w:rsid w:val="00B425E0"/>
    <w:rsid w:val="00B440AA"/>
    <w:rsid w:val="00B44B70"/>
    <w:rsid w:val="00B53C56"/>
    <w:rsid w:val="00B57DAF"/>
    <w:rsid w:val="00B77EA6"/>
    <w:rsid w:val="00B81598"/>
    <w:rsid w:val="00B823C1"/>
    <w:rsid w:val="00B841F1"/>
    <w:rsid w:val="00B944D6"/>
    <w:rsid w:val="00BB4DF0"/>
    <w:rsid w:val="00BC2815"/>
    <w:rsid w:val="00BC289F"/>
    <w:rsid w:val="00BC2A36"/>
    <w:rsid w:val="00BC2D50"/>
    <w:rsid w:val="00BC5361"/>
    <w:rsid w:val="00BC5460"/>
    <w:rsid w:val="00BC6B50"/>
    <w:rsid w:val="00BD0E25"/>
    <w:rsid w:val="00BF5BD6"/>
    <w:rsid w:val="00C03E31"/>
    <w:rsid w:val="00C21F16"/>
    <w:rsid w:val="00C33E72"/>
    <w:rsid w:val="00C354B2"/>
    <w:rsid w:val="00C35554"/>
    <w:rsid w:val="00C42709"/>
    <w:rsid w:val="00C533CC"/>
    <w:rsid w:val="00C5751C"/>
    <w:rsid w:val="00C61BFC"/>
    <w:rsid w:val="00C62B85"/>
    <w:rsid w:val="00C65438"/>
    <w:rsid w:val="00C87FD8"/>
    <w:rsid w:val="00C91381"/>
    <w:rsid w:val="00C91CBB"/>
    <w:rsid w:val="00CB31A5"/>
    <w:rsid w:val="00CB4E70"/>
    <w:rsid w:val="00CC09B6"/>
    <w:rsid w:val="00CC666F"/>
    <w:rsid w:val="00CD1E3F"/>
    <w:rsid w:val="00CD54BB"/>
    <w:rsid w:val="00CE44F6"/>
    <w:rsid w:val="00CE49DA"/>
    <w:rsid w:val="00CE7B61"/>
    <w:rsid w:val="00D00095"/>
    <w:rsid w:val="00D114F0"/>
    <w:rsid w:val="00D20620"/>
    <w:rsid w:val="00D254F7"/>
    <w:rsid w:val="00D26091"/>
    <w:rsid w:val="00D2685C"/>
    <w:rsid w:val="00D34E7C"/>
    <w:rsid w:val="00D35489"/>
    <w:rsid w:val="00D36AFE"/>
    <w:rsid w:val="00D51276"/>
    <w:rsid w:val="00D5723D"/>
    <w:rsid w:val="00D7035F"/>
    <w:rsid w:val="00DA634F"/>
    <w:rsid w:val="00DA65AC"/>
    <w:rsid w:val="00DA70DE"/>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86E9F"/>
    <w:rsid w:val="00EA010F"/>
    <w:rsid w:val="00EC75C6"/>
    <w:rsid w:val="00EC7AEC"/>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377AB"/>
    <w:rsid w:val="00F417B1"/>
    <w:rsid w:val="00F45853"/>
    <w:rsid w:val="00F602DF"/>
    <w:rsid w:val="00F754A1"/>
    <w:rsid w:val="00F81FD9"/>
    <w:rsid w:val="00F841AA"/>
    <w:rsid w:val="00F84A94"/>
    <w:rsid w:val="00F87E96"/>
    <w:rsid w:val="00FA23E8"/>
    <w:rsid w:val="00FA3F4C"/>
    <w:rsid w:val="00FD3CC1"/>
    <w:rsid w:val="00FD7301"/>
    <w:rsid w:val="00FF1E02"/>
    <w:rsid w:val="00FF30B4"/>
    <w:rsid w:val="015975B8"/>
    <w:rsid w:val="02143E91"/>
    <w:rsid w:val="066E0107"/>
    <w:rsid w:val="07996F6E"/>
    <w:rsid w:val="0A2032A3"/>
    <w:rsid w:val="0AC92FC0"/>
    <w:rsid w:val="0C405504"/>
    <w:rsid w:val="0D5B0F49"/>
    <w:rsid w:val="0DD77069"/>
    <w:rsid w:val="0F98263C"/>
    <w:rsid w:val="101860EC"/>
    <w:rsid w:val="10C055FF"/>
    <w:rsid w:val="118107EC"/>
    <w:rsid w:val="13CE33F5"/>
    <w:rsid w:val="13D50BC4"/>
    <w:rsid w:val="1490760B"/>
    <w:rsid w:val="14A0274B"/>
    <w:rsid w:val="15891CCA"/>
    <w:rsid w:val="16BB723D"/>
    <w:rsid w:val="17A27073"/>
    <w:rsid w:val="1BE8440E"/>
    <w:rsid w:val="1D155CEE"/>
    <w:rsid w:val="1D686669"/>
    <w:rsid w:val="1FF35744"/>
    <w:rsid w:val="21361A0A"/>
    <w:rsid w:val="21B754A4"/>
    <w:rsid w:val="23860B96"/>
    <w:rsid w:val="240371BF"/>
    <w:rsid w:val="25A91AF7"/>
    <w:rsid w:val="293B10D5"/>
    <w:rsid w:val="29FD04D3"/>
    <w:rsid w:val="2C8A61B5"/>
    <w:rsid w:val="2DC7118A"/>
    <w:rsid w:val="2DF04E50"/>
    <w:rsid w:val="2E1F2D74"/>
    <w:rsid w:val="2F040D46"/>
    <w:rsid w:val="319F7F4E"/>
    <w:rsid w:val="3304709D"/>
    <w:rsid w:val="33AE06F6"/>
    <w:rsid w:val="36AA5135"/>
    <w:rsid w:val="376D39B2"/>
    <w:rsid w:val="37E16F03"/>
    <w:rsid w:val="38D469F0"/>
    <w:rsid w:val="3D98207C"/>
    <w:rsid w:val="3E78745D"/>
    <w:rsid w:val="44E268DA"/>
    <w:rsid w:val="48E5760B"/>
    <w:rsid w:val="4A627F82"/>
    <w:rsid w:val="4B0E749A"/>
    <w:rsid w:val="4B4F25DA"/>
    <w:rsid w:val="4BE068DB"/>
    <w:rsid w:val="4D577224"/>
    <w:rsid w:val="4EAB630A"/>
    <w:rsid w:val="4ECE2238"/>
    <w:rsid w:val="5024393C"/>
    <w:rsid w:val="51C5538A"/>
    <w:rsid w:val="537E6D0A"/>
    <w:rsid w:val="55684751"/>
    <w:rsid w:val="5A32400B"/>
    <w:rsid w:val="5AF92295"/>
    <w:rsid w:val="5CD71FC4"/>
    <w:rsid w:val="5D347D3A"/>
    <w:rsid w:val="5F0E0117"/>
    <w:rsid w:val="6B811C71"/>
    <w:rsid w:val="6C4A05C8"/>
    <w:rsid w:val="6D905E06"/>
    <w:rsid w:val="6E7E3605"/>
    <w:rsid w:val="6FF5CC65"/>
    <w:rsid w:val="715C0E4B"/>
    <w:rsid w:val="72734D90"/>
    <w:rsid w:val="73AD73D5"/>
    <w:rsid w:val="73B6EB34"/>
    <w:rsid w:val="73D86B81"/>
    <w:rsid w:val="744731E5"/>
    <w:rsid w:val="76E3355F"/>
    <w:rsid w:val="774BEFDA"/>
    <w:rsid w:val="778769C8"/>
    <w:rsid w:val="792D540E"/>
    <w:rsid w:val="79EE5BA4"/>
    <w:rsid w:val="7A894339"/>
    <w:rsid w:val="7EEF11D3"/>
    <w:rsid w:val="7FA30C79"/>
    <w:rsid w:val="7FB7269E"/>
    <w:rsid w:val="7FC96657"/>
    <w:rsid w:val="BBFFF585"/>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99"/>
    <w:pPr>
      <w:ind w:left="200" w:leftChars="200" w:hanging="200" w:hangingChars="200"/>
    </w:pPr>
  </w:style>
  <w:style w:type="paragraph" w:styleId="6">
    <w:name w:val="Body Text"/>
    <w:basedOn w:val="1"/>
    <w:next w:val="1"/>
    <w:link w:val="26"/>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99"/>
    <w:pPr>
      <w:spacing w:before="100" w:beforeAutospacing="1" w:after="100" w:afterAutospacing="1"/>
      <w:jc w:val="left"/>
    </w:pPr>
    <w:rPr>
      <w:rFonts w:ascii="Calibri" w:hAnsi="Calibri"/>
      <w:kern w:val="0"/>
      <w:sz w:val="24"/>
    </w:rPr>
  </w:style>
  <w:style w:type="paragraph" w:styleId="15">
    <w:name w:val="Body Text First Indent 2"/>
    <w:basedOn w:val="7"/>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paragraph" w:customStyle="1" w:styleId="36">
    <w:name w:val="正文文本 (2)"/>
    <w:basedOn w:val="1"/>
    <w:qFormat/>
    <w:uiPriority w:val="99"/>
    <w:pPr>
      <w:shd w:val="clear" w:color="auto" w:fill="FFFFFF"/>
      <w:spacing w:before="960" w:after="1380" w:line="240" w:lineRule="atLeast"/>
      <w:jc w:val="center"/>
    </w:pPr>
    <w:rPr>
      <w:rFonts w:ascii="MingLiU" w:hAnsi="MingLiU" w:eastAsia="MingLiU"/>
      <w:sz w:val="34"/>
      <w:szCs w:val="34"/>
    </w:rPr>
  </w:style>
  <w:style w:type="paragraph" w:styleId="37">
    <w:name w:val="No Spacing"/>
    <w:qFormat/>
    <w:uiPriority w:val="1"/>
    <w:pPr>
      <w:widowControl w:val="0"/>
      <w:jc w:val="both"/>
    </w:pPr>
    <w:rPr>
      <w:rFonts w:ascii="Calibri" w:hAnsi="Calibri" w:eastAsia="微软雅黑" w:cs="Times New Roman"/>
      <w:kern w:val="2"/>
      <w:sz w:val="21"/>
      <w:lang w:val="en-US" w:eastAsia="zh-CN" w:bidi="ar-SA"/>
    </w:rPr>
  </w:style>
  <w:style w:type="paragraph" w:customStyle="1" w:styleId="38">
    <w:name w:val="msonormalcxspmiddle"/>
    <w:basedOn w:val="1"/>
    <w:qFormat/>
    <w:uiPriority w:val="0"/>
    <w:pPr>
      <w:widowControl/>
      <w:adjustRightInd w:val="0"/>
      <w:snapToGrid w:val="0"/>
      <w:spacing w:before="100" w:beforeAutospacing="1" w:after="100" w:afterAutospacing="1"/>
      <w:jc w:val="left"/>
    </w:pPr>
    <w:rPr>
      <w:rFonts w:ascii="宋体" w:hAnsi="宋体" w:eastAsia="微软雅黑" w:cs="宋体"/>
      <w:kern w:val="0"/>
      <w:sz w:val="24"/>
      <w:szCs w:val="22"/>
    </w:rPr>
  </w:style>
  <w:style w:type="character" w:customStyle="1" w:styleId="39">
    <w:name w:val="font101"/>
    <w:basedOn w:val="17"/>
    <w:qFormat/>
    <w:uiPriority w:val="0"/>
    <w:rPr>
      <w:rFonts w:hint="eastAsia" w:ascii="宋体" w:hAnsi="宋体" w:eastAsia="宋体" w:cs="宋体"/>
      <w:color w:val="000000"/>
      <w:sz w:val="20"/>
      <w:szCs w:val="20"/>
      <w:u w:val="none"/>
    </w:rPr>
  </w:style>
  <w:style w:type="character" w:customStyle="1" w:styleId="40">
    <w:name w:val="font51"/>
    <w:basedOn w:val="17"/>
    <w:qFormat/>
    <w:uiPriority w:val="0"/>
    <w:rPr>
      <w:rFonts w:hint="eastAsia" w:ascii="宋体" w:hAnsi="宋体" w:eastAsia="宋体" w:cs="宋体"/>
      <w:color w:val="000000"/>
      <w:sz w:val="20"/>
      <w:szCs w:val="20"/>
      <w:u w:val="none"/>
    </w:rPr>
  </w:style>
  <w:style w:type="character" w:customStyle="1" w:styleId="41">
    <w:name w:val="font141"/>
    <w:basedOn w:val="17"/>
    <w:qFormat/>
    <w:uiPriority w:val="0"/>
    <w:rPr>
      <w:rFonts w:hint="eastAsia" w:ascii="宋体" w:hAnsi="宋体" w:eastAsia="宋体" w:cs="宋体"/>
      <w:b/>
      <w:bCs/>
      <w:color w:val="000000"/>
      <w:sz w:val="32"/>
      <w:szCs w:val="32"/>
      <w:u w:val="none"/>
    </w:rPr>
  </w:style>
  <w:style w:type="character" w:customStyle="1" w:styleId="42">
    <w:name w:val="font151"/>
    <w:basedOn w:val="17"/>
    <w:qFormat/>
    <w:uiPriority w:val="0"/>
    <w:rPr>
      <w:rFonts w:hint="eastAsia" w:ascii="宋体" w:hAnsi="宋体" w:eastAsia="宋体" w:cs="宋体"/>
      <w:color w:val="000000"/>
      <w:sz w:val="20"/>
      <w:szCs w:val="20"/>
      <w:u w:val="none"/>
    </w:rPr>
  </w:style>
  <w:style w:type="character" w:customStyle="1" w:styleId="43">
    <w:name w:val="font161"/>
    <w:basedOn w:val="17"/>
    <w:qFormat/>
    <w:uiPriority w:val="0"/>
    <w:rPr>
      <w:rFonts w:hint="eastAsia" w:ascii="宋体" w:hAnsi="宋体" w:eastAsia="宋体" w:cs="宋体"/>
      <w:color w:val="000000"/>
      <w:sz w:val="16"/>
      <w:szCs w:val="16"/>
      <w:u w:val="none"/>
    </w:rPr>
  </w:style>
  <w:style w:type="character" w:customStyle="1" w:styleId="44">
    <w:name w:val="font41"/>
    <w:basedOn w:val="17"/>
    <w:qFormat/>
    <w:uiPriority w:val="0"/>
    <w:rPr>
      <w:rFonts w:hint="eastAsia" w:ascii="宋体" w:hAnsi="宋体" w:eastAsia="宋体" w:cs="宋体"/>
      <w:color w:val="000000"/>
      <w:sz w:val="20"/>
      <w:szCs w:val="20"/>
      <w:u w:val="none"/>
    </w:rPr>
  </w:style>
  <w:style w:type="character" w:customStyle="1" w:styleId="45">
    <w:name w:val="font61"/>
    <w:basedOn w:val="17"/>
    <w:qFormat/>
    <w:uiPriority w:val="0"/>
    <w:rPr>
      <w:rFonts w:hint="eastAsia" w:ascii="宋体" w:hAnsi="宋体" w:eastAsia="宋体" w:cs="宋体"/>
      <w:b/>
      <w:bCs/>
      <w:color w:val="000000"/>
      <w:sz w:val="20"/>
      <w:szCs w:val="20"/>
      <w:u w:val="none"/>
    </w:rPr>
  </w:style>
  <w:style w:type="character" w:customStyle="1" w:styleId="46">
    <w:name w:val="font81"/>
    <w:basedOn w:val="17"/>
    <w:qFormat/>
    <w:uiPriority w:val="0"/>
    <w:rPr>
      <w:rFonts w:ascii="仿宋" w:hAnsi="仿宋" w:eastAsia="仿宋" w:cs="仿宋"/>
      <w:b/>
      <w:bCs/>
      <w:color w:val="000000"/>
      <w:sz w:val="20"/>
      <w:szCs w:val="20"/>
      <w:u w:val="none"/>
    </w:rPr>
  </w:style>
  <w:style w:type="character" w:customStyle="1" w:styleId="47">
    <w:name w:val="font91"/>
    <w:basedOn w:val="17"/>
    <w:qFormat/>
    <w:uiPriority w:val="0"/>
    <w:rPr>
      <w:rFonts w:hint="eastAsia" w:ascii="黑体" w:hAnsi="宋体" w:eastAsia="黑体" w:cs="黑体"/>
      <w:color w:val="000000"/>
      <w:sz w:val="20"/>
      <w:szCs w:val="20"/>
      <w:u w:val="none"/>
    </w:rPr>
  </w:style>
  <w:style w:type="character" w:customStyle="1" w:styleId="48">
    <w:name w:val="font71"/>
    <w:basedOn w:val="17"/>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53</Pages>
  <Words>22272</Words>
  <Characters>24674</Characters>
  <Lines>200</Lines>
  <Paragraphs>56</Paragraphs>
  <TotalTime>24</TotalTime>
  <ScaleCrop>false</ScaleCrop>
  <LinksUpToDate>false</LinksUpToDate>
  <CharactersWithSpaces>24945</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user</cp:lastModifiedBy>
  <cp:lastPrinted>2023-07-31T18:35:00Z</cp:lastPrinted>
  <dcterms:modified xsi:type="dcterms:W3CDTF">2025-01-15T16:12:53Z</dcterms:modified>
  <dc:title>四川省***</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44FC8077448E44648C62410441276882_13</vt:lpwstr>
  </property>
</Properties>
</file>