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方正小标宋简体" w:hAnsi="宋体" w:eastAsia="方正小标宋简体"/>
          <w:sz w:val="72"/>
          <w:szCs w:val="72"/>
        </w:rPr>
      </w:pPr>
    </w:p>
    <w:p>
      <w:pPr>
        <w:pStyle w:val="2"/>
        <w:rPr>
          <w:rFonts w:ascii="方正小标宋简体" w:hAnsi="宋体" w:eastAsia="方正小标宋简体"/>
          <w:sz w:val="72"/>
          <w:szCs w:val="72"/>
        </w:rPr>
      </w:pPr>
    </w:p>
    <w:p>
      <w:pPr>
        <w:pStyle w:val="4"/>
        <w:rPr>
          <w:rFonts w:ascii="方正小标宋简体" w:hAnsi="宋体" w:eastAsia="方正小标宋简体"/>
          <w:sz w:val="72"/>
          <w:szCs w:val="72"/>
        </w:rPr>
      </w:pPr>
    </w:p>
    <w:p>
      <w:pPr>
        <w:pStyle w:val="4"/>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1" w:name="_Toc15377425"/>
      <w:bookmarkStart w:id="2" w:name="_Toc15377193"/>
      <w:bookmarkStart w:id="3" w:name="_Toc15396475"/>
      <w:bookmarkStart w:id="4" w:name="_Toc15378441"/>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Start w:id="108" w:name="_GoBack"/>
      <w:bookmarkEnd w:id="108"/>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6" w:name="_Toc15378442"/>
      <w:bookmarkStart w:id="7" w:name="_Toc15377426"/>
      <w:bookmarkStart w:id="8" w:name="_Toc15396598"/>
      <w:bookmarkStart w:id="9" w:name="_Toc15377194"/>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林业局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 xml:space="preserve">公开时间：2023年 </w:t>
      </w:r>
      <w:r>
        <w:rPr>
          <w:rFonts w:hint="eastAsia"/>
          <w:lang w:val="en-US" w:eastAsia="zh-CN"/>
        </w:rPr>
        <w:t>10</w:t>
      </w:r>
      <w:r>
        <w:rPr>
          <w:rFonts w:hint="eastAsia"/>
        </w:rPr>
        <w:t xml:space="preserve">月 </w:t>
      </w:r>
      <w:r>
        <w:rPr>
          <w:rFonts w:hint="eastAsia"/>
          <w:lang w:val="en-US" w:eastAsia="zh-CN"/>
        </w:rPr>
        <w:t>16</w:t>
      </w:r>
      <w:r>
        <w:rPr>
          <w:rFonts w:hint="eastAsia"/>
        </w:rPr>
        <w:t>日</w:t>
      </w:r>
    </w:p>
    <w:p/>
    <w:sdt>
      <w:sdtPr>
        <w:rPr>
          <w:rFonts w:ascii="宋体" w:hAnsi="宋体" w:eastAsia="宋体" w:cs="Times New Roman"/>
          <w:kern w:val="2"/>
          <w:sz w:val="21"/>
          <w:szCs w:val="24"/>
          <w:lang w:val="en-US" w:eastAsia="zh-CN" w:bidi="ar-SA"/>
        </w:rPr>
        <w:id w:val="14746438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_Toc16384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_Toc16384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_Toc6867 </w:instrText>
          </w:r>
          <w:r>
            <w:fldChar w:fldCharType="separate"/>
          </w:r>
          <w:r>
            <w:rPr>
              <w:rFonts w:hint="eastAsia" w:ascii="黑体" w:hAnsi="黑体" w:eastAsia="黑体" w:cs="Times New Roman"/>
              <w:szCs w:val="32"/>
              <w:lang w:val="en-US" w:eastAsia="zh-CN"/>
            </w:rPr>
            <w:t>一、主要职责</w:t>
          </w:r>
          <w:r>
            <w:tab/>
          </w:r>
          <w:r>
            <w:fldChar w:fldCharType="begin"/>
          </w:r>
          <w:r>
            <w:instrText xml:space="preserve"> PAGEREF _Toc6867 \h </w:instrText>
          </w:r>
          <w:r>
            <w:fldChar w:fldCharType="separate"/>
          </w:r>
          <w:r>
            <w:t>4</w:t>
          </w:r>
          <w:r>
            <w:fldChar w:fldCharType="end"/>
          </w:r>
          <w:r>
            <w:fldChar w:fldCharType="end"/>
          </w:r>
        </w:p>
        <w:p>
          <w:pPr>
            <w:pStyle w:val="9"/>
            <w:tabs>
              <w:tab w:val="right" w:leader="dot" w:pos="8306"/>
              <w:tab w:val="clear" w:pos="8296"/>
            </w:tabs>
          </w:pPr>
          <w:r>
            <w:fldChar w:fldCharType="begin"/>
          </w:r>
          <w:r>
            <w:instrText xml:space="preserve"> HYPERLINK \l _Toc6823 </w:instrText>
          </w:r>
          <w:r>
            <w:fldChar w:fldCharType="separate"/>
          </w:r>
          <w:r>
            <w:rPr>
              <w:rFonts w:hint="eastAsia" w:ascii="仿宋" w:hAnsi="仿宋" w:eastAsia="仿宋" w:cs="Times New Roman"/>
              <w:szCs w:val="32"/>
              <w:lang w:eastAsia="zh-CN"/>
            </w:rPr>
            <w:t>（</w:t>
          </w:r>
          <w:r>
            <w:rPr>
              <w:rFonts w:hint="eastAsia" w:ascii="仿宋" w:hAnsi="仿宋" w:eastAsia="仿宋" w:cs="Times New Roman"/>
              <w:szCs w:val="32"/>
              <w:lang w:val="en-US" w:eastAsia="zh-CN"/>
            </w:rPr>
            <w:t>一</w:t>
          </w:r>
          <w:r>
            <w:rPr>
              <w:rFonts w:hint="eastAsia" w:ascii="仿宋" w:hAnsi="仿宋" w:eastAsia="仿宋" w:cs="Times New Roman"/>
              <w:szCs w:val="32"/>
              <w:lang w:eastAsia="zh-CN"/>
            </w:rPr>
            <w:t>）</w:t>
          </w:r>
          <w:r>
            <w:rPr>
              <w:rFonts w:hint="eastAsia" w:ascii="仿宋" w:hAnsi="仿宋" w:eastAsia="仿宋" w:cs="Times New Roman"/>
              <w:szCs w:val="32"/>
              <w:lang w:val="en-US" w:eastAsia="zh-CN"/>
            </w:rPr>
            <w:t>部门职责</w:t>
          </w:r>
          <w:r>
            <w:tab/>
          </w:r>
          <w:r>
            <w:fldChar w:fldCharType="begin"/>
          </w:r>
          <w:r>
            <w:instrText xml:space="preserve"> PAGEREF _Toc6823 \h </w:instrText>
          </w:r>
          <w:r>
            <w:fldChar w:fldCharType="separate"/>
          </w:r>
          <w:r>
            <w:t>4</w:t>
          </w:r>
          <w:r>
            <w:fldChar w:fldCharType="end"/>
          </w:r>
          <w:r>
            <w:fldChar w:fldCharType="end"/>
          </w:r>
        </w:p>
        <w:p>
          <w:pPr>
            <w:pStyle w:val="9"/>
            <w:tabs>
              <w:tab w:val="right" w:leader="dot" w:pos="8306"/>
              <w:tab w:val="clear" w:pos="8296"/>
            </w:tabs>
          </w:pPr>
          <w:r>
            <w:fldChar w:fldCharType="begin"/>
          </w:r>
          <w:r>
            <w:instrText xml:space="preserve"> HYPERLINK \l _Toc8754 </w:instrText>
          </w:r>
          <w:r>
            <w:fldChar w:fldCharType="separate"/>
          </w:r>
          <w:r>
            <w:rPr>
              <w:rFonts w:hint="eastAsia" w:ascii="仿宋" w:hAnsi="仿宋" w:eastAsia="仿宋" w:cs="Times New Roman"/>
              <w:szCs w:val="32"/>
              <w:lang w:eastAsia="zh-CN"/>
            </w:rPr>
            <w:t>（二）2022年重点工作完成情况</w:t>
          </w:r>
          <w:r>
            <w:tab/>
          </w:r>
          <w:r>
            <w:fldChar w:fldCharType="begin"/>
          </w:r>
          <w:r>
            <w:instrText xml:space="preserve"> PAGEREF _Toc8754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_Toc3754 </w:instrText>
          </w:r>
          <w:r>
            <w:fldChar w:fldCharType="separate"/>
          </w:r>
          <w:r>
            <w:rPr>
              <w:rFonts w:hint="eastAsia" w:ascii="黑体" w:hAnsi="黑体" w:eastAsia="黑体" w:cs="Times New Roman"/>
              <w:szCs w:val="32"/>
            </w:rPr>
            <w:t>二、机构设置</w:t>
          </w:r>
          <w:r>
            <w:tab/>
          </w:r>
          <w:r>
            <w:fldChar w:fldCharType="begin"/>
          </w:r>
          <w:r>
            <w:instrText xml:space="preserve"> PAGEREF _Toc3754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_Toc14188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_Toc14188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_Toc19543 </w:instrText>
          </w:r>
          <w:r>
            <w:fldChar w:fldCharType="separate"/>
          </w:r>
          <w:r>
            <w:rPr>
              <w:rFonts w:hint="eastAsia" w:ascii="黑体" w:hAnsi="黑体" w:eastAsia="黑体" w:cstheme="majorBidi"/>
              <w:bCs/>
              <w:kern w:val="2"/>
              <w:szCs w:val="32"/>
              <w:lang w:val="en-US" w:eastAsia="zh-CN" w:bidi="ar-SA"/>
            </w:rPr>
            <w:t>一</w:t>
          </w:r>
          <w:r>
            <w:rPr>
              <w:rFonts w:hint="default" w:ascii="黑体" w:hAnsi="黑体" w:eastAsia="黑体" w:cstheme="majorBidi"/>
              <w:bCs/>
              <w:kern w:val="2"/>
              <w:szCs w:val="32"/>
              <w:lang w:val="en-US" w:eastAsia="zh-CN" w:bidi="ar-SA"/>
            </w:rPr>
            <w:t>、</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_Toc19543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_Toc4854 </w:instrText>
          </w:r>
          <w:r>
            <w:fldChar w:fldCharType="separate"/>
          </w:r>
          <w:r>
            <w:rPr>
              <w:rFonts w:hint="eastAsia" w:ascii="黑体" w:hAnsi="黑体" w:eastAsia="黑体" w:cstheme="majorBidi"/>
              <w:bCs/>
              <w:kern w:val="2"/>
              <w:szCs w:val="32"/>
              <w:lang w:val="en-US" w:eastAsia="zh-CN" w:bidi="ar-SA"/>
            </w:rPr>
            <w:t>二</w:t>
          </w:r>
          <w:r>
            <w:rPr>
              <w:rFonts w:hint="default" w:ascii="黑体" w:hAnsi="黑体" w:eastAsia="黑体" w:cstheme="majorBidi"/>
              <w:bCs/>
              <w:kern w:val="2"/>
              <w:szCs w:val="32"/>
              <w:lang w:val="en-US" w:eastAsia="zh-CN" w:bidi="ar-SA"/>
            </w:rPr>
            <w:t>、</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_Toc4854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_Toc22056 </w:instrText>
          </w:r>
          <w:r>
            <w:fldChar w:fldCharType="separate"/>
          </w:r>
          <w:r>
            <w:rPr>
              <w:rFonts w:hint="eastAsia" w:ascii="黑体" w:hAnsi="黑体" w:eastAsia="黑体" w:cstheme="majorBidi"/>
              <w:bCs/>
              <w:kern w:val="2"/>
              <w:szCs w:val="32"/>
              <w:lang w:val="en-US" w:eastAsia="zh-CN" w:bidi="ar-SA"/>
            </w:rPr>
            <w:t>三</w:t>
          </w:r>
          <w:r>
            <w:rPr>
              <w:rFonts w:hint="default" w:ascii="黑体" w:hAnsi="黑体" w:eastAsia="黑体" w:cstheme="majorBidi"/>
              <w:bCs/>
              <w:kern w:val="2"/>
              <w:szCs w:val="32"/>
              <w:lang w:val="en-US" w:eastAsia="zh-CN" w:bidi="ar-SA"/>
            </w:rPr>
            <w:t>、</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_Toc22056 \h </w:instrText>
          </w:r>
          <w:r>
            <w:fldChar w:fldCharType="separate"/>
          </w:r>
          <w:r>
            <w:t>10</w:t>
          </w:r>
          <w:r>
            <w:fldChar w:fldCharType="end"/>
          </w:r>
          <w:r>
            <w:fldChar w:fldCharType="end"/>
          </w:r>
        </w:p>
        <w:p>
          <w:pPr>
            <w:pStyle w:val="14"/>
            <w:tabs>
              <w:tab w:val="right" w:leader="dot" w:pos="8306"/>
              <w:tab w:val="clear" w:pos="8296"/>
            </w:tabs>
          </w:pPr>
          <w:r>
            <w:fldChar w:fldCharType="begin"/>
          </w:r>
          <w:r>
            <w:instrText xml:space="preserve"> HYPERLINK \l _Toc4563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_Toc4563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_Toc12223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_Toc12223 \h </w:instrText>
          </w:r>
          <w:r>
            <w:fldChar w:fldCharType="separate"/>
          </w:r>
          <w:r>
            <w:t>11</w:t>
          </w:r>
          <w:r>
            <w:fldChar w:fldCharType="end"/>
          </w:r>
          <w:r>
            <w:fldChar w:fldCharType="end"/>
          </w:r>
        </w:p>
        <w:p>
          <w:pPr>
            <w:pStyle w:val="9"/>
            <w:tabs>
              <w:tab w:val="right" w:leader="dot" w:pos="8306"/>
              <w:tab w:val="clear" w:pos="8296"/>
            </w:tabs>
          </w:pPr>
          <w:r>
            <w:fldChar w:fldCharType="begin"/>
          </w:r>
          <w:r>
            <w:instrText xml:space="preserve"> HYPERLINK \l _Toc287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_Toc287 \h </w:instrText>
          </w:r>
          <w:r>
            <w:fldChar w:fldCharType="separate"/>
          </w:r>
          <w:r>
            <w:t>11</w:t>
          </w:r>
          <w:r>
            <w:fldChar w:fldCharType="end"/>
          </w:r>
          <w:r>
            <w:fldChar w:fldCharType="end"/>
          </w:r>
        </w:p>
        <w:p>
          <w:pPr>
            <w:pStyle w:val="9"/>
            <w:tabs>
              <w:tab w:val="right" w:leader="dot" w:pos="8306"/>
              <w:tab w:val="clear" w:pos="8296"/>
            </w:tabs>
          </w:pPr>
          <w:r>
            <w:fldChar w:fldCharType="begin"/>
          </w:r>
          <w:r>
            <w:instrText xml:space="preserve"> HYPERLINK \l _Toc29124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_Toc29124 \h </w:instrText>
          </w:r>
          <w:r>
            <w:fldChar w:fldCharType="separate"/>
          </w:r>
          <w:r>
            <w:t>12</w:t>
          </w:r>
          <w:r>
            <w:fldChar w:fldCharType="end"/>
          </w:r>
          <w:r>
            <w:fldChar w:fldCharType="end"/>
          </w:r>
        </w:p>
        <w:p>
          <w:pPr>
            <w:pStyle w:val="9"/>
            <w:tabs>
              <w:tab w:val="right" w:leader="dot" w:pos="8306"/>
              <w:tab w:val="clear" w:pos="8296"/>
            </w:tabs>
          </w:pPr>
          <w:r>
            <w:fldChar w:fldCharType="begin"/>
          </w:r>
          <w:r>
            <w:instrText xml:space="preserve"> HYPERLINK \l _Toc32503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_Toc32503 \h </w:instrText>
          </w:r>
          <w:r>
            <w:fldChar w:fldCharType="separate"/>
          </w:r>
          <w:r>
            <w:t>13</w:t>
          </w:r>
          <w:r>
            <w:fldChar w:fldCharType="end"/>
          </w:r>
          <w:r>
            <w:fldChar w:fldCharType="end"/>
          </w:r>
        </w:p>
        <w:p>
          <w:pPr>
            <w:pStyle w:val="14"/>
            <w:tabs>
              <w:tab w:val="right" w:leader="dot" w:pos="8306"/>
              <w:tab w:val="clear" w:pos="8296"/>
            </w:tabs>
          </w:pPr>
          <w:r>
            <w:fldChar w:fldCharType="begin"/>
          </w:r>
          <w:r>
            <w:instrText xml:space="preserve"> HYPERLINK \l _Toc20904 </w:instrText>
          </w:r>
          <w:r>
            <w:fldChar w:fldCharType="separate"/>
          </w:r>
          <w:r>
            <w:rPr>
              <w:rFonts w:hint="eastAsia" w:ascii="黑体" w:hAnsi="黑体" w:eastAsia="黑体" w:cs="Times New Roman"/>
              <w:szCs w:val="32"/>
            </w:rPr>
            <w:t>六、一般公共预算财政拨款基本支出决算情况说明</w:t>
          </w:r>
          <w:r>
            <w:tab/>
          </w:r>
          <w:r>
            <w:fldChar w:fldCharType="begin"/>
          </w:r>
          <w:r>
            <w:instrText xml:space="preserve"> PAGEREF _Toc20904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_Toc25511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_Toc25511 \h </w:instrText>
          </w:r>
          <w:r>
            <w:fldChar w:fldCharType="separate"/>
          </w:r>
          <w:r>
            <w:t>16</w:t>
          </w:r>
          <w:r>
            <w:fldChar w:fldCharType="end"/>
          </w:r>
          <w:r>
            <w:fldChar w:fldCharType="end"/>
          </w:r>
        </w:p>
        <w:p>
          <w:pPr>
            <w:pStyle w:val="9"/>
            <w:tabs>
              <w:tab w:val="right" w:leader="dot" w:pos="8306"/>
              <w:tab w:val="clear" w:pos="8296"/>
            </w:tabs>
          </w:pPr>
          <w:r>
            <w:fldChar w:fldCharType="begin"/>
          </w:r>
          <w:r>
            <w:instrText xml:space="preserve"> HYPERLINK \l _Toc25759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_Toc25759 \h </w:instrText>
          </w:r>
          <w:r>
            <w:fldChar w:fldCharType="separate"/>
          </w:r>
          <w:r>
            <w:t>16</w:t>
          </w:r>
          <w:r>
            <w:fldChar w:fldCharType="end"/>
          </w:r>
          <w:r>
            <w:fldChar w:fldCharType="end"/>
          </w:r>
        </w:p>
        <w:p>
          <w:pPr>
            <w:pStyle w:val="9"/>
            <w:tabs>
              <w:tab w:val="right" w:leader="dot" w:pos="8306"/>
              <w:tab w:val="clear" w:pos="8296"/>
            </w:tabs>
          </w:pPr>
          <w:r>
            <w:fldChar w:fldCharType="begin"/>
          </w:r>
          <w:r>
            <w:instrText xml:space="preserve"> HYPERLINK \l _Toc32072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_Toc32072 \h </w:instrText>
          </w:r>
          <w:r>
            <w:fldChar w:fldCharType="separate"/>
          </w:r>
          <w:r>
            <w:t>16</w:t>
          </w:r>
          <w:r>
            <w:fldChar w:fldCharType="end"/>
          </w:r>
          <w:r>
            <w:fldChar w:fldCharType="end"/>
          </w:r>
        </w:p>
        <w:p>
          <w:pPr>
            <w:pStyle w:val="14"/>
            <w:tabs>
              <w:tab w:val="right" w:leader="dot" w:pos="8306"/>
              <w:tab w:val="clear" w:pos="8296"/>
            </w:tabs>
          </w:pPr>
          <w:r>
            <w:fldChar w:fldCharType="begin"/>
          </w:r>
          <w:r>
            <w:instrText xml:space="preserve"> HYPERLINK \l _Toc24399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_Toc24399 \h </w:instrText>
          </w:r>
          <w:r>
            <w:fldChar w:fldCharType="separate"/>
          </w:r>
          <w:r>
            <w:t>18</w:t>
          </w:r>
          <w:r>
            <w:fldChar w:fldCharType="end"/>
          </w:r>
          <w:r>
            <w:fldChar w:fldCharType="end"/>
          </w:r>
        </w:p>
        <w:p>
          <w:pPr>
            <w:pStyle w:val="14"/>
            <w:tabs>
              <w:tab w:val="right" w:leader="dot" w:pos="8306"/>
              <w:tab w:val="clear" w:pos="8296"/>
            </w:tabs>
          </w:pPr>
          <w:r>
            <w:fldChar w:fldCharType="begin"/>
          </w:r>
          <w:r>
            <w:instrText xml:space="preserve"> HYPERLINK \l _Toc31015 </w:instrText>
          </w:r>
          <w:r>
            <w:fldChar w:fldCharType="separate"/>
          </w:r>
          <w:r>
            <w:rPr>
              <w:rFonts w:hint="eastAsia" w:ascii="黑体" w:hAnsi="黑体" w:eastAsia="黑体"/>
            </w:rPr>
            <w:t>九、 国有资本经营预算支出决算情况说明</w:t>
          </w:r>
          <w:r>
            <w:tab/>
          </w:r>
          <w:r>
            <w:fldChar w:fldCharType="begin"/>
          </w:r>
          <w:r>
            <w:instrText xml:space="preserve"> PAGEREF _Toc31015 \h </w:instrText>
          </w:r>
          <w:r>
            <w:fldChar w:fldCharType="separate"/>
          </w:r>
          <w:r>
            <w:t>18</w:t>
          </w:r>
          <w:r>
            <w:fldChar w:fldCharType="end"/>
          </w:r>
          <w:r>
            <w:fldChar w:fldCharType="end"/>
          </w:r>
        </w:p>
        <w:p>
          <w:pPr>
            <w:pStyle w:val="14"/>
            <w:tabs>
              <w:tab w:val="right" w:leader="dot" w:pos="8306"/>
              <w:tab w:val="clear" w:pos="8296"/>
            </w:tabs>
          </w:pPr>
          <w:r>
            <w:fldChar w:fldCharType="begin"/>
          </w:r>
          <w:r>
            <w:instrText xml:space="preserve"> HYPERLINK \l _Toc24577 </w:instrText>
          </w:r>
          <w:r>
            <w:fldChar w:fldCharType="separate"/>
          </w:r>
          <w:r>
            <w:rPr>
              <w:rFonts w:hint="eastAsia" w:ascii="黑体" w:hAnsi="黑体" w:eastAsia="黑体"/>
            </w:rPr>
            <w:t>十、 其他重要事项的情况说明</w:t>
          </w:r>
          <w:r>
            <w:tab/>
          </w:r>
          <w:r>
            <w:fldChar w:fldCharType="begin"/>
          </w:r>
          <w:r>
            <w:instrText xml:space="preserve"> PAGEREF _Toc24577 \h </w:instrText>
          </w:r>
          <w:r>
            <w:fldChar w:fldCharType="separate"/>
          </w:r>
          <w:r>
            <w:t>18</w:t>
          </w:r>
          <w:r>
            <w:fldChar w:fldCharType="end"/>
          </w:r>
          <w:r>
            <w:fldChar w:fldCharType="end"/>
          </w:r>
        </w:p>
        <w:p>
          <w:pPr>
            <w:pStyle w:val="9"/>
            <w:tabs>
              <w:tab w:val="right" w:leader="dot" w:pos="8306"/>
              <w:tab w:val="clear" w:pos="8296"/>
            </w:tabs>
          </w:pPr>
          <w:r>
            <w:fldChar w:fldCharType="begin"/>
          </w:r>
          <w:r>
            <w:instrText xml:space="preserve"> HYPERLINK \l _Toc29117 </w:instrText>
          </w:r>
          <w:r>
            <w:fldChar w:fldCharType="separate"/>
          </w:r>
          <w:r>
            <w:rPr>
              <w:rFonts w:hint="eastAsia" w:ascii="仿宋" w:hAnsi="仿宋" w:eastAsia="仿宋"/>
              <w:szCs w:val="32"/>
            </w:rPr>
            <w:t>（一）机关运行经费支出情况</w:t>
          </w:r>
          <w:r>
            <w:tab/>
          </w:r>
          <w:r>
            <w:fldChar w:fldCharType="begin"/>
          </w:r>
          <w:r>
            <w:instrText xml:space="preserve"> PAGEREF _Toc29117 \h </w:instrText>
          </w:r>
          <w:r>
            <w:fldChar w:fldCharType="separate"/>
          </w:r>
          <w:r>
            <w:t>18</w:t>
          </w:r>
          <w:r>
            <w:fldChar w:fldCharType="end"/>
          </w:r>
          <w:r>
            <w:fldChar w:fldCharType="end"/>
          </w:r>
        </w:p>
        <w:p>
          <w:pPr>
            <w:pStyle w:val="9"/>
            <w:tabs>
              <w:tab w:val="right" w:leader="dot" w:pos="8306"/>
              <w:tab w:val="clear" w:pos="8296"/>
            </w:tabs>
          </w:pPr>
          <w:r>
            <w:fldChar w:fldCharType="begin"/>
          </w:r>
          <w:r>
            <w:instrText xml:space="preserve"> HYPERLINK \l _Toc32604 </w:instrText>
          </w:r>
          <w:r>
            <w:fldChar w:fldCharType="separate"/>
          </w:r>
          <w:r>
            <w:rPr>
              <w:rFonts w:hint="eastAsia" w:ascii="仿宋" w:hAnsi="仿宋" w:eastAsia="仿宋"/>
              <w:szCs w:val="32"/>
            </w:rPr>
            <w:t>（二）政府采购支出情况</w:t>
          </w:r>
          <w:r>
            <w:tab/>
          </w:r>
          <w:r>
            <w:fldChar w:fldCharType="begin"/>
          </w:r>
          <w:r>
            <w:instrText xml:space="preserve"> PAGEREF _Toc32604 \h </w:instrText>
          </w:r>
          <w:r>
            <w:fldChar w:fldCharType="separate"/>
          </w:r>
          <w:r>
            <w:t>18</w:t>
          </w:r>
          <w:r>
            <w:fldChar w:fldCharType="end"/>
          </w:r>
          <w:r>
            <w:fldChar w:fldCharType="end"/>
          </w:r>
        </w:p>
        <w:p>
          <w:pPr>
            <w:pStyle w:val="9"/>
            <w:tabs>
              <w:tab w:val="right" w:leader="dot" w:pos="8306"/>
              <w:tab w:val="clear" w:pos="8296"/>
            </w:tabs>
          </w:pPr>
          <w:r>
            <w:fldChar w:fldCharType="begin"/>
          </w:r>
          <w:r>
            <w:instrText xml:space="preserve"> HYPERLINK \l _Toc3320 </w:instrText>
          </w:r>
          <w:r>
            <w:fldChar w:fldCharType="separate"/>
          </w:r>
          <w:r>
            <w:rPr>
              <w:rFonts w:hint="eastAsia" w:ascii="仿宋" w:hAnsi="仿宋" w:eastAsia="仿宋"/>
              <w:szCs w:val="32"/>
            </w:rPr>
            <w:t>（三）国有资产占有使用情况</w:t>
          </w:r>
          <w:r>
            <w:tab/>
          </w:r>
          <w:r>
            <w:fldChar w:fldCharType="begin"/>
          </w:r>
          <w:r>
            <w:instrText xml:space="preserve"> PAGEREF _Toc3320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_Toc1006 </w:instrText>
          </w:r>
          <w:r>
            <w:fldChar w:fldCharType="separate"/>
          </w:r>
          <w:r>
            <w:rPr>
              <w:rFonts w:hint="eastAsia" w:ascii="仿宋" w:hAnsi="仿宋" w:eastAsia="仿宋"/>
              <w:szCs w:val="32"/>
            </w:rPr>
            <w:t>（四）预算绩效管理情况</w:t>
          </w:r>
          <w:r>
            <w:tab/>
          </w:r>
          <w:r>
            <w:fldChar w:fldCharType="begin"/>
          </w:r>
          <w:r>
            <w:instrText xml:space="preserve"> PAGEREF _Toc1006 \h </w:instrText>
          </w:r>
          <w:r>
            <w:fldChar w:fldCharType="separate"/>
          </w:r>
          <w:r>
            <w:t>19</w:t>
          </w:r>
          <w:r>
            <w:fldChar w:fldCharType="end"/>
          </w:r>
          <w:r>
            <w:fldChar w:fldCharType="end"/>
          </w:r>
        </w:p>
        <w:p>
          <w:pPr>
            <w:pStyle w:val="13"/>
            <w:tabs>
              <w:tab w:val="right" w:leader="dot" w:pos="8306"/>
              <w:tab w:val="clear" w:pos="8296"/>
            </w:tabs>
          </w:pPr>
          <w:r>
            <w:fldChar w:fldCharType="begin"/>
          </w:r>
          <w:r>
            <w:instrText xml:space="preserve"> HYPERLINK \l _Toc13852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_Toc13852 \h </w:instrText>
          </w:r>
          <w:r>
            <w:fldChar w:fldCharType="separate"/>
          </w:r>
          <w:r>
            <w:t>20</w:t>
          </w:r>
          <w:r>
            <w:fldChar w:fldCharType="end"/>
          </w:r>
          <w:r>
            <w:fldChar w:fldCharType="end"/>
          </w:r>
        </w:p>
        <w:p>
          <w:pPr>
            <w:pStyle w:val="13"/>
            <w:tabs>
              <w:tab w:val="right" w:leader="dot" w:pos="8306"/>
              <w:tab w:val="clear" w:pos="8296"/>
            </w:tabs>
          </w:pPr>
          <w:r>
            <w:fldChar w:fldCharType="begin"/>
          </w:r>
          <w:r>
            <w:instrText xml:space="preserve"> HYPERLINK \l _Toc14099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_Toc14099 \h </w:instrText>
          </w:r>
          <w:r>
            <w:fldChar w:fldCharType="separate"/>
          </w:r>
          <w:r>
            <w:t>25</w:t>
          </w:r>
          <w:r>
            <w:fldChar w:fldCharType="end"/>
          </w:r>
          <w:r>
            <w:fldChar w:fldCharType="end"/>
          </w:r>
        </w:p>
        <w:p>
          <w:pPr>
            <w:pStyle w:val="13"/>
            <w:tabs>
              <w:tab w:val="right" w:leader="dot" w:pos="8306"/>
              <w:tab w:val="clear" w:pos="8296"/>
            </w:tabs>
          </w:pPr>
          <w:r>
            <w:fldChar w:fldCharType="begin"/>
          </w:r>
          <w:r>
            <w:instrText xml:space="preserve"> HYPERLINK \l _Toc6040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_Toc6040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_Toc3578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_Toc3578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_Toc23670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_Toc23670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_Toc12238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_Toc12238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_Toc15951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_Toc15951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_Toc27230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_Toc27230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_Toc19440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_Toc19440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_Toc28843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_Toc28843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_Toc30226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_Toc30226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_Toc23370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_Toc23370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_Toc6858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_Toc6858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_Toc24706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_Toc24706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_Toc19879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_Toc19879 \h </w:instrText>
          </w:r>
          <w:r>
            <w:fldChar w:fldCharType="separate"/>
          </w:r>
          <w:r>
            <w:t>68</w:t>
          </w:r>
          <w:r>
            <w:fldChar w:fldCharType="end"/>
          </w:r>
          <w:r>
            <w:fldChar w:fldCharType="end"/>
          </w:r>
        </w:p>
        <w:p>
          <w:pPr>
            <w:pStyle w:val="14"/>
            <w:tabs>
              <w:tab w:val="right" w:leader="dot" w:pos="8306"/>
              <w:tab w:val="clear" w:pos="8296"/>
            </w:tabs>
          </w:pPr>
          <w:r>
            <w:fldChar w:fldCharType="begin"/>
          </w:r>
          <w:r>
            <w:instrText xml:space="preserve"> HYPERLINK \l _Toc10877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_Toc10877 \h </w:instrText>
          </w:r>
          <w:r>
            <w:fldChar w:fldCharType="separate"/>
          </w:r>
          <w:r>
            <w:t>68</w:t>
          </w:r>
          <w:r>
            <w:fldChar w:fldCharType="end"/>
          </w:r>
          <w:r>
            <w:fldChar w:fldCharType="end"/>
          </w:r>
        </w:p>
        <w:p>
          <w:r>
            <w:fldChar w:fldCharType="end"/>
          </w:r>
        </w:p>
      </w:sdtContent>
    </w:sdt>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6"/>
        <w:jc w:val="center"/>
        <w:rPr>
          <w:rStyle w:val="27"/>
          <w:rFonts w:ascii="黑体" w:hAnsi="黑体" w:eastAsia="黑体"/>
          <w:b/>
          <w:bCs w:val="0"/>
        </w:rPr>
      </w:pPr>
      <w:bookmarkStart w:id="14" w:name="_Toc16384"/>
      <w:r>
        <w:rPr>
          <w:rFonts w:hint="eastAsia" w:ascii="黑体" w:hAnsi="黑体" w:eastAsia="黑体"/>
          <w:b w:val="0"/>
        </w:rPr>
        <w:t>第一部分 单位</w:t>
      </w:r>
      <w:r>
        <w:rPr>
          <w:rStyle w:val="27"/>
          <w:rFonts w:hint="eastAsia" w:ascii="黑体" w:hAnsi="黑体" w:eastAsia="黑体"/>
          <w:b w:val="0"/>
          <w:bCs w:val="0"/>
        </w:rPr>
        <w:t>概况</w:t>
      </w:r>
      <w:bookmarkEnd w:id="12"/>
      <w:bookmarkEnd w:id="13"/>
      <w:bookmarkEnd w:id="14"/>
    </w:p>
    <w:p>
      <w:pPr>
        <w:widowControl/>
        <w:jc w:val="left"/>
        <w:rPr>
          <w:rFonts w:ascii="黑体" w:eastAsia="黑体"/>
          <w:sz w:val="32"/>
          <w:szCs w:val="32"/>
        </w:rPr>
      </w:pPr>
    </w:p>
    <w:p>
      <w:pPr>
        <w:pStyle w:val="26"/>
        <w:numPr>
          <w:ilvl w:val="0"/>
          <w:numId w:val="0"/>
        </w:numPr>
        <w:spacing w:line="600" w:lineRule="exact"/>
        <w:ind w:left="1360" w:leftChars="0" w:hanging="720" w:firstLineChars="0"/>
        <w:outlineLvl w:val="1"/>
        <w:rPr>
          <w:rFonts w:hint="eastAsia" w:ascii="黑体" w:hAnsi="黑体" w:eastAsia="黑体" w:cs="Times New Roman"/>
          <w:sz w:val="32"/>
          <w:szCs w:val="32"/>
          <w:lang w:val="en-US" w:eastAsia="zh-CN"/>
        </w:rPr>
      </w:pPr>
      <w:bookmarkStart w:id="15" w:name="_Toc6867"/>
      <w:bookmarkStart w:id="16" w:name="_Toc15396600"/>
      <w:bookmarkStart w:id="17" w:name="_Toc15377197"/>
      <w:r>
        <w:rPr>
          <w:rFonts w:hint="eastAsia" w:ascii="黑体" w:hAnsi="黑体" w:eastAsia="黑体" w:cs="Times New Roman"/>
          <w:sz w:val="32"/>
          <w:szCs w:val="32"/>
          <w:lang w:val="en-US" w:eastAsia="zh-CN"/>
        </w:rPr>
        <w:t>一、主要职责</w:t>
      </w:r>
      <w:bookmarkEnd w:id="15"/>
    </w:p>
    <w:p>
      <w:pPr>
        <w:spacing w:line="600" w:lineRule="exact"/>
        <w:ind w:firstLine="642" w:firstLineChars="200"/>
        <w:outlineLvl w:val="2"/>
        <w:rPr>
          <w:rFonts w:hint="default" w:ascii="仿宋" w:hAnsi="仿宋" w:eastAsia="仿宋" w:cs="Times New Roman"/>
          <w:b/>
          <w:sz w:val="32"/>
          <w:szCs w:val="32"/>
          <w:lang w:val="en-US" w:eastAsia="zh-CN"/>
        </w:rPr>
      </w:pPr>
      <w:bookmarkStart w:id="18" w:name="_Toc6823"/>
      <w:r>
        <w:rPr>
          <w:rFonts w:hint="eastAsia" w:ascii="仿宋" w:hAnsi="仿宋" w:eastAsia="仿宋" w:cs="Times New Roman"/>
          <w:b/>
          <w:sz w:val="32"/>
          <w:szCs w:val="32"/>
          <w:lang w:eastAsia="zh-CN"/>
        </w:rPr>
        <w:t>（</w:t>
      </w:r>
      <w:r>
        <w:rPr>
          <w:rFonts w:hint="eastAsia" w:ascii="仿宋" w:hAnsi="仿宋" w:eastAsia="仿宋" w:cs="Times New Roman"/>
          <w:b/>
          <w:sz w:val="32"/>
          <w:szCs w:val="32"/>
          <w:lang w:val="en-US" w:eastAsia="zh-CN"/>
        </w:rPr>
        <w:t>一</w:t>
      </w:r>
      <w:r>
        <w:rPr>
          <w:rFonts w:hint="eastAsia" w:ascii="仿宋" w:hAnsi="仿宋" w:eastAsia="仿宋" w:cs="Times New Roman"/>
          <w:b/>
          <w:sz w:val="32"/>
          <w:szCs w:val="32"/>
          <w:lang w:eastAsia="zh-CN"/>
        </w:rPr>
        <w:t>）</w:t>
      </w:r>
      <w:r>
        <w:rPr>
          <w:rFonts w:hint="eastAsia" w:ascii="仿宋" w:hAnsi="仿宋" w:eastAsia="仿宋" w:cs="Times New Roman"/>
          <w:b/>
          <w:sz w:val="32"/>
          <w:szCs w:val="32"/>
          <w:lang w:val="en-US" w:eastAsia="zh-CN"/>
        </w:rPr>
        <w:t>部门职责</w:t>
      </w:r>
      <w:bookmarkEnd w:id="18"/>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val="zh-CN" w:eastAsia="zh-CN"/>
        </w:rPr>
        <w:t>负责全县林业及其生态建设的监督管理。</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val="zh-CN" w:eastAsia="zh-CN"/>
        </w:rPr>
        <w:t>组织、协调、指导和监督全县造林绿化工作。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val="zh-CN" w:eastAsia="zh-CN"/>
        </w:rPr>
        <w:t>承担全县森林资源保护发展监督管理的责任。</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val="zh-CN" w:eastAsia="zh-CN"/>
        </w:rPr>
        <w:t>组织、协调、指导和监督全县湿地保护工作。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lang w:val="zh-CN" w:eastAsia="zh-CN"/>
        </w:rPr>
        <w:t>组织、协调、指导和监督全县荒漠化防治工作。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lang w:val="zh-CN" w:eastAsia="zh-CN"/>
        </w:rPr>
        <w:t>组织、指导全县陆生野生动植物资源的保护和合理开发利用。</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lang w:val="zh-CN" w:eastAsia="zh-CN"/>
        </w:rPr>
        <w:t>负责全县林业系统自然保护区的监督管理。</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8.</w:t>
      </w:r>
      <w:r>
        <w:rPr>
          <w:rFonts w:hint="eastAsia" w:ascii="仿宋" w:hAnsi="仿宋" w:eastAsia="仿宋" w:cs="Times New Roman"/>
          <w:sz w:val="32"/>
          <w:szCs w:val="32"/>
          <w:lang w:val="zh-CN" w:eastAsia="zh-CN"/>
        </w:rPr>
        <w:t>承担推进全县林业改革，维护农民和其他经营者经营林业合法权益的责任。</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9.</w:t>
      </w:r>
      <w:r>
        <w:rPr>
          <w:rFonts w:hint="eastAsia" w:ascii="仿宋" w:hAnsi="仿宋" w:eastAsia="仿宋" w:cs="Times New Roman"/>
          <w:sz w:val="32"/>
          <w:szCs w:val="32"/>
          <w:lang w:val="zh-CN" w:eastAsia="zh-CN"/>
        </w:rPr>
        <w:t>监督检查全县各产业对森林、湿地、荒漠和陆生野生动植物资源的开发利用。</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lang w:val="zh-CN" w:eastAsia="zh-CN"/>
        </w:rPr>
        <w:t>承担组织、协调、指导、监督全县森林防火工作的责任。</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11.</w:t>
      </w:r>
      <w:r>
        <w:rPr>
          <w:rFonts w:hint="eastAsia" w:ascii="仿宋" w:hAnsi="仿宋" w:eastAsia="仿宋" w:cs="Times New Roman"/>
          <w:sz w:val="32"/>
          <w:szCs w:val="32"/>
          <w:lang w:val="zh-CN" w:eastAsia="zh-CN"/>
        </w:rPr>
        <w:t>负责指导、协调全县的林业经济工作。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12.</w:t>
      </w:r>
      <w:r>
        <w:rPr>
          <w:rFonts w:hint="eastAsia" w:ascii="仿宋" w:hAnsi="仿宋" w:eastAsia="仿宋" w:cs="Times New Roman"/>
          <w:sz w:val="32"/>
          <w:szCs w:val="32"/>
          <w:lang w:val="zh-CN" w:eastAsia="zh-CN"/>
        </w:rPr>
        <w:t>根据本县城市总体规划，制定城镇园林绿化建设目标.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13.</w:t>
      </w:r>
      <w:r>
        <w:rPr>
          <w:rFonts w:hint="eastAsia" w:ascii="仿宋" w:hAnsi="仿宋" w:eastAsia="仿宋" w:cs="Times New Roman"/>
          <w:sz w:val="32"/>
          <w:szCs w:val="32"/>
          <w:lang w:val="zh-CN" w:eastAsia="zh-CN"/>
        </w:rPr>
        <w:t>依法办理绿（林）地征用、占用，树（林）木的砍伐、移植，野生动物经营管理.木材采伐、运输及经营加工，林木种子的生产、经营，建设项目绿地率指标审核.</w:t>
      </w:r>
    </w:p>
    <w:p>
      <w:pPr>
        <w:keepNext w:val="0"/>
        <w:keepLines w:val="0"/>
        <w:pageBreakBefore w:val="0"/>
        <w:widowControl w:val="0"/>
        <w:kinsoku/>
        <w:wordWrap/>
        <w:overflowPunct/>
        <w:topLinePunct w:val="0"/>
        <w:autoSpaceDE/>
        <w:autoSpaceDN/>
        <w:bidi w:val="0"/>
        <w:adjustRightInd/>
        <w:snapToGrid/>
        <w:ind w:firstLine="800" w:firstLineChars="250"/>
        <w:textAlignment w:val="auto"/>
        <w:outlineLvl w:val="9"/>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14.</w:t>
      </w:r>
      <w:r>
        <w:rPr>
          <w:rFonts w:hint="eastAsia" w:ascii="仿宋" w:hAnsi="仿宋" w:eastAsia="仿宋" w:cs="Times New Roman"/>
          <w:sz w:val="32"/>
          <w:szCs w:val="32"/>
          <w:lang w:val="zh-CN" w:eastAsia="zh-CN"/>
        </w:rPr>
        <w:t>依法审核公园、广场、防护林地、风景林地、道路绿地、大型公建配套绿地等园林绿地建设项目的计划、规划和设计方案。</w:t>
      </w:r>
    </w:p>
    <w:p>
      <w:pPr>
        <w:keepNext w:val="0"/>
        <w:keepLines w:val="0"/>
        <w:pageBreakBefore w:val="0"/>
        <w:widowControl w:val="0"/>
        <w:kinsoku/>
        <w:wordWrap/>
        <w:overflowPunct/>
        <w:topLinePunct w:val="0"/>
        <w:autoSpaceDE/>
        <w:autoSpaceDN/>
        <w:bidi w:val="0"/>
        <w:adjustRightInd/>
        <w:snapToGrid/>
        <w:ind w:firstLine="800" w:firstLineChars="250"/>
        <w:textAlignment w:val="auto"/>
        <w:outlineLvl w:val="9"/>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15.</w:t>
      </w:r>
      <w:r>
        <w:rPr>
          <w:rFonts w:hint="eastAsia" w:ascii="仿宋" w:hAnsi="仿宋" w:eastAsia="仿宋" w:cs="Times New Roman"/>
          <w:sz w:val="32"/>
          <w:szCs w:val="32"/>
          <w:lang w:val="zh-CN" w:eastAsia="zh-CN"/>
        </w:rPr>
        <w:t>负责城市绿化设计、施工和养护单位资质的审批、报批工作。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16.</w:t>
      </w:r>
      <w:r>
        <w:rPr>
          <w:rFonts w:hint="eastAsia" w:ascii="仿宋" w:hAnsi="仿宋" w:eastAsia="仿宋" w:cs="Times New Roman"/>
          <w:sz w:val="32"/>
          <w:szCs w:val="32"/>
          <w:lang w:val="zh-CN" w:eastAsia="zh-CN"/>
        </w:rPr>
        <w:t>负责全县公园的行业管理，制定公园分级管理标准并组织实施，依法对其建设和管理工作进行检查指导。</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17.</w:t>
      </w:r>
      <w:r>
        <w:rPr>
          <w:rFonts w:hint="eastAsia" w:ascii="仿宋" w:hAnsi="仿宋" w:eastAsia="仿宋" w:cs="Times New Roman"/>
          <w:sz w:val="32"/>
          <w:szCs w:val="32"/>
          <w:lang w:val="zh-CN" w:eastAsia="zh-CN"/>
        </w:rPr>
        <w:t>拟订全县林业和园林绿化的科技发展规划和年度计划。</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18.</w:t>
      </w:r>
      <w:r>
        <w:rPr>
          <w:rFonts w:hint="eastAsia" w:ascii="仿宋" w:hAnsi="仿宋" w:eastAsia="仿宋" w:cs="Times New Roman"/>
          <w:sz w:val="32"/>
          <w:szCs w:val="32"/>
          <w:lang w:val="zh-CN" w:eastAsia="zh-CN"/>
        </w:rPr>
        <w:t>负责全县林业及其生态建设的科技、宣传、教育和外事工作，指导全县林业队伍建设。</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19.</w:t>
      </w:r>
      <w:r>
        <w:rPr>
          <w:rFonts w:hint="eastAsia" w:ascii="仿宋" w:hAnsi="仿宋" w:eastAsia="仿宋" w:cs="Times New Roman"/>
          <w:sz w:val="32"/>
          <w:szCs w:val="32"/>
          <w:lang w:val="zh-CN" w:eastAsia="zh-CN"/>
        </w:rPr>
        <w:t>承担县政府公布的有关行政审批事项。</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20.</w:t>
      </w:r>
      <w:r>
        <w:rPr>
          <w:rFonts w:hint="eastAsia" w:ascii="仿宋" w:hAnsi="仿宋" w:eastAsia="仿宋" w:cs="Times New Roman"/>
          <w:sz w:val="32"/>
          <w:szCs w:val="32"/>
          <w:lang w:val="zh-CN" w:eastAsia="zh-CN"/>
        </w:rPr>
        <w:t>承办县政府交办的其他事项。</w:t>
      </w:r>
    </w:p>
    <w:p>
      <w:pPr>
        <w:spacing w:line="600" w:lineRule="exact"/>
        <w:ind w:firstLine="642" w:firstLineChars="200"/>
        <w:outlineLvl w:val="2"/>
        <w:rPr>
          <w:rFonts w:hint="eastAsia" w:ascii="仿宋" w:hAnsi="仿宋" w:eastAsia="仿宋" w:cs="Times New Roman"/>
          <w:b/>
          <w:sz w:val="32"/>
          <w:szCs w:val="32"/>
          <w:lang w:eastAsia="zh-CN"/>
        </w:rPr>
      </w:pPr>
      <w:bookmarkStart w:id="19" w:name="_Toc8754"/>
      <w:r>
        <w:rPr>
          <w:rFonts w:hint="eastAsia" w:ascii="仿宋" w:hAnsi="仿宋" w:eastAsia="仿宋" w:cs="Times New Roman"/>
          <w:b/>
          <w:sz w:val="32"/>
          <w:szCs w:val="32"/>
          <w:lang w:eastAsia="zh-CN"/>
        </w:rPr>
        <w:t>（二）2022年重点工作完成情况</w:t>
      </w:r>
      <w:bookmarkEnd w:id="19"/>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zh-CN" w:eastAsia="zh-CN"/>
        </w:rPr>
        <w:t>1.</w:t>
      </w:r>
      <w:r>
        <w:rPr>
          <w:rFonts w:hint="eastAsia" w:ascii="仿宋" w:hAnsi="仿宋" w:eastAsia="仿宋" w:cs="Times New Roman"/>
          <w:sz w:val="32"/>
          <w:szCs w:val="32"/>
          <w:lang w:val="zh-CN"/>
        </w:rPr>
        <w:t>强力推进项目投资。完成固定资产投资2亿元；储备项目21个，总投资101亿元；新引进亿元项目1个，签约金额20亿元；向上争取资金10131万元，完成非税收入760万元。剑溪源生态治理项目顺利推进，完成固投入库3.5亿元，资金使用率100%。</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val="zh-CN"/>
        </w:rPr>
        <w:t>扎实推进森林经营。推动国家储备林项目落地实施，与川林集团签约30万亩建设面积。全面推动国土绿化，完成低效林改造1.05万亩、抚育6.47万亩、营造林3.94万亩。投资557万元完成剑南农业园区、下寺镇二龙园区节点绿化及杨村镇等15处村庄绿化。</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val="zh-CN"/>
        </w:rPr>
        <w:t>稳步推进现代林业园区建设。二龙园区安排资金746.6万元，实施配套项目9个，积极推进省级星级园区创建；水池园区安排资金407.4万元，实施低效林改造等6个项目，已成功创建市级现代培育园区。</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val="zh-CN"/>
        </w:rPr>
        <w:t>大力发展特色产业。核桃品改换优0.61万亩、丰产管护6.2万亩，油橄榄综合丰管1080亩；建成笋用竹产业基地0.4万亩，抚育管护1.3万亩；巩固拓展中药材3.5万亩，发展林下中药材和花卉基地1.1万亩，发展油茶1040亩。</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lang w:val="zh-CN"/>
        </w:rPr>
        <w:t>切实加强资源保护。全面落实森林资源保护发展目标责任制，全年审批采伐蓄积58044立方米，办理项目使用林地许可297.05公顷,征收森林植被恢复费3819.46万元；强化森林防灭火基础设施建设及森林专业扑火队建设，全年无森林火灾发生；开展林业有害生物飞机药物防治6万亩，除治松材线虫病死枯死松树8469株，有害生物成灾率控制在3‰以内；加快全县自然保护地优化整合工作，整合优化预案已由省林草局转报国家林草局审批。认真落实中央、省级环保督察反馈问题整改，完成整改销号2处；全年办理林业行政案件116件，办结率100%。</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lang w:val="zh-CN"/>
        </w:rPr>
        <w:t>持续推进脱贫攻坚成果巩固与乡村振兴有效衔接。整合生态建设和林业产业扶贫资金1841.5万元，建设项目51个。巩固退耕还林8.78万亩，实施天然林保护工程82.01万亩，聘用生态护林员1347人，兑现惠民资金2543.4万元。</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lang w:val="zh-CN"/>
        </w:rPr>
        <w:t>持续深化林业改革。全面推进林长制体系建设，健全县、乡（镇）、村三级林长制体系。积极推进森林保险，完成森林保险面积251.14万亩、核桃保险1.1万亩，完成野生动致害保险试点，涉及全县14个乡镇30万元。</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8.</w:t>
      </w:r>
      <w:r>
        <w:rPr>
          <w:rFonts w:hint="eastAsia" w:ascii="仿宋" w:hAnsi="仿宋" w:eastAsia="仿宋" w:cs="Times New Roman"/>
          <w:sz w:val="32"/>
          <w:szCs w:val="32"/>
          <w:lang w:val="zh-CN"/>
        </w:rPr>
        <w:t>翠云廊古驿道被命名为2022年四川林草最受欢迎生态体验线路。投资314万元推进蜀道古柏生存环境改善科研项目科研项目，争取资金55万元完成35株一级濒危古柏抢救性复壮救护工作。我局专报《广元市剑阁县创新举措筑牢蜀道古柏“防火墙”》被省委办公厅《四川信息》第174期采用。8月25日，蜀道翠云廊古柏保护专家论证会在我县召开，会后省林草局印发《蜀道翠云廊古柏保护专题报告》。</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9.</w:t>
      </w:r>
      <w:r>
        <w:rPr>
          <w:rFonts w:hint="eastAsia" w:ascii="仿宋" w:hAnsi="仿宋" w:eastAsia="仿宋" w:cs="Times New Roman"/>
          <w:sz w:val="32"/>
          <w:szCs w:val="32"/>
          <w:lang w:val="zh-CN"/>
        </w:rPr>
        <w:t>木马笋用竹基地被认定为省级现代竹产业基地。投入资金 3742.26万元，通过低效林改造、森林抚育补植等方式，在木马镇华丰村打造 3000 亩笋用竹产业园，栽种雷竹、慈竹等 30 多万株，辐射带动樵店、店子等乡镇发展笋用竹 9000 亩。2022年2月，剑阁县木马笋用竹基地被认定为省级现代竹产业基地。</w:t>
      </w:r>
    </w:p>
    <w:p>
      <w:pPr>
        <w:ind w:firstLine="800" w:firstLineChars="250"/>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lang w:val="zh-CN"/>
        </w:rPr>
        <w:t>林地要素保障工作突出。按照“提前介入，高效服务，服管结合，依法加快”原则，围绕风力发电、成绵苍巴、绵广高速扩容等重点建设项目主动做好涉林要素保障工作，积极营造良好的林业营商环境。今年我县已办理使用林地手续84宗，面积297.049公顷，征收森林植被恢复费3819.4638万元。</w:t>
      </w:r>
    </w:p>
    <w:p>
      <w:pPr>
        <w:pStyle w:val="26"/>
        <w:numPr>
          <w:ilvl w:val="0"/>
          <w:numId w:val="0"/>
        </w:numPr>
        <w:spacing w:line="600" w:lineRule="exact"/>
        <w:ind w:left="1360" w:leftChars="0" w:hanging="720" w:firstLineChars="0"/>
        <w:outlineLvl w:val="1"/>
        <w:rPr>
          <w:rFonts w:hint="eastAsia" w:ascii="黑体" w:hAnsi="黑体" w:eastAsia="黑体" w:cs="Times New Roman"/>
          <w:sz w:val="32"/>
          <w:szCs w:val="32"/>
        </w:rPr>
      </w:pPr>
      <w:bookmarkStart w:id="20" w:name="_Toc3754"/>
      <w:r>
        <w:rPr>
          <w:rFonts w:hint="eastAsia" w:ascii="黑体" w:hAnsi="黑体" w:eastAsia="黑体" w:cs="Times New Roman"/>
          <w:sz w:val="32"/>
          <w:szCs w:val="32"/>
        </w:rPr>
        <w:t>二、机构设置</w:t>
      </w:r>
      <w:bookmarkEnd w:id="20"/>
    </w:p>
    <w:bookmarkEnd w:id="16"/>
    <w:bookmarkEnd w:id="17"/>
    <w:p>
      <w:pPr>
        <w:widowControl/>
        <w:ind w:firstLine="640" w:firstLineChars="200"/>
        <w:jc w:val="left"/>
        <w:rPr>
          <w:rFonts w:ascii="仿宋" w:hAnsi="仿宋" w:eastAsia="仿宋"/>
          <w:kern w:val="0"/>
          <w:sz w:val="32"/>
          <w:szCs w:val="32"/>
        </w:rPr>
      </w:pPr>
      <w:r>
        <w:rPr>
          <w:rFonts w:hint="eastAsia" w:ascii="仿宋" w:hAnsi="仿宋" w:eastAsia="仿宋" w:cs="Times New Roman"/>
          <w:sz w:val="32"/>
          <w:szCs w:val="32"/>
          <w:lang w:val="en-US" w:eastAsia="zh-CN"/>
        </w:rPr>
        <w:t>剑阁县林业局是县政府下设的行政事业单位，内设机构7个（局办公室、森林资源管理股、生态保护修复股、林业产业股、森林防火股、综合执法股、机关党委办）。剑阁县林业局机关总编制70名，其中行政编制12名，工勤编制2名，参照公务员法管理的事业编制3名，其他事业编制53名。在职人员总数68人，其中行政人员14人，参照公务员法管理的事业人员3人，其他事业人员49人，工勤人员2人。</w:t>
      </w:r>
      <w:r>
        <w:rPr>
          <w:rFonts w:ascii="仿宋" w:hAnsi="仿宋" w:eastAsia="仿宋"/>
          <w:sz w:val="32"/>
          <w:szCs w:val="32"/>
        </w:rPr>
        <w:br w:type="page"/>
      </w:r>
    </w:p>
    <w:p>
      <w:pPr>
        <w:pStyle w:val="6"/>
        <w:ind w:right="440"/>
        <w:jc w:val="center"/>
        <w:rPr>
          <w:rStyle w:val="27"/>
          <w:rFonts w:ascii="黑体" w:hAnsi="黑体" w:eastAsia="黑体"/>
          <w:b w:val="0"/>
          <w:bCs/>
        </w:rPr>
      </w:pPr>
      <w:bookmarkStart w:id="21" w:name="_Toc14188"/>
      <w:bookmarkStart w:id="22" w:name="_Toc15377204"/>
      <w:bookmarkStart w:id="23" w:name="_Toc15396602"/>
      <w:r>
        <w:rPr>
          <w:rFonts w:hint="eastAsia" w:ascii="黑体" w:hAnsi="黑体" w:eastAsia="黑体"/>
          <w:b w:val="0"/>
        </w:rPr>
        <w:t>第二部分 2022年度</w:t>
      </w:r>
      <w:r>
        <w:rPr>
          <w:rStyle w:val="27"/>
          <w:rFonts w:hint="eastAsia" w:ascii="黑体" w:hAnsi="黑体" w:eastAsia="黑体"/>
          <w:b w:val="0"/>
          <w:bCs/>
        </w:rPr>
        <w:t>单位决算情况说明</w:t>
      </w:r>
      <w:bookmarkEnd w:id="21"/>
      <w:bookmarkEnd w:id="22"/>
      <w:bookmarkEnd w:id="23"/>
    </w:p>
    <w:p/>
    <w:p>
      <w:pPr>
        <w:pStyle w:val="26"/>
        <w:numPr>
          <w:ilvl w:val="0"/>
          <w:numId w:val="0"/>
        </w:numPr>
        <w:spacing w:line="600" w:lineRule="exact"/>
        <w:ind w:left="1360" w:leftChars="0" w:hanging="720" w:firstLineChars="0"/>
        <w:outlineLvl w:val="1"/>
        <w:rPr>
          <w:rStyle w:val="28"/>
          <w:rFonts w:ascii="黑体" w:hAnsi="黑体" w:eastAsia="黑体"/>
          <w:b w:val="0"/>
        </w:rPr>
      </w:pPr>
      <w:bookmarkStart w:id="24" w:name="_Toc15396603"/>
      <w:bookmarkStart w:id="25" w:name="_Toc19543"/>
      <w:bookmarkStart w:id="26" w:name="_Toc15377205"/>
      <w:r>
        <w:rPr>
          <w:rFonts w:hint="eastAsia" w:ascii="黑体" w:hAnsi="黑体" w:eastAsia="黑体" w:cstheme="majorBidi"/>
          <w:b w:val="0"/>
          <w:bCs/>
          <w:kern w:val="2"/>
          <w:sz w:val="32"/>
          <w:szCs w:val="32"/>
          <w:lang w:val="en-US" w:eastAsia="zh-CN" w:bidi="ar-SA"/>
        </w:rPr>
        <w:t>一</w:t>
      </w:r>
      <w:r>
        <w:rPr>
          <w:rFonts w:hint="default" w:ascii="黑体" w:hAnsi="黑体" w:eastAsia="黑体" w:cstheme="majorBidi"/>
          <w:b w:val="0"/>
          <w:bCs/>
          <w:kern w:val="2"/>
          <w:sz w:val="32"/>
          <w:szCs w:val="32"/>
          <w:lang w:val="en-US" w:eastAsia="zh-CN" w:bidi="ar-SA"/>
        </w:rPr>
        <w:t>、</w:t>
      </w:r>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13203.72万元（含年初结转结余指标）</w:t>
      </w:r>
      <w:r>
        <w:rPr>
          <w:rFonts w:hint="eastAsia" w:ascii="仿宋" w:hAnsi="仿宋" w:eastAsia="仿宋"/>
          <w:sz w:val="32"/>
          <w:szCs w:val="32"/>
        </w:rPr>
        <w:t>。与2021年相比，收、支总计各</w:t>
      </w:r>
      <w:r>
        <w:rPr>
          <w:rFonts w:hint="eastAsia" w:ascii="仿宋" w:hAnsi="仿宋" w:eastAsia="仿宋"/>
          <w:sz w:val="32"/>
          <w:szCs w:val="32"/>
          <w:lang w:val="en-US" w:eastAsia="zh-CN"/>
        </w:rPr>
        <w:t>减少350.14万元，下降2.58%</w:t>
      </w:r>
      <w:r>
        <w:rPr>
          <w:rFonts w:hint="eastAsia" w:ascii="仿宋" w:hAnsi="仿宋" w:eastAsia="仿宋"/>
          <w:sz w:val="32"/>
          <w:szCs w:val="32"/>
        </w:rPr>
        <w:t>。主要变动原因是</w:t>
      </w:r>
      <w:r>
        <w:rPr>
          <w:rFonts w:hint="eastAsia" w:ascii="仿宋" w:hAnsi="仿宋" w:eastAsia="仿宋"/>
          <w:sz w:val="32"/>
          <w:szCs w:val="32"/>
          <w:lang w:val="en-US" w:eastAsia="zh-CN"/>
        </w:rPr>
        <w:t>上年年末结转结余数额较大，业务项目减少，部门开支下降</w:t>
      </w:r>
      <w:r>
        <w:rPr>
          <w:rFonts w:hint="eastAsia" w:ascii="仿宋" w:hAnsi="仿宋" w:eastAsia="仿宋"/>
          <w:sz w:val="32"/>
          <w:szCs w:val="32"/>
        </w:rPr>
        <w:t>。</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column">
              <wp:posOffset>318770</wp:posOffset>
            </wp:positionH>
            <wp:positionV relativeFrom="page">
              <wp:posOffset>3803650</wp:posOffset>
            </wp:positionV>
            <wp:extent cx="4572000" cy="2743200"/>
            <wp:effectExtent l="4445" t="4445" r="1460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rPr>
          <w:rFonts w:hint="eastAsia" w:ascii="仿宋" w:hAnsi="仿宋" w:eastAsia="仿宋"/>
          <w:sz w:val="32"/>
          <w:szCs w:val="32"/>
        </w:rPr>
      </w:pPr>
    </w:p>
    <w:p>
      <w:pPr>
        <w:pStyle w:val="26"/>
        <w:numPr>
          <w:ilvl w:val="0"/>
          <w:numId w:val="0"/>
        </w:numPr>
        <w:spacing w:line="600" w:lineRule="exact"/>
        <w:ind w:left="1360" w:leftChars="0" w:hanging="720" w:firstLineChars="0"/>
        <w:outlineLvl w:val="1"/>
        <w:rPr>
          <w:rStyle w:val="28"/>
          <w:rFonts w:ascii="黑体" w:hAnsi="黑体" w:eastAsia="黑体"/>
          <w:b w:val="0"/>
        </w:rPr>
      </w:pPr>
      <w:bookmarkStart w:id="27" w:name="_Toc15396604"/>
      <w:bookmarkStart w:id="28" w:name="_Toc15377206"/>
      <w:bookmarkStart w:id="29" w:name="_Toc4854"/>
      <w:r>
        <w:rPr>
          <w:rFonts w:hint="eastAsia" w:ascii="黑体" w:hAnsi="黑体" w:eastAsia="黑体" w:cstheme="majorBidi"/>
          <w:b w:val="0"/>
          <w:bCs/>
          <w:kern w:val="2"/>
          <w:sz w:val="32"/>
          <w:szCs w:val="32"/>
          <w:lang w:val="en-US" w:eastAsia="zh-CN" w:bidi="ar-SA"/>
        </w:rPr>
        <w:t>二</w:t>
      </w:r>
      <w:r>
        <w:rPr>
          <w:rFonts w:hint="default" w:ascii="黑体" w:hAnsi="黑体" w:eastAsia="黑体" w:cstheme="majorBidi"/>
          <w:b w:val="0"/>
          <w:bCs/>
          <w:kern w:val="2"/>
          <w:sz w:val="32"/>
          <w:szCs w:val="32"/>
          <w:lang w:val="en-US" w:eastAsia="zh-CN" w:bidi="ar-SA"/>
        </w:rPr>
        <w:t>、</w:t>
      </w:r>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13203.72万元</w:t>
      </w:r>
      <w:r>
        <w:rPr>
          <w:rFonts w:hint="eastAsia" w:ascii="仿宋" w:hAnsi="仿宋" w:eastAsia="仿宋"/>
          <w:b w:val="0"/>
          <w:bCs w:val="0"/>
          <w:sz w:val="32"/>
          <w:szCs w:val="32"/>
          <w:lang w:val="en-US" w:eastAsia="zh-CN"/>
        </w:rPr>
        <w:t>（含年初结转结余2976.56万元）</w:t>
      </w:r>
      <w:r>
        <w:rPr>
          <w:rFonts w:hint="eastAsia" w:ascii="仿宋" w:hAnsi="仿宋" w:eastAsia="仿宋"/>
          <w:sz w:val="32"/>
          <w:szCs w:val="32"/>
        </w:rPr>
        <w:t>，其中：一般公共预算财政拨款收入</w:t>
      </w:r>
      <w:r>
        <w:rPr>
          <w:rFonts w:hint="eastAsia" w:ascii="仿宋" w:hAnsi="仿宋" w:eastAsia="仿宋"/>
          <w:sz w:val="32"/>
          <w:szCs w:val="32"/>
          <w:lang w:val="en-US" w:eastAsia="zh-CN"/>
        </w:rPr>
        <w:t>10203.72</w:t>
      </w:r>
      <w:r>
        <w:rPr>
          <w:rFonts w:hint="eastAsia" w:ascii="仿宋" w:hAnsi="仿宋" w:eastAsia="仿宋"/>
          <w:sz w:val="32"/>
          <w:szCs w:val="32"/>
        </w:rPr>
        <w:t>万元</w:t>
      </w:r>
      <w:r>
        <w:rPr>
          <w:rFonts w:hint="eastAsia" w:ascii="仿宋" w:hAnsi="仿宋" w:eastAsia="仿宋"/>
          <w:sz w:val="32"/>
          <w:szCs w:val="32"/>
          <w:lang w:val="en-US" w:eastAsia="zh-CN"/>
        </w:rPr>
        <w:t>（含年初结转结余2976.56万元）</w:t>
      </w:r>
      <w:r>
        <w:rPr>
          <w:rFonts w:hint="eastAsia" w:ascii="仿宋" w:hAnsi="仿宋" w:eastAsia="仿宋"/>
          <w:sz w:val="32"/>
          <w:szCs w:val="32"/>
        </w:rPr>
        <w:t>，占</w:t>
      </w:r>
      <w:r>
        <w:rPr>
          <w:rFonts w:hint="eastAsia" w:ascii="仿宋" w:hAnsi="仿宋" w:eastAsia="仿宋"/>
          <w:sz w:val="32"/>
          <w:szCs w:val="32"/>
          <w:lang w:val="en-US" w:eastAsia="zh-CN"/>
        </w:rPr>
        <w:t>77.28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3000</w:t>
      </w:r>
      <w:r>
        <w:rPr>
          <w:rFonts w:hint="eastAsia" w:ascii="仿宋" w:hAnsi="仿宋" w:eastAsia="仿宋"/>
          <w:sz w:val="32"/>
          <w:szCs w:val="32"/>
        </w:rPr>
        <w:t>万元，占</w:t>
      </w:r>
      <w:r>
        <w:rPr>
          <w:rFonts w:hint="eastAsia" w:ascii="仿宋" w:hAnsi="仿宋" w:eastAsia="仿宋"/>
          <w:sz w:val="32"/>
          <w:szCs w:val="32"/>
          <w:lang w:val="en-US" w:eastAsia="zh-CN"/>
        </w:rPr>
        <w:t>22.72</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347345</wp:posOffset>
            </wp:positionH>
            <wp:positionV relativeFrom="page">
              <wp:posOffset>1737995</wp:posOffset>
            </wp:positionV>
            <wp:extent cx="4572000" cy="2743200"/>
            <wp:effectExtent l="4445" t="4445" r="14605" b="14605"/>
            <wp:wrapTopAndBottom/>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6"/>
        <w:numPr>
          <w:ilvl w:val="0"/>
          <w:numId w:val="0"/>
        </w:numPr>
        <w:spacing w:line="600" w:lineRule="exact"/>
        <w:ind w:left="1360" w:leftChars="0" w:hanging="720" w:firstLineChars="0"/>
        <w:outlineLvl w:val="1"/>
        <w:rPr>
          <w:rStyle w:val="28"/>
          <w:rFonts w:ascii="黑体" w:hAnsi="黑体" w:eastAsia="黑体"/>
          <w:b w:val="0"/>
        </w:rPr>
      </w:pPr>
      <w:bookmarkStart w:id="30" w:name="_Toc22056"/>
      <w:bookmarkStart w:id="31" w:name="_Toc15377207"/>
      <w:bookmarkStart w:id="32" w:name="_Toc15396605"/>
      <w:r>
        <w:rPr>
          <w:rFonts w:hint="eastAsia" w:ascii="黑体" w:hAnsi="黑体" w:eastAsia="黑体" w:cstheme="majorBidi"/>
          <w:b w:val="0"/>
          <w:bCs/>
          <w:kern w:val="2"/>
          <w:sz w:val="32"/>
          <w:szCs w:val="32"/>
          <w:lang w:val="en-US" w:eastAsia="zh-CN" w:bidi="ar-SA"/>
        </w:rPr>
        <w:t>三</w:t>
      </w:r>
      <w:r>
        <w:rPr>
          <w:rFonts w:hint="default" w:ascii="黑体" w:hAnsi="黑体" w:eastAsia="黑体" w:cstheme="majorBidi"/>
          <w:b w:val="0"/>
          <w:bCs/>
          <w:kern w:val="2"/>
          <w:sz w:val="32"/>
          <w:szCs w:val="32"/>
          <w:lang w:val="en-US" w:eastAsia="zh-CN" w:bidi="ar-SA"/>
        </w:rPr>
        <w:t>、</w:t>
      </w:r>
      <w:r>
        <w:rPr>
          <w:rFonts w:hint="eastAsia" w:ascii="黑体" w:hAnsi="黑体" w:eastAsia="黑体"/>
          <w:sz w:val="32"/>
          <w:szCs w:val="32"/>
        </w:rPr>
        <w:t>支</w:t>
      </w:r>
      <w:r>
        <w:rPr>
          <w:rStyle w:val="28"/>
          <w:rFonts w:hint="eastAsia" w:ascii="黑体" w:hAnsi="黑体" w:eastAsia="黑体"/>
          <w:b w:val="0"/>
        </w:rPr>
        <w:t>出决算情况说明</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s="Times New Roman"/>
          <w:sz w:val="32"/>
          <w:szCs w:val="32"/>
        </w:rPr>
      </w:pPr>
      <w:r>
        <w:rPr>
          <w:rFonts w:ascii="仿宋" w:hAnsi="仿宋" w:eastAsia="仿宋" w:cs="Times New Roman"/>
          <w:sz w:val="32"/>
          <w:szCs w:val="32"/>
        </w:rPr>
        <w:t>20</w:t>
      </w:r>
      <w:r>
        <w:rPr>
          <w:rFonts w:hint="eastAsia" w:ascii="仿宋" w:hAnsi="仿宋" w:eastAsia="仿宋" w:cs="Times New Roman"/>
          <w:sz w:val="32"/>
          <w:szCs w:val="32"/>
        </w:rPr>
        <w:t>22年本年支出合计13203.72万元，其中：基本支出1028.5万元，占</w:t>
      </w:r>
      <w:r>
        <w:rPr>
          <w:rFonts w:hint="eastAsia" w:ascii="仿宋" w:hAnsi="仿宋" w:eastAsia="仿宋" w:cs="Times New Roman"/>
          <w:sz w:val="32"/>
          <w:szCs w:val="32"/>
          <w:lang w:val="en-US" w:eastAsia="zh-CN"/>
        </w:rPr>
        <w:t>7.79</w:t>
      </w:r>
      <w:r>
        <w:rPr>
          <w:rFonts w:ascii="仿宋" w:hAnsi="仿宋" w:eastAsia="仿宋" w:cs="Times New Roman"/>
          <w:sz w:val="32"/>
          <w:szCs w:val="32"/>
        </w:rPr>
        <w:t>%</w:t>
      </w:r>
      <w:r>
        <w:rPr>
          <w:rFonts w:hint="eastAsia" w:ascii="仿宋" w:hAnsi="仿宋" w:eastAsia="仿宋" w:cs="Times New Roman"/>
          <w:sz w:val="32"/>
          <w:szCs w:val="32"/>
        </w:rPr>
        <w:t>；项目支出12175.22万元，占</w:t>
      </w:r>
      <w:r>
        <w:rPr>
          <w:rFonts w:hint="eastAsia" w:ascii="仿宋" w:hAnsi="仿宋" w:eastAsia="仿宋" w:cs="Times New Roman"/>
          <w:sz w:val="32"/>
          <w:szCs w:val="32"/>
          <w:lang w:val="en-US" w:eastAsia="zh-CN"/>
        </w:rPr>
        <w:t>92.21</w:t>
      </w:r>
      <w:r>
        <w:rPr>
          <w:rFonts w:ascii="仿宋" w:hAnsi="仿宋" w:eastAsia="仿宋" w:cs="Times New Roman"/>
          <w:sz w:val="32"/>
          <w:szCs w:val="32"/>
        </w:rPr>
        <w:t>%</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9"/>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737870</wp:posOffset>
            </wp:positionH>
            <wp:positionV relativeFrom="page">
              <wp:posOffset>7159625</wp:posOffset>
            </wp:positionV>
            <wp:extent cx="3933825" cy="2164080"/>
            <wp:effectExtent l="4445" t="4445" r="5080" b="2222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w:t>
      </w:r>
      <w:r>
        <w:rPr>
          <w:rFonts w:hint="eastAsia" w:ascii="仿宋" w:hAnsi="仿宋" w:eastAsia="仿宋"/>
          <w:b/>
          <w:sz w:val="32"/>
          <w:szCs w:val="32"/>
          <w:lang w:val="en-US" w:eastAsia="zh-CN"/>
        </w:rPr>
        <w:t>本单位</w:t>
      </w:r>
      <w:r>
        <w:rPr>
          <w:rFonts w:hint="eastAsia" w:ascii="仿宋" w:hAnsi="仿宋" w:eastAsia="仿宋"/>
          <w:b/>
          <w:sz w:val="32"/>
          <w:szCs w:val="32"/>
        </w:rPr>
        <w:t>涉及的支出。）</w:t>
      </w:r>
    </w:p>
    <w:p>
      <w:pPr>
        <w:spacing w:line="600" w:lineRule="exact"/>
        <w:ind w:firstLine="640" w:firstLineChars="200"/>
        <w:rPr>
          <w:rFonts w:ascii="仿宋_GB2312" w:eastAsia="仿宋_GB2312"/>
          <w:sz w:val="32"/>
          <w:szCs w:val="32"/>
        </w:rPr>
      </w:pPr>
      <w:r>
        <w:rPr>
          <w:rFonts w:hint="eastAsia" w:ascii="仿宋" w:hAnsi="仿宋" w:eastAsia="仿宋" w:cs="Times New Roman"/>
          <w:sz w:val="32"/>
          <w:szCs w:val="32"/>
        </w:rPr>
        <w:t>（图3：支出决算结构图）（饼状图）</w:t>
      </w:r>
    </w:p>
    <w:p>
      <w:pPr>
        <w:spacing w:line="600" w:lineRule="exact"/>
        <w:ind w:firstLine="640" w:firstLineChars="200"/>
        <w:outlineLvl w:val="1"/>
        <w:rPr>
          <w:rStyle w:val="28"/>
          <w:rFonts w:ascii="黑体" w:hAnsi="黑体" w:eastAsia="黑体"/>
          <w:b w:val="0"/>
        </w:rPr>
      </w:pPr>
      <w:bookmarkStart w:id="33" w:name="_Toc4563"/>
      <w:bookmarkStart w:id="34" w:name="_Toc15396606"/>
      <w:bookmarkStart w:id="3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3"/>
      <w:bookmarkEnd w:id="34"/>
      <w:bookmarkEnd w:id="35"/>
    </w:p>
    <w:p>
      <w:pPr>
        <w:spacing w:line="600" w:lineRule="exact"/>
        <w:ind w:firstLine="640" w:firstLineChars="200"/>
        <w:rPr>
          <w:rFonts w:hint="eastAsia" w:ascii="仿宋" w:hAnsi="仿宋" w:eastAsia="仿宋"/>
          <w:sz w:val="32"/>
          <w:szCs w:val="32"/>
        </w:rPr>
      </w:pPr>
      <w:r>
        <w:rPr>
          <w:rFonts w:ascii="仿宋" w:hAnsi="仿宋" w:eastAsia="仿宋" w:cs="Times New Roman"/>
          <w:sz w:val="32"/>
          <w:szCs w:val="32"/>
        </w:rPr>
        <w:t>20</w:t>
      </w:r>
      <w:r>
        <w:rPr>
          <w:rFonts w:hint="eastAsia" w:ascii="仿宋" w:hAnsi="仿宋" w:eastAsia="仿宋" w:cs="Times New Roman"/>
          <w:sz w:val="32"/>
          <w:szCs w:val="32"/>
        </w:rPr>
        <w:t>22年财政拨款收、支总计</w:t>
      </w:r>
      <w:r>
        <w:rPr>
          <w:rFonts w:hint="eastAsia" w:ascii="仿宋" w:hAnsi="仿宋" w:eastAsia="仿宋"/>
          <w:sz w:val="32"/>
          <w:szCs w:val="32"/>
          <w:lang w:val="en-US" w:eastAsia="zh-CN"/>
        </w:rPr>
        <w:t>13203.72</w:t>
      </w:r>
      <w:r>
        <w:rPr>
          <w:rFonts w:hint="eastAsia" w:ascii="仿宋" w:hAnsi="仿宋" w:eastAsia="仿宋" w:cs="Times New Roman"/>
          <w:sz w:val="32"/>
          <w:szCs w:val="32"/>
        </w:rPr>
        <w:t>万元。与</w:t>
      </w:r>
      <w:r>
        <w:rPr>
          <w:rFonts w:ascii="仿宋" w:hAnsi="仿宋" w:eastAsia="仿宋" w:cs="Times New Roman"/>
          <w:sz w:val="32"/>
          <w:szCs w:val="32"/>
        </w:rPr>
        <w:t>20</w:t>
      </w:r>
      <w:r>
        <w:rPr>
          <w:rFonts w:hint="eastAsia" w:ascii="仿宋" w:hAnsi="仿宋" w:eastAsia="仿宋" w:cs="Times New Roman"/>
          <w:sz w:val="32"/>
          <w:szCs w:val="32"/>
        </w:rPr>
        <w:t>21年相比，财政拨款</w:t>
      </w:r>
      <w:r>
        <w:rPr>
          <w:rFonts w:hint="eastAsia" w:ascii="仿宋" w:hAnsi="仿宋" w:eastAsia="仿宋"/>
          <w:sz w:val="32"/>
          <w:szCs w:val="32"/>
        </w:rPr>
        <w:t>收、支总计各</w:t>
      </w:r>
      <w:r>
        <w:rPr>
          <w:rFonts w:hint="eastAsia" w:ascii="仿宋" w:hAnsi="仿宋" w:eastAsia="仿宋"/>
          <w:sz w:val="32"/>
          <w:szCs w:val="32"/>
          <w:lang w:val="en-US" w:eastAsia="zh-CN"/>
        </w:rPr>
        <w:t>减少350.14万元，下降2.58%</w:t>
      </w:r>
      <w:r>
        <w:rPr>
          <w:rFonts w:hint="eastAsia" w:ascii="仿宋" w:hAnsi="仿宋" w:eastAsia="仿宋"/>
          <w:sz w:val="32"/>
          <w:szCs w:val="32"/>
        </w:rPr>
        <w:t>。主要变动原因是</w:t>
      </w:r>
      <w:r>
        <w:rPr>
          <w:rFonts w:hint="eastAsia" w:ascii="仿宋" w:hAnsi="仿宋" w:eastAsia="仿宋"/>
          <w:sz w:val="32"/>
          <w:szCs w:val="32"/>
          <w:lang w:val="en-US" w:eastAsia="zh-CN"/>
        </w:rPr>
        <w:t>上年年末结转结余数额较大，业务项目减少，部门开支下降</w:t>
      </w:r>
      <w:r>
        <w:rPr>
          <w:rFonts w:hint="eastAsia" w:ascii="仿宋" w:hAnsi="仿宋" w:eastAsia="仿宋" w:cs="Times New Roman"/>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375920</wp:posOffset>
            </wp:positionH>
            <wp:positionV relativeFrom="page">
              <wp:posOffset>3319145</wp:posOffset>
            </wp:positionV>
            <wp:extent cx="4572000" cy="2743200"/>
            <wp:effectExtent l="4445" t="4445" r="14605" b="14605"/>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36" w:name="_Toc15377209"/>
      <w:bookmarkStart w:id="37" w:name="_Toc12223"/>
      <w:bookmarkStart w:id="38"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6"/>
      <w:bookmarkEnd w:id="37"/>
      <w:bookmarkEnd w:id="38"/>
    </w:p>
    <w:p>
      <w:pPr>
        <w:spacing w:line="600" w:lineRule="exact"/>
        <w:ind w:firstLine="642" w:firstLineChars="200"/>
        <w:outlineLvl w:val="2"/>
        <w:rPr>
          <w:rFonts w:ascii="仿宋" w:hAnsi="仿宋" w:eastAsia="仿宋"/>
          <w:b/>
          <w:sz w:val="32"/>
          <w:szCs w:val="32"/>
        </w:rPr>
      </w:pPr>
      <w:bookmarkStart w:id="39" w:name="_Toc287"/>
      <w:bookmarkStart w:id="40" w:name="_Toc15377210"/>
      <w:r>
        <w:rPr>
          <w:rFonts w:hint="eastAsia" w:ascii="仿宋" w:hAnsi="仿宋" w:eastAsia="仿宋"/>
          <w:b/>
          <w:sz w:val="32"/>
          <w:szCs w:val="32"/>
        </w:rPr>
        <w:t>（一）一般公共预算财政拨款支出决算总体情况</w:t>
      </w:r>
      <w:bookmarkEnd w:id="39"/>
      <w:bookmarkEnd w:id="4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s="Times New Roman"/>
          <w:sz w:val="32"/>
          <w:szCs w:val="32"/>
        </w:rPr>
      </w:pPr>
      <w:r>
        <w:rPr>
          <w:rFonts w:ascii="仿宋" w:hAnsi="仿宋" w:eastAsia="仿宋" w:cs="Times New Roman"/>
          <w:sz w:val="32"/>
          <w:szCs w:val="32"/>
        </w:rPr>
        <w:t>20</w:t>
      </w:r>
      <w:r>
        <w:rPr>
          <w:rFonts w:hint="eastAsia" w:ascii="仿宋" w:hAnsi="仿宋" w:eastAsia="仿宋" w:cs="Times New Roman"/>
          <w:sz w:val="32"/>
          <w:szCs w:val="32"/>
        </w:rPr>
        <w:t>22年一般公共预算财政拨款支出10203.72万元，占本年支出合计的</w:t>
      </w:r>
      <w:r>
        <w:rPr>
          <w:rFonts w:hint="eastAsia" w:ascii="仿宋" w:hAnsi="仿宋" w:eastAsia="仿宋" w:cs="Times New Roman"/>
          <w:sz w:val="32"/>
          <w:szCs w:val="32"/>
          <w:lang w:val="en-US" w:eastAsia="zh-CN"/>
        </w:rPr>
        <w:t>77.28</w:t>
      </w:r>
      <w:r>
        <w:rPr>
          <w:rFonts w:ascii="仿宋" w:hAnsi="仿宋" w:eastAsia="仿宋" w:cs="Times New Roman"/>
          <w:sz w:val="32"/>
          <w:szCs w:val="32"/>
        </w:rPr>
        <w:t>%</w:t>
      </w:r>
      <w:r>
        <w:rPr>
          <w:rFonts w:hint="eastAsia" w:ascii="仿宋" w:hAnsi="仿宋" w:eastAsia="仿宋" w:cs="Times New Roman"/>
          <w:sz w:val="32"/>
          <w:szCs w:val="32"/>
        </w:rPr>
        <w:t>。与</w:t>
      </w:r>
      <w:r>
        <w:rPr>
          <w:rFonts w:ascii="仿宋" w:hAnsi="仿宋" w:eastAsia="仿宋" w:cs="Times New Roman"/>
          <w:sz w:val="32"/>
          <w:szCs w:val="32"/>
        </w:rPr>
        <w:t>20</w:t>
      </w:r>
      <w:r>
        <w:rPr>
          <w:rFonts w:hint="eastAsia" w:ascii="仿宋" w:hAnsi="仿宋" w:eastAsia="仿宋" w:cs="Times New Roman"/>
          <w:sz w:val="32"/>
          <w:szCs w:val="32"/>
        </w:rPr>
        <w:t>21年相比，一般公共预算财政拨款支出</w:t>
      </w:r>
      <w:r>
        <w:rPr>
          <w:rFonts w:hint="eastAsia" w:ascii="仿宋" w:hAnsi="仿宋" w:eastAsia="仿宋" w:cs="Times New Roman"/>
          <w:sz w:val="32"/>
          <w:szCs w:val="32"/>
          <w:lang w:val="en-US" w:eastAsia="zh-CN"/>
        </w:rPr>
        <w:t>减少271.47</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CN"/>
        </w:rPr>
        <w:t>下降2.59</w:t>
      </w:r>
      <w:r>
        <w:rPr>
          <w:rFonts w:ascii="仿宋" w:hAnsi="仿宋" w:eastAsia="仿宋" w:cs="Times New Roman"/>
          <w:sz w:val="32"/>
          <w:szCs w:val="32"/>
        </w:rPr>
        <w:t>%</w:t>
      </w:r>
      <w:r>
        <w:rPr>
          <w:rFonts w:hint="eastAsia" w:ascii="仿宋" w:hAnsi="仿宋" w:eastAsia="仿宋" w:cs="Times New Roman"/>
          <w:sz w:val="32"/>
          <w:szCs w:val="32"/>
        </w:rPr>
        <w:t>。主要变动原因是主要变动原因是</w:t>
      </w:r>
      <w:r>
        <w:rPr>
          <w:rFonts w:hint="eastAsia" w:ascii="仿宋" w:hAnsi="仿宋" w:eastAsia="仿宋" w:cs="Times New Roman"/>
          <w:sz w:val="32"/>
          <w:szCs w:val="32"/>
          <w:lang w:val="en-US" w:eastAsia="zh-CN"/>
        </w:rPr>
        <w:t>上年年末结转结余数额较大，</w:t>
      </w:r>
      <w:r>
        <w:rPr>
          <w:rFonts w:hint="eastAsia" w:ascii="仿宋" w:hAnsi="仿宋" w:eastAsia="仿宋" w:cs="Times New Roman"/>
          <w:sz w:val="32"/>
          <w:szCs w:val="32"/>
        </w:rPr>
        <w:t>一般公共预算财政拨款支出</w:t>
      </w:r>
      <w:r>
        <w:rPr>
          <w:rFonts w:hint="eastAsia" w:ascii="仿宋" w:hAnsi="仿宋" w:eastAsia="仿宋" w:cs="Times New Roman"/>
          <w:sz w:val="32"/>
          <w:szCs w:val="32"/>
          <w:lang w:val="en-US" w:eastAsia="zh-CN"/>
        </w:rPr>
        <w:t>项目多。</w:t>
      </w:r>
    </w:p>
    <w:p>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480695</wp:posOffset>
            </wp:positionH>
            <wp:positionV relativeFrom="paragraph">
              <wp:posOffset>356870</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1" w:name="_Toc29124"/>
      <w:bookmarkStart w:id="42" w:name="_Toc15377211"/>
      <w:r>
        <w:rPr>
          <w:rFonts w:hint="eastAsia" w:ascii="仿宋" w:hAnsi="仿宋" w:eastAsia="仿宋"/>
          <w:b/>
          <w:sz w:val="32"/>
          <w:szCs w:val="32"/>
        </w:rPr>
        <w:t>（二）一般公共预算财政拨款支出决算结构情况</w:t>
      </w:r>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10203.72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75.66万元，占</w:t>
      </w:r>
      <w:r>
        <w:rPr>
          <w:rFonts w:hint="eastAsia" w:ascii="仿宋" w:hAnsi="仿宋" w:eastAsia="仿宋"/>
          <w:sz w:val="32"/>
          <w:szCs w:val="32"/>
          <w:lang w:val="en-US" w:eastAsia="zh-CN"/>
        </w:rPr>
        <w:t>0.74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187.83万元，占</w:t>
      </w:r>
      <w:r>
        <w:rPr>
          <w:rFonts w:hint="eastAsia" w:ascii="仿宋" w:hAnsi="仿宋" w:eastAsia="仿宋"/>
          <w:sz w:val="32"/>
          <w:szCs w:val="32"/>
          <w:lang w:val="en-US" w:eastAsia="zh-CN"/>
        </w:rPr>
        <w:t>1.84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节能环保支出</w:t>
      </w:r>
      <w:r>
        <w:rPr>
          <w:rFonts w:hint="eastAsia" w:ascii="仿宋" w:hAnsi="仿宋" w:eastAsia="仿宋"/>
          <w:sz w:val="32"/>
          <w:szCs w:val="32"/>
          <w:lang w:val="en-US" w:eastAsia="zh-CN"/>
        </w:rPr>
        <w:t>1475.95</w:t>
      </w:r>
      <w:r>
        <w:rPr>
          <w:rFonts w:hint="eastAsia" w:ascii="仿宋" w:hAnsi="仿宋" w:eastAsia="仿宋"/>
          <w:sz w:val="32"/>
          <w:szCs w:val="32"/>
        </w:rPr>
        <w:t>万元，占</w:t>
      </w:r>
      <w:r>
        <w:rPr>
          <w:rFonts w:hint="eastAsia" w:ascii="仿宋" w:hAnsi="仿宋" w:eastAsia="仿宋"/>
          <w:sz w:val="32"/>
          <w:szCs w:val="32"/>
          <w:lang w:val="en-US" w:eastAsia="zh-CN"/>
        </w:rPr>
        <w:t>14.46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8408.08</w:t>
      </w:r>
      <w:r>
        <w:rPr>
          <w:rFonts w:hint="eastAsia" w:ascii="仿宋" w:hAnsi="仿宋" w:eastAsia="仿宋"/>
          <w:sz w:val="32"/>
          <w:szCs w:val="32"/>
        </w:rPr>
        <w:t>万元，占</w:t>
      </w:r>
      <w:r>
        <w:rPr>
          <w:rFonts w:hint="eastAsia" w:ascii="仿宋" w:hAnsi="仿宋" w:eastAsia="仿宋"/>
          <w:sz w:val="32"/>
          <w:szCs w:val="32"/>
          <w:lang w:val="en-US" w:eastAsia="zh-CN"/>
        </w:rPr>
        <w:t>82.41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56.2</w:t>
      </w:r>
      <w:r>
        <w:rPr>
          <w:rFonts w:hint="eastAsia" w:ascii="仿宋" w:hAnsi="仿宋" w:eastAsia="仿宋"/>
          <w:sz w:val="32"/>
          <w:szCs w:val="32"/>
        </w:rPr>
        <w:t>万元，占</w:t>
      </w:r>
      <w:r>
        <w:rPr>
          <w:rFonts w:hint="eastAsia" w:ascii="仿宋" w:hAnsi="仿宋" w:eastAsia="仿宋"/>
          <w:sz w:val="32"/>
          <w:szCs w:val="32"/>
          <w:lang w:val="en-US" w:eastAsia="zh-CN"/>
        </w:rPr>
        <w:t>0.55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pStyle w:val="2"/>
        <w:rPr>
          <w:rFonts w:hint="eastAsia" w:ascii="仿宋" w:hAnsi="仿宋" w:eastAsia="仿宋"/>
          <w:sz w:val="32"/>
          <w:szCs w:val="32"/>
        </w:rPr>
      </w:pPr>
    </w:p>
    <w:p>
      <w:pPr>
        <w:pStyle w:val="4"/>
        <w:rPr>
          <w:rFonts w:hint="eastAsia"/>
        </w:rPr>
      </w:pPr>
    </w:p>
    <w:p>
      <w:pPr>
        <w:spacing w:line="600" w:lineRule="exact"/>
        <w:ind w:firstLine="420" w:firstLineChars="200"/>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528320</wp:posOffset>
            </wp:positionH>
            <wp:positionV relativeFrom="page">
              <wp:posOffset>1192530</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3" w:name="_Toc15377212"/>
      <w:bookmarkStart w:id="44" w:name="_Toc32503"/>
      <w:r>
        <w:rPr>
          <w:rFonts w:hint="eastAsia" w:ascii="仿宋" w:hAnsi="仿宋" w:eastAsia="仿宋"/>
          <w:b/>
          <w:sz w:val="32"/>
          <w:szCs w:val="32"/>
        </w:rPr>
        <w:t>（三）一般公共预算财政拨款支出决算具体情况</w:t>
      </w:r>
      <w:bookmarkEnd w:id="43"/>
      <w:bookmarkEnd w:id="4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sz w:val="32"/>
          <w:szCs w:val="32"/>
        </w:rPr>
      </w:pPr>
      <w:bookmarkStart w:id="45" w:name="_Toc15378460"/>
      <w:bookmarkStart w:id="46" w:name="_Toc15377213"/>
      <w:bookmarkStart w:id="47" w:name="_Toc15377444"/>
      <w:r>
        <w:rPr>
          <w:rFonts w:hint="eastAsia" w:ascii="仿宋" w:hAnsi="仿宋" w:eastAsia="仿宋"/>
          <w:b/>
          <w:sz w:val="32"/>
          <w:szCs w:val="32"/>
        </w:rPr>
        <w:t>2022年一般公共预算支出决算数为10203.72</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社会保障和就业支出（类）行政事业单位养老支出（款）机关事业单位基本养老保险缴费支出（项）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支出决算为75.66万元，完成预算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卫生健康支出（类）中医药（款）中医（民族医）药专项（项）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支出决算为150万元，完成预算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卫生健康支出（类）行政事业单位医疗（款）事业单位医疗（项）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支出决算为37.83万元，完成预算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bCs/>
          <w:sz w:val="32"/>
          <w:szCs w:val="32"/>
        </w:rPr>
        <w:t>节能环保支出（类）自然生态保护（款）生态保护（项）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支出决算为627万元，完成预算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节能环保支出（类）自然生态保护（款）其他自然生态保护支出（项）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支出决算为848.95万元，完成预算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农林水支出（类）林业和草原（款）行政运行（项）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支出决算为256.91万元，完成预算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农林水支出（类）林业和草原（款）一般行政管理事务（项）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支出决算为169.83万元，完成预算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农林水支出（类）林业和草原（款）事业机构（项）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支出决算为601.9万元，完成预算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农林水支出（类）林业和草原（款）森林资源培育（项）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支出决算为1736.55万元，完成预算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农林水支出（类）林业和草原（款）技术推广与转化（项）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支出决算为70万元，完成预算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农林水支出（类）林业和草原（款）森林资源管理（项）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支出决算为207.35万元，完成预算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农林水支出（类）林业和草原（款）森林生态效益补偿（项）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支出决算为1202.36万元，完成预算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农林水支出（类）林业和草原（款）产业化管理（项）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支出决算为426万元，完成预算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农林水支出（类）林业和草原（款）林业草原防灾减灾（项）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支出决算为604.79万元，完成预算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Style w:val="17"/>
          <w:rFonts w:hint="eastAsia" w:ascii="仿宋" w:hAnsi="仿宋" w:eastAsia="仿宋"/>
          <w:bCs/>
          <w:sz w:val="32"/>
          <w:szCs w:val="32"/>
        </w:rPr>
        <w:t>农林水支出（类）林业和草原（款）其他林业和草原支出（项）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支出决算为1432.39万元，完成预算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Style w:val="17"/>
          <w:rFonts w:hint="eastAsia" w:ascii="仿宋" w:hAnsi="仿宋" w:eastAsia="仿宋"/>
          <w:bCs/>
          <w:sz w:val="32"/>
          <w:szCs w:val="32"/>
        </w:rPr>
        <w:t>农林水支出（类）巩固脱贫衔接乡村振兴（款）农村基础设施建设（项）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支出决算为125万元，完成预算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17</w:t>
      </w:r>
      <w:r>
        <w:rPr>
          <w:rStyle w:val="17"/>
          <w:rFonts w:ascii="仿宋" w:hAnsi="仿宋" w:eastAsia="仿宋"/>
          <w:bCs/>
          <w:sz w:val="32"/>
          <w:szCs w:val="32"/>
        </w:rPr>
        <w:t>.</w:t>
      </w:r>
      <w:r>
        <w:rPr>
          <w:rStyle w:val="17"/>
          <w:rFonts w:hint="eastAsia" w:ascii="仿宋" w:hAnsi="仿宋" w:eastAsia="仿宋"/>
          <w:bCs/>
          <w:sz w:val="32"/>
          <w:szCs w:val="32"/>
        </w:rPr>
        <w:t>农林水支出（类）巩固脱贫衔接乡村振兴（款）生产发展（项）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支出决算为1575万元，完成预算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28</w:t>
      </w:r>
      <w:r>
        <w:rPr>
          <w:rStyle w:val="17"/>
          <w:rFonts w:ascii="仿宋" w:hAnsi="仿宋" w:eastAsia="仿宋"/>
          <w:bCs/>
          <w:sz w:val="32"/>
          <w:szCs w:val="32"/>
        </w:rPr>
        <w:t>.</w:t>
      </w:r>
      <w:r>
        <w:rPr>
          <w:rStyle w:val="17"/>
          <w:rFonts w:hint="eastAsia" w:ascii="仿宋" w:hAnsi="仿宋" w:eastAsia="仿宋"/>
          <w:bCs/>
          <w:sz w:val="32"/>
          <w:szCs w:val="32"/>
        </w:rPr>
        <w:t>住房保障支出（类）住房改革支出（款）住房公积金（项）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支出决算为56.2万元，完成预算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48" w:name="_Toc20904"/>
      <w:bookmarkStart w:id="49" w:name="_Toc15396608"/>
      <w:bookmarkStart w:id="50" w:name="_Toc15377214"/>
      <w:r>
        <w:rPr>
          <w:rFonts w:hint="eastAsia" w:ascii="黑体" w:hAnsi="黑体" w:eastAsia="黑体" w:cs="Times New Roman"/>
          <w:sz w:val="32"/>
          <w:szCs w:val="32"/>
        </w:rPr>
        <w:t>六、一般公共预算财政拨款基本支出决算情况说明</w:t>
      </w:r>
      <w:bookmarkEnd w:id="48"/>
      <w:bookmarkEnd w:id="49"/>
      <w:bookmarkEnd w:id="50"/>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1028.5</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人员经费962.56万元，主要包括：基本工资、津贴补贴、奖金、绩效工资、机关事业单位基本养老保险缴费、职工基本医疗保险缴费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其他社会保障缴费、住房公积金</w:t>
      </w:r>
      <w:r>
        <w:rPr>
          <w:rFonts w:hint="eastAsia" w:ascii="仿宋" w:hAnsi="仿宋" w:eastAsia="仿宋"/>
          <w:sz w:val="32"/>
          <w:szCs w:val="32"/>
          <w:lang w:eastAsia="zh-CN"/>
        </w:rPr>
        <w:t>、医疗费、</w:t>
      </w:r>
      <w:r>
        <w:rPr>
          <w:rFonts w:hint="eastAsia" w:ascii="仿宋" w:hAnsi="仿宋" w:eastAsia="仿宋"/>
          <w:sz w:val="32"/>
          <w:szCs w:val="32"/>
        </w:rPr>
        <w:t>其他工资福利支出、生活补助、其他对个人和家庭的补助支出等。</w:t>
      </w:r>
      <w:r>
        <w:rPr>
          <w:rFonts w:ascii="仿宋" w:hAnsi="仿宋" w:eastAsia="仿宋"/>
          <w:sz w:val="32"/>
          <w:szCs w:val="32"/>
        </w:rPr>
        <w:br w:type="textWrapping"/>
      </w:r>
      <w:r>
        <w:rPr>
          <w:rFonts w:hint="eastAsia" w:ascii="仿宋" w:hAnsi="仿宋" w:eastAsia="仿宋"/>
          <w:sz w:val="32"/>
          <w:szCs w:val="32"/>
        </w:rPr>
        <w:t>　　公用经费65.94万元，主要包括：办公费、印刷费、咨询费、水费、电费、邮电费、差旅费、维修（护）费、公务接待费、工会经费、福利费、公务用车运行维护费、其他交通费等。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51" w:name="_Toc25511"/>
      <w:bookmarkStart w:id="52" w:name="_Toc15396609"/>
      <w:bookmarkStart w:id="53"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pPr>
        <w:spacing w:line="600" w:lineRule="exact"/>
        <w:ind w:firstLine="640"/>
        <w:outlineLvl w:val="2"/>
        <w:rPr>
          <w:rFonts w:ascii="仿宋" w:hAnsi="仿宋" w:eastAsia="仿宋"/>
          <w:b/>
          <w:sz w:val="32"/>
          <w:szCs w:val="32"/>
        </w:rPr>
      </w:pPr>
      <w:bookmarkStart w:id="54" w:name="_Toc25759"/>
      <w:bookmarkStart w:id="55" w:name="_Toc15377216"/>
      <w:r>
        <w:rPr>
          <w:rFonts w:hint="eastAsia" w:ascii="仿宋" w:hAnsi="仿宋" w:eastAsia="仿宋"/>
          <w:b/>
          <w:sz w:val="32"/>
          <w:szCs w:val="32"/>
        </w:rPr>
        <w:t>（一）“三公”经费财政拨款支出决算总体情况说明</w:t>
      </w:r>
      <w:bookmarkEnd w:id="54"/>
      <w:bookmarkEnd w:id="5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12.75</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3.75</w:t>
      </w:r>
      <w:r>
        <w:rPr>
          <w:rFonts w:hint="eastAsia" w:ascii="仿宋" w:hAnsi="仿宋" w:eastAsia="仿宋"/>
          <w:sz w:val="32"/>
          <w:szCs w:val="32"/>
        </w:rPr>
        <w:t>万元，下降</w:t>
      </w:r>
      <w:r>
        <w:rPr>
          <w:rFonts w:hint="eastAsia" w:ascii="仿宋" w:hAnsi="仿宋" w:eastAsia="仿宋"/>
          <w:sz w:val="32"/>
          <w:szCs w:val="32"/>
          <w:lang w:val="en-US" w:eastAsia="zh-CN"/>
        </w:rPr>
        <w:t>22.73</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56" w:name="_Toc15377217"/>
      <w:bookmarkStart w:id="57" w:name="_Toc32072"/>
      <w:r>
        <w:rPr>
          <w:rFonts w:hint="eastAsia" w:ascii="仿宋" w:hAnsi="仿宋" w:eastAsia="仿宋"/>
          <w:b/>
          <w:sz w:val="32"/>
          <w:szCs w:val="32"/>
        </w:rPr>
        <w:t>（二）“三公”经费财政拨款支出决算具体情况说明</w:t>
      </w:r>
      <w:bookmarkEnd w:id="56"/>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9</w:t>
      </w:r>
      <w:r>
        <w:rPr>
          <w:rFonts w:hint="eastAsia" w:ascii="仿宋" w:hAnsi="仿宋" w:eastAsia="仿宋"/>
          <w:sz w:val="32"/>
          <w:szCs w:val="32"/>
        </w:rPr>
        <w:t>万元，占</w:t>
      </w:r>
      <w:r>
        <w:rPr>
          <w:rFonts w:hint="eastAsia" w:ascii="仿宋" w:hAnsi="仿宋" w:eastAsia="仿宋"/>
          <w:sz w:val="32"/>
          <w:szCs w:val="32"/>
          <w:lang w:val="en-US" w:eastAsia="zh-CN"/>
        </w:rPr>
        <w:t>70.59</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3.75</w:t>
      </w:r>
      <w:r>
        <w:rPr>
          <w:rFonts w:hint="eastAsia" w:ascii="仿宋" w:hAnsi="仿宋" w:eastAsia="仿宋"/>
          <w:sz w:val="32"/>
          <w:szCs w:val="32"/>
        </w:rPr>
        <w:t>万元，占</w:t>
      </w:r>
      <w:r>
        <w:rPr>
          <w:rFonts w:hint="eastAsia" w:ascii="仿宋" w:hAnsi="仿宋" w:eastAsia="仿宋"/>
          <w:sz w:val="32"/>
          <w:szCs w:val="32"/>
          <w:lang w:val="en-US" w:eastAsia="zh-CN"/>
        </w:rPr>
        <w:t>29.41</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drawing>
          <wp:anchor distT="0" distB="0" distL="114300" distR="114300" simplePos="0" relativeHeight="251662336" behindDoc="0" locked="0" layoutInCell="1" allowOverlap="1">
            <wp:simplePos x="0" y="0"/>
            <wp:positionH relativeFrom="column">
              <wp:posOffset>401320</wp:posOffset>
            </wp:positionH>
            <wp:positionV relativeFrom="page">
              <wp:posOffset>967105</wp:posOffset>
            </wp:positionV>
            <wp:extent cx="4847590" cy="2695575"/>
            <wp:effectExtent l="4445" t="5080" r="5715" b="444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（图7：“三公”经费财政拨款支出结构）（饼状图）</w:t>
      </w:r>
    </w:p>
    <w:p>
      <w:pPr>
        <w:spacing w:line="600" w:lineRule="exact"/>
        <w:ind w:firstLine="640"/>
        <w:rPr>
          <w:rFonts w:hint="eastAsia" w:ascii="仿宋" w:hAnsi="仿宋" w:eastAsia="仿宋"/>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9</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5</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9</w:t>
      </w:r>
      <w:r>
        <w:rPr>
          <w:rFonts w:hint="eastAsia" w:ascii="仿宋_GB2312" w:eastAsia="仿宋_GB2312"/>
          <w:sz w:val="32"/>
          <w:szCs w:val="32"/>
        </w:rPr>
        <w:t>万元。主要用于</w:t>
      </w:r>
      <w:r>
        <w:rPr>
          <w:rFonts w:hint="eastAsia" w:ascii="仿宋_GB2312" w:eastAsia="仿宋_GB2312"/>
          <w:sz w:val="32"/>
          <w:szCs w:val="32"/>
          <w:lang w:val="en-US" w:eastAsia="zh-CN"/>
        </w:rPr>
        <w:t>林业产业项目、接待、办公</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3.75</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3.75</w:t>
      </w:r>
      <w:r>
        <w:rPr>
          <w:rFonts w:hint="eastAsia" w:ascii="仿宋_GB2312" w:eastAsia="仿宋_GB2312"/>
          <w:sz w:val="32"/>
          <w:szCs w:val="32"/>
        </w:rPr>
        <w:t>万元，下降</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落实过紧日子的政策，节约公务开支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3.75</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42</w:t>
      </w:r>
      <w:r>
        <w:rPr>
          <w:rFonts w:hint="eastAsia" w:ascii="仿宋_GB2312" w:eastAsia="仿宋_GB2312"/>
          <w:sz w:val="32"/>
          <w:szCs w:val="32"/>
        </w:rPr>
        <w:t>批次，</w:t>
      </w:r>
      <w:r>
        <w:rPr>
          <w:rFonts w:hint="eastAsia" w:ascii="仿宋_GB2312" w:eastAsia="仿宋_GB2312"/>
          <w:sz w:val="32"/>
          <w:szCs w:val="32"/>
          <w:lang w:val="en-US" w:eastAsia="zh-CN"/>
        </w:rPr>
        <w:t>441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5.27</w:t>
      </w:r>
      <w:r>
        <w:rPr>
          <w:rFonts w:hint="eastAsia" w:ascii="仿宋_GB2312" w:eastAsia="仿宋_GB2312"/>
          <w:sz w:val="32"/>
          <w:szCs w:val="32"/>
        </w:rPr>
        <w:t>万元，具体内容包括：执行公务、开展业务活动开支的交通费、住宿费、用餐费等。</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9"/>
        <w:rPr>
          <w:rFonts w:ascii="黑体" w:eastAsia="黑体"/>
          <w:sz w:val="32"/>
          <w:szCs w:val="32"/>
        </w:rPr>
      </w:pPr>
      <w:bookmarkStart w:id="58" w:name="_Toc15377218"/>
      <w:bookmarkStart w:id="59" w:name="_Toc15396610"/>
    </w:p>
    <w:p>
      <w:pPr>
        <w:spacing w:line="600" w:lineRule="exact"/>
        <w:ind w:firstLine="640"/>
        <w:outlineLvl w:val="1"/>
        <w:rPr>
          <w:rStyle w:val="28"/>
          <w:rFonts w:ascii="黑体" w:hAnsi="黑体" w:eastAsia="黑体"/>
        </w:rPr>
      </w:pPr>
      <w:bookmarkStart w:id="60" w:name="_Toc24399"/>
      <w:r>
        <w:rPr>
          <w:rFonts w:hint="eastAsia" w:ascii="黑体" w:eastAsia="黑体"/>
          <w:sz w:val="32"/>
          <w:szCs w:val="32"/>
        </w:rPr>
        <w:t>八、</w:t>
      </w:r>
      <w:r>
        <w:rPr>
          <w:rStyle w:val="28"/>
          <w:rFonts w:hint="eastAsia" w:ascii="黑体" w:hAnsi="黑体" w:eastAsia="黑体"/>
          <w:b w:val="0"/>
        </w:rPr>
        <w:t>政府性基金预算支出决算情况说明</w:t>
      </w:r>
      <w:bookmarkEnd w:id="58"/>
      <w:bookmarkEnd w:id="59"/>
      <w:bookmarkEnd w:id="6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3000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1"/>
        </w:numPr>
        <w:spacing w:line="600" w:lineRule="exact"/>
        <w:ind w:firstLine="640"/>
        <w:outlineLvl w:val="1"/>
        <w:rPr>
          <w:rStyle w:val="28"/>
          <w:rFonts w:ascii="黑体" w:hAnsi="黑体" w:eastAsia="黑体"/>
          <w:b w:val="0"/>
        </w:rPr>
      </w:pPr>
      <w:bookmarkStart w:id="61" w:name="_Toc31015"/>
      <w:bookmarkStart w:id="62" w:name="_Toc15396611"/>
      <w:bookmarkStart w:id="63" w:name="_Toc15377219"/>
      <w:r>
        <w:rPr>
          <w:rStyle w:val="28"/>
          <w:rFonts w:hint="eastAsia" w:ascii="黑体" w:hAnsi="黑体" w:eastAsia="黑体"/>
          <w:b w:val="0"/>
        </w:rPr>
        <w:t>国有资本经营预算支出决算情况说明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1"/>
        </w:numPr>
        <w:spacing w:line="600" w:lineRule="exact"/>
        <w:ind w:firstLine="640"/>
        <w:outlineLvl w:val="1"/>
        <w:rPr>
          <w:rStyle w:val="28"/>
          <w:rFonts w:ascii="黑体" w:hAnsi="黑体" w:eastAsia="黑体"/>
          <w:b w:val="0"/>
        </w:rPr>
      </w:pPr>
      <w:bookmarkStart w:id="64" w:name="_Toc15377221"/>
      <w:bookmarkStart w:id="65" w:name="_Toc15396612"/>
      <w:bookmarkStart w:id="66" w:name="_Toc24577"/>
      <w:r>
        <w:rPr>
          <w:rStyle w:val="28"/>
          <w:rFonts w:hint="eastAsia" w:ascii="黑体" w:hAnsi="黑体" w:eastAsia="黑体"/>
          <w:b w:val="0"/>
        </w:rPr>
        <w:t>其他重要事项的情况说明</w:t>
      </w:r>
      <w:bookmarkEnd w:id="64"/>
      <w:bookmarkEnd w:id="65"/>
      <w:bookmarkEnd w:id="66"/>
    </w:p>
    <w:p>
      <w:pPr>
        <w:spacing w:line="600" w:lineRule="exact"/>
        <w:ind w:firstLine="642" w:firstLineChars="200"/>
        <w:outlineLvl w:val="2"/>
        <w:rPr>
          <w:rFonts w:ascii="仿宋" w:hAnsi="仿宋" w:eastAsia="仿宋"/>
          <w:sz w:val="32"/>
          <w:szCs w:val="32"/>
        </w:rPr>
      </w:pPr>
      <w:bookmarkStart w:id="67" w:name="_Toc29117"/>
      <w:bookmarkStart w:id="68" w:name="_Toc15377222"/>
      <w:r>
        <w:rPr>
          <w:rFonts w:hint="eastAsia" w:ascii="仿宋" w:hAnsi="仿宋" w:eastAsia="仿宋"/>
          <w:b/>
          <w:sz w:val="32"/>
          <w:szCs w:val="32"/>
        </w:rPr>
        <w:t>（一）机关运行经费支出情况</w:t>
      </w:r>
      <w:bookmarkEnd w:id="67"/>
      <w:bookmarkEnd w:id="6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剑阁县林业局</w:t>
      </w:r>
      <w:r>
        <w:rPr>
          <w:rFonts w:hint="eastAsia" w:ascii="仿宋_GB2312" w:eastAsia="仿宋_GB2312"/>
          <w:sz w:val="32"/>
          <w:szCs w:val="32"/>
        </w:rPr>
        <w:t>机关运行经费支出</w:t>
      </w:r>
      <w:r>
        <w:rPr>
          <w:rFonts w:hint="eastAsia" w:ascii="仿宋_GB2312" w:eastAsia="仿宋_GB2312"/>
          <w:sz w:val="32"/>
          <w:szCs w:val="32"/>
          <w:lang w:val="en-US" w:eastAsia="zh-CN"/>
        </w:rPr>
        <w:t>65.94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71.2</w:t>
      </w:r>
      <w:r>
        <w:rPr>
          <w:rFonts w:hint="eastAsia" w:ascii="仿宋_GB2312" w:eastAsia="仿宋_GB2312"/>
          <w:sz w:val="32"/>
          <w:szCs w:val="32"/>
        </w:rPr>
        <w:t>万元，下降</w:t>
      </w:r>
      <w:r>
        <w:rPr>
          <w:rFonts w:hint="eastAsia" w:ascii="仿宋_GB2312" w:eastAsia="仿宋_GB2312"/>
          <w:sz w:val="32"/>
          <w:szCs w:val="32"/>
          <w:lang w:val="en-US" w:eastAsia="zh-CN"/>
        </w:rPr>
        <w:t>51.92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落实过紧日子的政策，节约公务开支。</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9" w:name="_Toc32604"/>
      <w:bookmarkStart w:id="70" w:name="_Toc15377223"/>
      <w:r>
        <w:rPr>
          <w:rFonts w:hint="eastAsia" w:ascii="仿宋" w:hAnsi="仿宋" w:eastAsia="仿宋"/>
          <w:b/>
          <w:sz w:val="32"/>
          <w:szCs w:val="32"/>
        </w:rPr>
        <w:t>（二）政府采购支出情况</w:t>
      </w:r>
      <w:bookmarkEnd w:id="69"/>
      <w:bookmarkEnd w:id="7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剑阁县林业局</w:t>
      </w:r>
      <w:r>
        <w:rPr>
          <w:rFonts w:hint="eastAsia" w:ascii="仿宋_GB2312" w:eastAsia="仿宋_GB2312"/>
          <w:sz w:val="32"/>
          <w:szCs w:val="32"/>
        </w:rPr>
        <w:t>政府采购支出总额</w:t>
      </w:r>
      <w:r>
        <w:rPr>
          <w:rFonts w:hint="eastAsia" w:ascii="仿宋_GB2312" w:eastAsia="仿宋_GB2312"/>
          <w:sz w:val="32"/>
          <w:szCs w:val="32"/>
          <w:lang w:val="en-US" w:eastAsia="zh-CN"/>
        </w:rPr>
        <w:t>721.69</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197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210.69</w:t>
      </w:r>
      <w:r>
        <w:rPr>
          <w:rFonts w:hint="eastAsia" w:ascii="仿宋_GB2312" w:eastAsia="仿宋_GB2312"/>
          <w:sz w:val="32"/>
          <w:szCs w:val="32"/>
        </w:rPr>
        <w:t>万元、政府采购服务支出</w:t>
      </w:r>
      <w:r>
        <w:rPr>
          <w:rFonts w:hint="eastAsia" w:ascii="仿宋_GB2312" w:eastAsia="仿宋_GB2312"/>
          <w:sz w:val="32"/>
          <w:szCs w:val="32"/>
          <w:lang w:val="en-US" w:eastAsia="zh-CN"/>
        </w:rPr>
        <w:t>314</w:t>
      </w:r>
      <w:r>
        <w:rPr>
          <w:rFonts w:hint="eastAsia" w:ascii="仿宋_GB2312" w:eastAsia="仿宋_GB2312"/>
          <w:sz w:val="32"/>
          <w:szCs w:val="32"/>
        </w:rPr>
        <w:t>万元。主要用于</w:t>
      </w:r>
      <w:r>
        <w:rPr>
          <w:rFonts w:hint="eastAsia" w:ascii="仿宋_GB2312" w:eastAsia="仿宋_GB2312"/>
          <w:sz w:val="32"/>
          <w:szCs w:val="32"/>
          <w:lang w:val="en-US" w:eastAsia="zh-CN"/>
        </w:rPr>
        <w:t>有害生物飞防、蜀道古柏保护、水池道路建设、森林防灭火装备物资采购等项目</w:t>
      </w:r>
      <w:r>
        <w:rPr>
          <w:rFonts w:hint="eastAsia" w:ascii="仿宋_GB2312" w:eastAsia="仿宋_GB2312"/>
          <w:sz w:val="32"/>
          <w:szCs w:val="32"/>
        </w:rPr>
        <w:t>。授予中小企业合同金额</w:t>
      </w:r>
      <w:r>
        <w:rPr>
          <w:rFonts w:hint="eastAsia" w:ascii="仿宋_GB2312" w:eastAsia="仿宋_GB2312"/>
          <w:sz w:val="32"/>
          <w:szCs w:val="32"/>
          <w:lang w:val="en-US" w:eastAsia="zh-CN"/>
        </w:rPr>
        <w:t>721.69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721.69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1" w:name="_Toc3320"/>
      <w:bookmarkStart w:id="72" w:name="_Toc15377224"/>
      <w:r>
        <w:rPr>
          <w:rFonts w:hint="eastAsia" w:ascii="仿宋" w:hAnsi="仿宋" w:eastAsia="仿宋"/>
          <w:b/>
          <w:sz w:val="32"/>
          <w:szCs w:val="32"/>
        </w:rPr>
        <w:t>（三）国有资产占有使用情况</w:t>
      </w:r>
      <w:bookmarkEnd w:id="71"/>
      <w:bookmarkEnd w:id="7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剑阁县林业局</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5</w:t>
      </w:r>
      <w:r>
        <w:rPr>
          <w:rFonts w:hint="eastAsia" w:ascii="仿宋_GB2312" w:eastAsia="仿宋_GB2312"/>
          <w:sz w:val="32"/>
          <w:szCs w:val="32"/>
        </w:rPr>
        <w:t>辆，其他用车主要是用于执行公务、开展业务活动</w:t>
      </w:r>
      <w:r>
        <w:rPr>
          <w:rFonts w:hint="eastAsia" w:ascii="仿宋_GB2312" w:eastAsia="仿宋_GB2312"/>
          <w:sz w:val="32"/>
          <w:szCs w:val="32"/>
          <w:lang w:val="en-US" w:eastAsia="zh-CN"/>
        </w:rPr>
        <w:t>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3" w:name="_Toc1006"/>
      <w:r>
        <w:rPr>
          <w:rFonts w:hint="eastAsia" w:ascii="仿宋" w:hAnsi="仿宋" w:eastAsia="仿宋"/>
          <w:b/>
          <w:sz w:val="32"/>
          <w:szCs w:val="32"/>
        </w:rPr>
        <w:t>（四）预算绩效管理情况</w:t>
      </w:r>
      <w:bookmarkEnd w:id="73"/>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根据预算绩效管理要求，本单位在2022年度预算编制阶段，组织对林业草原生态保护恢复项目等</w:t>
      </w:r>
      <w:r>
        <w:rPr>
          <w:rFonts w:hint="eastAsia" w:hAnsi="仿宋_GB2312" w:cs="仿宋_GB2312"/>
          <w:sz w:val="32"/>
          <w:szCs w:val="32"/>
          <w:lang w:val="en-US" w:eastAsia="zh-CN"/>
        </w:rPr>
        <w:t>35</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35</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35</w:t>
      </w:r>
      <w:r>
        <w:rPr>
          <w:rFonts w:hint="eastAsia" w:hAnsi="仿宋_GB2312" w:cs="仿宋_GB2312"/>
          <w:sz w:val="32"/>
          <w:szCs w:val="32"/>
        </w:rPr>
        <w:t>个项目开展绩效监控，组织对</w:t>
      </w:r>
      <w:r>
        <w:rPr>
          <w:rFonts w:hint="eastAsia" w:hAnsi="仿宋_GB2312" w:cs="仿宋_GB2312"/>
          <w:sz w:val="32"/>
          <w:szCs w:val="32"/>
          <w:lang w:val="en-US" w:eastAsia="zh-CN"/>
        </w:rPr>
        <w:t>35</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27"/>
          <w:rFonts w:ascii="黑体" w:hAnsi="黑体" w:eastAsia="黑体"/>
          <w:b w:val="0"/>
        </w:rPr>
      </w:pPr>
      <w:bookmarkStart w:id="74" w:name="_Toc15396613"/>
      <w:bookmarkStart w:id="75" w:name="_Toc15377225"/>
      <w:bookmarkStart w:id="76" w:name="_Toc13852"/>
      <w:r>
        <w:rPr>
          <w:rFonts w:hint="eastAsia" w:ascii="黑体" w:hAnsi="黑体" w:eastAsia="黑体"/>
          <w:sz w:val="44"/>
          <w:szCs w:val="44"/>
        </w:rPr>
        <w:t>名</w:t>
      </w:r>
      <w:r>
        <w:rPr>
          <w:rStyle w:val="27"/>
          <w:rFonts w:hint="eastAsia" w:ascii="黑体" w:hAnsi="黑体" w:eastAsia="黑体"/>
          <w:b w:val="0"/>
        </w:rPr>
        <w:t>词解释</w:t>
      </w:r>
      <w:bookmarkEnd w:id="74"/>
      <w:bookmarkEnd w:id="75"/>
      <w:bookmarkEnd w:id="76"/>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其他收入：指单位取得的除上述收入以外的各项收入。等。</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rPr>
          <w:rFonts w:hint="eastAsia" w:ascii="仿宋_GB2312" w:eastAsia="仿宋_GB2312"/>
          <w:sz w:val="32"/>
          <w:szCs w:val="32"/>
          <w:lang w:val="en-US" w:eastAsia="zh-CN"/>
        </w:rPr>
      </w:pPr>
      <w:r>
        <w:rPr>
          <w:rFonts w:ascii="仿宋_GB2312" w:eastAsia="仿宋_GB2312"/>
          <w:sz w:val="32"/>
          <w:szCs w:val="32"/>
        </w:rPr>
        <w:t>9.</w:t>
      </w:r>
      <w:r>
        <w:rPr>
          <w:rFonts w:hint="eastAsia" w:ascii="仿宋_GB2312" w:eastAsia="仿宋_GB2312"/>
          <w:sz w:val="32"/>
          <w:szCs w:val="32"/>
          <w:lang w:val="en-US" w:eastAsia="zh-CN"/>
        </w:rPr>
        <w:t>社会保障和就业支出（类）行政事业单位养老支出（款）机关事业单位基本养老保险缴费（项）：指实施养老保险制度后，单位按规定由单位缴纳的基本养老保险费支出。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10.卫生健康支出（类）中医药（款）中医（民族医）药专项（项）：反应中医（民族医）药方面的专项支出。</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11.卫生健康支出（类）行政事业单位医疗（款）事业单位医疗（项）：指单位基本医疗保险缴费支出。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12.节能环保支出（类）自然生态保护（款）生态保护（项）：反映用于生态功能区、生态示范区、生态省（市、县）管理及能力建设、日常管护、宣教、试点示范等支出，生态修复支出，资源开发生态监管支出、生态护林员的劳务报酬等支出。</w:t>
      </w:r>
    </w:p>
    <w:p>
      <w:pPr>
        <w:pStyle w:val="2"/>
        <w:ind w:left="0"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.节能环保支出（类）自然生态保护（款）其他自然生态保护支出（项）：反映除上述项目以外其他用于自然生态保护方面的支出。</w:t>
      </w:r>
    </w:p>
    <w:p>
      <w:pPr>
        <w:spacing w:line="60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.农林水支出（类）林业和草原（款）行政运行（项）：指行政单位（包括实行公务员管理的事业单位）的基本支出。</w:t>
      </w:r>
    </w:p>
    <w:p>
      <w:pPr>
        <w:spacing w:line="600" w:lineRule="exact"/>
        <w:ind w:firstLine="640"/>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.农林水</w:t>
      </w:r>
      <w:r>
        <w:rPr>
          <w:rFonts w:hint="eastAsia" w:ascii="仿宋_GB2312" w:eastAsia="仿宋_GB2312"/>
          <w:sz w:val="32"/>
          <w:szCs w:val="32"/>
          <w:lang w:val="en-US" w:eastAsia="zh-CN"/>
        </w:rPr>
        <w:t>支出（类）林业和草原（款）一般行政管理事务（项）：指行政单位（包括实行公务员管理的事业单位）未单独设置项级科目的其他项目支出。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16.农林水支出（类）林业和草原（款）事业机构（项）：指事业单位的基本支出，不包括行政单位（含实行公务员管理的事业单位）后勤服务中心等附属事业单位的支出。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17.农林水支出（类）林业和草原（款）森林资源培育（项）：指育苗（种）、造林、抚育、退化林修复、义务植树及生物质能能源建设等方面支出。</w:t>
      </w:r>
    </w:p>
    <w:p>
      <w:pPr>
        <w:spacing w:line="60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18.</w:t>
      </w:r>
      <w:r>
        <w:rPr>
          <w:rFonts w:hint="default" w:ascii="仿宋_GB2312" w:eastAsia="仿宋_GB2312"/>
          <w:sz w:val="32"/>
          <w:szCs w:val="32"/>
          <w:lang w:val="en-US" w:eastAsia="zh-CN"/>
        </w:rPr>
        <w:t>农林水支出（类）林业和草原（款）技术推广与转化（项）</w:t>
      </w:r>
      <w:r>
        <w:rPr>
          <w:rFonts w:hint="eastAsia" w:ascii="仿宋_GB2312" w:eastAsia="仿宋_GB2312"/>
          <w:sz w:val="32"/>
          <w:szCs w:val="32"/>
          <w:lang w:val="en-US" w:eastAsia="zh-CN"/>
        </w:rPr>
        <w:t>：指</w:t>
      </w:r>
      <w:r>
        <w:rPr>
          <w:rFonts w:hint="default" w:ascii="仿宋_GB2312" w:eastAsia="仿宋_GB2312"/>
          <w:sz w:val="32"/>
          <w:szCs w:val="32"/>
          <w:lang w:val="en-US" w:eastAsia="zh-CN"/>
        </w:rPr>
        <w:t>反应良种繁育、新技术引进、区域化试验、示范、技术推广、成果转化、科学普及等方面的支出。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19.农林水支出（类）林业和草原（款）森林资源管理（项）：指森林资源核查、监测、评估、经营利用、林地保护等方面的支出。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20.农林水支出（类）林业和草原（款）森林生态效益补偿（项）：反映用于公益林保护和管理等方面的支出。</w:t>
      </w:r>
    </w:p>
    <w:p>
      <w:pPr>
        <w:spacing w:line="600" w:lineRule="exact"/>
        <w:ind w:firstLine="640"/>
        <w:rPr>
          <w:rFonts w:hint="default"/>
          <w:lang w:val="en-US" w:eastAsia="zh-CN"/>
        </w:rPr>
      </w:pPr>
      <w:r>
        <w:rPr>
          <w:rFonts w:hint="eastAsia" w:ascii="仿宋_GB2312" w:eastAsia="仿宋_GB2312"/>
          <w:sz w:val="32"/>
          <w:szCs w:val="32"/>
          <w:lang w:val="en-US" w:eastAsia="zh-CN"/>
        </w:rPr>
        <w:t>21.农林水支出（类）林业和草原（款）产业化管理（项）：反映产业化管理方面的支出。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22.农林水支出（类）林业和草原（款）林业草原防灾减灾（项）：指病虫害等有害生物灾害、森林草原防火、野生动物疫病灾害等方面支出。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.农林水支出（类）林业和草原（款）其他林业和草原支出（项）：反映除上述项目之外其他用于林业和草原方面的支出。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.农林水支出（类）巩固脱贫衔接乡村振兴（款）农村基础设施建设（项）：反映用于农村欠发达地区乡村道路、住房、基本农田、水利设施、人畜饮水、生态环境保护等生产生活条件改善方面的支出。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.农林水支出（类）巩固脱贫衔接乡村振兴（款）生产发展（项）：反映用于农村欠发达地区发展种植业、养殖业、畜牧业、农副产品加工、林果地建设等生产发展项目以及相关技术推广等方面的项目支出。</w:t>
      </w:r>
    </w:p>
    <w:p>
      <w:pPr>
        <w:spacing w:line="600" w:lineRule="exact"/>
        <w:ind w:firstLine="64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val="en-US" w:eastAsia="zh-CN"/>
        </w:rPr>
        <w:t>.住房保障</w:t>
      </w:r>
      <w:r>
        <w:rPr>
          <w:rFonts w:hint="eastAsia" w:ascii="仿宋_GB2312" w:eastAsia="仿宋_GB2312"/>
          <w:sz w:val="32"/>
          <w:szCs w:val="32"/>
          <w:lang w:val="en-US" w:eastAsia="zh-CN"/>
        </w:rPr>
        <w:t>支出（类）住房改革支出（款）住房公积金(项)：指部门按人力资源和社会保障部、财政部规定的基本工资和津贴补贴以及规定比例为职工缴纳的住房公积金支出。</w:t>
      </w:r>
    </w:p>
    <w:p>
      <w:pPr>
        <w:pStyle w:val="2"/>
        <w:ind w:left="0" w:leftChars="0" w:firstLine="640" w:firstLineChars="200"/>
        <w:rPr>
          <w:rFonts w:hint="default"/>
          <w:lang w:val="en-US" w:eastAsia="zh-CN"/>
        </w:rPr>
      </w:pP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7</w:t>
      </w:r>
      <w:r>
        <w:rPr>
          <w:rFonts w:hint="eastAsia" w:ascii="仿宋_GB2312" w:hAnsi="Times New Roman" w:eastAsia="仿宋_GB2312" w:cs="Times New Roman"/>
          <w:sz w:val="32"/>
          <w:szCs w:val="32"/>
          <w:lang w:val="en-US" w:eastAsia="zh-CN"/>
        </w:rPr>
        <w:t>.其他支出</w:t>
      </w:r>
      <w:r>
        <w:rPr>
          <w:rFonts w:hint="eastAsia" w:ascii="仿宋_GB2312" w:eastAsia="仿宋_GB2312"/>
          <w:sz w:val="32"/>
          <w:szCs w:val="32"/>
          <w:lang w:val="en-US" w:eastAsia="zh-CN"/>
        </w:rPr>
        <w:t>（类）其他政府性基金及对应专项债务收入安排的支出（款）其他地方自行试点项目收益专项债券收入安排的支出(项)：反映其他地方自行试点项目收益专项债券收入安排的支出。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31</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77" w:name="_Toc15377226"/>
      <w:r>
        <w:rPr>
          <w:rFonts w:ascii="宋体"/>
          <w:b/>
          <w:sz w:val="44"/>
          <w:szCs w:val="44"/>
        </w:rPr>
        <w:br w:type="page"/>
      </w:r>
      <w:bookmarkStart w:id="78" w:name="_Toc14099"/>
      <w:bookmarkStart w:id="79" w:name="_Toc15396614"/>
      <w:r>
        <w:rPr>
          <w:rFonts w:hint="eastAsia" w:ascii="黑体" w:hAnsi="黑体" w:eastAsia="黑体"/>
          <w:sz w:val="44"/>
          <w:szCs w:val="44"/>
        </w:rPr>
        <w:t>第</w:t>
      </w:r>
      <w:r>
        <w:rPr>
          <w:rStyle w:val="27"/>
          <w:rFonts w:hint="eastAsia" w:ascii="黑体" w:hAnsi="黑体" w:eastAsia="黑体"/>
          <w:b w:val="0"/>
        </w:rPr>
        <w:t>四部分 附件</w:t>
      </w:r>
      <w:bookmarkEnd w:id="78"/>
      <w:bookmarkEnd w:id="79"/>
    </w:p>
    <w:p>
      <w:pPr>
        <w:spacing w:line="572" w:lineRule="exact"/>
        <w:jc w:val="left"/>
        <w:outlineLvl w:val="9"/>
        <w:rPr>
          <w:rFonts w:ascii="仿宋_GB2312" w:hAnsi="仿宋_GB2312" w:eastAsia="仿宋_GB2312" w:cs="仿宋_GB2312"/>
          <w:sz w:val="32"/>
          <w:szCs w:val="32"/>
        </w:rPr>
      </w:pPr>
    </w:p>
    <w:p>
      <w:pPr>
        <w:widowControl/>
        <w:ind w:firstLine="640" w:firstLineChars="200"/>
        <w:jc w:val="center"/>
        <w:rPr>
          <w:rFonts w:hint="eastAsia" w:ascii="仿宋" w:hAnsi="仿宋" w:eastAsia="仿宋" w:cs="Times New Roman"/>
          <w:sz w:val="32"/>
          <w:szCs w:val="32"/>
          <w:lang w:val="en-US" w:eastAsia="zh-CN"/>
        </w:rPr>
      </w:pPr>
      <w:bookmarkStart w:id="80" w:name="_Toc15396618"/>
      <w:r>
        <w:rPr>
          <w:rFonts w:hint="eastAsia" w:ascii="仿宋" w:hAnsi="仿宋" w:eastAsia="仿宋" w:cs="Times New Roman"/>
          <w:sz w:val="32"/>
          <w:szCs w:val="32"/>
          <w:lang w:val="en-US" w:eastAsia="zh-CN"/>
        </w:rPr>
        <w:t>部门预算项目支出绩效自评表（2022年度）</w:t>
      </w:r>
    </w:p>
    <w:tbl>
      <w:tblPr>
        <w:tblStyle w:val="15"/>
        <w:tblW w:w="5421" w:type="pct"/>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051"/>
        <w:gridCol w:w="880"/>
        <w:gridCol w:w="1212"/>
        <w:gridCol w:w="396"/>
        <w:gridCol w:w="808"/>
        <w:gridCol w:w="399"/>
        <w:gridCol w:w="854"/>
        <w:gridCol w:w="576"/>
        <w:gridCol w:w="396"/>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183" w:type="pct"/>
            <w:gridSpan w:val="4"/>
            <w:tcBorders>
              <w:top w:val="nil"/>
              <w:left w:val="nil"/>
              <w:bottom w:val="nil"/>
              <w:right w:val="nil"/>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214" w:type="pct"/>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114" w:type="pct"/>
            <w:gridSpan w:val="3"/>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311" w:type="pct"/>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962" w:type="pct"/>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244.80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235.95</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235.95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244.80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235.95</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235.95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51082321R000000102586-其他工资福利支出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83.59%</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83.59%</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51082321T000000133373-剑阁县国有林保护处零星国有林管护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1、负责全县444处1.1617万亩零星国有林管护工作。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2、护林防火、野生动植物保护。</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3、辖区内自然保护地、古树名木的巡护、巡查、监管。</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84.77</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84.77</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84.77</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84.77</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零星国有林管护</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1.1617</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管护合格率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项目发挥作用年限</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管护人员满意度</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51082321T000000139761-剑阁县森林专业扑火队员经费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政府购买服务25名人员组成森林专业扑火队，专门负责全县森林火灾扑救工作，全县森林火灾损失率控制在0.1‰</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选聘扑火队员</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森林防灭火工作合格率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重特大森林火灾发生次数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森林火灾损失率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51082321T000000139835-林业有害生物防治项目含贪夜蛾防治等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1.开展蜀柏毒蛾和云南松毛虫飞机防治5万亩；</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2.松材线虫病枯死松树疫木处置</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169.83</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67.13%</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169.83</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67.13%</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蜀柏毒蛾和云南松毛虫飞机防治</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松材线虫病枯死松树疫木除治</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株</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项目到期完成率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林业有害生物成灾率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项目持续发挥作用年限</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51082321T000000140076-信息化平台运行维护费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1.森林防灭火监测预警、应急扑救、信息指挥。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2.中药材溯源体系监测。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3.现代林业产业发展监测。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4.古树名木保护监测。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5.森林资源保护监测。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6.林业有害生物防控监测。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7.平台日常监管维护。</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维护平台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平台运行流畅度</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运行成本节约</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受益主体满意度</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51082321Y000000039293-大型专用设备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90.36%</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76.74</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90.36%</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51082321Y000000044437-日常公用经费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70.75</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70.75</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51082322R000000309793-在职工资福利支出（行政）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200.88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236.78</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81.94%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200.88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236.78</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81.94%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459.26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489.13</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422.32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459.26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489.13</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422.32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28.89</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28.89</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51082322T000005316803-林业草原生态保护恢复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761.20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761.20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217.65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28.59%</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761.20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761.20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217.65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28.59%</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51082322T000005316822-森林资源管护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197.66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180.11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108.50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60.24%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197.66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180.11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108.50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60.24%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51082322T000005324300-森林培育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454.41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354.41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454.41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354.41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51082322T000005324341-生态保护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534.16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534.16</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377.56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70.68%</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534.16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534.16</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377.56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70.68%</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51082322T000005335200-巩固脱贫衔接乡村振兴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530.65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530.65</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436.43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82.24%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530.65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530.65</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436.43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82.24%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51082322T000005336618-其他巩固脱贫衔接乡村振兴支出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1,317.38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87.83%</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1,317.38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87.83%</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51082322T000005376967-产业发展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51082322T000005641490-财政代管资金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51082322T000006129073-剑阁县剑溪源生态治理项目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51082322T000006989753-生态护林员补助资金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51082322T000006990881-国有林管护费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51082322T000006990887-天然商品林停伐补助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25.88</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25.88</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51082322T000006990889-生态效益补偿资金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1,075.69</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1,075.69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1,075.69</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1,075.69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51082322T000006990904-前一轮退耕还林生态林抚育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129.54</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129.54</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both"/>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51082322T000006991344-森林防火补助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both"/>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51082322T000007007491-林业科技推广项目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both"/>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51082322T000007032721-广安对口帮扶项目资金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支持二龙园区提档升级，完善配套设施，争创省级现代林业园区</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科研及生产用房</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项目到期完成率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带动脱贫户增收</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项目持续发挥年限</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项目总投资</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51082322T000007380493-省级公益林生态效益补偿金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126.67</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126.67</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51082322T000007380871-林业有害生物防治补助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51082322T000007381295-乡村振兴整合项目资金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1,288.50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408.14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31.68%</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1,288.50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408.14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31.68%</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51082322T000007407290-2022年森林植被恢复费省级分成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309.18</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309.18</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1"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p>
            <w:pPr>
              <w:jc w:val="center"/>
              <w:rPr>
                <w:rFonts w:hint="eastAsia" w:ascii="宋体" w:hAnsi="宋体" w:eastAsia="宋体" w:cs="宋体"/>
                <w:i w:val="0"/>
                <w:iCs w:val="0"/>
                <w:color w:val="000000"/>
                <w:sz w:val="18"/>
                <w:szCs w:val="18"/>
                <w:u w:val="none"/>
              </w:rPr>
            </w:pPr>
          </w:p>
        </w:tc>
        <w:tc>
          <w:tcPr>
            <w:tcW w:w="214"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51082322T000007407292-2021年森林植被恢复省级分成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剑阁县林业局部门</w:t>
            </w:r>
          </w:p>
        </w:tc>
        <w:tc>
          <w:tcPr>
            <w:tcW w:w="461" w:type="pct"/>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275.11</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5"/>
        <w:spacing w:before="93"/>
        <w:rPr>
          <w:rFonts w:hAnsi="Calibri" w:cs="仿宋"/>
          <w:sz w:val="32"/>
          <w:szCs w:val="32"/>
        </w:rPr>
      </w:pPr>
    </w:p>
    <w:p>
      <w:pPr>
        <w:spacing w:line="600" w:lineRule="exact"/>
        <w:jc w:val="center"/>
        <w:outlineLvl w:val="0"/>
        <w:rPr>
          <w:rFonts w:ascii="仿宋" w:hAnsi="仿宋" w:eastAsia="仿宋"/>
        </w:rPr>
      </w:pPr>
      <w:bookmarkStart w:id="81" w:name="_Toc6040"/>
      <w:r>
        <w:rPr>
          <w:rFonts w:hint="eastAsia" w:ascii="黑体" w:hAnsi="黑体" w:eastAsia="黑体"/>
          <w:sz w:val="44"/>
          <w:szCs w:val="44"/>
        </w:rPr>
        <w:t>第</w:t>
      </w:r>
      <w:r>
        <w:rPr>
          <w:rStyle w:val="27"/>
          <w:rFonts w:hint="eastAsia" w:ascii="黑体" w:hAnsi="黑体" w:eastAsia="黑体"/>
          <w:b w:val="0"/>
        </w:rPr>
        <w:t>五部分 附表</w:t>
      </w:r>
      <w:bookmarkEnd w:id="77"/>
      <w:bookmarkEnd w:id="80"/>
      <w:bookmarkEnd w:id="81"/>
      <w:bookmarkStart w:id="82" w:name="_Toc15396619"/>
    </w:p>
    <w:p>
      <w:pPr>
        <w:pStyle w:val="7"/>
        <w:rPr>
          <w:rFonts w:ascii="仿宋" w:hAnsi="仿宋" w:eastAsia="仿宋"/>
        </w:rPr>
      </w:pPr>
      <w:bookmarkStart w:id="83" w:name="_Toc3578"/>
      <w:r>
        <w:rPr>
          <w:rFonts w:hint="eastAsia" w:ascii="仿宋" w:hAnsi="仿宋" w:eastAsia="仿宋"/>
          <w:b w:val="0"/>
        </w:rPr>
        <w:t>一、收</w:t>
      </w:r>
      <w:r>
        <w:rPr>
          <w:rStyle w:val="28"/>
          <w:rFonts w:hint="eastAsia" w:ascii="仿宋" w:hAnsi="仿宋" w:eastAsia="仿宋"/>
          <w:b w:val="0"/>
          <w:bCs w:val="0"/>
        </w:rPr>
        <w:t>入支出决算总表</w:t>
      </w:r>
      <w:bookmarkEnd w:id="82"/>
      <w:bookmarkEnd w:id="83"/>
    </w:p>
    <w:p>
      <w:pPr>
        <w:pStyle w:val="7"/>
        <w:rPr>
          <w:rFonts w:ascii="仿宋" w:hAnsi="仿宋" w:eastAsia="仿宋"/>
        </w:rPr>
      </w:pPr>
      <w:bookmarkStart w:id="84" w:name="_Toc23670"/>
      <w:bookmarkStart w:id="85" w:name="_Toc15396620"/>
      <w:r>
        <w:rPr>
          <w:rFonts w:hint="eastAsia" w:ascii="仿宋" w:hAnsi="仿宋" w:eastAsia="仿宋"/>
          <w:b w:val="0"/>
        </w:rPr>
        <w:t>二、收</w:t>
      </w:r>
      <w:r>
        <w:rPr>
          <w:rStyle w:val="28"/>
          <w:rFonts w:hint="eastAsia" w:ascii="仿宋" w:hAnsi="仿宋" w:eastAsia="仿宋"/>
          <w:b w:val="0"/>
          <w:bCs w:val="0"/>
        </w:rPr>
        <w:t>入决算表</w:t>
      </w:r>
      <w:bookmarkEnd w:id="84"/>
      <w:bookmarkEnd w:id="85"/>
    </w:p>
    <w:p>
      <w:pPr>
        <w:pStyle w:val="7"/>
        <w:rPr>
          <w:rFonts w:ascii="仿宋" w:hAnsi="仿宋" w:eastAsia="仿宋"/>
        </w:rPr>
      </w:pPr>
      <w:bookmarkStart w:id="86" w:name="_Toc15396621"/>
      <w:bookmarkStart w:id="87" w:name="_Toc12238"/>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6"/>
      <w:bookmarkEnd w:id="87"/>
    </w:p>
    <w:p>
      <w:pPr>
        <w:pStyle w:val="7"/>
        <w:rPr>
          <w:rFonts w:ascii="仿宋" w:hAnsi="仿宋" w:eastAsia="仿宋"/>
          <w:b w:val="0"/>
        </w:rPr>
      </w:pPr>
      <w:bookmarkStart w:id="88" w:name="_Toc15396622"/>
      <w:bookmarkStart w:id="89" w:name="_Toc15951"/>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8"/>
      <w:bookmarkEnd w:id="89"/>
    </w:p>
    <w:p>
      <w:pPr>
        <w:pStyle w:val="7"/>
        <w:rPr>
          <w:rStyle w:val="28"/>
          <w:rFonts w:ascii="仿宋" w:hAnsi="仿宋" w:eastAsia="仿宋"/>
          <w:b w:val="0"/>
          <w:bCs w:val="0"/>
        </w:rPr>
      </w:pPr>
      <w:bookmarkStart w:id="90" w:name="_Toc27230"/>
      <w:bookmarkStart w:id="91"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90"/>
      <w:bookmarkEnd w:id="91"/>
      <w:bookmarkStart w:id="92" w:name="_Toc15396624"/>
    </w:p>
    <w:p>
      <w:pPr>
        <w:pStyle w:val="7"/>
        <w:rPr>
          <w:rFonts w:ascii="仿宋" w:hAnsi="仿宋" w:eastAsia="仿宋"/>
        </w:rPr>
      </w:pPr>
      <w:bookmarkStart w:id="93" w:name="_Toc19440"/>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92"/>
      <w:bookmarkEnd w:id="93"/>
    </w:p>
    <w:p>
      <w:pPr>
        <w:pStyle w:val="7"/>
        <w:rPr>
          <w:rFonts w:ascii="仿宋" w:hAnsi="仿宋" w:eastAsia="仿宋"/>
        </w:rPr>
      </w:pPr>
      <w:bookmarkStart w:id="94" w:name="_Toc15396625"/>
      <w:bookmarkStart w:id="95" w:name="_Toc28843"/>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4"/>
      <w:bookmarkEnd w:id="95"/>
    </w:p>
    <w:p>
      <w:pPr>
        <w:pStyle w:val="7"/>
        <w:rPr>
          <w:rFonts w:ascii="仿宋" w:hAnsi="仿宋" w:eastAsia="仿宋"/>
        </w:rPr>
      </w:pPr>
      <w:bookmarkStart w:id="96" w:name="_Toc15396626"/>
      <w:bookmarkStart w:id="97" w:name="_Toc302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6"/>
      <w:bookmarkEnd w:id="97"/>
    </w:p>
    <w:p>
      <w:pPr>
        <w:pStyle w:val="7"/>
        <w:rPr>
          <w:rFonts w:ascii="仿宋" w:hAnsi="仿宋" w:eastAsia="仿宋"/>
        </w:rPr>
      </w:pPr>
      <w:bookmarkStart w:id="98" w:name="_Toc15396627"/>
      <w:bookmarkStart w:id="99" w:name="_Toc23370"/>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8"/>
      <w:bookmarkEnd w:id="99"/>
    </w:p>
    <w:p>
      <w:pPr>
        <w:pStyle w:val="7"/>
        <w:rPr>
          <w:rFonts w:ascii="仿宋" w:hAnsi="仿宋" w:eastAsia="仿宋"/>
        </w:rPr>
      </w:pPr>
      <w:bookmarkStart w:id="100" w:name="_Toc15396628"/>
      <w:bookmarkStart w:id="101" w:name="_Toc6858"/>
      <w:r>
        <w:rPr>
          <w:rStyle w:val="28"/>
          <w:rFonts w:hint="eastAsia" w:ascii="仿宋" w:hAnsi="仿宋" w:eastAsia="仿宋"/>
          <w:b w:val="0"/>
          <w:bCs w:val="0"/>
        </w:rPr>
        <w:t>十、</w:t>
      </w:r>
      <w:bookmarkEnd w:id="100"/>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01"/>
    </w:p>
    <w:p>
      <w:pPr>
        <w:pStyle w:val="7"/>
        <w:rPr>
          <w:rFonts w:ascii="仿宋" w:hAnsi="仿宋" w:eastAsia="仿宋"/>
        </w:rPr>
      </w:pPr>
      <w:bookmarkStart w:id="102" w:name="_Toc15396629"/>
      <w:bookmarkStart w:id="103" w:name="_Toc24706"/>
      <w:r>
        <w:rPr>
          <w:rStyle w:val="28"/>
          <w:rFonts w:hint="eastAsia" w:ascii="仿宋" w:hAnsi="仿宋" w:eastAsia="仿宋"/>
          <w:b w:val="0"/>
          <w:bCs w:val="0"/>
        </w:rPr>
        <w:t>十一、</w:t>
      </w:r>
      <w:bookmarkEnd w:id="102"/>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03"/>
    </w:p>
    <w:p>
      <w:pPr>
        <w:pStyle w:val="7"/>
        <w:rPr>
          <w:rFonts w:ascii="仿宋" w:hAnsi="仿宋" w:eastAsia="仿宋"/>
        </w:rPr>
      </w:pPr>
      <w:bookmarkStart w:id="104" w:name="_Toc15396630"/>
      <w:bookmarkStart w:id="105" w:name="_Toc19879"/>
      <w:r>
        <w:rPr>
          <w:rStyle w:val="28"/>
          <w:rFonts w:hint="eastAsia" w:ascii="仿宋" w:hAnsi="仿宋" w:eastAsia="仿宋"/>
          <w:b w:val="0"/>
          <w:bCs w:val="0"/>
        </w:rPr>
        <w:t>十二、</w:t>
      </w:r>
      <w:bookmarkEnd w:id="104"/>
      <w:r>
        <w:rPr>
          <w:rStyle w:val="28"/>
          <w:rFonts w:hint="eastAsia" w:ascii="仿宋" w:hAnsi="仿宋" w:eastAsia="仿宋"/>
          <w:b w:val="0"/>
          <w:bCs w:val="0"/>
        </w:rPr>
        <w:t>国有资本经营预算财政拨款支出决算表</w:t>
      </w:r>
      <w:bookmarkEnd w:id="105"/>
    </w:p>
    <w:p>
      <w:pPr>
        <w:pStyle w:val="7"/>
        <w:rPr>
          <w:rFonts w:eastAsia="仿宋"/>
        </w:rPr>
      </w:pPr>
      <w:bookmarkStart w:id="106" w:name="_Toc15396631"/>
      <w:bookmarkStart w:id="107" w:name="_Toc10877"/>
      <w:r>
        <w:rPr>
          <w:rStyle w:val="28"/>
          <w:rFonts w:hint="eastAsia" w:ascii="仿宋" w:hAnsi="仿宋" w:eastAsia="仿宋"/>
          <w:b w:val="0"/>
          <w:bCs w:val="0"/>
        </w:rPr>
        <w:t>十三、</w:t>
      </w:r>
      <w:bookmarkEnd w:id="106"/>
      <w:r>
        <w:rPr>
          <w:rStyle w:val="28"/>
          <w:rFonts w:hint="eastAsia" w:ascii="仿宋" w:hAnsi="仿宋" w:eastAsia="仿宋"/>
          <w:b w:val="0"/>
          <w:bCs w:val="0"/>
        </w:rPr>
        <w:t>财政拨款“三公”经费支出决算表</w:t>
      </w:r>
      <w:bookmarkEnd w:id="10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YThjZGE4OWVjOWMyNWMzZTMzNGUzMmY2MTgxZWQ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090E6E"/>
    <w:rsid w:val="0790395A"/>
    <w:rsid w:val="0A2032A3"/>
    <w:rsid w:val="0B8A37D8"/>
    <w:rsid w:val="10C055FF"/>
    <w:rsid w:val="118107EC"/>
    <w:rsid w:val="11DD6519"/>
    <w:rsid w:val="16BB723D"/>
    <w:rsid w:val="18015F3F"/>
    <w:rsid w:val="1A7C70B2"/>
    <w:rsid w:val="1BE8440E"/>
    <w:rsid w:val="1D155CEE"/>
    <w:rsid w:val="20DE5B26"/>
    <w:rsid w:val="20F57F95"/>
    <w:rsid w:val="240371BF"/>
    <w:rsid w:val="25711CC6"/>
    <w:rsid w:val="25C741E6"/>
    <w:rsid w:val="27842671"/>
    <w:rsid w:val="29FD04D3"/>
    <w:rsid w:val="2ABE7A3E"/>
    <w:rsid w:val="2B9274AE"/>
    <w:rsid w:val="2CA234A8"/>
    <w:rsid w:val="2DEE2BBA"/>
    <w:rsid w:val="2EFA178C"/>
    <w:rsid w:val="30B46D73"/>
    <w:rsid w:val="319F7F4E"/>
    <w:rsid w:val="34337579"/>
    <w:rsid w:val="37645C9B"/>
    <w:rsid w:val="383D272C"/>
    <w:rsid w:val="38CC7E20"/>
    <w:rsid w:val="39AE70AB"/>
    <w:rsid w:val="3B3616FD"/>
    <w:rsid w:val="3C0C0783"/>
    <w:rsid w:val="3F9F3A96"/>
    <w:rsid w:val="3FF1586F"/>
    <w:rsid w:val="40A108E5"/>
    <w:rsid w:val="48BF60AB"/>
    <w:rsid w:val="493C27E9"/>
    <w:rsid w:val="496F39ED"/>
    <w:rsid w:val="49FF41D3"/>
    <w:rsid w:val="4A0F60ED"/>
    <w:rsid w:val="4BE068DB"/>
    <w:rsid w:val="4BF6002B"/>
    <w:rsid w:val="4ECE2238"/>
    <w:rsid w:val="4FCB4CAF"/>
    <w:rsid w:val="51DB4B86"/>
    <w:rsid w:val="52B83584"/>
    <w:rsid w:val="55333C3E"/>
    <w:rsid w:val="5B4E11EE"/>
    <w:rsid w:val="5EEE44AA"/>
    <w:rsid w:val="617D1584"/>
    <w:rsid w:val="63F024E1"/>
    <w:rsid w:val="64CA39A1"/>
    <w:rsid w:val="68F24D12"/>
    <w:rsid w:val="69630ADE"/>
    <w:rsid w:val="6C4A05C8"/>
    <w:rsid w:val="6D3B1A89"/>
    <w:rsid w:val="71BF4EC2"/>
    <w:rsid w:val="72734D90"/>
    <w:rsid w:val="73CC719D"/>
    <w:rsid w:val="7412278C"/>
    <w:rsid w:val="75A74846"/>
    <w:rsid w:val="79B57272"/>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Lines="0" w:afterAutospacing="0"/>
      <w:ind w:left="420" w:leftChars="200"/>
    </w:pPr>
  </w:style>
  <w:style w:type="paragraph" w:styleId="4">
    <w:name w:val="Body Text First Indent"/>
    <w:basedOn w:val="5"/>
    <w:qFormat/>
    <w:uiPriority w:val="0"/>
    <w:pPr>
      <w:ind w:firstLine="420" w:firstLineChars="100"/>
    </w:pPr>
  </w:style>
  <w:style w:type="paragraph" w:styleId="5">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6"/>
    <w:qFormat/>
    <w:uiPriority w:val="9"/>
    <w:rPr>
      <w:rFonts w:ascii="Times New Roman" w:hAnsi="Times New Roman"/>
      <w:b/>
      <w:bCs/>
      <w:kern w:val="44"/>
      <w:sz w:val="44"/>
      <w:szCs w:val="44"/>
    </w:rPr>
  </w:style>
  <w:style w:type="character" w:customStyle="1" w:styleId="28">
    <w:name w:val="标题 2 字符"/>
    <w:basedOn w:val="16"/>
    <w:link w:val="7"/>
    <w:qFormat/>
    <w:uiPriority w:val="9"/>
    <w:rPr>
      <w:rFonts w:asciiTheme="majorHAnsi" w:hAnsiTheme="majorHAnsi" w:eastAsiaTheme="majorEastAsia" w:cstheme="majorBidi"/>
      <w:b/>
      <w:bCs/>
      <w:kern w:val="2"/>
      <w:sz w:val="32"/>
      <w:szCs w:val="32"/>
    </w:rPr>
  </w:style>
  <w:style w:type="paragraph" w:customStyle="1" w:styleId="29">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10"/>
    <w:semiHidden/>
    <w:qFormat/>
    <w:uiPriority w:val="99"/>
    <w:rPr>
      <w:rFonts w:ascii="Times New Roman" w:hAnsi="Times New Roman"/>
      <w:kern w:val="2"/>
      <w:sz w:val="18"/>
      <w:szCs w:val="18"/>
    </w:rPr>
  </w:style>
  <w:style w:type="character" w:customStyle="1" w:styleId="31">
    <w:name w:val="标题 3 字符"/>
    <w:basedOn w:val="16"/>
    <w:link w:val="8"/>
    <w:qFormat/>
    <w:uiPriority w:val="9"/>
    <w:rPr>
      <w:rFonts w:ascii="Times New Roman" w:hAnsi="Times New Roman"/>
      <w:b/>
      <w:bCs/>
      <w:kern w:val="2"/>
      <w:sz w:val="32"/>
      <w:szCs w:val="32"/>
    </w:rPr>
  </w:style>
  <w:style w:type="paragraph" w:customStyle="1" w:styleId="32">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13553.86</c:v>
                </c:pt>
                <c:pt idx="1">
                  <c:v>13203.72</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321597222222222"/>
          <c:y val="0.0138888888888889"/>
        </c:manualLayout>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678345712083347"/>
                  <c:y val="-0.05604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0.7728</c:v>
                </c:pt>
                <c:pt idx="1">
                  <c:v>0.2272</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0.0779</c:v>
                </c:pt>
                <c:pt idx="1">
                  <c:v>0.9221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13553.86</c:v>
                </c:pt>
                <c:pt idx="1">
                  <c:v>13203.72</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#,##0.00</c:formatCode>
                <c:ptCount val="2"/>
                <c:pt idx="0">
                  <c:v>10475.19</c:v>
                </c:pt>
                <c:pt idx="1" c:formatCode="General">
                  <c:v>10203.72</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0.00"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Pt>
            <c:idx val="4"/>
            <c:bubble3D val="false"/>
          </c:dPt>
          <c:dLbls>
            <c:dLbl>
              <c:idx val="0"/>
              <c:layout>
                <c:manualLayout>
                  <c:x val="0.0170716316710411"/>
                  <c:y val="-0.023789734616506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6212489063867"/>
                  <c:y val="-0.01512977544473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830118110236221"/>
                  <c:y val="-0.076722805482648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848391266083214"/>
                  <c:y val="-0.0085895656084087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[决算公开插图制作示例.xlsx]图6!$A$2:$A$6</c:f>
              <c:strCache>
                <c:ptCount val="5"/>
                <c:pt idx="0">
                  <c:v>社会保障和就业（类）支出</c:v>
                </c:pt>
                <c:pt idx="1">
                  <c:v>卫生健康支出（类）支出</c:v>
                </c:pt>
                <c:pt idx="2">
                  <c:v>节能环保(类)支出</c:v>
                </c:pt>
                <c:pt idx="3">
                  <c:v>农林水（类）支出</c:v>
                </c:pt>
                <c:pt idx="4">
                  <c:v>住房保障（类）支出</c:v>
                </c:pt>
              </c:strCache>
            </c:strRef>
          </c:cat>
          <c:val>
            <c:numRef>
              <c:f>[决算公开插图制作示例.xlsx]图6!$B$2:$B$6</c:f>
              <c:numCache>
                <c:formatCode>General</c:formatCode>
                <c:ptCount val="5"/>
                <c:pt idx="0">
                  <c:v>75.66</c:v>
                </c:pt>
                <c:pt idx="1">
                  <c:v>187.83</c:v>
                </c:pt>
                <c:pt idx="2">
                  <c:v>1475.95</c:v>
                </c:pt>
                <c:pt idx="3">
                  <c:v>8408.08</c:v>
                </c:pt>
                <c:pt idx="4">
                  <c:v>56.2</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9</c:v>
                </c:pt>
                <c:pt idx="2">
                  <c:v>3.75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3</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2025-01-15T08:52:09Z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3191B2D727424AD9A501AE0C3228C10E_13</vt:lpwstr>
  </property>
</Properties>
</file>