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96597"/>
      <w:bookmarkStart w:id="2" w:name="_Toc15396475"/>
      <w:bookmarkStart w:id="3" w:name="_Toc15377425"/>
      <w:bookmarkStart w:id="4" w:name="_Toc15378441"/>
      <w:bookmarkStart w:id="5" w:name="_Toc15377193"/>
      <w:r>
        <w:rPr>
          <w:rFonts w:hint="eastAsia" w:ascii="方正小标宋简体" w:hAnsi="方正小标宋简体" w:eastAsia="方正小标宋简体" w:cs="方正小标宋简体"/>
          <w:sz w:val="52"/>
          <w:szCs w:val="5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96598"/>
      <w:bookmarkStart w:id="7" w:name="_Toc15378442"/>
      <w:bookmarkStart w:id="8" w:name="_Toc15377426"/>
      <w:bookmarkStart w:id="9" w:name="_Toc15396476"/>
      <w:bookmarkStart w:id="10" w:name="_Toc15377194"/>
      <w:r>
        <w:rPr>
          <w:rFonts w:hint="eastAsia" w:ascii="方正小标宋简体" w:hAnsi="方正小标宋简体" w:eastAsia="方正小标宋简体" w:cs="方正小标宋简体"/>
          <w:sz w:val="52"/>
          <w:szCs w:val="52"/>
        </w:rPr>
        <w:t>剑阁县</w:t>
      </w:r>
      <w:bookmarkEnd w:id="0"/>
      <w:bookmarkStart w:id="11" w:name="_Toc15306268"/>
      <w:r>
        <w:rPr>
          <w:rFonts w:hint="eastAsia" w:ascii="方正小标宋简体" w:hAnsi="方正小标宋简体" w:eastAsia="方正小标宋简体" w:cs="方正小标宋简体"/>
          <w:sz w:val="52"/>
          <w:szCs w:val="52"/>
          <w:lang w:eastAsia="zh-CN"/>
        </w:rPr>
        <w:t>汉阳小学校</w:t>
      </w: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rPr>
          <w:rFonts w:hint="eastAsia" w:ascii="仿宋" w:hAnsi="仿宋" w:eastAsia="仿宋" w:cs="仿宋"/>
          <w:sz w:val="32"/>
          <w:szCs w:val="32"/>
        </w:rPr>
      </w:pPr>
      <w:r>
        <w:rPr>
          <w:rFonts w:hint="eastAsia" w:ascii="仿宋" w:hAnsi="仿宋" w:eastAsia="仿宋" w:cs="仿宋"/>
          <w:sz w:val="32"/>
          <w:szCs w:val="32"/>
        </w:rPr>
        <w:t>公开时间：2023年</w:t>
      </w:r>
      <w:r>
        <w:rPr>
          <w:rFonts w:hint="eastAsia" w:cs="仿宋"/>
          <w:sz w:val="32"/>
          <w:szCs w:val="32"/>
          <w:lang w:val="en-US" w:eastAsia="zh-CN"/>
        </w:rPr>
        <w:t>11</w:t>
      </w:r>
      <w:r>
        <w:rPr>
          <w:rFonts w:hint="eastAsia" w:ascii="仿宋" w:hAnsi="仿宋" w:eastAsia="仿宋" w:cs="仿宋"/>
          <w:sz w:val="32"/>
          <w:szCs w:val="32"/>
        </w:rPr>
        <w:t>月</w:t>
      </w:r>
      <w:r>
        <w:rPr>
          <w:rFonts w:hint="eastAsia" w:cs="仿宋"/>
          <w:sz w:val="32"/>
          <w:szCs w:val="32"/>
          <w:lang w:val="en-US" w:eastAsia="zh-CN"/>
        </w:rPr>
        <w:t>28</w:t>
      </w:r>
      <w:r>
        <w:rPr>
          <w:rFonts w:hint="eastAsia" w:ascii="仿宋" w:hAnsi="仿宋" w:eastAsia="仿宋" w:cs="仿宋"/>
          <w:sz w:val="32"/>
          <w:szCs w:val="32"/>
        </w:rPr>
        <w:t>日</w:t>
      </w:r>
    </w:p>
    <w:p>
      <w:pPr>
        <w:rPr>
          <w:rFonts w:hint="eastAsia" w:ascii="仿宋" w:hAnsi="仿宋" w:eastAsia="仿宋" w:cs="仿宋"/>
          <w:sz w:val="32"/>
          <w:szCs w:val="32"/>
        </w:rPr>
      </w:pPr>
    </w:p>
    <w:p>
      <w:pPr>
        <w:pStyle w:val="12"/>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第一部分 单位概况</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一、主要职责及重点工作</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（一）单位职责</w:t>
      </w:r>
    </w:p>
    <w:p>
      <w:pPr>
        <w:pStyle w:val="13"/>
        <w:adjustRightInd w:val="0"/>
        <w:snapToGrid w:val="0"/>
        <w:spacing w:line="440" w:lineRule="exact"/>
        <w:jc w:val="left"/>
        <w:rPr>
          <w:rFonts w:hint="eastAsia" w:ascii="仿宋" w:hAnsi="仿宋" w:eastAsia="仿宋" w:cs="仿宋"/>
          <w:b/>
          <w:bCs/>
          <w:sz w:val="32"/>
          <w:szCs w:val="32"/>
        </w:rPr>
      </w:pPr>
      <w:r>
        <w:rPr>
          <w:rFonts w:hint="eastAsia" w:ascii="仿宋" w:hAnsi="仿宋" w:eastAsia="仿宋" w:cs="仿宋"/>
          <w:sz w:val="32"/>
          <w:szCs w:val="32"/>
        </w:rPr>
        <w:t>（二）2022年重点工作完成情况</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二、机构设置</w:t>
      </w:r>
    </w:p>
    <w:p>
      <w:pPr>
        <w:pStyle w:val="12"/>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第二部分 2022年度单位决算情况说明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七、财政拨款“三公”经费支出决算情况说明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八、政府性基金预算支出决算情况说明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九、国有资本经营预算支出决算情况说明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十、其他重要事项的情况说明</w:t>
      </w:r>
    </w:p>
    <w:p>
      <w:pPr>
        <w:pStyle w:val="12"/>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第三部分 名词解释</w:t>
      </w:r>
    </w:p>
    <w:p>
      <w:pPr>
        <w:pStyle w:val="12"/>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第四部分 附件</w:t>
      </w:r>
    </w:p>
    <w:p>
      <w:pPr>
        <w:pStyle w:val="12"/>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第五部分 附表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p>
      <w:pPr>
        <w:widowControl/>
        <w:adjustRightInd w:val="0"/>
        <w:snapToGrid w:val="0"/>
        <w:spacing w:line="440" w:lineRule="exact"/>
        <w:ind w:firstLine="1760" w:firstLineChars="550"/>
        <w:jc w:val="left"/>
        <w:rPr>
          <w:rFonts w:hint="eastAsia" w:ascii="仿宋" w:hAnsi="仿宋" w:eastAsia="仿宋" w:cs="仿宋"/>
          <w:sz w:val="32"/>
          <w:szCs w:val="32"/>
        </w:rPr>
      </w:pPr>
      <w:r>
        <w:rPr>
          <w:rFonts w:hint="eastAsia" w:ascii="仿宋" w:hAnsi="仿宋" w:eastAsia="仿宋" w:cs="仿宋"/>
          <w:sz w:val="32"/>
          <w:szCs w:val="32"/>
        </w:rPr>
        <w:t>(注：请单位根据实际注明页码)</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widowControl/>
        <w:jc w:val="left"/>
        <w:rPr>
          <w:rFonts w:ascii="黑体" w:eastAsia="黑体"/>
          <w:sz w:val="32"/>
          <w:szCs w:val="32"/>
        </w:rPr>
      </w:pPr>
    </w:p>
    <w:p>
      <w:pPr>
        <w:pStyle w:val="5"/>
        <w:numPr>
          <w:ilvl w:val="0"/>
          <w:numId w:val="1"/>
        </w:numPr>
        <w:rPr>
          <w:rStyle w:val="27"/>
          <w:rFonts w:ascii="黑体" w:hAnsi="黑体" w:eastAsia="黑体"/>
          <w:b w:val="0"/>
          <w:bCs w:val="0"/>
        </w:rPr>
      </w:pPr>
      <w:bookmarkStart w:id="14" w:name="_Toc15396600"/>
      <w:bookmarkStart w:id="15" w:name="_Toc15377197"/>
      <w:r>
        <w:rPr>
          <w:rStyle w:val="27"/>
          <w:rFonts w:hint="eastAsia" w:ascii="黑体" w:hAnsi="黑体" w:eastAsia="黑体"/>
          <w:b w:val="0"/>
          <w:bCs w:val="0"/>
        </w:rPr>
        <w:t>主要职责</w:t>
      </w:r>
    </w:p>
    <w:p>
      <w:pPr>
        <w:pStyle w:val="25"/>
        <w:numPr>
          <w:ilvl w:val="0"/>
          <w:numId w:val="0"/>
        </w:numPr>
        <w:spacing w:line="600" w:lineRule="exact"/>
        <w:ind w:firstLine="640" w:firstLineChars="200"/>
        <w:outlineLvl w:val="1"/>
        <w:rPr>
          <w:rFonts w:hint="eastAsia" w:ascii="黑体" w:hAnsi="黑体" w:eastAsia="黑体"/>
          <w:sz w:val="32"/>
          <w:szCs w:val="32"/>
          <w:lang w:eastAsia="zh-CN"/>
        </w:rPr>
      </w:pPr>
      <w:r>
        <w:rPr>
          <w:rFonts w:hint="eastAsia" w:ascii="黑体" w:hAnsi="黑体" w:eastAsia="黑体"/>
          <w:sz w:val="32"/>
          <w:szCs w:val="32"/>
          <w:lang w:eastAsia="zh-CN"/>
        </w:rPr>
        <w:t>（一）主要职能</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我校是一所普通农村小学。有教学班16个（其中附设学前教育5个教学班，小学教育11个教学班）。在校学生470人，在编在岗教职工39人。其主要职能是实施农村小学义务教育，促进基础教育全面均衡发展。</w:t>
      </w:r>
    </w:p>
    <w:p>
      <w:pPr>
        <w:keepNext w:val="0"/>
        <w:keepLines w:val="0"/>
        <w:widowControl w:val="0"/>
        <w:suppressLineNumbers w:val="0"/>
        <w:autoSpaceDE w:val="0"/>
        <w:autoSpaceDN/>
        <w:ind w:left="0"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（二）202</w:t>
      </w:r>
      <w:r>
        <w:rPr>
          <w:rFonts w:hint="eastAsia" w:ascii="黑体" w:hAnsi="黑体" w:eastAsia="黑体"/>
          <w:sz w:val="32"/>
          <w:szCs w:val="32"/>
          <w:lang w:val="en-US" w:eastAsia="zh-CN"/>
        </w:rPr>
        <w:t>2</w:t>
      </w:r>
      <w:r>
        <w:rPr>
          <w:rFonts w:hint="eastAsia" w:ascii="黑体" w:hAnsi="黑体" w:eastAsia="黑体"/>
          <w:sz w:val="32"/>
          <w:szCs w:val="32"/>
          <w:lang w:eastAsia="zh-CN"/>
        </w:rPr>
        <w:t>年重点工作完成情况</w:t>
      </w:r>
    </w:p>
    <w:p>
      <w:pPr>
        <w:keepNext w:val="0"/>
        <w:keepLines w:val="0"/>
        <w:widowControl w:val="0"/>
        <w:suppressLineNumbers w:val="0"/>
        <w:autoSpaceDE w:val="0"/>
        <w:autoSpaceDN/>
        <w:ind w:left="0" w:firstLine="602" w:firstLineChars="200"/>
        <w:rPr>
          <w:rFonts w:hint="eastAsia" w:ascii="黑体" w:hAnsi="宋体" w:eastAsia="黑体" w:cs="黑体"/>
          <w:b/>
          <w:bCs/>
          <w:kern w:val="2"/>
          <w:sz w:val="30"/>
          <w:szCs w:val="30"/>
        </w:rPr>
      </w:pPr>
      <w:r>
        <w:rPr>
          <w:rFonts w:hint="eastAsia" w:ascii="黑体" w:hAnsi="宋体" w:eastAsia="黑体" w:cs="黑体"/>
          <w:b/>
          <w:bCs/>
          <w:kern w:val="2"/>
          <w:sz w:val="30"/>
          <w:szCs w:val="30"/>
          <w:lang w:val="en-US" w:eastAsia="zh-CN"/>
        </w:rPr>
        <w:t>1</w:t>
      </w:r>
      <w:r>
        <w:rPr>
          <w:rFonts w:hint="eastAsia" w:ascii="黑体" w:hAnsi="宋体" w:eastAsia="黑体" w:cs="黑体"/>
          <w:b/>
          <w:bCs/>
          <w:kern w:val="2"/>
          <w:sz w:val="30"/>
          <w:szCs w:val="30"/>
        </w:rPr>
        <w:t>、学深悟透新思想，政治素养有厚度</w:t>
      </w:r>
    </w:p>
    <w:p>
      <w:pPr>
        <w:keepNext w:val="0"/>
        <w:keepLines w:val="0"/>
        <w:widowControl w:val="0"/>
        <w:suppressLineNumbers w:val="0"/>
        <w:autoSpaceDE w:val="0"/>
        <w:autoSpaceDN/>
        <w:ind w:left="0" w:firstLine="602" w:firstLineChars="200"/>
        <w:rPr>
          <w:rFonts w:hint="eastAsia" w:ascii="仿宋" w:hAnsi="仿宋" w:eastAsia="仿宋" w:cs="仿宋"/>
          <w:b/>
          <w:bCs/>
          <w:kern w:val="2"/>
          <w:sz w:val="30"/>
          <w:szCs w:val="30"/>
        </w:rPr>
      </w:pPr>
      <w:r>
        <w:rPr>
          <w:rFonts w:hint="eastAsia" w:ascii="楷体" w:hAnsi="楷体" w:eastAsia="楷体" w:cs="楷体"/>
          <w:b/>
          <w:bCs/>
          <w:kern w:val="2"/>
          <w:sz w:val="30"/>
          <w:szCs w:val="30"/>
        </w:rPr>
        <w:t>（</w:t>
      </w:r>
      <w:r>
        <w:rPr>
          <w:rFonts w:hint="eastAsia" w:ascii="楷体" w:hAnsi="楷体" w:eastAsia="楷体" w:cs="楷体"/>
          <w:b/>
          <w:bCs/>
          <w:kern w:val="2"/>
          <w:sz w:val="30"/>
          <w:szCs w:val="30"/>
          <w:lang w:val="en-US" w:eastAsia="zh-CN"/>
        </w:rPr>
        <w:t>1</w:t>
      </w:r>
      <w:r>
        <w:rPr>
          <w:rFonts w:hint="eastAsia" w:ascii="楷体" w:hAnsi="楷体" w:eastAsia="楷体" w:cs="楷体"/>
          <w:b/>
          <w:bCs/>
          <w:kern w:val="2"/>
          <w:sz w:val="30"/>
          <w:szCs w:val="30"/>
        </w:rPr>
        <w:t>）深入悟透习近平新时代中国特色社会主义思想</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习近平新时代中国特色社会主义思想是我们党在中国特色社会主义新时代举什么旗、走什么路的政治宣言，是夺取新时代中国特色社会主义伟大胜利的行动纲领。通过再读再学，凝练思想精髓，筑牢思想防线，深刻检视问题，既抓重点，又攻难点，以实际行动贯彻落实好习近平新时代中国特色社会主义思想。</w:t>
      </w:r>
    </w:p>
    <w:p>
      <w:pPr>
        <w:keepNext w:val="0"/>
        <w:keepLines w:val="0"/>
        <w:widowControl w:val="0"/>
        <w:suppressLineNumbers w:val="0"/>
        <w:autoSpaceDE w:val="0"/>
        <w:autoSpaceDN/>
        <w:ind w:left="0" w:firstLine="602" w:firstLineChars="200"/>
        <w:jc w:val="both"/>
        <w:rPr>
          <w:rFonts w:hint="eastAsia" w:ascii="楷体" w:hAnsi="楷体" w:eastAsia="楷体" w:cs="楷体"/>
          <w:b/>
          <w:bCs/>
          <w:kern w:val="2"/>
          <w:sz w:val="28"/>
          <w:szCs w:val="28"/>
        </w:rPr>
      </w:pPr>
      <w:r>
        <w:rPr>
          <w:rFonts w:hint="eastAsia" w:ascii="楷体" w:hAnsi="楷体" w:eastAsia="楷体" w:cs="楷体"/>
          <w:b/>
          <w:bCs/>
          <w:kern w:val="2"/>
          <w:sz w:val="30"/>
          <w:szCs w:val="30"/>
        </w:rPr>
        <w:t>（</w:t>
      </w:r>
      <w:r>
        <w:rPr>
          <w:rFonts w:hint="eastAsia" w:ascii="楷体" w:hAnsi="楷体" w:eastAsia="楷体" w:cs="楷体"/>
          <w:b/>
          <w:bCs/>
          <w:kern w:val="2"/>
          <w:sz w:val="30"/>
          <w:szCs w:val="30"/>
          <w:lang w:val="en-US" w:eastAsia="zh-CN"/>
        </w:rPr>
        <w:t>2</w:t>
      </w:r>
      <w:r>
        <w:rPr>
          <w:rFonts w:hint="eastAsia" w:ascii="楷体" w:hAnsi="楷体" w:eastAsia="楷体" w:cs="楷体"/>
          <w:b/>
          <w:bCs/>
          <w:kern w:val="2"/>
          <w:sz w:val="30"/>
          <w:szCs w:val="30"/>
        </w:rPr>
        <w:t>）抓纲擎领，把握意识形态总基调总方向不偏航</w:t>
      </w:r>
    </w:p>
    <w:p>
      <w:pPr>
        <w:keepNext w:val="0"/>
        <w:keepLines w:val="0"/>
        <w:widowControl w:val="0"/>
        <w:suppressLineNumbers w:val="0"/>
        <w:autoSpaceDE w:val="0"/>
        <w:autoSpaceDN/>
        <w:ind w:left="0"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一是加强理论学习，提高党性修养，坚守崇高的价值取向、高尚的理想信念，在深学、细照、笃行中不断提高政治觉悟、历练政治品质。二是坚持党管一切，不忘初心来时路，牢记使命敢担当，传达党的声音，宣传党的方针、政策，为社会和谐稳定营造良好氛围。三是肩上有担当，脚下有底线，讲好中国故事，凝聚中国力量，彰显中国元素，树立中国形象，确保意识形态政治导向不偏差、不动摇。</w:t>
      </w:r>
    </w:p>
    <w:p>
      <w:pPr>
        <w:keepNext w:val="0"/>
        <w:keepLines w:val="0"/>
        <w:widowControl w:val="0"/>
        <w:suppressLineNumbers w:val="0"/>
        <w:autoSpaceDE w:val="0"/>
        <w:autoSpaceDN/>
        <w:ind w:left="0" w:firstLine="602" w:firstLineChars="200"/>
        <w:rPr>
          <w:rFonts w:hint="eastAsia" w:ascii="楷体" w:hAnsi="楷体" w:eastAsia="楷体" w:cs="楷体"/>
          <w:b/>
          <w:bCs/>
          <w:kern w:val="2"/>
          <w:sz w:val="30"/>
          <w:szCs w:val="30"/>
        </w:rPr>
      </w:pPr>
      <w:r>
        <w:rPr>
          <w:rFonts w:hint="eastAsia" w:ascii="楷体" w:hAnsi="楷体" w:eastAsia="楷体" w:cs="楷体"/>
          <w:b/>
          <w:bCs/>
          <w:kern w:val="2"/>
          <w:sz w:val="30"/>
          <w:szCs w:val="30"/>
        </w:rPr>
        <w:t>（</w:t>
      </w:r>
      <w:r>
        <w:rPr>
          <w:rFonts w:hint="eastAsia" w:ascii="楷体" w:hAnsi="楷体" w:eastAsia="楷体" w:cs="楷体"/>
          <w:b/>
          <w:bCs/>
          <w:kern w:val="2"/>
          <w:sz w:val="30"/>
          <w:szCs w:val="30"/>
          <w:lang w:val="en-US" w:eastAsia="zh-CN"/>
        </w:rPr>
        <w:t>3</w:t>
      </w:r>
      <w:r>
        <w:rPr>
          <w:rFonts w:hint="eastAsia" w:ascii="楷体" w:hAnsi="楷体" w:eastAsia="楷体" w:cs="楷体"/>
          <w:b/>
          <w:bCs/>
          <w:kern w:val="2"/>
          <w:sz w:val="30"/>
          <w:szCs w:val="30"/>
        </w:rPr>
        <w:t>）学思践行，贯彻落实党的十九届六中全会精神</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通读党的</w:t>
      </w:r>
      <w:bookmarkStart w:id="68" w:name="_GoBack"/>
      <w:bookmarkEnd w:id="68"/>
      <w:r>
        <w:rPr>
          <w:rFonts w:hint="eastAsia" w:ascii="仿宋" w:hAnsi="仿宋" w:eastAsia="仿宋" w:cs="Times New Roman"/>
          <w:kern w:val="2"/>
          <w:sz w:val="32"/>
          <w:szCs w:val="32"/>
          <w:lang w:val="en-US" w:eastAsia="zh-CN" w:bidi="ar-SA"/>
        </w:rPr>
        <w:t>十九届六中全会公报原文，深学细研，准确把握报告提出的新理念、新思想、新战略，掌握内涵要义，找准结合点、切入点和落脚点，始终坚持中国特色社会主义道路，坚持党的领导和人民当家作主，面对错误思潮站稳立场、敢于亮剑。</w:t>
      </w:r>
    </w:p>
    <w:p>
      <w:pPr>
        <w:keepNext w:val="0"/>
        <w:keepLines w:val="0"/>
        <w:widowControl w:val="0"/>
        <w:suppressLineNumbers w:val="0"/>
        <w:autoSpaceDE w:val="0"/>
        <w:autoSpaceDN/>
        <w:ind w:left="0" w:firstLine="602" w:firstLineChars="200"/>
        <w:rPr>
          <w:rFonts w:hint="eastAsia" w:ascii="黑体" w:hAnsi="宋体" w:eastAsia="黑体" w:cs="黑体"/>
          <w:b/>
          <w:bCs/>
          <w:kern w:val="2"/>
          <w:sz w:val="30"/>
          <w:szCs w:val="30"/>
          <w:lang w:val="en-US" w:eastAsia="zh-CN"/>
        </w:rPr>
      </w:pPr>
      <w:r>
        <w:rPr>
          <w:rFonts w:hint="eastAsia" w:ascii="黑体" w:hAnsi="宋体" w:eastAsia="黑体" w:cs="黑体"/>
          <w:b/>
          <w:bCs/>
          <w:kern w:val="2"/>
          <w:sz w:val="30"/>
          <w:szCs w:val="30"/>
          <w:lang w:val="en-US" w:eastAsia="zh-CN"/>
        </w:rPr>
        <w:t>2、务本务实有担当，同舟共济展业绩</w:t>
      </w:r>
    </w:p>
    <w:p>
      <w:pPr>
        <w:keepNext w:val="0"/>
        <w:keepLines w:val="0"/>
        <w:widowControl w:val="0"/>
        <w:suppressLineNumbers w:val="0"/>
        <w:autoSpaceDE w:val="0"/>
        <w:autoSpaceDN/>
        <w:ind w:left="0" w:firstLine="602" w:firstLineChars="200"/>
        <w:rPr>
          <w:rFonts w:hint="eastAsia" w:ascii="楷体" w:hAnsi="楷体" w:eastAsia="楷体" w:cs="楷体"/>
          <w:b/>
          <w:bCs/>
          <w:kern w:val="2"/>
          <w:sz w:val="30"/>
          <w:szCs w:val="30"/>
        </w:rPr>
      </w:pPr>
      <w:r>
        <w:rPr>
          <w:rFonts w:hint="eastAsia" w:ascii="楷体" w:hAnsi="楷体" w:eastAsia="楷体" w:cs="楷体"/>
          <w:b/>
          <w:bCs/>
          <w:kern w:val="2"/>
          <w:sz w:val="30"/>
          <w:szCs w:val="30"/>
        </w:rPr>
        <w:t>（</w:t>
      </w:r>
      <w:r>
        <w:rPr>
          <w:rFonts w:hint="eastAsia" w:ascii="楷体" w:hAnsi="楷体" w:eastAsia="楷体" w:cs="楷体"/>
          <w:b/>
          <w:bCs/>
          <w:kern w:val="2"/>
          <w:sz w:val="30"/>
          <w:szCs w:val="30"/>
          <w:lang w:val="en-US" w:eastAsia="zh-CN"/>
        </w:rPr>
        <w:t>1</w:t>
      </w:r>
      <w:r>
        <w:rPr>
          <w:rFonts w:hint="eastAsia" w:ascii="楷体" w:hAnsi="楷体" w:eastAsia="楷体" w:cs="楷体"/>
          <w:b/>
          <w:bCs/>
          <w:kern w:val="2"/>
          <w:sz w:val="30"/>
          <w:szCs w:val="30"/>
        </w:rPr>
        <w:t>）加强队伍建设，不断提高综合素养</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加强领导班子建设。一是树立一盘棋思想，二是提高个人涵养，三是树立学习之风。加强现代教育思想、先进教改经验的学习，成为教学工作的精兵强将；加强领导方法、领导艺术的学习，努力提高驾驭分管工作的水平。</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加强教师队伍建设。学是师之骨，德为师之魂。教师的思想素质和业务水平，直接决定着教学生命线的高低。当老师可平凡但不可平庸，人人争当新时代“四有好老师”，努力打造一支品德高尚、教艺精湛、育人科学、服务热情的教师队伍。</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加强班主任队伍建设，制定班主任岗位职责，制定班主任管理制度和培训制度，建立班主任工作考核评估激励机制，开好班主任例会，坚持从形式和内容两方面公正、客观地评价班主任工作。</w:t>
      </w:r>
    </w:p>
    <w:p>
      <w:pPr>
        <w:keepNext w:val="0"/>
        <w:keepLines w:val="0"/>
        <w:widowControl w:val="0"/>
        <w:suppressLineNumbers w:val="0"/>
        <w:autoSpaceDE w:val="0"/>
        <w:autoSpaceDN/>
        <w:ind w:left="0" w:firstLine="602" w:firstLineChars="200"/>
        <w:rPr>
          <w:rFonts w:hint="eastAsia" w:ascii="楷体" w:hAnsi="楷体" w:eastAsia="楷体" w:cs="楷体"/>
          <w:b/>
          <w:bCs/>
          <w:kern w:val="2"/>
          <w:sz w:val="30"/>
          <w:szCs w:val="30"/>
        </w:rPr>
      </w:pPr>
      <w:r>
        <w:rPr>
          <w:rFonts w:hint="eastAsia" w:ascii="楷体" w:hAnsi="楷体" w:eastAsia="楷体" w:cs="楷体"/>
          <w:b/>
          <w:bCs/>
          <w:kern w:val="2"/>
          <w:sz w:val="30"/>
          <w:szCs w:val="30"/>
        </w:rPr>
        <w:t>（</w:t>
      </w:r>
      <w:r>
        <w:rPr>
          <w:rFonts w:hint="eastAsia" w:ascii="楷体" w:hAnsi="楷体" w:eastAsia="楷体" w:cs="楷体"/>
          <w:b/>
          <w:bCs/>
          <w:kern w:val="2"/>
          <w:sz w:val="30"/>
          <w:szCs w:val="30"/>
          <w:lang w:val="en-US" w:eastAsia="zh-CN"/>
        </w:rPr>
        <w:t>2</w:t>
      </w:r>
      <w:r>
        <w:rPr>
          <w:rFonts w:hint="eastAsia" w:ascii="楷体" w:hAnsi="楷体" w:eastAsia="楷体" w:cs="楷体"/>
          <w:b/>
          <w:bCs/>
          <w:kern w:val="2"/>
          <w:sz w:val="30"/>
          <w:szCs w:val="30"/>
        </w:rPr>
        <w:t>）德育为首，教学中心，切实提高教育教学质量</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立德树人是根本。一是深入开展社会主义核心价值观，培养有魂的时代新人。二是四川省科研课题“农村小学课堂掘问教学策略研究”成功举行结题鉴定会，并获市级一等奖。三是大力开展“厉行勤俭节约，反对铺张浪费”“绿色校园创建”“学规范，养习惯”“六一”系列庆祝活动。四是全面加强未成年人思想道德建设，举行主题讲座，培养有思想的时代新人。五是加强心理健康教育，提高学生心理素质，培养有“身心健康”的时代新人。六是开展课后延时服务活动，培养“五育并举”的时代新人。</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教学质量是中心。发展教育，重在质量。质量是教育的生命，是校长和教育工作者自觉的追求，也是汉阳教育振兴的方向和措施。</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扎实规范办学行为，深入推进素质教育，积极改善办学条件，为师生营造良好的学习、工作与生活环境。</w:t>
      </w:r>
    </w:p>
    <w:p>
      <w:pPr>
        <w:keepNext w:val="0"/>
        <w:keepLines w:val="0"/>
        <w:widowControl w:val="0"/>
        <w:suppressLineNumbers w:val="0"/>
        <w:autoSpaceDE w:val="0"/>
        <w:autoSpaceDN/>
        <w:ind w:left="0" w:firstLine="602" w:firstLineChars="200"/>
        <w:rPr>
          <w:rFonts w:hint="eastAsia" w:ascii="楷体" w:hAnsi="楷体" w:eastAsia="楷体" w:cs="楷体"/>
          <w:b/>
          <w:bCs/>
          <w:kern w:val="2"/>
          <w:sz w:val="30"/>
          <w:szCs w:val="30"/>
        </w:rPr>
      </w:pPr>
      <w:r>
        <w:rPr>
          <w:rFonts w:hint="eastAsia" w:ascii="楷体" w:hAnsi="楷体" w:eastAsia="楷体" w:cs="楷体"/>
          <w:b/>
          <w:bCs/>
          <w:kern w:val="2"/>
          <w:sz w:val="30"/>
          <w:szCs w:val="30"/>
        </w:rPr>
        <w:t>（</w:t>
      </w:r>
      <w:r>
        <w:rPr>
          <w:rFonts w:hint="eastAsia" w:ascii="楷体" w:hAnsi="楷体" w:eastAsia="楷体" w:cs="楷体"/>
          <w:b/>
          <w:bCs/>
          <w:kern w:val="2"/>
          <w:sz w:val="30"/>
          <w:szCs w:val="30"/>
          <w:lang w:val="en-US" w:eastAsia="zh-CN"/>
        </w:rPr>
        <w:t>3</w:t>
      </w:r>
      <w:r>
        <w:rPr>
          <w:rFonts w:hint="eastAsia" w:ascii="楷体" w:hAnsi="楷体" w:eastAsia="楷体" w:cs="楷体"/>
          <w:b/>
          <w:bCs/>
          <w:kern w:val="2"/>
          <w:sz w:val="30"/>
          <w:szCs w:val="30"/>
        </w:rPr>
        <w:t>）强化依法治校，创建县级依法治理先进单位</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坚持依法治校，扎实开展法律进学校工作。制定实施方案，聘请法制副校长和法律顾问，坚持上好法制课，举办法制教育专题讲座，开展主题教育，一年来，我校无任何违法犯罪现象发生。</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积极开展廉洁文化进校园活动，制定活动方案，成立活动领导小组，用心部署各项工作，精心组织开展活动，广泛宣传活动意义，营造良好的廉洁文化氛围。</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度重视学校安全工作，坚持“谁主管谁负责，谁举办谁有责”工作原则，落实安全管理“一岗双责”责任制，调整充实安全工作组织机构，层层签订目标责任书，实施一日安全网格化管理举措，一年来，未发生一例安全责任事故。</w:t>
      </w:r>
    </w:p>
    <w:p>
      <w:pPr>
        <w:keepNext w:val="0"/>
        <w:keepLines w:val="0"/>
        <w:widowControl w:val="0"/>
        <w:suppressLineNumbers w:val="0"/>
        <w:autoSpaceDE w:val="0"/>
        <w:autoSpaceDN/>
        <w:ind w:left="0" w:firstLine="602" w:firstLineChars="200"/>
        <w:rPr>
          <w:rFonts w:hint="eastAsia" w:ascii="楷体" w:hAnsi="楷体" w:eastAsia="楷体" w:cs="楷体"/>
          <w:b/>
          <w:bCs/>
          <w:kern w:val="2"/>
          <w:sz w:val="30"/>
          <w:szCs w:val="30"/>
        </w:rPr>
      </w:pPr>
      <w:r>
        <w:rPr>
          <w:rFonts w:hint="eastAsia" w:ascii="楷体" w:hAnsi="楷体" w:eastAsia="楷体" w:cs="楷体"/>
          <w:b/>
          <w:bCs/>
          <w:kern w:val="2"/>
          <w:sz w:val="30"/>
          <w:szCs w:val="30"/>
        </w:rPr>
        <w:t>（</w:t>
      </w:r>
      <w:r>
        <w:rPr>
          <w:rFonts w:hint="eastAsia" w:ascii="楷体" w:hAnsi="楷体" w:eastAsia="楷体" w:cs="楷体"/>
          <w:b/>
          <w:bCs/>
          <w:kern w:val="2"/>
          <w:sz w:val="30"/>
          <w:szCs w:val="30"/>
          <w:lang w:val="en-US" w:eastAsia="zh-CN"/>
        </w:rPr>
        <w:t>4</w:t>
      </w:r>
      <w:r>
        <w:rPr>
          <w:rFonts w:hint="eastAsia" w:ascii="楷体" w:hAnsi="楷体" w:eastAsia="楷体" w:cs="楷体"/>
          <w:b/>
          <w:bCs/>
          <w:kern w:val="2"/>
          <w:sz w:val="30"/>
          <w:szCs w:val="30"/>
        </w:rPr>
        <w:t>）后勤保障有力，财务管理规范严格</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为切实落实好农村义务学校营养改善计划，学校安排专人进行管理和实施。根据相关工作要求，制定了科学规范的管理制度和翔实的实施计划。通过全校教职工的努力工作，自实施营养餐以来，学校未出现任何违规操作和意外事故发生。</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为了更好地为全体师生提供优质的服务，安排专人监督、管理，食堂操作人员持证上岗，严格执行食堂卫生标准，食材采购票证齐全，三餐营养搭配科学，食品留样足量及时，各类记录详实规范。</w:t>
      </w:r>
    </w:p>
    <w:p>
      <w:pPr>
        <w:keepNext w:val="0"/>
        <w:keepLines w:val="0"/>
        <w:widowControl w:val="0"/>
        <w:suppressLineNumbers w:val="0"/>
        <w:autoSpaceDE w:val="0"/>
        <w:autoSpaceDN/>
        <w:ind w:left="0" w:firstLine="640" w:firstLineChars="200"/>
        <w:rPr>
          <w:rFonts w:hint="eastAsia" w:ascii="仿宋" w:hAnsi="仿宋" w:eastAsia="仿宋" w:cs="仿宋"/>
          <w:kern w:val="2"/>
          <w:sz w:val="28"/>
          <w:szCs w:val="28"/>
        </w:rPr>
      </w:pPr>
      <w:r>
        <w:rPr>
          <w:rFonts w:hint="eastAsia" w:ascii="仿宋" w:hAnsi="仿宋" w:eastAsia="仿宋" w:cs="Times New Roman"/>
          <w:kern w:val="2"/>
          <w:sz w:val="32"/>
          <w:szCs w:val="32"/>
          <w:lang w:val="en-US" w:eastAsia="zh-CN" w:bidi="ar-SA"/>
        </w:rPr>
        <w:t>后勤工作是全校工作高效推进的有力保障。后勤人员勤思考，勤动手，不怕脏，不怕累，在学校设施检修、设备维护、器材配备、消杀灭及环境美化等诸多方面作出了不懈努力，为全体师生的生活和工作提供了良好的保障，得到了上级组织的高度赞扬。</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严格执行国家收费政策，财务人员严格执行财务管理制度，各项费用支出严格把关、严格审核和审批程序，严格控制三公经费开支，严守财务工作纪律。</w:t>
      </w:r>
    </w:p>
    <w:p>
      <w:pPr>
        <w:keepNext w:val="0"/>
        <w:keepLines w:val="0"/>
        <w:widowControl w:val="0"/>
        <w:suppressLineNumbers w:val="0"/>
        <w:autoSpaceDE w:val="0"/>
        <w:autoSpaceDN/>
        <w:ind w:left="0" w:firstLine="602" w:firstLineChars="200"/>
        <w:rPr>
          <w:rFonts w:hint="eastAsia" w:ascii="楷体" w:hAnsi="楷体" w:eastAsia="楷体" w:cs="楷体"/>
          <w:b/>
          <w:bCs/>
          <w:kern w:val="2"/>
          <w:sz w:val="30"/>
          <w:szCs w:val="30"/>
        </w:rPr>
      </w:pPr>
      <w:r>
        <w:rPr>
          <w:rFonts w:hint="eastAsia" w:ascii="楷体" w:hAnsi="楷体" w:eastAsia="楷体" w:cs="楷体"/>
          <w:b/>
          <w:bCs/>
          <w:kern w:val="2"/>
          <w:sz w:val="30"/>
          <w:szCs w:val="30"/>
        </w:rPr>
        <w:t>（</w:t>
      </w:r>
      <w:r>
        <w:rPr>
          <w:rFonts w:hint="eastAsia" w:ascii="楷体" w:hAnsi="楷体" w:eastAsia="楷体" w:cs="楷体"/>
          <w:b/>
          <w:bCs/>
          <w:kern w:val="2"/>
          <w:sz w:val="30"/>
          <w:szCs w:val="30"/>
          <w:lang w:val="en-US" w:eastAsia="zh-CN"/>
        </w:rPr>
        <w:t>5</w:t>
      </w:r>
      <w:r>
        <w:rPr>
          <w:rFonts w:hint="eastAsia" w:ascii="楷体" w:hAnsi="楷体" w:eastAsia="楷体" w:cs="楷体"/>
          <w:b/>
          <w:bCs/>
          <w:kern w:val="2"/>
          <w:sz w:val="30"/>
          <w:szCs w:val="30"/>
        </w:rPr>
        <w:t>）幼教工作管理扎实</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附属幼儿园是学校的重要组成部分，高度重视幼儿园的管理和发展。软化幼儿园活动场地，安装伸缩门，实现普幼教办学分离。重新布置了幼儿园室创和环创，规范教学内容，通过大家的努力，幼儿园办园水平不断提高，幼儿教育教学、家园联系等工作有一些特色，办园质量得到了家长的认可。</w:t>
      </w:r>
    </w:p>
    <w:p>
      <w:pPr>
        <w:keepNext w:val="0"/>
        <w:keepLines w:val="0"/>
        <w:widowControl w:val="0"/>
        <w:suppressLineNumbers w:val="0"/>
        <w:autoSpaceDE w:val="0"/>
        <w:autoSpaceDN/>
        <w:ind w:left="0" w:firstLine="602" w:firstLineChars="200"/>
        <w:rPr>
          <w:rFonts w:hint="eastAsia" w:ascii="楷体" w:hAnsi="楷体" w:eastAsia="楷体" w:cs="楷体"/>
          <w:b/>
          <w:bCs/>
          <w:kern w:val="2"/>
          <w:sz w:val="30"/>
          <w:szCs w:val="30"/>
        </w:rPr>
      </w:pPr>
      <w:r>
        <w:rPr>
          <w:rFonts w:hint="eastAsia" w:ascii="楷体" w:hAnsi="楷体" w:eastAsia="楷体" w:cs="楷体"/>
          <w:b/>
          <w:bCs/>
          <w:kern w:val="2"/>
          <w:sz w:val="30"/>
          <w:szCs w:val="30"/>
        </w:rPr>
        <w:t>（</w:t>
      </w:r>
      <w:r>
        <w:rPr>
          <w:rFonts w:hint="eastAsia" w:ascii="楷体" w:hAnsi="楷体" w:eastAsia="楷体" w:cs="楷体"/>
          <w:b/>
          <w:bCs/>
          <w:kern w:val="2"/>
          <w:sz w:val="30"/>
          <w:szCs w:val="30"/>
          <w:lang w:val="en-US" w:eastAsia="zh-CN"/>
        </w:rPr>
        <w:t>6</w:t>
      </w:r>
      <w:r>
        <w:rPr>
          <w:rFonts w:hint="eastAsia" w:ascii="楷体" w:hAnsi="楷体" w:eastAsia="楷体" w:cs="楷体"/>
          <w:b/>
          <w:bCs/>
          <w:kern w:val="2"/>
          <w:sz w:val="30"/>
          <w:szCs w:val="30"/>
        </w:rPr>
        <w:t>）充分发挥工会、教代会职能作用，师生关心到位</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在学校管理中，充分发挥工会和教代会的职能作用，以工会、教代会为桥梁、纽带，引导教师关注学校发展，关心教师成长，保障师生合法权益，丰富师生课余生活。</w:t>
      </w:r>
    </w:p>
    <w:p>
      <w:pPr>
        <w:keepNext w:val="0"/>
        <w:keepLines w:val="0"/>
        <w:widowControl w:val="0"/>
        <w:suppressLineNumbers w:val="0"/>
        <w:autoSpaceDE w:val="0"/>
        <w:autoSpaceDN/>
        <w:ind w:left="0" w:firstLine="602" w:firstLineChars="200"/>
        <w:rPr>
          <w:rFonts w:hint="eastAsia" w:ascii="楷体" w:hAnsi="楷体" w:eastAsia="楷体" w:cs="楷体"/>
          <w:b/>
          <w:bCs/>
          <w:kern w:val="2"/>
          <w:sz w:val="30"/>
          <w:szCs w:val="30"/>
        </w:rPr>
      </w:pPr>
      <w:r>
        <w:rPr>
          <w:rFonts w:hint="eastAsia" w:ascii="楷体" w:hAnsi="楷体" w:eastAsia="楷体" w:cs="楷体"/>
          <w:b/>
          <w:bCs/>
          <w:kern w:val="2"/>
          <w:sz w:val="30"/>
          <w:szCs w:val="30"/>
        </w:rPr>
        <w:t>（</w:t>
      </w:r>
      <w:r>
        <w:rPr>
          <w:rFonts w:hint="eastAsia" w:ascii="楷体" w:hAnsi="楷体" w:eastAsia="楷体" w:cs="楷体"/>
          <w:b/>
          <w:bCs/>
          <w:kern w:val="2"/>
          <w:sz w:val="30"/>
          <w:szCs w:val="30"/>
          <w:lang w:val="en-US" w:eastAsia="zh-CN"/>
        </w:rPr>
        <w:t>7</w:t>
      </w:r>
      <w:r>
        <w:rPr>
          <w:rFonts w:hint="eastAsia" w:ascii="楷体" w:hAnsi="楷体" w:eastAsia="楷体" w:cs="楷体"/>
          <w:b/>
          <w:bCs/>
          <w:kern w:val="2"/>
          <w:sz w:val="30"/>
          <w:szCs w:val="30"/>
        </w:rPr>
        <w:t>）脱贫攻坚成果巩固回头看与乡村振兴衔接工作扎实，政策落地生根</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充分利用电子显示屏、微信、广播等媒体与媒介广泛宣传政策，通过“千名教师访万家”活动，把握时间节点，分步骤落实，不折不扣高质量完成工作任务。</w:t>
      </w:r>
    </w:p>
    <w:p>
      <w:pPr>
        <w:keepNext w:val="0"/>
        <w:keepLines w:val="0"/>
        <w:widowControl w:val="0"/>
        <w:suppressLineNumbers w:val="0"/>
        <w:autoSpaceDE w:val="0"/>
        <w:autoSpaceDN/>
        <w:ind w:left="0" w:firstLine="602" w:firstLineChars="200"/>
        <w:rPr>
          <w:rFonts w:hint="eastAsia" w:ascii="楷体" w:hAnsi="楷体" w:eastAsia="楷体" w:cs="楷体"/>
          <w:b/>
          <w:bCs/>
          <w:kern w:val="2"/>
          <w:sz w:val="30"/>
          <w:szCs w:val="30"/>
        </w:rPr>
      </w:pPr>
      <w:r>
        <w:rPr>
          <w:rFonts w:hint="eastAsia" w:ascii="楷体" w:hAnsi="楷体" w:eastAsia="楷体" w:cs="楷体"/>
          <w:b/>
          <w:bCs/>
          <w:kern w:val="2"/>
          <w:sz w:val="30"/>
          <w:szCs w:val="30"/>
        </w:rPr>
        <w:t>（</w:t>
      </w:r>
      <w:r>
        <w:rPr>
          <w:rFonts w:hint="eastAsia" w:ascii="楷体" w:hAnsi="楷体" w:eastAsia="楷体" w:cs="楷体"/>
          <w:b/>
          <w:bCs/>
          <w:kern w:val="2"/>
          <w:sz w:val="30"/>
          <w:szCs w:val="30"/>
          <w:lang w:val="en-US" w:eastAsia="zh-CN"/>
        </w:rPr>
        <w:t>8</w:t>
      </w:r>
      <w:r>
        <w:rPr>
          <w:rFonts w:hint="eastAsia" w:ascii="楷体" w:hAnsi="楷体" w:eastAsia="楷体" w:cs="楷体"/>
          <w:b/>
          <w:bCs/>
          <w:kern w:val="2"/>
          <w:sz w:val="30"/>
          <w:szCs w:val="30"/>
        </w:rPr>
        <w:t>）其他工作锦上添花</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“战疫情，迎五一”城乡环境综合大整治周末大扫除校园环境大行动，得到广元市委和剑阁县委充分表扬。</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9月27日，与杭州澎雅小学结对签约，10月向澎雅小学协调活动方案，加强东西部教育协作，巧谋汉小发展新篇章，携手向美而行。</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9月30日，成立新的家委会，颁发聘书；建立护学岗队伍，确保上放学时段校门口的安全，得到县教育局表扬。</w:t>
      </w:r>
    </w:p>
    <w:p>
      <w:pPr>
        <w:pStyle w:val="32"/>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11月1日，教学视导组视导汉阳小学，通过听评课、校长汇报、查阅资料、分组交流、座谈师生，评价非常好，为汉阳小学高质量发展抉路扬帆。</w:t>
      </w:r>
    </w:p>
    <w:p>
      <w:pPr>
        <w:pStyle w:val="25"/>
        <w:numPr>
          <w:ilvl w:val="0"/>
          <w:numId w:val="0"/>
        </w:numPr>
        <w:spacing w:line="600" w:lineRule="exact"/>
        <w:ind w:firstLine="420" w:firstLineChars="200"/>
        <w:outlineLvl w:val="1"/>
      </w:pPr>
    </w:p>
    <w:p>
      <w:pPr>
        <w:pStyle w:val="5"/>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pStyle w:val="33"/>
        <w:keepNext w:val="0"/>
        <w:keepLines w:val="0"/>
        <w:pageBreakBefore w:val="0"/>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剑阁县汉阳小学校下属二级单位0个，其中行政单位0个，参照公务员法管理的事业单位0个，其他事业单位0个。</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无纳入剑阁县汉阳小学校2022年度部门决算编制范围的二级预算单位。</w:t>
      </w:r>
    </w:p>
    <w:p>
      <w:pPr>
        <w:numPr>
          <w:ilvl w:val="0"/>
          <w:numId w:val="0"/>
        </w:numPr>
        <w:ind w:leftChars="0"/>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6"/>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6"/>
          <w:rFonts w:hint="eastAsia" w:ascii="黑体" w:hAnsi="黑体" w:eastAsia="黑体"/>
          <w:b w:val="0"/>
          <w:bCs/>
        </w:rPr>
        <w:t>单位决算情况说明</w:t>
      </w:r>
      <w:bookmarkEnd w:id="16"/>
      <w:bookmarkEnd w:id="17"/>
    </w:p>
    <w:p/>
    <w:p>
      <w:pPr>
        <w:pStyle w:val="25"/>
        <w:numPr>
          <w:ilvl w:val="0"/>
          <w:numId w:val="2"/>
        </w:numPr>
        <w:spacing w:line="600" w:lineRule="exact"/>
        <w:ind w:left="1560" w:leftChars="0" w:firstLineChars="0"/>
        <w:outlineLvl w:val="1"/>
        <w:rPr>
          <w:rStyle w:val="27"/>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686.63</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51.89</w:t>
      </w:r>
      <w:r>
        <w:rPr>
          <w:rFonts w:hint="eastAsia" w:ascii="仿宋" w:hAnsi="仿宋" w:eastAsia="仿宋"/>
          <w:sz w:val="32"/>
          <w:szCs w:val="32"/>
        </w:rPr>
        <w:t>万元，下降</w:t>
      </w:r>
      <w:r>
        <w:rPr>
          <w:rFonts w:hint="eastAsia" w:ascii="仿宋" w:hAnsi="仿宋" w:eastAsia="仿宋"/>
          <w:sz w:val="32"/>
          <w:szCs w:val="32"/>
          <w:lang w:val="en-US" w:eastAsia="zh-CN"/>
        </w:rPr>
        <w:t>7.03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基本建设项目资金减少</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rPr>
          <w:rFonts w:hint="eastAsia" w:ascii="仿宋" w:hAnsi="仿宋" w:eastAsia="仿宋"/>
          <w:sz w:val="32"/>
          <w:szCs w:val="32"/>
        </w:rPr>
      </w:pPr>
      <w:r>
        <w:drawing>
          <wp:anchor distT="0" distB="0" distL="114300" distR="114300" simplePos="0" relativeHeight="251660288" behindDoc="0" locked="0" layoutInCell="1" allowOverlap="1">
            <wp:simplePos x="0" y="0"/>
            <wp:positionH relativeFrom="column">
              <wp:posOffset>412115</wp:posOffset>
            </wp:positionH>
            <wp:positionV relativeFrom="paragraph">
              <wp:posOffset>158115</wp:posOffset>
            </wp:positionV>
            <wp:extent cx="4572000" cy="2743200"/>
            <wp:effectExtent l="4445" t="4445" r="14605" b="14605"/>
            <wp:wrapNone/>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rPr>
          <w:rFonts w:hint="eastAsia" w:ascii="黑体" w:hAnsi="黑体" w:eastAsia="黑体"/>
          <w:sz w:val="32"/>
          <w:szCs w:val="32"/>
        </w:rPr>
      </w:pPr>
      <w:bookmarkStart w:id="20" w:name="_Toc15377206"/>
      <w:bookmarkStart w:id="21" w:name="_Toc15396604"/>
    </w:p>
    <w:p>
      <w:pPr>
        <w:pStyle w:val="25"/>
        <w:numPr>
          <w:ilvl w:val="0"/>
          <w:numId w:val="0"/>
        </w:numPr>
        <w:spacing w:line="600" w:lineRule="exact"/>
        <w:ind w:firstLine="640" w:firstLineChars="200"/>
        <w:outlineLvl w:val="1"/>
        <w:rPr>
          <w:rFonts w:hint="eastAsia" w:ascii="黑体" w:hAnsi="黑体" w:eastAsia="黑体"/>
          <w:sz w:val="32"/>
          <w:szCs w:val="32"/>
          <w:lang w:eastAsia="zh-CN"/>
        </w:rPr>
      </w:pPr>
    </w:p>
    <w:p>
      <w:pPr>
        <w:pStyle w:val="25"/>
        <w:numPr>
          <w:ilvl w:val="0"/>
          <w:numId w:val="0"/>
        </w:numPr>
        <w:spacing w:line="600" w:lineRule="exact"/>
        <w:ind w:firstLine="640" w:firstLineChars="200"/>
        <w:outlineLvl w:val="1"/>
        <w:rPr>
          <w:rFonts w:hint="eastAsia" w:ascii="黑体" w:hAnsi="黑体" w:eastAsia="黑体"/>
          <w:sz w:val="32"/>
          <w:szCs w:val="32"/>
          <w:lang w:eastAsia="zh-CN"/>
        </w:rPr>
      </w:pPr>
    </w:p>
    <w:p>
      <w:pPr>
        <w:pStyle w:val="25"/>
        <w:numPr>
          <w:ilvl w:val="0"/>
          <w:numId w:val="0"/>
        </w:numPr>
        <w:spacing w:line="600" w:lineRule="exact"/>
        <w:ind w:firstLine="640" w:firstLineChars="200"/>
        <w:outlineLvl w:val="1"/>
        <w:rPr>
          <w:rFonts w:hint="eastAsia" w:ascii="黑体" w:hAnsi="黑体" w:eastAsia="黑体"/>
          <w:sz w:val="32"/>
          <w:szCs w:val="32"/>
          <w:lang w:eastAsia="zh-CN"/>
        </w:rPr>
      </w:pPr>
    </w:p>
    <w:p>
      <w:pPr>
        <w:pStyle w:val="25"/>
        <w:numPr>
          <w:ilvl w:val="0"/>
          <w:numId w:val="0"/>
        </w:numPr>
        <w:spacing w:line="600" w:lineRule="exact"/>
        <w:ind w:firstLine="640" w:firstLineChars="200"/>
        <w:outlineLvl w:val="1"/>
        <w:rPr>
          <w:rFonts w:hint="eastAsia" w:ascii="黑体" w:hAnsi="黑体" w:eastAsia="黑体"/>
          <w:sz w:val="32"/>
          <w:szCs w:val="32"/>
          <w:lang w:eastAsia="zh-CN"/>
        </w:rPr>
      </w:pPr>
    </w:p>
    <w:p>
      <w:pPr>
        <w:pStyle w:val="25"/>
        <w:numPr>
          <w:ilvl w:val="0"/>
          <w:numId w:val="0"/>
        </w:numPr>
        <w:spacing w:line="600" w:lineRule="exact"/>
        <w:ind w:firstLine="640" w:firstLineChars="200"/>
        <w:outlineLvl w:val="1"/>
        <w:rPr>
          <w:rFonts w:hint="eastAsia" w:ascii="黑体" w:hAnsi="黑体" w:eastAsia="黑体"/>
          <w:sz w:val="32"/>
          <w:szCs w:val="32"/>
          <w:lang w:eastAsia="zh-CN"/>
        </w:rPr>
      </w:pPr>
    </w:p>
    <w:p>
      <w:pPr>
        <w:pStyle w:val="25"/>
        <w:numPr>
          <w:ilvl w:val="0"/>
          <w:numId w:val="0"/>
        </w:numPr>
        <w:spacing w:line="600" w:lineRule="exact"/>
        <w:ind w:firstLine="640" w:firstLineChars="200"/>
        <w:outlineLvl w:val="1"/>
        <w:rPr>
          <w:rFonts w:hint="eastAsia" w:ascii="黑体" w:hAnsi="黑体" w:eastAsia="黑体"/>
          <w:sz w:val="32"/>
          <w:szCs w:val="32"/>
          <w:lang w:eastAsia="zh-CN"/>
        </w:rPr>
      </w:pPr>
    </w:p>
    <w:p>
      <w:pPr>
        <w:pStyle w:val="25"/>
        <w:numPr>
          <w:ilvl w:val="0"/>
          <w:numId w:val="0"/>
        </w:numPr>
        <w:spacing w:line="600" w:lineRule="exact"/>
        <w:ind w:firstLine="640" w:firstLineChars="200"/>
        <w:outlineLvl w:val="1"/>
        <w:rPr>
          <w:rStyle w:val="27"/>
          <w:rFonts w:ascii="黑体" w:hAnsi="黑体" w:eastAsia="黑体"/>
          <w:b w:val="0"/>
        </w:rPr>
      </w:pPr>
      <w:r>
        <w:rPr>
          <w:rFonts w:hint="eastAsia" w:ascii="黑体" w:hAnsi="黑体" w:eastAsia="黑体"/>
          <w:sz w:val="32"/>
          <w:szCs w:val="32"/>
          <w:lang w:eastAsia="zh-CN"/>
        </w:rPr>
        <w:t>二、</w:t>
      </w:r>
      <w:r>
        <w:rPr>
          <w:rFonts w:hint="eastAsia" w:ascii="黑体" w:hAnsi="黑体" w:eastAsia="黑体"/>
          <w:sz w:val="32"/>
          <w:szCs w:val="32"/>
        </w:rPr>
        <w:t>收</w:t>
      </w:r>
      <w:r>
        <w:rPr>
          <w:rStyle w:val="27"/>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686.63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685.03</w:t>
      </w:r>
      <w:r>
        <w:rPr>
          <w:rFonts w:hint="eastAsia" w:ascii="仿宋" w:hAnsi="仿宋" w:eastAsia="仿宋"/>
          <w:sz w:val="32"/>
          <w:szCs w:val="32"/>
        </w:rPr>
        <w:t>万元，占</w:t>
      </w:r>
      <w:r>
        <w:rPr>
          <w:rFonts w:hint="eastAsia" w:ascii="仿宋" w:hAnsi="仿宋" w:eastAsia="仿宋"/>
          <w:sz w:val="32"/>
          <w:szCs w:val="32"/>
          <w:lang w:val="en-US" w:eastAsia="zh-CN"/>
        </w:rPr>
        <w:t>99.77</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1.6</w:t>
      </w:r>
      <w:r>
        <w:rPr>
          <w:rFonts w:hint="eastAsia" w:ascii="仿宋" w:hAnsi="仿宋" w:eastAsia="仿宋"/>
          <w:sz w:val="32"/>
          <w:szCs w:val="32"/>
        </w:rPr>
        <w:t>万元，占</w:t>
      </w:r>
      <w:r>
        <w:rPr>
          <w:rFonts w:hint="eastAsia" w:ascii="仿宋" w:hAnsi="仿宋" w:eastAsia="仿宋"/>
          <w:sz w:val="32"/>
          <w:szCs w:val="32"/>
          <w:lang w:val="en-US" w:eastAsia="zh-CN"/>
        </w:rPr>
        <w:t>0.23</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pStyle w:val="2"/>
        <w:rPr>
          <w:rFonts w:hint="eastAsia" w:ascii="仿宋" w:hAnsi="仿宋" w:eastAsia="仿宋"/>
          <w:sz w:val="32"/>
          <w:szCs w:val="32"/>
        </w:rPr>
      </w:pPr>
      <w:r>
        <w:drawing>
          <wp:anchor distT="0" distB="0" distL="114300" distR="114300" simplePos="0" relativeHeight="251661312" behindDoc="0" locked="0" layoutInCell="1" allowOverlap="1">
            <wp:simplePos x="0" y="0"/>
            <wp:positionH relativeFrom="column">
              <wp:posOffset>469265</wp:posOffset>
            </wp:positionH>
            <wp:positionV relativeFrom="paragraph">
              <wp:posOffset>33655</wp:posOffset>
            </wp:positionV>
            <wp:extent cx="4572000" cy="2743200"/>
            <wp:effectExtent l="4445" t="4445" r="14605" b="1460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
      <w:pPr>
        <w:pStyle w:val="25"/>
        <w:numPr>
          <w:ilvl w:val="0"/>
          <w:numId w:val="0"/>
        </w:numPr>
        <w:spacing w:line="600" w:lineRule="exact"/>
        <w:ind w:left="840" w:leftChars="0"/>
        <w:outlineLvl w:val="1"/>
        <w:rPr>
          <w:rFonts w:hint="eastAsia" w:ascii="黑体" w:hAnsi="黑体" w:eastAsia="黑体"/>
          <w:sz w:val="32"/>
          <w:szCs w:val="32"/>
          <w:lang w:eastAsia="zh-CN"/>
        </w:rPr>
      </w:pPr>
      <w:bookmarkStart w:id="22" w:name="_Toc15396605"/>
      <w:bookmarkStart w:id="23" w:name="_Toc15377207"/>
    </w:p>
    <w:p>
      <w:pPr>
        <w:pStyle w:val="25"/>
        <w:numPr>
          <w:ilvl w:val="0"/>
          <w:numId w:val="0"/>
        </w:numPr>
        <w:spacing w:line="600" w:lineRule="exact"/>
        <w:ind w:left="840" w:leftChars="0"/>
        <w:outlineLvl w:val="1"/>
        <w:rPr>
          <w:rFonts w:hint="eastAsia" w:ascii="黑体" w:hAnsi="黑体" w:eastAsia="黑体"/>
          <w:sz w:val="32"/>
          <w:szCs w:val="32"/>
          <w:lang w:eastAsia="zh-CN"/>
        </w:rPr>
      </w:pPr>
    </w:p>
    <w:p>
      <w:pPr>
        <w:pStyle w:val="25"/>
        <w:numPr>
          <w:ilvl w:val="0"/>
          <w:numId w:val="0"/>
        </w:numPr>
        <w:spacing w:line="600" w:lineRule="exact"/>
        <w:ind w:left="840" w:leftChars="0"/>
        <w:outlineLvl w:val="1"/>
        <w:rPr>
          <w:rFonts w:hint="eastAsia" w:ascii="黑体" w:hAnsi="黑体" w:eastAsia="黑体"/>
          <w:sz w:val="32"/>
          <w:szCs w:val="32"/>
          <w:lang w:eastAsia="zh-CN"/>
        </w:rPr>
      </w:pPr>
    </w:p>
    <w:p>
      <w:pPr>
        <w:pStyle w:val="25"/>
        <w:numPr>
          <w:ilvl w:val="0"/>
          <w:numId w:val="0"/>
        </w:numPr>
        <w:spacing w:line="600" w:lineRule="exact"/>
        <w:ind w:left="840" w:leftChars="0"/>
        <w:outlineLvl w:val="1"/>
        <w:rPr>
          <w:rFonts w:hint="eastAsia" w:ascii="黑体" w:hAnsi="黑体" w:eastAsia="黑体"/>
          <w:sz w:val="32"/>
          <w:szCs w:val="32"/>
          <w:lang w:eastAsia="zh-CN"/>
        </w:rPr>
      </w:pPr>
    </w:p>
    <w:p>
      <w:pPr>
        <w:pStyle w:val="25"/>
        <w:numPr>
          <w:ilvl w:val="0"/>
          <w:numId w:val="0"/>
        </w:numPr>
        <w:spacing w:line="600" w:lineRule="exact"/>
        <w:ind w:left="840" w:leftChars="0"/>
        <w:outlineLvl w:val="1"/>
        <w:rPr>
          <w:rFonts w:hint="eastAsia" w:ascii="黑体" w:hAnsi="黑体" w:eastAsia="黑体"/>
          <w:sz w:val="32"/>
          <w:szCs w:val="32"/>
          <w:lang w:eastAsia="zh-CN"/>
        </w:rPr>
      </w:pPr>
    </w:p>
    <w:p>
      <w:pPr>
        <w:pStyle w:val="25"/>
        <w:numPr>
          <w:ilvl w:val="0"/>
          <w:numId w:val="0"/>
        </w:numPr>
        <w:spacing w:line="600" w:lineRule="exact"/>
        <w:ind w:left="840" w:leftChars="0"/>
        <w:outlineLvl w:val="1"/>
        <w:rPr>
          <w:rFonts w:hint="eastAsia" w:ascii="黑体" w:hAnsi="黑体" w:eastAsia="黑体"/>
          <w:sz w:val="32"/>
          <w:szCs w:val="32"/>
          <w:lang w:eastAsia="zh-CN"/>
        </w:rPr>
      </w:pPr>
    </w:p>
    <w:p>
      <w:pPr>
        <w:pStyle w:val="25"/>
        <w:numPr>
          <w:ilvl w:val="0"/>
          <w:numId w:val="0"/>
        </w:numPr>
        <w:spacing w:line="600" w:lineRule="exact"/>
        <w:ind w:left="840" w:leftChars="0"/>
        <w:outlineLvl w:val="1"/>
        <w:rPr>
          <w:rFonts w:hint="eastAsia" w:ascii="黑体" w:hAnsi="黑体" w:eastAsia="黑体"/>
          <w:sz w:val="32"/>
          <w:szCs w:val="32"/>
          <w:lang w:eastAsia="zh-CN"/>
        </w:rPr>
      </w:pPr>
    </w:p>
    <w:p>
      <w:pPr>
        <w:pStyle w:val="25"/>
        <w:numPr>
          <w:ilvl w:val="0"/>
          <w:numId w:val="0"/>
        </w:numPr>
        <w:spacing w:line="600" w:lineRule="exact"/>
        <w:ind w:left="840" w:leftChars="0"/>
        <w:outlineLvl w:val="1"/>
        <w:rPr>
          <w:rStyle w:val="27"/>
          <w:rFonts w:ascii="黑体" w:hAnsi="黑体" w:eastAsia="黑体"/>
          <w:b w:val="0"/>
        </w:rPr>
      </w:pPr>
      <w:r>
        <w:rPr>
          <w:rFonts w:hint="eastAsia" w:ascii="黑体" w:hAnsi="黑体" w:eastAsia="黑体"/>
          <w:sz w:val="32"/>
          <w:szCs w:val="32"/>
          <w:lang w:eastAsia="zh-CN"/>
        </w:rPr>
        <w:t>三、</w:t>
      </w:r>
      <w:r>
        <w:rPr>
          <w:rFonts w:hint="eastAsia" w:ascii="黑体" w:hAnsi="黑体" w:eastAsia="黑体"/>
          <w:sz w:val="32"/>
          <w:szCs w:val="32"/>
        </w:rPr>
        <w:t>支</w:t>
      </w:r>
      <w:r>
        <w:rPr>
          <w:rStyle w:val="27"/>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686.63</w:t>
      </w:r>
      <w:r>
        <w:rPr>
          <w:rFonts w:hint="eastAsia" w:ascii="仿宋" w:hAnsi="仿宋" w:eastAsia="仿宋"/>
          <w:sz w:val="32"/>
          <w:szCs w:val="32"/>
        </w:rPr>
        <w:t>万元，其中：基本支出</w:t>
      </w:r>
      <w:r>
        <w:rPr>
          <w:rFonts w:hint="eastAsia" w:ascii="仿宋" w:hAnsi="仿宋" w:eastAsia="仿宋"/>
          <w:sz w:val="32"/>
          <w:szCs w:val="32"/>
          <w:lang w:val="en-US" w:eastAsia="zh-CN"/>
        </w:rPr>
        <w:t>627.55</w:t>
      </w:r>
      <w:r>
        <w:rPr>
          <w:rFonts w:hint="eastAsia" w:ascii="仿宋" w:hAnsi="仿宋" w:eastAsia="仿宋"/>
          <w:sz w:val="32"/>
          <w:szCs w:val="32"/>
        </w:rPr>
        <w:t>万元，占</w:t>
      </w:r>
      <w:r>
        <w:rPr>
          <w:rFonts w:hint="eastAsia" w:ascii="仿宋" w:hAnsi="仿宋" w:eastAsia="仿宋"/>
          <w:sz w:val="32"/>
          <w:szCs w:val="32"/>
          <w:lang w:val="en-US" w:eastAsia="zh-CN"/>
        </w:rPr>
        <w:t>91.4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59.08</w:t>
      </w:r>
      <w:r>
        <w:rPr>
          <w:rFonts w:hint="eastAsia" w:ascii="仿宋" w:hAnsi="仿宋" w:eastAsia="仿宋"/>
          <w:sz w:val="32"/>
          <w:szCs w:val="32"/>
        </w:rPr>
        <w:t>万元，占</w:t>
      </w:r>
      <w:r>
        <w:rPr>
          <w:rFonts w:hint="eastAsia" w:ascii="仿宋" w:hAnsi="仿宋" w:eastAsia="仿宋"/>
          <w:sz w:val="32"/>
          <w:szCs w:val="32"/>
          <w:lang w:val="en-US" w:eastAsia="zh-CN"/>
        </w:rPr>
        <w:t>8.6</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outlineLvl w:val="1"/>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1280" w:firstLineChars="400"/>
        <w:rPr>
          <w:rFonts w:hint="eastAsia" w:ascii="仿宋" w:hAnsi="仿宋" w:eastAsia="仿宋"/>
          <w:sz w:val="32"/>
          <w:szCs w:val="32"/>
        </w:rPr>
      </w:pPr>
      <w:r>
        <w:rPr>
          <w:rFonts w:hint="eastAsia" w:ascii="仿宋" w:hAnsi="仿宋" w:eastAsia="仿宋"/>
          <w:sz w:val="32"/>
          <w:szCs w:val="32"/>
        </w:rPr>
        <w:t>（图3：支出决算结构图）（饼状图）</w:t>
      </w: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r>
        <w:drawing>
          <wp:anchor distT="0" distB="0" distL="114300" distR="114300" simplePos="0" relativeHeight="251662336" behindDoc="0" locked="0" layoutInCell="1" allowOverlap="1">
            <wp:simplePos x="0" y="0"/>
            <wp:positionH relativeFrom="column">
              <wp:posOffset>254635</wp:posOffset>
            </wp:positionH>
            <wp:positionV relativeFrom="paragraph">
              <wp:posOffset>59055</wp:posOffset>
            </wp:positionV>
            <wp:extent cx="4572000" cy="2743200"/>
            <wp:effectExtent l="4445" t="4445" r="14605" b="1460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
      <w:pPr>
        <w:spacing w:line="600" w:lineRule="exact"/>
        <w:ind w:firstLine="640" w:firstLineChars="200"/>
        <w:outlineLvl w:val="1"/>
        <w:rPr>
          <w:rFonts w:hint="eastAsia" w:ascii="黑体" w:hAnsi="黑体" w:eastAsia="黑体"/>
          <w:sz w:val="32"/>
          <w:szCs w:val="32"/>
        </w:rPr>
      </w:pPr>
      <w:bookmarkStart w:id="24" w:name="_Toc15396606"/>
      <w:bookmarkStart w:id="25" w:name="_Toc15377208"/>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27"/>
          <w:rFonts w:ascii="黑体" w:hAnsi="黑体" w:eastAsia="黑体"/>
          <w:b w:val="0"/>
        </w:rPr>
      </w:pPr>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686.63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51.89</w:t>
      </w:r>
      <w:r>
        <w:rPr>
          <w:rFonts w:hint="eastAsia" w:ascii="仿宋" w:hAnsi="仿宋" w:eastAsia="仿宋"/>
          <w:sz w:val="32"/>
          <w:szCs w:val="32"/>
        </w:rPr>
        <w:t>万元，下降</w:t>
      </w:r>
      <w:r>
        <w:rPr>
          <w:rFonts w:hint="eastAsia" w:ascii="仿宋" w:hAnsi="仿宋" w:eastAsia="仿宋"/>
          <w:sz w:val="32"/>
          <w:szCs w:val="32"/>
          <w:lang w:val="en-US" w:eastAsia="zh-CN"/>
        </w:rPr>
        <w:t>7.03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rPr>
          <w:rFonts w:hint="eastAsia" w:ascii="仿宋" w:hAnsi="仿宋" w:eastAsia="仿宋"/>
          <w:sz w:val="32"/>
          <w:szCs w:val="32"/>
        </w:rPr>
      </w:pPr>
    </w:p>
    <w:p>
      <w:pPr>
        <w:rPr>
          <w:rFonts w:hint="eastAsia" w:ascii="仿宋" w:hAnsi="仿宋" w:eastAsia="仿宋"/>
          <w:sz w:val="32"/>
          <w:szCs w:val="32"/>
        </w:rPr>
      </w:pPr>
      <w:r>
        <w:drawing>
          <wp:inline distT="0" distB="0" distL="114300" distR="114300">
            <wp:extent cx="4869180" cy="2743200"/>
            <wp:effectExtent l="4445" t="4445" r="1841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rPr>
          <w:rFonts w:hint="eastAsia" w:ascii="仿宋" w:hAnsi="仿宋" w:eastAsia="仿宋"/>
          <w:sz w:val="32"/>
          <w:szCs w:val="32"/>
        </w:rPr>
      </w:pPr>
    </w:p>
    <w:p>
      <w:pPr>
        <w:spacing w:line="600" w:lineRule="exact"/>
        <w:ind w:firstLine="640" w:firstLineChars="200"/>
        <w:outlineLvl w:val="1"/>
        <w:rPr>
          <w:rStyle w:val="27"/>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685.03</w:t>
      </w:r>
      <w:r>
        <w:rPr>
          <w:rFonts w:hint="eastAsia" w:ascii="仿宋" w:hAnsi="仿宋" w:eastAsia="仿宋"/>
          <w:sz w:val="32"/>
          <w:szCs w:val="32"/>
        </w:rPr>
        <w:t>万元，占本年支出合计的</w:t>
      </w:r>
      <w:r>
        <w:rPr>
          <w:rFonts w:hint="eastAsia" w:ascii="仿宋" w:hAnsi="仿宋" w:eastAsia="仿宋"/>
          <w:sz w:val="32"/>
          <w:szCs w:val="32"/>
          <w:lang w:val="en-US" w:eastAsia="zh-CN"/>
        </w:rPr>
        <w:t>99.77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51.09</w:t>
      </w:r>
      <w:r>
        <w:rPr>
          <w:rFonts w:hint="eastAsia" w:ascii="仿宋" w:hAnsi="仿宋" w:eastAsia="仿宋"/>
          <w:sz w:val="32"/>
          <w:szCs w:val="32"/>
        </w:rPr>
        <w:t>万元，下降</w:t>
      </w:r>
      <w:r>
        <w:rPr>
          <w:rFonts w:hint="eastAsia" w:ascii="仿宋" w:hAnsi="仿宋" w:eastAsia="仿宋"/>
          <w:sz w:val="32"/>
          <w:szCs w:val="32"/>
          <w:lang w:val="en-US" w:eastAsia="zh-CN"/>
        </w:rPr>
        <w:t>6.94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pStyle w:val="2"/>
        <w:rPr>
          <w:rFonts w:hint="eastAsia" w:ascii="仿宋" w:hAnsi="仿宋" w:eastAsia="仿宋"/>
          <w:sz w:val="32"/>
          <w:szCs w:val="32"/>
        </w:rPr>
      </w:pPr>
    </w:p>
    <w:p>
      <w:pPr>
        <w:rPr>
          <w:rFonts w:hint="eastAsia" w:ascii="仿宋" w:hAnsi="仿宋" w:eastAsia="仿宋"/>
          <w:sz w:val="32"/>
          <w:szCs w:val="32"/>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685.03</w:t>
      </w:r>
      <w:r>
        <w:rPr>
          <w:rFonts w:hint="eastAsia" w:ascii="仿宋" w:hAnsi="仿宋" w:eastAsia="仿宋"/>
          <w:sz w:val="32"/>
          <w:szCs w:val="32"/>
        </w:rPr>
        <w:t>万元，主要用于以下方面</w:t>
      </w:r>
      <w:r>
        <w:rPr>
          <w:rFonts w:hint="eastAsia" w:ascii="仿宋" w:hAnsi="仿宋" w:eastAsia="仿宋"/>
          <w:sz w:val="32"/>
          <w:szCs w:val="32"/>
          <w:lang w:eastAsia="zh-CN"/>
        </w:rPr>
        <w:t>：</w:t>
      </w:r>
    </w:p>
    <w:p>
      <w:pPr>
        <w:spacing w:line="600" w:lineRule="exact"/>
        <w:ind w:firstLine="640"/>
        <w:rPr>
          <w:rFonts w:hint="eastAsia" w:ascii="仿宋" w:hAnsi="仿宋" w:eastAsia="仿宋"/>
          <w:sz w:val="32"/>
          <w:szCs w:val="32"/>
        </w:rPr>
      </w:pP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574.17</w:t>
      </w:r>
      <w:r>
        <w:rPr>
          <w:rFonts w:hint="eastAsia" w:ascii="仿宋" w:hAnsi="仿宋" w:eastAsia="仿宋"/>
          <w:sz w:val="32"/>
          <w:szCs w:val="32"/>
        </w:rPr>
        <w:t>万元，占</w:t>
      </w:r>
      <w:r>
        <w:rPr>
          <w:rFonts w:hint="eastAsia" w:ascii="仿宋" w:hAnsi="仿宋" w:eastAsia="仿宋"/>
          <w:sz w:val="32"/>
          <w:szCs w:val="32"/>
          <w:lang w:val="en-US" w:eastAsia="zh-CN"/>
        </w:rPr>
        <w:t>83.82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w:t>
      </w:r>
    </w:p>
    <w:p>
      <w:pPr>
        <w:spacing w:line="600" w:lineRule="exact"/>
        <w:rPr>
          <w:rFonts w:ascii="仿宋" w:hAnsi="仿宋" w:eastAsia="仿宋"/>
          <w:b/>
          <w:sz w:val="32"/>
          <w:szCs w:val="32"/>
        </w:rPr>
      </w:pP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0.00</w:t>
      </w:r>
      <w:r>
        <w:rPr>
          <w:rFonts w:hint="eastAsia" w:ascii="仿宋" w:hAnsi="仿宋" w:eastAsia="仿宋"/>
          <w:b/>
          <w:bCs/>
          <w:sz w:val="32"/>
          <w:szCs w:val="32"/>
        </w:rPr>
        <w:t>万元，占</w:t>
      </w:r>
      <w:r>
        <w:rPr>
          <w:rFonts w:hint="eastAsia" w:ascii="仿宋" w:hAnsi="仿宋" w:eastAsia="仿宋"/>
          <w:b/>
          <w:bCs/>
          <w:sz w:val="32"/>
          <w:szCs w:val="32"/>
          <w:lang w:val="en-US" w:eastAsia="zh-CN"/>
        </w:rPr>
        <w:t>0.00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49.27</w:t>
      </w:r>
      <w:r>
        <w:rPr>
          <w:rFonts w:hint="eastAsia" w:ascii="仿宋" w:hAnsi="仿宋" w:eastAsia="仿宋"/>
          <w:sz w:val="32"/>
          <w:szCs w:val="32"/>
        </w:rPr>
        <w:t>万元，占</w:t>
      </w:r>
      <w:r>
        <w:rPr>
          <w:rFonts w:hint="eastAsia" w:ascii="仿宋" w:hAnsi="仿宋" w:eastAsia="仿宋"/>
          <w:sz w:val="32"/>
          <w:szCs w:val="32"/>
          <w:lang w:val="en-US" w:eastAsia="zh-CN"/>
        </w:rPr>
        <w:t>7.19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24.64</w:t>
      </w:r>
      <w:r>
        <w:rPr>
          <w:rFonts w:hint="eastAsia" w:ascii="仿宋" w:hAnsi="仿宋" w:eastAsia="仿宋"/>
          <w:sz w:val="32"/>
          <w:szCs w:val="32"/>
        </w:rPr>
        <w:t>万元，占</w:t>
      </w:r>
      <w:r>
        <w:rPr>
          <w:rFonts w:hint="eastAsia" w:ascii="仿宋" w:hAnsi="仿宋" w:eastAsia="仿宋"/>
          <w:sz w:val="32"/>
          <w:szCs w:val="32"/>
          <w:lang w:val="en-US" w:eastAsia="zh-CN"/>
        </w:rPr>
        <w:t>3.6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36.95</w:t>
      </w:r>
      <w:r>
        <w:rPr>
          <w:rFonts w:hint="eastAsia" w:ascii="仿宋" w:hAnsi="仿宋" w:eastAsia="仿宋"/>
          <w:sz w:val="32"/>
          <w:szCs w:val="32"/>
        </w:rPr>
        <w:t>万元，占</w:t>
      </w:r>
      <w:r>
        <w:rPr>
          <w:rFonts w:hint="eastAsia" w:ascii="仿宋" w:hAnsi="仿宋" w:eastAsia="仿宋"/>
          <w:sz w:val="32"/>
          <w:szCs w:val="32"/>
          <w:lang w:val="en-US" w:eastAsia="zh-CN"/>
        </w:rPr>
        <w:t>5.39</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420" w:firstLineChars="200"/>
        <w:rPr>
          <w:rFonts w:hint="eastAsia" w:ascii="仿宋" w:hAnsi="仿宋" w:eastAsia="仿宋"/>
          <w:sz w:val="32"/>
          <w:szCs w:val="32"/>
        </w:rPr>
      </w:pPr>
      <w:r>
        <w:drawing>
          <wp:anchor distT="0" distB="0" distL="114300" distR="114300" simplePos="0" relativeHeight="251663360" behindDoc="0" locked="0" layoutInCell="1" allowOverlap="1">
            <wp:simplePos x="0" y="0"/>
            <wp:positionH relativeFrom="column">
              <wp:posOffset>387350</wp:posOffset>
            </wp:positionH>
            <wp:positionV relativeFrom="paragraph">
              <wp:posOffset>366395</wp:posOffset>
            </wp:positionV>
            <wp:extent cx="4572000" cy="3676650"/>
            <wp:effectExtent l="4445" t="4445" r="14605" b="1460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（图6：一般公共预算财政拨款支出决算结构）（饼状图）</w:t>
      </w: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685.03万元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numPr>
          <w:ilvl w:val="0"/>
          <w:numId w:val="0"/>
        </w:numPr>
        <w:spacing w:line="600" w:lineRule="exact"/>
        <w:ind w:firstLine="642"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lang w:val="en-US" w:eastAsia="zh-CN"/>
        </w:rPr>
        <w:t>1.</w:t>
      </w:r>
      <w:r>
        <w:rPr>
          <w:rStyle w:val="16"/>
          <w:rFonts w:hint="eastAsia" w:ascii="仿宋" w:hAnsi="仿宋" w:eastAsia="仿宋"/>
          <w:bCs/>
          <w:sz w:val="32"/>
          <w:szCs w:val="32"/>
        </w:rPr>
        <w:t>教育（类）</w:t>
      </w:r>
      <w:r>
        <w:rPr>
          <w:rStyle w:val="16"/>
          <w:rFonts w:hint="eastAsia" w:ascii="仿宋" w:hAnsi="仿宋" w:eastAsia="仿宋"/>
          <w:bCs/>
          <w:sz w:val="32"/>
          <w:szCs w:val="32"/>
          <w:lang w:eastAsia="zh-CN"/>
        </w:rPr>
        <w:t>普通教育</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学前教育</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31.4</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pStyle w:val="2"/>
        <w:numPr>
          <w:ilvl w:val="0"/>
          <w:numId w:val="0"/>
        </w:numPr>
        <w:ind w:firstLine="642" w:firstLineChars="200"/>
        <w:rPr>
          <w:rStyle w:val="16"/>
          <w:rFonts w:hint="eastAsia" w:ascii="仿宋" w:hAnsi="仿宋" w:eastAsia="仿宋" w:cstheme="minorBidi"/>
          <w:bCs/>
          <w:sz w:val="32"/>
          <w:szCs w:val="32"/>
          <w:lang w:val="en-US" w:eastAsia="zh-CN"/>
        </w:rPr>
      </w:pPr>
      <w:r>
        <w:rPr>
          <w:rStyle w:val="16"/>
          <w:rFonts w:hint="eastAsia" w:ascii="仿宋" w:hAnsi="仿宋" w:eastAsia="仿宋"/>
          <w:bCs/>
          <w:sz w:val="32"/>
          <w:szCs w:val="32"/>
          <w:lang w:val="en-US" w:eastAsia="zh-CN"/>
        </w:rPr>
        <w:t>2.</w:t>
      </w:r>
      <w:r>
        <w:rPr>
          <w:rStyle w:val="16"/>
          <w:rFonts w:hint="eastAsia" w:ascii="仿宋" w:hAnsi="仿宋" w:eastAsia="仿宋"/>
          <w:bCs/>
          <w:sz w:val="32"/>
          <w:szCs w:val="32"/>
        </w:rPr>
        <w:t>教育（类）</w:t>
      </w:r>
      <w:r>
        <w:rPr>
          <w:rStyle w:val="16"/>
          <w:rFonts w:hint="eastAsia" w:ascii="仿宋" w:hAnsi="仿宋" w:eastAsia="仿宋"/>
          <w:bCs/>
          <w:sz w:val="32"/>
          <w:szCs w:val="32"/>
          <w:lang w:eastAsia="zh-CN"/>
        </w:rPr>
        <w:t>普通教育</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小学教育</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542.77</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spacing w:line="600" w:lineRule="exact"/>
        <w:ind w:firstLine="642"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Style w:val="16"/>
          <w:rFonts w:hint="eastAsia" w:ascii="仿宋" w:hAnsi="仿宋" w:eastAsia="仿宋"/>
          <w:bCs/>
          <w:sz w:val="32"/>
          <w:szCs w:val="32"/>
        </w:rPr>
        <w:t>社会保障和就业（类）</w:t>
      </w:r>
      <w:r>
        <w:rPr>
          <w:rStyle w:val="16"/>
          <w:rFonts w:hint="eastAsia" w:ascii="仿宋" w:hAnsi="仿宋" w:eastAsia="仿宋" w:cstheme="minorBidi"/>
          <w:bCs/>
          <w:sz w:val="32"/>
          <w:szCs w:val="32"/>
        </w:rPr>
        <w:t>行政事业单位养老支出（款）机关事业单位养老保险缴费支出（项）</w:t>
      </w:r>
      <w:r>
        <w:rPr>
          <w:rStyle w:val="16"/>
          <w:rFonts w:hint="eastAsia" w:ascii="仿宋" w:hAnsi="仿宋" w:eastAsia="仿宋" w:cstheme="minorBidi"/>
          <w:bCs/>
          <w:sz w:val="32"/>
          <w:szCs w:val="32"/>
          <w:lang w:eastAsia="zh-CN"/>
        </w:rPr>
        <w:t>：</w:t>
      </w:r>
      <w:r>
        <w:rPr>
          <w:rStyle w:val="16"/>
          <w:rFonts w:hint="eastAsia" w:ascii="仿宋" w:hAnsi="仿宋" w:eastAsia="仿宋" w:cstheme="minorBidi"/>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49.27</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spacing w:line="600" w:lineRule="exact"/>
        <w:ind w:firstLine="642"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  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24.64</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spacing w:line="600" w:lineRule="exact"/>
        <w:ind w:firstLine="642"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lang w:val="en-US" w:eastAsia="zh-CN"/>
        </w:rPr>
        <w:t>5</w:t>
      </w:r>
      <w:r>
        <w:rPr>
          <w:rStyle w:val="16"/>
          <w:rFonts w:ascii="仿宋" w:hAnsi="仿宋" w:eastAsia="仿宋"/>
          <w:bCs/>
          <w:sz w:val="32"/>
          <w:szCs w:val="32"/>
        </w:rPr>
        <w:t>.</w:t>
      </w:r>
      <w:r>
        <w:rPr>
          <w:rFonts w:hint="eastAsia" w:ascii="仿宋" w:hAnsi="仿宋" w:eastAsia="仿宋"/>
          <w:b/>
          <w:bCs/>
          <w:sz w:val="32"/>
          <w:szCs w:val="32"/>
        </w:rPr>
        <w:t>住房保障（类）住房改革支出（款）  住房公积金（项）</w:t>
      </w:r>
      <w:r>
        <w:rPr>
          <w:rFonts w:hint="eastAsia" w:ascii="仿宋" w:hAnsi="仿宋" w:eastAsia="仿宋"/>
          <w:b/>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36.95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7"/>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627.55</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567.56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59.99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outlineLvl w:val="1"/>
        <w:rPr>
          <w:rStyle w:val="27"/>
          <w:rFonts w:ascii="黑体" w:hAnsi="黑体" w:eastAsia="黑体"/>
          <w:b w:val="0"/>
        </w:rPr>
      </w:pPr>
      <w:bookmarkStart w:id="36" w:name="_Toc15396609"/>
      <w:bookmarkStart w:id="37"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0.07</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15.56</w:t>
      </w:r>
      <w:r>
        <w:rPr>
          <w:rFonts w:hint="eastAsia" w:ascii="仿宋" w:hAnsi="仿宋" w:eastAsia="仿宋"/>
          <w:sz w:val="32"/>
          <w:szCs w:val="32"/>
        </w:rPr>
        <w:t>%</w:t>
      </w:r>
      <w:r>
        <w:rPr>
          <w:rFonts w:hint="eastAsia" w:ascii="仿宋" w:hAnsi="仿宋" w:eastAsia="仿宋"/>
          <w:sz w:val="32"/>
          <w:szCs w:val="32"/>
          <w:lang w:eastAsia="zh-CN"/>
        </w:rPr>
        <w:t>，主要原因是接待人次</w:t>
      </w:r>
      <w:r>
        <w:rPr>
          <w:rFonts w:hint="eastAsia" w:ascii="仿宋" w:hAnsi="仿宋" w:eastAsia="仿宋"/>
          <w:sz w:val="32"/>
          <w:szCs w:val="32"/>
          <w:lang w:val="en-US" w:eastAsia="zh-CN"/>
        </w:rPr>
        <w:t>减少</w:t>
      </w:r>
      <w:r>
        <w:rPr>
          <w:rFonts w:hint="eastAsia" w:ascii="仿宋" w:hAnsi="仿宋" w:eastAsia="仿宋"/>
          <w:sz w:val="32"/>
          <w:szCs w:val="32"/>
          <w:lang w:eastAsia="zh-CN"/>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2"/>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column">
              <wp:posOffset>404495</wp:posOffset>
            </wp:positionH>
            <wp:positionV relativeFrom="paragraph">
              <wp:posOffset>98425</wp:posOffset>
            </wp:positionV>
            <wp:extent cx="5162550" cy="2343150"/>
            <wp:effectExtent l="5080" t="4445" r="13970" b="14605"/>
            <wp:wrapNone/>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pPr>
    </w:p>
    <w:p>
      <w:pPr>
        <w:spacing w:line="600" w:lineRule="exact"/>
        <w:ind w:firstLine="640"/>
        <w:rPr>
          <w:rFonts w:hint="eastAsia" w:ascii="仿宋_GB2312" w:eastAsia="仿宋_GB2312"/>
          <w:sz w:val="32"/>
          <w:szCs w:val="32"/>
        </w:rPr>
      </w:pPr>
      <w:r>
        <w:rPr>
          <w:rFonts w:hint="eastAsia" w:ascii="仿宋_GB2312" w:eastAsia="仿宋_GB2312"/>
          <w:b/>
          <w:bCs/>
          <w:sz w:val="32"/>
          <w:szCs w:val="32"/>
        </w:rPr>
        <w:t>1.因公出国（境）经费支出0万元</w:t>
      </w:r>
      <w:r>
        <w:rPr>
          <w:rFonts w:hint="eastAsia" w:ascii="仿宋_GB2312" w:eastAsia="仿宋_GB2312"/>
          <w:b/>
          <w:bCs/>
          <w:sz w:val="32"/>
          <w:szCs w:val="32"/>
          <w:lang w:eastAsia="zh-CN"/>
        </w:rPr>
        <w:t>。</w:t>
      </w:r>
      <w:r>
        <w:rPr>
          <w:rFonts w:hint="eastAsia" w:ascii="仿宋_GB2312" w:eastAsia="仿宋_GB2312"/>
          <w:sz w:val="32"/>
          <w:szCs w:val="32"/>
        </w:rPr>
        <w:t>完成预算100%，全年安排因公出国（境）团组0次，出国（境）0人。因公出国（境）支出决算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年持平，主要原因是无因公出国（境）安排。</w:t>
      </w:r>
    </w:p>
    <w:p>
      <w:pPr>
        <w:spacing w:line="600" w:lineRule="exact"/>
        <w:ind w:firstLine="640"/>
        <w:rPr>
          <w:rFonts w:hint="eastAsia" w:ascii="仿宋_GB2312" w:eastAsia="仿宋_GB2312"/>
          <w:sz w:val="32"/>
          <w:szCs w:val="32"/>
        </w:rPr>
      </w:pPr>
      <w:r>
        <w:rPr>
          <w:rFonts w:hint="eastAsia" w:ascii="仿宋_GB2312" w:eastAsia="仿宋_GB2312"/>
          <w:b/>
          <w:bCs/>
          <w:sz w:val="32"/>
          <w:szCs w:val="32"/>
        </w:rPr>
        <w:t>2.公务用车购置及运行维护费支出0万元。</w:t>
      </w:r>
      <w:r>
        <w:rPr>
          <w:rFonts w:hint="eastAsia" w:ascii="仿宋_GB2312" w:eastAsia="仿宋_GB2312"/>
          <w:sz w:val="32"/>
          <w:szCs w:val="32"/>
        </w:rPr>
        <w:t>完成预算100%。公务用车购置及运行维护费支出决算比202</w:t>
      </w:r>
      <w:r>
        <w:rPr>
          <w:rFonts w:hint="eastAsia" w:ascii="仿宋_GB2312" w:eastAsia="仿宋_GB2312"/>
          <w:sz w:val="32"/>
          <w:szCs w:val="32"/>
          <w:lang w:val="en-US" w:eastAsia="zh-CN"/>
        </w:rPr>
        <w:t>1</w:t>
      </w:r>
      <w:r>
        <w:rPr>
          <w:rFonts w:hint="eastAsia" w:ascii="仿宋_GB2312" w:eastAsia="仿宋_GB2312"/>
          <w:sz w:val="32"/>
          <w:szCs w:val="32"/>
        </w:rPr>
        <w:t>年减少0万元，下降0%。主要原因是无公务用车购置及运行维护支出。</w:t>
      </w:r>
    </w:p>
    <w:p>
      <w:pPr>
        <w:spacing w:line="600" w:lineRule="exact"/>
        <w:ind w:firstLine="640"/>
        <w:rPr>
          <w:rFonts w:ascii="仿宋_GB2312" w:eastAsia="仿宋_GB2312"/>
          <w:b/>
          <w:sz w:val="32"/>
          <w:szCs w:val="32"/>
        </w:rPr>
      </w:pPr>
      <w:r>
        <w:rPr>
          <w:rFonts w:hint="eastAsia" w:ascii="仿宋_GB2312" w:eastAsia="仿宋_GB2312"/>
          <w:sz w:val="32"/>
          <w:szCs w:val="32"/>
        </w:rPr>
        <w:t>其中：公务用车购置支出0万元。全年</w:t>
      </w:r>
      <w:r>
        <w:rPr>
          <w:rFonts w:hint="eastAsia" w:ascii="仿宋_GB2312" w:eastAsia="仿宋_GB2312"/>
          <w:sz w:val="32"/>
          <w:szCs w:val="32"/>
          <w:lang w:eastAsia="zh-CN"/>
        </w:rPr>
        <w:t>新</w:t>
      </w:r>
      <w:r>
        <w:rPr>
          <w:rFonts w:hint="eastAsia" w:ascii="仿宋_GB2312" w:eastAsia="仿宋_GB2312"/>
          <w:sz w:val="32"/>
          <w:szCs w:val="32"/>
        </w:rPr>
        <w:t>购置公务用车0辆，其中：轿车0辆、金额0万元，越野车0辆、金额0万元，载客汽车0辆、金额0万元。截至2021年12月底，单位共有公务用车0辆，其中：轿车0辆、越野车0辆、载客汽车0辆。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0.07</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15.56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接待人次减少</w:t>
      </w:r>
      <w:r>
        <w:rPr>
          <w:rFonts w:hint="eastAsia" w:ascii="仿宋_GB2312" w:eastAsia="仿宋_GB2312"/>
          <w:sz w:val="32"/>
          <w:szCs w:val="32"/>
        </w:rPr>
        <w:t>。其中：</w:t>
      </w:r>
    </w:p>
    <w:p>
      <w:pPr>
        <w:pStyle w:val="34"/>
        <w:keepNext w:val="0"/>
        <w:keepLines w:val="0"/>
        <w:pageBreakBefore w:val="0"/>
        <w:kinsoku/>
        <w:wordWrap/>
        <w:overflowPunct/>
        <w:topLinePunct w:val="0"/>
        <w:autoSpaceDE/>
        <w:autoSpaceDN/>
        <w:bidi w:val="0"/>
        <w:adjustRightInd/>
        <w:snapToGrid/>
        <w:spacing w:before="0" w:after="0" w:line="600" w:lineRule="exact"/>
        <w:ind w:firstLine="642" w:firstLineChars="200"/>
        <w:jc w:val="left"/>
        <w:textAlignment w:val="auto"/>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w:t>
      </w:r>
      <w:r>
        <w:rPr>
          <w:rFonts w:hint="eastAsia" w:ascii="仿宋" w:hAnsi="仿宋" w:eastAsia="仿宋"/>
          <w:sz w:val="32"/>
          <w:szCs w:val="32"/>
          <w:lang w:val="en-US" w:eastAsia="zh-CN"/>
        </w:rPr>
        <w:t>主要用于执行公务、开展业务活动开支的用餐费。</w:t>
      </w:r>
      <w:r>
        <w:rPr>
          <w:rFonts w:hint="eastAsia" w:ascii="仿宋_GB2312" w:eastAsia="仿宋_GB2312"/>
          <w:sz w:val="32"/>
          <w:szCs w:val="32"/>
        </w:rPr>
        <w:t>国内公务接待</w:t>
      </w:r>
      <w:r>
        <w:rPr>
          <w:rFonts w:hint="eastAsia" w:ascii="仿宋_GB2312" w:eastAsia="仿宋_GB2312"/>
          <w:sz w:val="32"/>
          <w:szCs w:val="32"/>
          <w:lang w:val="en-US" w:eastAsia="zh-CN"/>
        </w:rPr>
        <w:t>8</w:t>
      </w:r>
      <w:r>
        <w:rPr>
          <w:rFonts w:hint="eastAsia" w:ascii="仿宋_GB2312" w:eastAsia="仿宋_GB2312"/>
          <w:sz w:val="32"/>
          <w:szCs w:val="32"/>
        </w:rPr>
        <w:t>批次，</w:t>
      </w:r>
      <w:r>
        <w:rPr>
          <w:rFonts w:hint="eastAsia" w:ascii="仿宋_GB2312" w:eastAsia="仿宋_GB2312"/>
          <w:sz w:val="32"/>
          <w:szCs w:val="32"/>
          <w:lang w:val="en-US" w:eastAsia="zh-CN"/>
        </w:rPr>
        <w:t>79</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eastAsia="zh-CN"/>
        </w:rPr>
        <w:t>接待校际的交流、学习、考察支出0.3</w:t>
      </w:r>
      <w:r>
        <w:rPr>
          <w:rFonts w:hint="eastAsia" w:ascii="仿宋_GB2312" w:eastAsia="仿宋_GB2312"/>
          <w:sz w:val="32"/>
          <w:szCs w:val="32"/>
          <w:lang w:val="en-US" w:eastAsia="zh-CN"/>
        </w:rPr>
        <w:t>8</w:t>
      </w:r>
      <w:r>
        <w:rPr>
          <w:rFonts w:hint="eastAsia" w:ascii="仿宋_GB2312" w:eastAsia="仿宋_GB2312"/>
          <w:sz w:val="32"/>
          <w:szCs w:val="32"/>
          <w:lang w:eastAsia="zh-CN"/>
        </w:rPr>
        <w:t>万元。</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0.00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0.00</w:t>
      </w:r>
      <w:r>
        <w:rPr>
          <w:rFonts w:hint="eastAsia" w:ascii="仿宋_GB2312" w:eastAsia="仿宋_GB2312"/>
          <w:sz w:val="32"/>
          <w:szCs w:val="32"/>
        </w:rPr>
        <w:t>万元。</w:t>
      </w:r>
      <w:bookmarkStart w:id="40" w:name="_Toc15377218"/>
      <w:bookmarkStart w:id="41" w:name="_Toc15396610"/>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1.6</w:t>
      </w:r>
      <w:r>
        <w:rPr>
          <w:rFonts w:hint="eastAsia" w:ascii="仿宋_GB2312" w:eastAsia="仿宋_GB2312"/>
          <w:sz w:val="32"/>
          <w:szCs w:val="32"/>
        </w:rPr>
        <w:t>万元。</w:t>
      </w:r>
    </w:p>
    <w:p>
      <w:pPr>
        <w:numPr>
          <w:ilvl w:val="0"/>
          <w:numId w:val="3"/>
        </w:numPr>
        <w:spacing w:line="600" w:lineRule="exact"/>
        <w:ind w:firstLine="640"/>
        <w:outlineLvl w:val="1"/>
        <w:rPr>
          <w:rStyle w:val="27"/>
          <w:rFonts w:ascii="黑体" w:hAnsi="黑体" w:eastAsia="黑体"/>
          <w:b w:val="0"/>
        </w:rPr>
      </w:pPr>
      <w:bookmarkStart w:id="42" w:name="_Toc15377219"/>
      <w:bookmarkStart w:id="43" w:name="_Toc15396611"/>
      <w:r>
        <w:rPr>
          <w:rStyle w:val="27"/>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0.00</w:t>
      </w:r>
      <w:r>
        <w:rPr>
          <w:rFonts w:hint="eastAsia" w:ascii="仿宋_GB2312" w:eastAsia="仿宋_GB2312"/>
          <w:sz w:val="32"/>
          <w:szCs w:val="32"/>
        </w:rPr>
        <w:t>万元。</w:t>
      </w:r>
    </w:p>
    <w:p>
      <w:pPr>
        <w:numPr>
          <w:ilvl w:val="0"/>
          <w:numId w:val="3"/>
        </w:numPr>
        <w:spacing w:line="600" w:lineRule="exact"/>
        <w:ind w:firstLine="640"/>
        <w:outlineLvl w:val="1"/>
        <w:rPr>
          <w:rStyle w:val="27"/>
          <w:rFonts w:ascii="黑体" w:hAnsi="黑体" w:eastAsia="黑体"/>
          <w:b w:val="0"/>
        </w:rPr>
      </w:pPr>
      <w:bookmarkStart w:id="44" w:name="_Toc15396612"/>
      <w:bookmarkStart w:id="45" w:name="_Toc15377221"/>
      <w:r>
        <w:rPr>
          <w:rStyle w:val="27"/>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4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我单位</w:t>
      </w:r>
      <w:r>
        <w:rPr>
          <w:rFonts w:hint="eastAsia" w:ascii="仿宋_GB2312" w:eastAsia="仿宋_GB2312"/>
          <w:sz w:val="32"/>
          <w:szCs w:val="32"/>
        </w:rPr>
        <w:t>机关运行经费支出</w:t>
      </w:r>
      <w:r>
        <w:rPr>
          <w:rFonts w:hint="eastAsia" w:ascii="仿宋_GB2312" w:eastAsia="仿宋_GB2312"/>
          <w:sz w:val="32"/>
          <w:szCs w:val="32"/>
          <w:lang w:val="en-US" w:eastAsia="zh-CN"/>
        </w:rPr>
        <w:t>0.00</w:t>
      </w:r>
      <w:r>
        <w:rPr>
          <w:rFonts w:hint="eastAsia" w:ascii="仿宋_GB2312" w:eastAsia="仿宋_GB2312"/>
          <w:sz w:val="32"/>
          <w:szCs w:val="32"/>
        </w:rPr>
        <w:t>万元，</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r>
        <w:rPr>
          <w:rFonts w:hint="eastAsia" w:ascii="仿宋_GB2312" w:eastAsia="仿宋_GB2312"/>
          <w:sz w:val="32"/>
          <w:szCs w:val="32"/>
          <w:lang w:eastAsia="zh-CN"/>
        </w:rPr>
        <w:t>主要原因是无机关运行经费支出。</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剑阁县汉阳小学校</w:t>
      </w:r>
      <w:r>
        <w:rPr>
          <w:rFonts w:hint="eastAsia" w:ascii="仿宋_GB2312" w:eastAsia="仿宋_GB2312"/>
          <w:sz w:val="32"/>
          <w:szCs w:val="32"/>
        </w:rPr>
        <w:t>采购支出总额</w:t>
      </w:r>
      <w:r>
        <w:rPr>
          <w:rFonts w:hint="eastAsia" w:ascii="仿宋_GB2312" w:eastAsia="仿宋_GB2312"/>
          <w:sz w:val="32"/>
          <w:szCs w:val="32"/>
          <w:lang w:val="en-US" w:eastAsia="zh-CN"/>
        </w:rPr>
        <w:t>0.00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0.00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0.00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0.00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0.00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0.00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剑阁县汉阳小学校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ascii="华文仿宋" w:hAnsi="华文仿宋" w:eastAsia="华文仿宋" w:cs="宋体"/>
          <w:color w:val="000000"/>
          <w:sz w:val="24"/>
          <w:szCs w:val="24"/>
          <w:lang w:eastAsia="zh-CN"/>
        </w:rPr>
      </w:pPr>
      <w:r>
        <w:rPr>
          <w:rFonts w:hint="eastAsia" w:ascii="仿宋_GB2312" w:hAnsi="仿宋_GB2312" w:eastAsia="仿宋_GB2312" w:cs="仿宋_GB2312"/>
          <w:kern w:val="0"/>
          <w:sz w:val="32"/>
          <w:szCs w:val="32"/>
          <w:lang w:val="en-US" w:eastAsia="zh-CN" w:bidi="ar-SA"/>
        </w:rPr>
        <w:t>根据预算绩效管理要求，剑阁县汉阳小学校在年初预算编制阶段，组织对校园安全保障项目、农村义务教育营养餐改善计划、免作业本费、贫困寄宿生生活补助、幼儿资助、乡村学校少年宫运转补助，开展了预算事前绩效评估，6个项目编制了绩效目标，预算执行过程中，选取2个项目开展绩效监控，年终执行完毕后，对2个项目开展了绩效目标完成情况梳理填报。</w:t>
      </w:r>
    </w:p>
    <w:p>
      <w:pPr>
        <w:pStyle w:val="7"/>
        <w:spacing w:before="93"/>
        <w:ind w:firstLine="640" w:firstLineChars="200"/>
        <w:rPr>
          <w:highlight w:val="yellow"/>
        </w:rPr>
      </w:pPr>
      <w:r>
        <w:rPr>
          <w:rFonts w:hint="eastAsia" w:hAnsi="仿宋_GB2312" w:cs="仿宋_GB2312"/>
          <w:sz w:val="32"/>
          <w:szCs w:val="32"/>
        </w:rPr>
        <w:t>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6"/>
          <w:rFonts w:hint="eastAsia" w:ascii="黑体" w:hAnsi="黑体" w:eastAsia="黑体"/>
          <w:b w:val="0"/>
        </w:rPr>
        <w:t>词解释</w:t>
      </w:r>
      <w:bookmarkEnd w:id="49"/>
      <w:bookmarkEnd w:id="50"/>
    </w:p>
    <w:p>
      <w:pPr>
        <w:spacing w:line="600" w:lineRule="exact"/>
        <w:jc w:val="left"/>
        <w:rPr>
          <w:rFonts w:ascii="宋体"/>
          <w:b/>
          <w:sz w:val="44"/>
          <w:szCs w:val="44"/>
        </w:rPr>
      </w:pP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4"/>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4"/>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lang w:eastAsia="zh-CN"/>
        </w:rPr>
        <w:t>教育（类）普通教育（款）学前教育（项）：指学前教育人员工资、办公、差旅等公用经费。</w:t>
      </w:r>
    </w:p>
    <w:p>
      <w:pPr>
        <w:pStyle w:val="24"/>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lang w:eastAsia="zh-CN"/>
        </w:rPr>
        <w:t>教育（类）普通教育（款）小学教育（项）：指义务教育人员工资、办公、差旅等公用经费。</w:t>
      </w:r>
    </w:p>
    <w:p>
      <w:pPr>
        <w:pStyle w:val="24"/>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lang w:eastAsia="zh-CN"/>
        </w:rPr>
        <w:t>社会保障和就业（类）行政事业单位离退休（款）行政事业单位离退休（项）：指反映事业单位（包括实行公务员管理的事业单位）开支的离退休经费。</w:t>
      </w:r>
    </w:p>
    <w:p>
      <w:pPr>
        <w:pStyle w:val="24"/>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lang w:eastAsia="zh-CN"/>
        </w:rPr>
        <w:t>社会保障和就业（类）行政事业单位离退休（款）机关事业单位基本养老保险缴费支出（项）：指部门实施养老保险制度由单位缴纳的养老保险费的支出。</w:t>
      </w:r>
    </w:p>
    <w:p>
      <w:pPr>
        <w:pStyle w:val="24"/>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lang w:eastAsia="zh-CN"/>
        </w:rPr>
        <w:t>社会保障和就业（类）抚恤（款）死亡抚恤（项）：指反映用于单位职工死亡丧葬、抚恤方面的支出。</w:t>
      </w:r>
    </w:p>
    <w:p>
      <w:pPr>
        <w:pStyle w:val="24"/>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lang w:eastAsia="zh-CN"/>
        </w:rPr>
        <w:t>卫生健康（类）行政事业单位医疗（款）事业单位医疗（项）：指事业单位用于缴纳单位基本医疗保险支出。</w:t>
      </w:r>
    </w:p>
    <w:p>
      <w:pPr>
        <w:pStyle w:val="24"/>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lang w:eastAsia="zh-CN"/>
        </w:rPr>
        <w:t>住房保障（类）住房改革支出（款）住房公积金（项）：指按照《住房公积金管理条例》的规定，由单位及其在职职工缴存的长期住房储金。</w:t>
      </w:r>
    </w:p>
    <w:p>
      <w:pPr>
        <w:pStyle w:val="24"/>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lang w:eastAsia="zh-CN"/>
        </w:rPr>
        <w:t>基本支出：指为保证机构正常运转，完成日常工作任务而发生的人员支出和公用支出。</w:t>
      </w:r>
    </w:p>
    <w:p>
      <w:pPr>
        <w:pStyle w:val="24"/>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lang w:eastAsia="zh-CN"/>
        </w:rPr>
        <w:t>项目支出：指在基本支出之外为完成特定行政任务和事业发展目标所发生的支出。</w:t>
      </w:r>
    </w:p>
    <w:p>
      <w:pPr>
        <w:pStyle w:val="24"/>
        <w:spacing w:line="560" w:lineRule="exact"/>
        <w:ind w:firstLine="640" w:firstLineChars="200"/>
        <w:rPr>
          <w:rFonts w:ascii="仿宋" w:hAnsi="仿宋" w:eastAsia="仿宋"/>
          <w:b/>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lang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2"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Fonts w:hint="eastAsia" w:ascii="黑体" w:hAnsi="黑体" w:eastAsia="黑体"/>
          <w:sz w:val="44"/>
          <w:szCs w:val="44"/>
        </w:rPr>
      </w:pPr>
      <w:bookmarkStart w:id="51" w:name="_Toc15396614"/>
      <w:bookmarkStart w:id="52"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26"/>
          <w:rFonts w:ascii="黑体" w:hAnsi="黑体" w:eastAsia="黑体"/>
          <w:b w:val="0"/>
        </w:rPr>
      </w:pPr>
      <w:r>
        <w:rPr>
          <w:rFonts w:hint="eastAsia" w:ascii="黑体" w:hAnsi="黑体" w:eastAsia="黑体"/>
          <w:sz w:val="44"/>
          <w:szCs w:val="44"/>
        </w:rPr>
        <w:t>第</w:t>
      </w:r>
      <w:r>
        <w:rPr>
          <w:rStyle w:val="26"/>
          <w:rFonts w:hint="eastAsia" w:ascii="黑体" w:hAnsi="黑体" w:eastAsia="黑体"/>
          <w:b w:val="0"/>
        </w:rPr>
        <w:t>四部分 附件</w:t>
      </w:r>
      <w:bookmarkEnd w:id="51"/>
    </w:p>
    <w:p>
      <w:pPr>
        <w:pStyle w:val="42"/>
        <w:spacing w:before="0" w:after="0" w:line="400" w:lineRule="exact"/>
        <w:jc w:val="center"/>
        <w:rPr>
          <w:rFonts w:ascii="黑体" w:hAnsi="黑体" w:eastAsia="黑体" w:cs="宋体"/>
          <w:color w:val="000000"/>
          <w:sz w:val="36"/>
          <w:szCs w:val="36"/>
          <w:lang w:eastAsia="zh-CN"/>
        </w:rPr>
      </w:pPr>
      <w:bookmarkStart w:id="53" w:name="_Toc15396618"/>
      <w:r>
        <w:rPr>
          <w:rFonts w:hint="eastAsia" w:ascii="黑体" w:hAnsi="黑体" w:eastAsia="黑体" w:cs="宋体"/>
          <w:color w:val="000000"/>
          <w:sz w:val="36"/>
          <w:szCs w:val="36"/>
          <w:lang w:eastAsia="zh-CN"/>
        </w:rPr>
        <w:t>202</w:t>
      </w:r>
      <w:r>
        <w:rPr>
          <w:rFonts w:hint="eastAsia" w:ascii="黑体" w:hAnsi="黑体" w:eastAsia="黑体" w:cs="宋体"/>
          <w:color w:val="000000"/>
          <w:sz w:val="36"/>
          <w:szCs w:val="36"/>
          <w:lang w:val="en-US" w:eastAsia="zh-CN"/>
        </w:rPr>
        <w:t>2</w:t>
      </w:r>
      <w:r>
        <w:rPr>
          <w:rFonts w:hint="eastAsia" w:ascii="黑体" w:hAnsi="黑体" w:eastAsia="黑体" w:cs="宋体"/>
          <w:color w:val="000000"/>
          <w:sz w:val="36"/>
          <w:szCs w:val="36"/>
          <w:lang w:eastAsia="zh-CN"/>
        </w:rPr>
        <w:t>年剑阁县汉阳小学校</w:t>
      </w:r>
    </w:p>
    <w:p>
      <w:pPr>
        <w:pStyle w:val="42"/>
        <w:spacing w:before="0" w:after="0" w:line="400" w:lineRule="exact"/>
        <w:jc w:val="center"/>
        <w:rPr>
          <w:rFonts w:ascii="黑体" w:hAnsi="黑体" w:eastAsia="黑体" w:cs="宋体"/>
          <w:color w:val="000000"/>
          <w:sz w:val="36"/>
          <w:szCs w:val="36"/>
          <w:lang w:eastAsia="zh-CN"/>
        </w:rPr>
      </w:pPr>
      <w:r>
        <w:rPr>
          <w:rFonts w:hint="eastAsia" w:ascii="黑体" w:hAnsi="黑体" w:eastAsia="黑体" w:cs="宋体"/>
          <w:color w:val="000000"/>
          <w:sz w:val="36"/>
          <w:szCs w:val="36"/>
          <w:lang w:eastAsia="zh-CN"/>
        </w:rPr>
        <w:t>部门整体绩效评价报告</w:t>
      </w:r>
    </w:p>
    <w:p>
      <w:pPr>
        <w:spacing w:line="600" w:lineRule="exact"/>
        <w:ind w:firstLine="640"/>
        <w:outlineLvl w:val="1"/>
        <w:rPr>
          <w:rFonts w:hint="eastAsia" w:ascii="黑体" w:eastAsia="黑体"/>
          <w:sz w:val="32"/>
          <w:szCs w:val="32"/>
          <w:lang w:eastAsia="zh-CN"/>
        </w:rPr>
      </w:pPr>
      <w:r>
        <w:rPr>
          <w:rFonts w:hint="eastAsia" w:ascii="黑体" w:eastAsia="黑体"/>
          <w:sz w:val="32"/>
          <w:szCs w:val="32"/>
          <w:lang w:eastAsia="zh-CN"/>
        </w:rPr>
        <w:t>一、基本情况</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（一）单位机构组成</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剑阁县汉阳小学校独立编制机构数1个，独立核算机构数1个，内部设教务处、教科室、政教处、总务处、少先队大队部五个部门。全年编制机构数和独立核算机构数无变化。</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（二）单位主要职能</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剑阁县汉阳小学校属财政预算一级单位，执行政府会计制度，宗旨和业务范围：实施小学义务教育，促进基础教育发展。</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（三）人员概况</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zh-CN" w:eastAsia="zh-CN" w:bidi="ar-SA"/>
        </w:rPr>
        <w:t>剑阁县汉阳小学校总编制</w:t>
      </w:r>
      <w:r>
        <w:rPr>
          <w:rFonts w:hint="eastAsia" w:ascii="仿宋_GB2312" w:hAnsi="仿宋_GB2312" w:eastAsia="仿宋_GB2312" w:cs="仿宋_GB2312"/>
          <w:kern w:val="0"/>
          <w:sz w:val="32"/>
          <w:szCs w:val="32"/>
          <w:lang w:val="en-US" w:eastAsia="zh-CN" w:bidi="ar-SA"/>
        </w:rPr>
        <w:t>39</w:t>
      </w:r>
      <w:r>
        <w:rPr>
          <w:rFonts w:hint="eastAsia" w:ascii="仿宋_GB2312" w:hAnsi="仿宋_GB2312" w:eastAsia="仿宋_GB2312" w:cs="仿宋_GB2312"/>
          <w:kern w:val="0"/>
          <w:sz w:val="32"/>
          <w:szCs w:val="32"/>
          <w:lang w:val="zh-CN" w:eastAsia="zh-CN" w:bidi="ar-SA"/>
        </w:rPr>
        <w:t>人，其中行政编制0名，参公编制0名，管理岗编制</w:t>
      </w:r>
      <w:r>
        <w:rPr>
          <w:rFonts w:hint="eastAsia"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kern w:val="0"/>
          <w:sz w:val="32"/>
          <w:szCs w:val="32"/>
          <w:lang w:val="zh-CN" w:eastAsia="zh-CN" w:bidi="ar-SA"/>
        </w:rPr>
        <w:t>名，专业技术编制</w:t>
      </w:r>
      <w:r>
        <w:rPr>
          <w:rFonts w:hint="eastAsia" w:ascii="仿宋_GB2312" w:hAnsi="仿宋_GB2312" w:eastAsia="仿宋_GB2312" w:cs="仿宋_GB2312"/>
          <w:kern w:val="0"/>
          <w:sz w:val="32"/>
          <w:szCs w:val="32"/>
          <w:lang w:val="en-US" w:eastAsia="zh-CN" w:bidi="ar-SA"/>
        </w:rPr>
        <w:t>37</w:t>
      </w:r>
      <w:r>
        <w:rPr>
          <w:rFonts w:hint="eastAsia" w:ascii="仿宋_GB2312" w:hAnsi="仿宋_GB2312" w:eastAsia="仿宋_GB2312" w:cs="仿宋_GB2312"/>
          <w:kern w:val="0"/>
          <w:sz w:val="32"/>
          <w:szCs w:val="32"/>
          <w:lang w:val="zh-CN" w:eastAsia="zh-CN" w:bidi="ar-SA"/>
        </w:rPr>
        <w:t>名，事业工勤编制</w:t>
      </w:r>
      <w:r>
        <w:rPr>
          <w:rFonts w:hint="eastAsia"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kern w:val="0"/>
          <w:sz w:val="32"/>
          <w:szCs w:val="32"/>
          <w:lang w:val="zh-CN" w:eastAsia="zh-CN" w:bidi="ar-SA"/>
        </w:rPr>
        <w:t>名。202</w:t>
      </w: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zh-CN" w:eastAsia="zh-CN" w:bidi="ar-SA"/>
        </w:rPr>
        <w:t>年末实有在职人员总数</w:t>
      </w:r>
      <w:r>
        <w:rPr>
          <w:rFonts w:hint="eastAsia" w:ascii="仿宋_GB2312" w:hAnsi="仿宋_GB2312" w:eastAsia="仿宋_GB2312" w:cs="仿宋_GB2312"/>
          <w:kern w:val="0"/>
          <w:sz w:val="32"/>
          <w:szCs w:val="32"/>
          <w:lang w:val="en-US" w:eastAsia="zh-CN" w:bidi="ar-SA"/>
        </w:rPr>
        <w:t>39</w:t>
      </w:r>
      <w:r>
        <w:rPr>
          <w:rFonts w:hint="eastAsia" w:ascii="仿宋_GB2312" w:hAnsi="仿宋_GB2312" w:eastAsia="仿宋_GB2312" w:cs="仿宋_GB2312"/>
          <w:kern w:val="0"/>
          <w:sz w:val="32"/>
          <w:szCs w:val="32"/>
          <w:lang w:val="zh-CN" w:eastAsia="zh-CN" w:bidi="ar-SA"/>
        </w:rPr>
        <w:t>人，其中行政人员0人，参公人员0人，事业人员</w:t>
      </w:r>
      <w:r>
        <w:rPr>
          <w:rFonts w:hint="eastAsia" w:ascii="仿宋_GB2312" w:hAnsi="仿宋_GB2312" w:eastAsia="仿宋_GB2312" w:cs="仿宋_GB2312"/>
          <w:kern w:val="0"/>
          <w:sz w:val="32"/>
          <w:szCs w:val="32"/>
          <w:lang w:val="en-US" w:eastAsia="zh-CN" w:bidi="ar-SA"/>
        </w:rPr>
        <w:t>39</w:t>
      </w:r>
      <w:r>
        <w:rPr>
          <w:rFonts w:hint="eastAsia" w:ascii="仿宋_GB2312" w:hAnsi="仿宋_GB2312" w:eastAsia="仿宋_GB2312" w:cs="仿宋_GB2312"/>
          <w:kern w:val="0"/>
          <w:sz w:val="32"/>
          <w:szCs w:val="32"/>
          <w:lang w:val="zh-CN" w:eastAsia="zh-CN" w:bidi="ar-SA"/>
        </w:rPr>
        <w:t>人，工勤人员</w:t>
      </w:r>
      <w:r>
        <w:rPr>
          <w:rFonts w:hint="eastAsia" w:ascii="仿宋_GB2312" w:hAnsi="仿宋_GB2312" w:eastAsia="仿宋_GB2312" w:cs="仿宋_GB2312"/>
          <w:kern w:val="0"/>
          <w:sz w:val="32"/>
          <w:szCs w:val="32"/>
          <w:lang w:val="en-US" w:eastAsia="zh-CN" w:bidi="ar-SA"/>
        </w:rPr>
        <w:t>0</w:t>
      </w:r>
      <w:r>
        <w:rPr>
          <w:rFonts w:hint="eastAsia" w:ascii="仿宋_GB2312" w:hAnsi="仿宋_GB2312" w:eastAsia="仿宋_GB2312" w:cs="仿宋_GB2312"/>
          <w:kern w:val="0"/>
          <w:sz w:val="32"/>
          <w:szCs w:val="32"/>
          <w:lang w:val="zh-CN" w:eastAsia="zh-CN" w:bidi="ar-SA"/>
        </w:rPr>
        <w:t>人；离休人员0人，退休人员</w:t>
      </w:r>
      <w:r>
        <w:rPr>
          <w:rFonts w:hint="eastAsia" w:ascii="仿宋_GB2312" w:hAnsi="仿宋_GB2312" w:eastAsia="仿宋_GB2312" w:cs="仿宋_GB2312"/>
          <w:kern w:val="0"/>
          <w:sz w:val="32"/>
          <w:szCs w:val="32"/>
          <w:lang w:val="en-US" w:eastAsia="zh-CN" w:bidi="ar-SA"/>
        </w:rPr>
        <w:t>36</w:t>
      </w:r>
      <w:r>
        <w:rPr>
          <w:rFonts w:hint="eastAsia" w:ascii="仿宋_GB2312" w:hAnsi="仿宋_GB2312" w:eastAsia="仿宋_GB2312" w:cs="仿宋_GB2312"/>
          <w:kern w:val="0"/>
          <w:sz w:val="32"/>
          <w:szCs w:val="32"/>
          <w:lang w:val="zh-CN" w:eastAsia="zh-CN" w:bidi="ar-SA"/>
        </w:rPr>
        <w:t>人。202</w:t>
      </w: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zh-CN" w:eastAsia="zh-CN" w:bidi="ar-SA"/>
        </w:rPr>
        <w:t>年末实有</w:t>
      </w:r>
      <w:r>
        <w:rPr>
          <w:rFonts w:hint="eastAsia" w:ascii="仿宋_GB2312" w:hAnsi="仿宋_GB2312" w:eastAsia="仿宋_GB2312" w:cs="仿宋_GB2312"/>
          <w:kern w:val="0"/>
          <w:sz w:val="32"/>
          <w:szCs w:val="32"/>
          <w:lang w:val="en-US" w:eastAsia="zh-CN" w:bidi="ar-SA"/>
        </w:rPr>
        <w:t>小</w:t>
      </w:r>
      <w:r>
        <w:rPr>
          <w:rFonts w:hint="eastAsia" w:ascii="仿宋_GB2312" w:hAnsi="仿宋_GB2312" w:eastAsia="仿宋_GB2312" w:cs="仿宋_GB2312"/>
          <w:kern w:val="0"/>
          <w:sz w:val="32"/>
          <w:szCs w:val="32"/>
          <w:lang w:val="zh-CN" w:eastAsia="zh-CN" w:bidi="ar-SA"/>
        </w:rPr>
        <w:t>学生人数</w:t>
      </w:r>
      <w:r>
        <w:rPr>
          <w:rFonts w:hint="eastAsia" w:ascii="仿宋_GB2312" w:hAnsi="仿宋_GB2312" w:eastAsia="仿宋_GB2312" w:cs="仿宋_GB2312"/>
          <w:kern w:val="0"/>
          <w:sz w:val="32"/>
          <w:szCs w:val="32"/>
          <w:lang w:val="en-US" w:eastAsia="zh-CN" w:bidi="ar-SA"/>
        </w:rPr>
        <w:t>349</w:t>
      </w:r>
      <w:r>
        <w:rPr>
          <w:rFonts w:hint="eastAsia" w:ascii="仿宋_GB2312" w:hAnsi="仿宋_GB2312" w:eastAsia="仿宋_GB2312" w:cs="仿宋_GB2312"/>
          <w:kern w:val="0"/>
          <w:sz w:val="32"/>
          <w:szCs w:val="32"/>
          <w:lang w:val="zh-CN" w:eastAsia="zh-CN" w:bidi="ar-SA"/>
        </w:rPr>
        <w:t>人，幼儿</w:t>
      </w:r>
      <w:r>
        <w:rPr>
          <w:rFonts w:hint="eastAsia" w:ascii="仿宋_GB2312" w:hAnsi="仿宋_GB2312" w:eastAsia="仿宋_GB2312" w:cs="仿宋_GB2312"/>
          <w:kern w:val="0"/>
          <w:sz w:val="32"/>
          <w:szCs w:val="32"/>
          <w:lang w:val="en-US" w:eastAsia="zh-CN" w:bidi="ar-SA"/>
        </w:rPr>
        <w:t>121人。</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（四）自评方法</w:t>
      </w:r>
    </w:p>
    <w:p>
      <w:pPr>
        <w:pStyle w:val="43"/>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我校高度重视预算支出绩效评价工作，成立了以校长为组长，财务分管领导为副组长，各部门主要负责人为成员的预算支出绩效评价领导小组。按照县财政局绩效评价规程要求，第一阶段为前期准备，由学校牵头，组织有关部门制定了详细的工作方案，明确责任，确定评价指标细则。第二阶段为实施评价阶段，根据上一阶段任务布置，各部门按照要求展开自评工作，并将评价结果报学校财务室。第三阶段为报告撰写阶段，财务室在各部门自评的基础上，查阅相关文件资料和财务凭证，对收集资料进行定量定性分析，综合评议后形成评价结论，出具绩效评价报告。第四阶段为应用整改阶段，根据整改要求，划定整改时限，确保整改实效。</w:t>
      </w:r>
    </w:p>
    <w:p>
      <w:pPr>
        <w:spacing w:line="600" w:lineRule="exact"/>
        <w:ind w:firstLine="640"/>
        <w:outlineLvl w:val="1"/>
        <w:rPr>
          <w:rFonts w:hint="eastAsia" w:ascii="黑体" w:eastAsia="黑体"/>
          <w:sz w:val="32"/>
          <w:szCs w:val="32"/>
          <w:lang w:eastAsia="zh-CN"/>
        </w:rPr>
      </w:pPr>
      <w:r>
        <w:rPr>
          <w:rFonts w:hint="eastAsia" w:ascii="黑体" w:eastAsia="黑体"/>
          <w:sz w:val="32"/>
          <w:szCs w:val="32"/>
          <w:lang w:eastAsia="zh-CN"/>
        </w:rPr>
        <w:t>二、部门财政资金收支管理情况</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（一）部门财政资金收入情况</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2022年汉阳小学收入总额为686.63万元，其中：一般公共预算拨款收入685.03万元，政府性基金预算财政拨款收入1.6万元。</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w:t>
      </w:r>
      <w:r>
        <w:rPr>
          <w:rFonts w:hint="eastAsia" w:ascii="仿宋" w:hAnsi="仿宋" w:eastAsia="仿宋"/>
          <w:b/>
          <w:sz w:val="32"/>
          <w:szCs w:val="32"/>
          <w:lang w:val="en-US" w:eastAsia="zh-CN"/>
        </w:rPr>
        <w:t>二</w:t>
      </w:r>
      <w:r>
        <w:rPr>
          <w:rFonts w:hint="eastAsia" w:ascii="仿宋" w:hAnsi="仿宋" w:eastAsia="仿宋"/>
          <w:b/>
          <w:sz w:val="32"/>
          <w:szCs w:val="32"/>
          <w:lang w:eastAsia="zh-CN"/>
        </w:rPr>
        <w:t>）部门财政资金支出情况</w:t>
      </w:r>
    </w:p>
    <w:p>
      <w:pPr>
        <w:spacing w:line="600" w:lineRule="exact"/>
        <w:ind w:firstLine="642" w:firstLineChars="200"/>
        <w:outlineLvl w:val="2"/>
        <w:rPr>
          <w:rFonts w:hint="eastAsia" w:ascii="仿宋_GB2312" w:hAnsi="仿宋_GB2312" w:eastAsia="仿宋_GB2312" w:cs="仿宋_GB2312"/>
          <w:kern w:val="0"/>
          <w:sz w:val="32"/>
          <w:szCs w:val="32"/>
          <w:lang w:val="en-US" w:eastAsia="zh-CN" w:bidi="ar-SA"/>
        </w:rPr>
      </w:pPr>
      <w:r>
        <w:rPr>
          <w:rFonts w:hint="eastAsia" w:ascii="仿宋" w:hAnsi="仿宋" w:eastAsia="仿宋"/>
          <w:b/>
          <w:sz w:val="32"/>
          <w:szCs w:val="32"/>
          <w:lang w:eastAsia="zh-CN"/>
        </w:rPr>
        <w:tab/>
      </w:r>
      <w:r>
        <w:rPr>
          <w:rFonts w:hint="eastAsia" w:ascii="仿宋_GB2312" w:hAnsi="仿宋_GB2312" w:eastAsia="仿宋_GB2312" w:cs="仿宋_GB2312"/>
          <w:kern w:val="0"/>
          <w:sz w:val="32"/>
          <w:szCs w:val="32"/>
          <w:lang w:val="en-US" w:eastAsia="zh-CN" w:bidi="ar-SA"/>
        </w:rPr>
        <w:t>2022年本年支出合计686.63万元。其中：工资福利支出555.89万元，占80.96%；商品服务支出62.80万元，</w:t>
      </w:r>
      <w:r>
        <w:rPr>
          <w:rFonts w:hint="eastAsia" w:ascii="仿宋_GB2312" w:hAnsi="仿宋_GB2312" w:eastAsia="仿宋_GB2312" w:cs="仿宋_GB2312"/>
          <w:kern w:val="0"/>
          <w:sz w:val="32"/>
          <w:szCs w:val="32"/>
          <w:lang w:val="en-US" w:eastAsia="zh-CN" w:bidi="ar-SA"/>
        </w:rPr>
        <w:drawing>
          <wp:anchor distT="0" distB="0" distL="114300" distR="114300" simplePos="0" relativeHeight="251664384" behindDoc="1" locked="0" layoutInCell="1" allowOverlap="1">
            <wp:simplePos x="0" y="0"/>
            <wp:positionH relativeFrom="page">
              <wp:posOffset>2081530</wp:posOffset>
            </wp:positionH>
            <wp:positionV relativeFrom="page">
              <wp:posOffset>1484630</wp:posOffset>
            </wp:positionV>
            <wp:extent cx="5301615" cy="8408670"/>
            <wp:effectExtent l="0" t="0" r="1905" b="3810"/>
            <wp:wrapNone/>
            <wp:docPr id="2"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true"/>
                    </pic:cNvPicPr>
                  </pic:nvPicPr>
                  <pic:blipFill>
                    <a:blip r:embed="rId13"/>
                    <a:stretch>
                      <a:fillRect/>
                    </a:stretch>
                  </pic:blipFill>
                  <pic:spPr>
                    <a:xfrm>
                      <a:off x="0" y="0"/>
                      <a:ext cx="5301615" cy="8408670"/>
                    </a:xfrm>
                    <a:prstGeom prst="rect">
                      <a:avLst/>
                    </a:prstGeom>
                    <a:noFill/>
                    <a:ln>
                      <a:noFill/>
                    </a:ln>
                  </pic:spPr>
                </pic:pic>
              </a:graphicData>
            </a:graphic>
          </wp:anchor>
        </w:drawing>
      </w:r>
      <w:r>
        <w:rPr>
          <w:rFonts w:hint="eastAsia" w:ascii="仿宋_GB2312" w:hAnsi="仿宋_GB2312" w:eastAsia="仿宋_GB2312" w:cs="仿宋_GB2312"/>
          <w:kern w:val="0"/>
          <w:sz w:val="32"/>
          <w:szCs w:val="32"/>
          <w:lang w:val="en-US" w:eastAsia="zh-CN" w:bidi="ar-SA"/>
        </w:rPr>
        <w:t>占9.15%；对个人和家庭的补助支出67.94万元，占9.89%。</w:t>
      </w:r>
    </w:p>
    <w:p>
      <w:pPr>
        <w:spacing w:line="600" w:lineRule="exact"/>
        <w:ind w:firstLine="640"/>
        <w:outlineLvl w:val="1"/>
        <w:rPr>
          <w:rFonts w:hint="eastAsia" w:ascii="黑体" w:eastAsia="黑体"/>
          <w:sz w:val="32"/>
          <w:szCs w:val="32"/>
          <w:lang w:eastAsia="zh-CN"/>
        </w:rPr>
      </w:pPr>
      <w:r>
        <w:rPr>
          <w:rFonts w:hint="eastAsia" w:ascii="黑体" w:eastAsia="黑体"/>
          <w:sz w:val="32"/>
          <w:szCs w:val="32"/>
          <w:lang w:eastAsia="zh-CN"/>
        </w:rPr>
        <w:t>三、部门整体预算绩效管理情况</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（一）单位预算管理</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我校及时组织财务人员进行预决算的编制，对本年度相应用款进行及时清理和处理，做到账账相符、账实相符、账证相符，按先有预算再有支出的原则，及时处理相关事务；对绩效目标进行季度梳理和年度分析，及时上报相关报表；对专项预算提前细化，分科目上报，做到收支平衡。预算动态调整及时、执行及时，预算完成情况良好，无违规记录。</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ascii="华文仿宋" w:hAnsi="华文仿宋" w:eastAsia="华文仿宋" w:cs="宋体"/>
          <w:color w:val="000000"/>
          <w:sz w:val="24"/>
          <w:szCs w:val="24"/>
          <w:lang w:eastAsia="zh-CN"/>
        </w:rPr>
      </w:pPr>
      <w:r>
        <w:rPr>
          <w:rFonts w:hint="eastAsia" w:ascii="仿宋_GB2312" w:hAnsi="仿宋_GB2312" w:eastAsia="仿宋_GB2312" w:cs="仿宋_GB2312"/>
          <w:kern w:val="0"/>
          <w:sz w:val="32"/>
          <w:szCs w:val="32"/>
          <w:lang w:val="en-US" w:eastAsia="zh-CN" w:bidi="ar-SA"/>
        </w:rPr>
        <w:t>预算编制：我校对2022年部门支出进行预算：2022年本年收入合计686.63万元，其中：一般公共预算财政拨款收入685.03万元，占99.77%；政府性基金预算财政拨款收入1.6万元，占0.23%；上级补助收入0万元；事业收入0万元；经营收入0万元；附属单位上缴收入0万元；其他收入0万元</w:t>
      </w:r>
      <w:r>
        <w:rPr>
          <w:rFonts w:hint="eastAsia" w:ascii="华文仿宋" w:hAnsi="华文仿宋" w:eastAsia="华文仿宋" w:cs="宋体"/>
          <w:color w:val="000000"/>
          <w:sz w:val="24"/>
          <w:szCs w:val="24"/>
          <w:lang w:eastAsia="zh-CN"/>
        </w:rPr>
        <w:t>。</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（二）结果应用情况</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通过对本部门2022年部门整体支出绩效自评，能够严格执行预算管理，达到了预期目的，通过对部门整体支出绩效的自评，有利于更好地加强对2022年部门整体支出的管理，合理分配各项支出，保障了学校重点工作的开展。</w:t>
      </w:r>
    </w:p>
    <w:p>
      <w:pPr>
        <w:spacing w:line="600" w:lineRule="exact"/>
        <w:ind w:firstLine="640"/>
        <w:outlineLvl w:val="1"/>
        <w:rPr>
          <w:rFonts w:hint="eastAsia" w:ascii="黑体" w:eastAsia="黑体"/>
          <w:sz w:val="32"/>
          <w:szCs w:val="32"/>
          <w:lang w:eastAsia="zh-CN"/>
        </w:rPr>
      </w:pPr>
      <w:r>
        <w:rPr>
          <w:rFonts w:hint="eastAsia" w:ascii="黑体" w:eastAsia="黑体"/>
          <w:sz w:val="32"/>
          <w:szCs w:val="32"/>
          <w:lang w:eastAsia="zh-CN"/>
        </w:rPr>
        <w:t>四、评价结论及建议</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（一）评价结论及存在问题</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通过绩效评价工作的逐步推进，学校内部各部门逐步树立了绩效理念，对预算绩效评价工作态度由“被动接受”变为“主动实施”，但了解还不够深入，对单位绩效不重视，认为绩效评价只是财务部门的事情，相关职责部门配合不够，往往只能提供有限的财经资料或简单的工作计划、工作总结，绩效评价工作资料非常有限，内容粗浅。</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（二）改进建议</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细化预算编制工作，认真做好预算的编制。进一步加强学校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2.加强财务管理，严格财务审核。在费用报账支付时，按照预算规定的费用项目和用途进行资金使用、审核、列报支付、财务核算，杜绝超支现象的发生。</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持续抓好“三公”经费控制管理。严格控制“三公”经费的规模和比例，严把“三公”经费支出的审核、审批，杜绝挪用和挤占其他预算资金行为；进一步细化“三公”经费的管理，合理压缩“三公”经费支出。</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4.加强项目开展进度的跟踪，开展项目绩效评价，确保项目绩效目标的完成。</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p>
    <w:p>
      <w:pPr>
        <w:pStyle w:val="42"/>
        <w:spacing w:before="0" w:after="0" w:line="400" w:lineRule="exact"/>
        <w:ind w:firstLine="480" w:firstLineChars="200"/>
        <w:jc w:val="left"/>
        <w:rPr>
          <w:rFonts w:hint="eastAsia" w:ascii="黑体" w:hAnsi="黑体" w:eastAsia="黑体" w:cs="宋体"/>
          <w:color w:val="000000"/>
          <w:sz w:val="24"/>
          <w:szCs w:val="24"/>
          <w:lang w:eastAsia="zh-CN"/>
        </w:rPr>
      </w:pPr>
    </w:p>
    <w:p>
      <w:pPr>
        <w:pStyle w:val="47"/>
        <w:spacing w:before="0" w:after="0" w:line="400" w:lineRule="exact"/>
        <w:jc w:val="left"/>
        <w:rPr>
          <w:rFonts w:hint="eastAsia" w:ascii="黑体" w:hAnsi="黑体" w:eastAsia="黑体" w:cs="宋体"/>
          <w:color w:val="000000"/>
          <w:sz w:val="24"/>
          <w:szCs w:val="24"/>
          <w:lang w:eastAsia="zh-CN"/>
        </w:rPr>
      </w:pPr>
    </w:p>
    <w:p>
      <w:pPr>
        <w:pStyle w:val="47"/>
        <w:spacing w:before="0" w:after="0" w:line="400" w:lineRule="exact"/>
        <w:jc w:val="left"/>
        <w:rPr>
          <w:rFonts w:hint="eastAsia" w:ascii="黑体" w:hAnsi="黑体" w:eastAsia="黑体" w:cs="宋体"/>
          <w:color w:val="000000"/>
          <w:sz w:val="24"/>
          <w:szCs w:val="24"/>
          <w:lang w:eastAsia="zh-CN"/>
        </w:rPr>
      </w:pPr>
    </w:p>
    <w:p>
      <w:pPr>
        <w:pStyle w:val="47"/>
        <w:spacing w:before="0" w:after="0" w:line="400" w:lineRule="exact"/>
        <w:jc w:val="left"/>
        <w:rPr>
          <w:rFonts w:hint="eastAsia" w:ascii="黑体" w:hAnsi="黑体" w:eastAsia="黑体" w:cs="宋体"/>
          <w:color w:val="000000"/>
          <w:sz w:val="24"/>
          <w:szCs w:val="24"/>
          <w:lang w:eastAsia="zh-CN"/>
        </w:rPr>
      </w:pPr>
    </w:p>
    <w:p>
      <w:pPr>
        <w:pStyle w:val="47"/>
        <w:spacing w:before="0" w:after="0" w:line="400" w:lineRule="exact"/>
        <w:jc w:val="left"/>
        <w:rPr>
          <w:rFonts w:hint="eastAsia" w:ascii="黑体" w:hAnsi="黑体" w:eastAsia="黑体" w:cs="宋体"/>
          <w:color w:val="000000"/>
          <w:sz w:val="24"/>
          <w:szCs w:val="24"/>
          <w:lang w:eastAsia="zh-CN"/>
        </w:rPr>
      </w:pPr>
    </w:p>
    <w:p>
      <w:pPr>
        <w:pStyle w:val="47"/>
        <w:spacing w:before="0" w:after="0" w:line="400" w:lineRule="exact"/>
        <w:jc w:val="left"/>
        <w:rPr>
          <w:rFonts w:hint="eastAsia" w:ascii="黑体" w:hAnsi="黑体" w:eastAsia="黑体" w:cs="宋体"/>
          <w:color w:val="000000"/>
          <w:sz w:val="24"/>
          <w:szCs w:val="24"/>
          <w:lang w:eastAsia="zh-CN"/>
        </w:rPr>
      </w:pPr>
    </w:p>
    <w:p>
      <w:pPr>
        <w:pStyle w:val="47"/>
        <w:spacing w:before="0" w:after="0" w:line="400" w:lineRule="exact"/>
        <w:jc w:val="left"/>
        <w:rPr>
          <w:rFonts w:hint="eastAsia" w:ascii="黑体" w:hAnsi="黑体" w:eastAsia="黑体" w:cs="宋体"/>
          <w:color w:val="000000"/>
          <w:sz w:val="24"/>
          <w:szCs w:val="24"/>
          <w:lang w:eastAsia="zh-CN"/>
        </w:rPr>
      </w:pPr>
    </w:p>
    <w:p>
      <w:pPr>
        <w:pStyle w:val="47"/>
        <w:spacing w:before="0" w:after="0" w:line="400" w:lineRule="exact"/>
        <w:jc w:val="left"/>
        <w:rPr>
          <w:rFonts w:hint="eastAsia" w:ascii="黑体" w:hAnsi="黑体" w:eastAsia="黑体" w:cs="宋体"/>
          <w:color w:val="000000"/>
          <w:sz w:val="24"/>
          <w:szCs w:val="24"/>
          <w:lang w:eastAsia="zh-CN"/>
        </w:rPr>
      </w:pPr>
    </w:p>
    <w:p>
      <w:pPr>
        <w:pStyle w:val="47"/>
        <w:spacing w:before="0" w:after="0" w:line="400" w:lineRule="exact"/>
        <w:jc w:val="left"/>
        <w:rPr>
          <w:rFonts w:hint="eastAsia" w:ascii="黑体" w:hAnsi="黑体" w:eastAsia="黑体" w:cs="宋体"/>
          <w:color w:val="000000"/>
          <w:sz w:val="24"/>
          <w:szCs w:val="24"/>
          <w:lang w:eastAsia="zh-CN"/>
        </w:rPr>
      </w:pPr>
    </w:p>
    <w:p>
      <w:pPr>
        <w:pStyle w:val="47"/>
        <w:spacing w:before="0" w:after="0" w:line="400" w:lineRule="exact"/>
        <w:jc w:val="left"/>
        <w:rPr>
          <w:rFonts w:hint="eastAsia" w:ascii="黑体" w:hAnsi="黑体" w:eastAsia="黑体" w:cs="宋体"/>
          <w:color w:val="000000"/>
          <w:sz w:val="24"/>
          <w:szCs w:val="24"/>
          <w:lang w:eastAsia="zh-CN"/>
        </w:rPr>
      </w:pPr>
    </w:p>
    <w:p>
      <w:pPr>
        <w:pStyle w:val="42"/>
        <w:spacing w:before="0" w:after="0" w:line="400" w:lineRule="exact"/>
        <w:jc w:val="center"/>
        <w:rPr>
          <w:rFonts w:hint="eastAsia" w:ascii="黑体" w:hAnsi="黑体" w:eastAsia="黑体" w:cs="宋体"/>
          <w:color w:val="000000"/>
          <w:sz w:val="36"/>
          <w:szCs w:val="36"/>
          <w:lang w:val="zh-CN" w:eastAsia="zh-CN"/>
        </w:rPr>
      </w:pPr>
      <w:bookmarkStart w:id="54" w:name="bookmark4"/>
      <w:r>
        <w:rPr>
          <w:rFonts w:hint="eastAsia" w:ascii="黑体" w:hAnsi="黑体" w:eastAsia="黑体" w:cs="宋体"/>
          <w:color w:val="000000"/>
          <w:sz w:val="36"/>
          <w:szCs w:val="36"/>
          <w:lang w:val="zh-CN" w:eastAsia="zh-CN"/>
        </w:rPr>
        <w:t>剑阁县</w:t>
      </w:r>
      <w:r>
        <w:rPr>
          <w:rFonts w:hint="eastAsia" w:ascii="黑体" w:hAnsi="黑体" w:eastAsia="黑体" w:cs="宋体"/>
          <w:color w:val="000000"/>
          <w:sz w:val="36"/>
          <w:szCs w:val="36"/>
          <w:lang w:val="en-US" w:eastAsia="zh-CN"/>
        </w:rPr>
        <w:t>汉阳</w:t>
      </w:r>
      <w:r>
        <w:rPr>
          <w:rFonts w:hint="eastAsia" w:ascii="黑体" w:hAnsi="黑体" w:eastAsia="黑体" w:cs="宋体"/>
          <w:color w:val="000000"/>
          <w:sz w:val="36"/>
          <w:szCs w:val="36"/>
          <w:lang w:val="zh-CN" w:eastAsia="zh-CN"/>
        </w:rPr>
        <w:t>小学</w:t>
      </w:r>
      <w:r>
        <w:rPr>
          <w:rFonts w:hint="eastAsia" w:ascii="黑体" w:hAnsi="黑体" w:eastAsia="黑体" w:cs="宋体"/>
          <w:color w:val="000000"/>
          <w:sz w:val="36"/>
          <w:szCs w:val="36"/>
          <w:lang w:val="en-US" w:eastAsia="zh-CN"/>
        </w:rPr>
        <w:t>校食堂</w:t>
      </w:r>
    </w:p>
    <w:p>
      <w:pPr>
        <w:pStyle w:val="42"/>
        <w:spacing w:before="0" w:after="0" w:line="400" w:lineRule="exact"/>
        <w:jc w:val="center"/>
        <w:rPr>
          <w:rFonts w:hint="eastAsia" w:ascii="黑体" w:hAnsi="黑体" w:eastAsia="黑体" w:cs="黑体"/>
          <w:b/>
          <w:color w:val="000000"/>
          <w:spacing w:val="30"/>
          <w:sz w:val="36"/>
          <w:szCs w:val="36"/>
          <w:lang w:val="zh-CN" w:bidi="zh-CN"/>
        </w:rPr>
      </w:pPr>
      <w:r>
        <w:rPr>
          <w:rFonts w:hint="eastAsia" w:ascii="黑体" w:hAnsi="黑体" w:eastAsia="黑体" w:cs="宋体"/>
          <w:color w:val="000000"/>
          <w:sz w:val="36"/>
          <w:szCs w:val="36"/>
          <w:lang w:val="en-US" w:eastAsia="zh-CN"/>
        </w:rPr>
        <w:t>工勤人员补助</w:t>
      </w:r>
      <w:r>
        <w:rPr>
          <w:rFonts w:hint="eastAsia" w:ascii="黑体" w:hAnsi="黑体" w:eastAsia="黑体" w:cs="宋体"/>
          <w:color w:val="000000"/>
          <w:sz w:val="36"/>
          <w:szCs w:val="36"/>
          <w:lang w:val="zh-CN" w:eastAsia="zh-CN"/>
        </w:rPr>
        <w:t>项目资金支出绩效自评报告</w:t>
      </w:r>
      <w:bookmarkEnd w:id="54"/>
    </w:p>
    <w:p>
      <w:pPr>
        <w:spacing w:line="600" w:lineRule="exact"/>
        <w:ind w:firstLine="640" w:firstLineChars="200"/>
        <w:outlineLvl w:val="1"/>
        <w:rPr>
          <w:rFonts w:hint="eastAsia" w:ascii="黑体" w:eastAsia="黑体"/>
          <w:sz w:val="32"/>
          <w:szCs w:val="32"/>
          <w:lang w:val="zh-CN" w:eastAsia="zh-CN"/>
        </w:rPr>
      </w:pPr>
      <w:r>
        <w:rPr>
          <w:rFonts w:hint="eastAsia" w:ascii="黑体" w:eastAsia="黑体"/>
          <w:sz w:val="32"/>
          <w:szCs w:val="32"/>
          <w:lang w:val="en-US" w:eastAsia="zh-CN"/>
        </w:rPr>
        <w:t>一、</w:t>
      </w:r>
      <w:r>
        <w:rPr>
          <w:rFonts w:hint="eastAsia" w:ascii="黑体" w:eastAsia="黑体"/>
          <w:sz w:val="32"/>
          <w:szCs w:val="32"/>
          <w:lang w:val="zh-CN" w:eastAsia="zh-CN"/>
        </w:rPr>
        <w:t>项目概况</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zh-CN" w:eastAsia="zh-CN" w:bidi="ar-SA"/>
        </w:rPr>
        <w:t>汉阳小学食堂工勤人员项目，财政预算总资金</w:t>
      </w:r>
      <w:r>
        <w:rPr>
          <w:rFonts w:hint="eastAsia" w:ascii="仿宋_GB2312" w:hAnsi="仿宋_GB2312" w:eastAsia="仿宋_GB2312" w:cs="仿宋_GB2312"/>
          <w:kern w:val="0"/>
          <w:sz w:val="32"/>
          <w:szCs w:val="32"/>
          <w:lang w:val="en-US" w:eastAsia="zh-CN" w:bidi="ar-SA"/>
        </w:rPr>
        <w:t>3.5</w:t>
      </w:r>
      <w:r>
        <w:rPr>
          <w:rFonts w:hint="eastAsia" w:ascii="仿宋_GB2312" w:hAnsi="仿宋_GB2312" w:eastAsia="仿宋_GB2312" w:cs="仿宋_GB2312"/>
          <w:kern w:val="0"/>
          <w:sz w:val="32"/>
          <w:szCs w:val="32"/>
          <w:lang w:val="zh-CN" w:eastAsia="zh-CN" w:bidi="ar-SA"/>
        </w:rPr>
        <w:t>万元，实施内容包括</w:t>
      </w:r>
      <w:r>
        <w:rPr>
          <w:rFonts w:hint="eastAsia" w:ascii="仿宋_GB2312" w:hAnsi="仿宋_GB2312" w:eastAsia="仿宋_GB2312" w:cs="仿宋_GB2312"/>
          <w:kern w:val="0"/>
          <w:sz w:val="32"/>
          <w:szCs w:val="32"/>
          <w:lang w:val="en-US" w:eastAsia="zh-CN" w:bidi="ar-SA"/>
        </w:rPr>
        <w:t>食堂设施维修、工人劳务费等。</w:t>
      </w:r>
    </w:p>
    <w:p>
      <w:pPr>
        <w:spacing w:line="600" w:lineRule="exact"/>
        <w:ind w:firstLine="642" w:firstLineChars="200"/>
        <w:outlineLvl w:val="2"/>
        <w:rPr>
          <w:rFonts w:hint="eastAsia" w:ascii="仿宋" w:hAnsi="仿宋" w:eastAsia="仿宋"/>
          <w:b/>
          <w:sz w:val="32"/>
          <w:szCs w:val="32"/>
          <w:lang w:val="zh-CN" w:eastAsia="zh-CN"/>
        </w:rPr>
      </w:pPr>
      <w:r>
        <w:rPr>
          <w:rFonts w:hint="eastAsia" w:ascii="仿宋" w:hAnsi="仿宋" w:eastAsia="仿宋"/>
          <w:b/>
          <w:sz w:val="32"/>
          <w:szCs w:val="32"/>
          <w:lang w:eastAsia="zh-CN"/>
        </w:rPr>
        <w:t xml:space="preserve"> (一）项目资金申报及批复情况</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汉阳小学食堂工勤人员项目，财政预算资金</w:t>
      </w:r>
      <w:r>
        <w:rPr>
          <w:rFonts w:hint="eastAsia" w:ascii="仿宋_GB2312" w:hAnsi="仿宋_GB2312" w:eastAsia="仿宋_GB2312" w:cs="仿宋_GB2312"/>
          <w:kern w:val="0"/>
          <w:sz w:val="32"/>
          <w:szCs w:val="32"/>
          <w:lang w:val="en-US" w:eastAsia="zh-CN" w:bidi="ar-SA"/>
        </w:rPr>
        <w:t>3.5</w:t>
      </w:r>
      <w:r>
        <w:rPr>
          <w:rFonts w:hint="eastAsia" w:ascii="仿宋_GB2312" w:hAnsi="仿宋_GB2312" w:eastAsia="仿宋_GB2312" w:cs="仿宋_GB2312"/>
          <w:kern w:val="0"/>
          <w:sz w:val="32"/>
          <w:szCs w:val="32"/>
          <w:lang w:val="zh-CN" w:eastAsia="zh-CN" w:bidi="ar-SA"/>
        </w:rPr>
        <w:t>万元，经教育主管部门审批实施。经学校研究，该项目资金</w:t>
      </w:r>
      <w:r>
        <w:rPr>
          <w:rFonts w:hint="eastAsia" w:ascii="仿宋_GB2312" w:hAnsi="仿宋_GB2312" w:eastAsia="仿宋_GB2312" w:cs="仿宋_GB2312"/>
          <w:kern w:val="0"/>
          <w:sz w:val="32"/>
          <w:szCs w:val="32"/>
          <w:lang w:val="en-US" w:eastAsia="zh-CN" w:bidi="ar-SA"/>
        </w:rPr>
        <w:t>主要</w:t>
      </w:r>
      <w:r>
        <w:rPr>
          <w:rFonts w:hint="eastAsia" w:ascii="仿宋_GB2312" w:hAnsi="仿宋_GB2312" w:eastAsia="仿宋_GB2312" w:cs="仿宋_GB2312"/>
          <w:kern w:val="0"/>
          <w:sz w:val="32"/>
          <w:szCs w:val="32"/>
          <w:lang w:val="zh-CN" w:eastAsia="zh-CN" w:bidi="ar-SA"/>
        </w:rPr>
        <w:t>用于学校</w:t>
      </w:r>
      <w:r>
        <w:rPr>
          <w:rFonts w:hint="eastAsia" w:ascii="仿宋_GB2312" w:hAnsi="仿宋_GB2312" w:eastAsia="仿宋_GB2312" w:cs="仿宋_GB2312"/>
          <w:kern w:val="0"/>
          <w:sz w:val="32"/>
          <w:szCs w:val="32"/>
          <w:lang w:val="en-US" w:eastAsia="zh-CN" w:bidi="ar-SA"/>
        </w:rPr>
        <w:t>食堂设施维修及工人劳务费</w:t>
      </w:r>
      <w:r>
        <w:rPr>
          <w:rFonts w:hint="eastAsia" w:ascii="仿宋_GB2312" w:hAnsi="仿宋_GB2312" w:eastAsia="仿宋_GB2312" w:cs="仿宋_GB2312"/>
          <w:kern w:val="0"/>
          <w:sz w:val="32"/>
          <w:szCs w:val="32"/>
          <w:lang w:val="zh-CN" w:eastAsia="zh-CN" w:bidi="ar-SA"/>
        </w:rPr>
        <w:t>，具有高度可行性。</w:t>
      </w:r>
    </w:p>
    <w:p>
      <w:pPr>
        <w:spacing w:line="600" w:lineRule="exact"/>
        <w:ind w:firstLine="642" w:firstLineChars="200"/>
        <w:outlineLvl w:val="2"/>
        <w:rPr>
          <w:rFonts w:hint="eastAsia" w:ascii="仿宋" w:hAnsi="仿宋" w:eastAsia="仿宋"/>
          <w:b/>
          <w:sz w:val="32"/>
          <w:szCs w:val="32"/>
          <w:lang w:val="zh-CN" w:eastAsia="zh-CN"/>
        </w:rPr>
      </w:pPr>
      <w:r>
        <w:rPr>
          <w:rFonts w:hint="eastAsia" w:ascii="仿宋" w:hAnsi="仿宋" w:eastAsia="仿宋"/>
          <w:b/>
          <w:sz w:val="32"/>
          <w:szCs w:val="32"/>
          <w:lang w:eastAsia="zh-CN"/>
        </w:rPr>
        <w:t>（二）项目绩效目标</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kern w:val="0"/>
          <w:sz w:val="32"/>
          <w:szCs w:val="32"/>
          <w:lang w:val="zh-CN" w:eastAsia="zh-CN" w:bidi="ar-SA"/>
        </w:rPr>
        <w:t>经济性指标</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更好地为师生服务，</w:t>
      </w:r>
      <w:r>
        <w:rPr>
          <w:rFonts w:hint="eastAsia" w:ascii="仿宋_GB2312" w:hAnsi="仿宋_GB2312" w:eastAsia="仿宋_GB2312" w:cs="仿宋_GB2312"/>
          <w:kern w:val="0"/>
          <w:sz w:val="32"/>
          <w:szCs w:val="32"/>
          <w:lang w:val="en-US" w:eastAsia="zh-CN" w:bidi="ar-SA"/>
        </w:rPr>
        <w:t>提高师生营养伙食标准，</w:t>
      </w:r>
      <w:r>
        <w:rPr>
          <w:rFonts w:hint="eastAsia" w:ascii="仿宋_GB2312" w:hAnsi="仿宋_GB2312" w:eastAsia="仿宋_GB2312" w:cs="仿宋_GB2312"/>
          <w:kern w:val="0"/>
          <w:sz w:val="32"/>
          <w:szCs w:val="32"/>
          <w:lang w:val="zh-CN" w:eastAsia="zh-CN" w:bidi="ar-SA"/>
        </w:rPr>
        <w:t>推动了地方经济的发展。</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zh-CN" w:eastAsia="zh-CN" w:bidi="ar-SA"/>
        </w:rPr>
        <w:t>社会及效率指标</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师生生活得到极大改善，学生</w:t>
      </w:r>
      <w:r>
        <w:rPr>
          <w:rFonts w:hint="eastAsia" w:ascii="仿宋_GB2312" w:hAnsi="仿宋_GB2312" w:eastAsia="仿宋_GB2312" w:cs="仿宋_GB2312"/>
          <w:kern w:val="0"/>
          <w:sz w:val="32"/>
          <w:szCs w:val="32"/>
          <w:lang w:val="en-US" w:eastAsia="zh-CN" w:bidi="ar-SA"/>
        </w:rPr>
        <w:t>营养</w:t>
      </w:r>
      <w:r>
        <w:rPr>
          <w:rFonts w:hint="eastAsia" w:ascii="仿宋_GB2312" w:hAnsi="仿宋_GB2312" w:eastAsia="仿宋_GB2312" w:cs="仿宋_GB2312"/>
          <w:kern w:val="0"/>
          <w:sz w:val="32"/>
          <w:szCs w:val="32"/>
          <w:lang w:val="zh-CN" w:eastAsia="zh-CN" w:bidi="ar-SA"/>
        </w:rPr>
        <w:t>得到保障，丰富了学生生活，受到了</w:t>
      </w:r>
      <w:r>
        <w:rPr>
          <w:rFonts w:hint="eastAsia" w:ascii="仿宋_GB2312" w:hAnsi="仿宋_GB2312" w:eastAsia="仿宋_GB2312" w:cs="仿宋_GB2312"/>
          <w:kern w:val="0"/>
          <w:sz w:val="32"/>
          <w:szCs w:val="32"/>
          <w:lang w:val="en-US" w:eastAsia="zh-CN" w:bidi="ar-SA"/>
        </w:rPr>
        <w:t>师生</w:t>
      </w:r>
      <w:r>
        <w:rPr>
          <w:rFonts w:hint="eastAsia" w:ascii="仿宋_GB2312" w:hAnsi="仿宋_GB2312" w:eastAsia="仿宋_GB2312" w:cs="仿宋_GB2312"/>
          <w:kern w:val="0"/>
          <w:sz w:val="32"/>
          <w:szCs w:val="32"/>
          <w:lang w:val="zh-CN" w:eastAsia="zh-CN" w:bidi="ar-SA"/>
        </w:rPr>
        <w:t>及家长的一致好评。</w:t>
      </w:r>
    </w:p>
    <w:p>
      <w:pPr>
        <w:spacing w:line="600" w:lineRule="exact"/>
        <w:ind w:firstLine="642" w:firstLineChars="200"/>
        <w:outlineLvl w:val="2"/>
        <w:rPr>
          <w:rFonts w:hint="eastAsia" w:ascii="仿宋" w:hAnsi="仿宋" w:eastAsia="仿宋"/>
          <w:b/>
          <w:sz w:val="32"/>
          <w:szCs w:val="32"/>
          <w:lang w:val="zh-CN" w:eastAsia="zh-CN"/>
        </w:rPr>
      </w:pPr>
      <w:r>
        <w:rPr>
          <w:rFonts w:hint="eastAsia" w:ascii="仿宋" w:hAnsi="仿宋" w:eastAsia="仿宋"/>
          <w:b/>
          <w:sz w:val="32"/>
          <w:szCs w:val="32"/>
          <w:lang w:eastAsia="zh-CN"/>
        </w:rPr>
        <w:t xml:space="preserve"> (三）</w:t>
      </w:r>
      <w:r>
        <w:rPr>
          <w:rFonts w:hint="eastAsia" w:ascii="仿宋" w:hAnsi="仿宋" w:eastAsia="仿宋"/>
          <w:b/>
          <w:sz w:val="32"/>
          <w:szCs w:val="32"/>
          <w:lang w:eastAsia="zh-CN"/>
        </w:rPr>
        <w:tab/>
      </w:r>
      <w:r>
        <w:rPr>
          <w:rFonts w:hint="eastAsia" w:ascii="仿宋" w:hAnsi="仿宋" w:eastAsia="仿宋"/>
          <w:b/>
          <w:sz w:val="32"/>
          <w:szCs w:val="32"/>
          <w:lang w:eastAsia="zh-CN"/>
        </w:rPr>
        <w:t>项目资金申报相符性</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汉阳小学</w:t>
      </w:r>
      <w:r>
        <w:rPr>
          <w:rFonts w:hint="eastAsia" w:ascii="仿宋_GB2312" w:hAnsi="仿宋_GB2312" w:eastAsia="仿宋_GB2312" w:cs="仿宋_GB2312"/>
          <w:kern w:val="0"/>
          <w:sz w:val="32"/>
          <w:szCs w:val="32"/>
          <w:lang w:val="en-US" w:eastAsia="zh-CN" w:bidi="ar-SA"/>
        </w:rPr>
        <w:t>食堂工勤人员补助</w:t>
      </w:r>
      <w:r>
        <w:rPr>
          <w:rFonts w:hint="eastAsia" w:ascii="仿宋_GB2312" w:hAnsi="仿宋_GB2312" w:eastAsia="仿宋_GB2312" w:cs="仿宋_GB2312"/>
          <w:kern w:val="0"/>
          <w:sz w:val="32"/>
          <w:szCs w:val="32"/>
          <w:lang w:val="zh-CN" w:eastAsia="zh-CN" w:bidi="ar-SA"/>
        </w:rPr>
        <w:t>项目申报内容与具体实施内容完全相符，项目申报前进行了可研调查，各项指标完全符合国家相应标准，项目可行性得到科学论证。</w:t>
      </w:r>
    </w:p>
    <w:p>
      <w:pPr>
        <w:spacing w:line="600" w:lineRule="exact"/>
        <w:ind w:firstLine="640"/>
        <w:outlineLvl w:val="1"/>
        <w:rPr>
          <w:rFonts w:hint="eastAsia" w:ascii="黑体" w:eastAsia="黑体"/>
          <w:sz w:val="32"/>
          <w:szCs w:val="32"/>
          <w:lang w:val="zh-CN" w:eastAsia="zh-CN"/>
        </w:rPr>
      </w:pPr>
      <w:r>
        <w:rPr>
          <w:rFonts w:hint="eastAsia" w:ascii="黑体" w:eastAsia="黑体"/>
          <w:sz w:val="32"/>
          <w:szCs w:val="32"/>
          <w:lang w:val="en-US" w:eastAsia="zh-CN"/>
        </w:rPr>
        <w:t>二、</w:t>
      </w:r>
      <w:r>
        <w:rPr>
          <w:rFonts w:hint="eastAsia" w:ascii="黑体" w:eastAsia="黑体"/>
          <w:sz w:val="32"/>
          <w:szCs w:val="32"/>
          <w:lang w:val="zh-CN" w:eastAsia="zh-CN"/>
        </w:rPr>
        <w:t>项目实施及管理情况</w:t>
      </w:r>
    </w:p>
    <w:p>
      <w:pPr>
        <w:spacing w:line="600" w:lineRule="exact"/>
        <w:ind w:firstLine="642" w:firstLineChars="200"/>
        <w:outlineLvl w:val="2"/>
        <w:rPr>
          <w:rFonts w:hint="eastAsia" w:ascii="仿宋" w:hAnsi="仿宋" w:eastAsia="仿宋"/>
          <w:b/>
          <w:sz w:val="32"/>
          <w:szCs w:val="32"/>
          <w:lang w:val="en-US" w:eastAsia="zh-CN"/>
        </w:rPr>
      </w:pPr>
      <w:r>
        <w:rPr>
          <w:rFonts w:hint="eastAsia" w:ascii="仿宋" w:hAnsi="仿宋" w:eastAsia="仿宋"/>
          <w:b/>
          <w:sz w:val="32"/>
          <w:szCs w:val="32"/>
          <w:lang w:val="zh-CN" w:eastAsia="zh-CN"/>
        </w:rPr>
        <w:t>（一）资金计划、到位及使用情况</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1、资金计划及到位情况</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汉阳小学食堂工勤人员项目资金来源于202</w:t>
      </w: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zh-CN" w:eastAsia="zh-CN" w:bidi="ar-SA"/>
        </w:rPr>
        <w:t>年</w:t>
      </w:r>
      <w:r>
        <w:rPr>
          <w:rFonts w:hint="eastAsia" w:ascii="仿宋_GB2312" w:hAnsi="仿宋_GB2312" w:eastAsia="仿宋_GB2312" w:cs="仿宋_GB2312"/>
          <w:kern w:val="0"/>
          <w:sz w:val="32"/>
          <w:szCs w:val="32"/>
          <w:lang w:val="en-US" w:eastAsia="zh-CN" w:bidi="ar-SA"/>
        </w:rPr>
        <w:t>农村</w:t>
      </w:r>
      <w:r>
        <w:rPr>
          <w:rFonts w:hint="eastAsia" w:ascii="仿宋_GB2312" w:hAnsi="仿宋_GB2312" w:eastAsia="仿宋_GB2312" w:cs="仿宋_GB2312"/>
          <w:kern w:val="0"/>
          <w:sz w:val="32"/>
          <w:szCs w:val="32"/>
          <w:lang w:val="zh-CN" w:eastAsia="zh-CN" w:bidi="ar-SA"/>
        </w:rPr>
        <w:t>义务教育</w:t>
      </w:r>
      <w:r>
        <w:rPr>
          <w:rFonts w:hint="eastAsia" w:ascii="仿宋_GB2312" w:hAnsi="仿宋_GB2312" w:eastAsia="仿宋_GB2312" w:cs="仿宋_GB2312"/>
          <w:kern w:val="0"/>
          <w:sz w:val="32"/>
          <w:szCs w:val="32"/>
          <w:lang w:val="en-US" w:eastAsia="zh-CN" w:bidi="ar-SA"/>
        </w:rPr>
        <w:t>食堂工勤人员补助</w:t>
      </w:r>
      <w:r>
        <w:rPr>
          <w:rFonts w:hint="eastAsia" w:ascii="仿宋_GB2312" w:hAnsi="仿宋_GB2312" w:eastAsia="仿宋_GB2312" w:cs="仿宋_GB2312"/>
          <w:kern w:val="0"/>
          <w:sz w:val="32"/>
          <w:szCs w:val="32"/>
          <w:lang w:val="zh-CN" w:eastAsia="zh-CN" w:bidi="ar-SA"/>
        </w:rPr>
        <w:t>资金</w:t>
      </w:r>
      <w:r>
        <w:rPr>
          <w:rFonts w:hint="eastAsia" w:ascii="仿宋_GB2312" w:hAnsi="仿宋_GB2312" w:eastAsia="仿宋_GB2312" w:cs="仿宋_GB2312"/>
          <w:kern w:val="0"/>
          <w:sz w:val="32"/>
          <w:szCs w:val="32"/>
          <w:lang w:val="en-US" w:eastAsia="zh-CN" w:bidi="ar-SA"/>
        </w:rPr>
        <w:t>3.5</w:t>
      </w:r>
      <w:r>
        <w:rPr>
          <w:rFonts w:hint="eastAsia" w:ascii="仿宋_GB2312" w:hAnsi="仿宋_GB2312" w:eastAsia="仿宋_GB2312" w:cs="仿宋_GB2312"/>
          <w:kern w:val="0"/>
          <w:sz w:val="32"/>
          <w:szCs w:val="32"/>
          <w:lang w:val="zh-CN" w:eastAsia="zh-CN" w:bidi="ar-SA"/>
        </w:rPr>
        <w:t>万元。专项经费到位及时，到位率100%。</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zh-CN" w:eastAsia="zh-CN" w:bidi="ar-SA"/>
        </w:rPr>
        <w:t>资金使用</w:t>
      </w:r>
    </w:p>
    <w:p>
      <w:pPr>
        <w:pStyle w:val="46"/>
        <w:spacing w:before="0" w:after="0" w:line="400" w:lineRule="exact"/>
        <w:ind w:firstLine="640" w:firstLineChars="200"/>
        <w:jc w:val="left"/>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zh-CN" w:eastAsia="zh-CN" w:bidi="ar-SA"/>
        </w:rPr>
        <w:t>该项目资金</w:t>
      </w:r>
      <w:r>
        <w:rPr>
          <w:rFonts w:hint="eastAsia" w:ascii="仿宋_GB2312" w:hAnsi="仿宋_GB2312" w:eastAsia="仿宋_GB2312" w:cs="仿宋_GB2312"/>
          <w:kern w:val="0"/>
          <w:sz w:val="32"/>
          <w:szCs w:val="32"/>
          <w:lang w:val="en-US" w:eastAsia="zh-CN" w:bidi="ar-SA"/>
        </w:rPr>
        <w:t>主要</w:t>
      </w:r>
      <w:r>
        <w:rPr>
          <w:rFonts w:hint="eastAsia" w:ascii="仿宋_GB2312" w:hAnsi="仿宋_GB2312" w:eastAsia="仿宋_GB2312" w:cs="仿宋_GB2312"/>
          <w:kern w:val="0"/>
          <w:sz w:val="32"/>
          <w:szCs w:val="32"/>
          <w:lang w:val="zh-CN" w:eastAsia="zh-CN" w:bidi="ar-SA"/>
        </w:rPr>
        <w:t>用于学校</w:t>
      </w:r>
      <w:r>
        <w:rPr>
          <w:rFonts w:hint="eastAsia" w:ascii="仿宋_GB2312" w:hAnsi="仿宋_GB2312" w:eastAsia="仿宋_GB2312" w:cs="仿宋_GB2312"/>
          <w:kern w:val="0"/>
          <w:sz w:val="32"/>
          <w:szCs w:val="32"/>
          <w:lang w:val="en-US" w:eastAsia="zh-CN" w:bidi="ar-SA"/>
        </w:rPr>
        <w:t>食堂设施维修及工人劳务费，及时支付，支付率100%。</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（二）项目财务管理情况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汉阳小学食堂工勤人员项目</w:t>
      </w:r>
      <w:r>
        <w:rPr>
          <w:rFonts w:hint="eastAsia" w:ascii="仿宋_GB2312" w:hAnsi="仿宋_GB2312" w:eastAsia="仿宋_GB2312" w:cs="仿宋_GB2312"/>
          <w:kern w:val="0"/>
          <w:sz w:val="32"/>
          <w:szCs w:val="32"/>
          <w:lang w:val="en-US" w:eastAsia="zh-CN" w:bidi="ar-SA"/>
        </w:rPr>
        <w:t>专项</w:t>
      </w:r>
      <w:r>
        <w:rPr>
          <w:rFonts w:hint="eastAsia" w:ascii="仿宋_GB2312" w:hAnsi="仿宋_GB2312" w:eastAsia="仿宋_GB2312" w:cs="仿宋_GB2312"/>
          <w:kern w:val="0"/>
          <w:sz w:val="32"/>
          <w:szCs w:val="32"/>
          <w:lang w:val="zh-CN" w:eastAsia="zh-CN" w:bidi="ar-SA"/>
        </w:rPr>
        <w:t>资金支出依法合规，无虚列支出情况，无截留挤占挪用情况，无超标开支情况，无超预算情况。现已支付资金</w:t>
      </w:r>
      <w:r>
        <w:rPr>
          <w:rFonts w:hint="eastAsia" w:ascii="仿宋_GB2312" w:hAnsi="仿宋_GB2312" w:eastAsia="仿宋_GB2312" w:cs="仿宋_GB2312"/>
          <w:kern w:val="0"/>
          <w:sz w:val="32"/>
          <w:szCs w:val="32"/>
          <w:lang w:val="en-US" w:eastAsia="zh-CN" w:bidi="ar-SA"/>
        </w:rPr>
        <w:t>3.5</w:t>
      </w:r>
      <w:r>
        <w:rPr>
          <w:rFonts w:hint="eastAsia" w:ascii="仿宋_GB2312" w:hAnsi="仿宋_GB2312" w:eastAsia="仿宋_GB2312" w:cs="仿宋_GB2312"/>
          <w:kern w:val="0"/>
          <w:sz w:val="32"/>
          <w:szCs w:val="32"/>
          <w:lang w:val="zh-CN" w:eastAsia="zh-CN" w:bidi="ar-SA"/>
        </w:rPr>
        <w:t>万元，资金已全部支付到位。</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汉阳小学食堂工勤人员项目内部控制</w:t>
      </w:r>
      <w:r>
        <w:rPr>
          <w:rFonts w:hint="eastAsia" w:ascii="仿宋_GB2312" w:hAnsi="仿宋_GB2312" w:eastAsia="仿宋_GB2312" w:cs="仿宋_GB2312"/>
          <w:kern w:val="0"/>
          <w:sz w:val="32"/>
          <w:szCs w:val="32"/>
          <w:lang w:val="zh-CN" w:eastAsia="zh-CN" w:bidi="ar-SA"/>
        </w:rPr>
        <w:fldChar w:fldCharType="begin"/>
      </w:r>
      <w:r>
        <w:rPr>
          <w:rFonts w:hint="eastAsia" w:ascii="仿宋_GB2312" w:hAnsi="仿宋_GB2312" w:eastAsia="仿宋_GB2312" w:cs="仿宋_GB2312"/>
          <w:kern w:val="0"/>
          <w:sz w:val="32"/>
          <w:szCs w:val="32"/>
          <w:lang w:val="zh-CN" w:eastAsia="zh-CN" w:bidi="ar-SA"/>
        </w:rPr>
        <w:instrText xml:space="preserve"> HYPERLINK "http://www.haoword.com/qiyewenhua/guizhangzhidu/" \t "_blank" </w:instrText>
      </w:r>
      <w:r>
        <w:rPr>
          <w:rFonts w:hint="eastAsia" w:ascii="仿宋_GB2312" w:hAnsi="仿宋_GB2312" w:eastAsia="仿宋_GB2312" w:cs="仿宋_GB2312"/>
          <w:kern w:val="0"/>
          <w:sz w:val="32"/>
          <w:szCs w:val="32"/>
          <w:lang w:val="zh-CN" w:eastAsia="zh-CN" w:bidi="ar-SA"/>
        </w:rPr>
        <w:fldChar w:fldCharType="separate"/>
      </w:r>
      <w:r>
        <w:rPr>
          <w:rFonts w:hint="eastAsia" w:ascii="仿宋_GB2312" w:hAnsi="仿宋_GB2312" w:eastAsia="仿宋_GB2312" w:cs="仿宋_GB2312"/>
          <w:kern w:val="0"/>
          <w:sz w:val="32"/>
          <w:szCs w:val="32"/>
          <w:lang w:val="zh-CN" w:eastAsia="zh-CN" w:bidi="ar-SA"/>
        </w:rPr>
        <w:t>制度</w:t>
      </w:r>
      <w:r>
        <w:rPr>
          <w:rFonts w:hint="eastAsia" w:ascii="仿宋_GB2312" w:hAnsi="仿宋_GB2312" w:eastAsia="仿宋_GB2312" w:cs="仿宋_GB2312"/>
          <w:kern w:val="0"/>
          <w:sz w:val="32"/>
          <w:szCs w:val="32"/>
          <w:lang w:val="zh-CN" w:eastAsia="zh-CN" w:bidi="ar-SA"/>
        </w:rPr>
        <w:fldChar w:fldCharType="end"/>
      </w:r>
      <w:r>
        <w:rPr>
          <w:rFonts w:hint="eastAsia" w:ascii="仿宋_GB2312" w:hAnsi="仿宋_GB2312" w:eastAsia="仿宋_GB2312" w:cs="仿宋_GB2312"/>
          <w:kern w:val="0"/>
          <w:sz w:val="32"/>
          <w:szCs w:val="32"/>
          <w:lang w:val="zh-CN" w:eastAsia="zh-CN" w:bidi="ar-SA"/>
        </w:rPr>
        <w:t>基本健全，管理规范。学校会计报表、会计账簿等会计资料真实地反映了专项资金管理，费用支出情况。在财务管理方面，汉阳小学执行严格的财务审批制度，为提高工作质量和效率，规范管理，强化责任，汉阳小学通过制</w:t>
      </w:r>
      <w:r>
        <w:rPr>
          <w:rFonts w:hint="eastAsia" w:ascii="仿宋_GB2312" w:hAnsi="仿宋_GB2312" w:eastAsia="仿宋_GB2312" w:cs="仿宋_GB2312"/>
          <w:kern w:val="0"/>
          <w:sz w:val="32"/>
          <w:szCs w:val="32"/>
          <w:lang w:val="en-US" w:eastAsia="zh-CN" w:bidi="ar-SA"/>
        </w:rPr>
        <w:t>定</w:t>
      </w:r>
      <w:r>
        <w:rPr>
          <w:rFonts w:hint="eastAsia" w:ascii="仿宋_GB2312" w:hAnsi="仿宋_GB2312" w:eastAsia="仿宋_GB2312" w:cs="仿宋_GB2312"/>
          <w:kern w:val="0"/>
          <w:sz w:val="32"/>
          <w:szCs w:val="32"/>
          <w:lang w:val="zh-CN" w:eastAsia="zh-CN" w:bidi="ar-SA"/>
        </w:rPr>
        <w:t>和落实《财务管理制度》《财务工作人员考评细则》等内部管理制度，规范了内部管理，推进了智能型学校建设，确保了工程项目实施顺利进行。</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（三）项目组织实施情况</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项目资金到位后，严格执行国家相关工程项目实施流程。严格按照县主管部门要求实施，严格执行公示制度。严格把握质量第一的要求，严格执行签字手续。</w:t>
      </w:r>
    </w:p>
    <w:p>
      <w:pPr>
        <w:spacing w:line="600" w:lineRule="exact"/>
        <w:ind w:firstLine="640"/>
        <w:outlineLvl w:val="1"/>
        <w:rPr>
          <w:rFonts w:hint="eastAsia" w:ascii="黑体" w:eastAsia="黑体"/>
          <w:sz w:val="32"/>
          <w:szCs w:val="32"/>
          <w:lang w:val="en-US" w:eastAsia="zh-CN"/>
        </w:rPr>
      </w:pPr>
      <w:r>
        <w:rPr>
          <w:rFonts w:hint="eastAsia" w:ascii="黑体" w:eastAsia="黑体"/>
          <w:sz w:val="32"/>
          <w:szCs w:val="32"/>
          <w:lang w:val="en-US" w:eastAsia="zh-CN"/>
        </w:rPr>
        <w:t>三、项目绩效情况</w:t>
      </w:r>
      <w:r>
        <w:rPr>
          <w:rFonts w:hint="eastAsia" w:ascii="黑体" w:eastAsia="黑体"/>
          <w:sz w:val="32"/>
          <w:szCs w:val="32"/>
          <w:lang w:val="en-US" w:eastAsia="zh-CN"/>
        </w:rPr>
        <w:tab/>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（一）项目完成情况</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汉阳小学食堂工勤人员项目计划投资</w:t>
      </w:r>
      <w:r>
        <w:rPr>
          <w:rFonts w:hint="eastAsia" w:ascii="仿宋_GB2312" w:hAnsi="仿宋_GB2312" w:eastAsia="仿宋_GB2312" w:cs="仿宋_GB2312"/>
          <w:kern w:val="0"/>
          <w:sz w:val="32"/>
          <w:szCs w:val="32"/>
          <w:lang w:val="en-US" w:eastAsia="zh-CN" w:bidi="ar-SA"/>
        </w:rPr>
        <w:t>3.5</w:t>
      </w:r>
      <w:r>
        <w:rPr>
          <w:rFonts w:hint="eastAsia" w:ascii="仿宋_GB2312" w:hAnsi="仿宋_GB2312" w:eastAsia="仿宋_GB2312" w:cs="仿宋_GB2312"/>
          <w:kern w:val="0"/>
          <w:sz w:val="32"/>
          <w:szCs w:val="32"/>
          <w:lang w:val="zh-CN" w:eastAsia="zh-CN" w:bidi="ar-SA"/>
        </w:rPr>
        <w:t>万元，主要用于学校</w:t>
      </w:r>
      <w:r>
        <w:rPr>
          <w:rFonts w:hint="eastAsia" w:ascii="仿宋_GB2312" w:hAnsi="仿宋_GB2312" w:eastAsia="仿宋_GB2312" w:cs="仿宋_GB2312"/>
          <w:kern w:val="0"/>
          <w:sz w:val="32"/>
          <w:szCs w:val="32"/>
          <w:lang w:val="en-US" w:eastAsia="zh-CN" w:bidi="ar-SA"/>
        </w:rPr>
        <w:t>食堂维修及工人劳务费</w:t>
      </w:r>
      <w:r>
        <w:rPr>
          <w:rFonts w:hint="eastAsia" w:ascii="仿宋_GB2312" w:hAnsi="仿宋_GB2312" w:eastAsia="仿宋_GB2312" w:cs="仿宋_GB2312"/>
          <w:kern w:val="0"/>
          <w:sz w:val="32"/>
          <w:szCs w:val="32"/>
          <w:lang w:val="zh-CN" w:eastAsia="zh-CN" w:bidi="ar-SA"/>
        </w:rPr>
        <w:t>。</w:t>
      </w:r>
      <w:r>
        <w:rPr>
          <w:rFonts w:hint="eastAsia" w:ascii="仿宋_GB2312" w:hAnsi="仿宋_GB2312" w:eastAsia="仿宋_GB2312" w:cs="仿宋_GB2312"/>
          <w:kern w:val="0"/>
          <w:sz w:val="32"/>
          <w:szCs w:val="32"/>
          <w:lang w:val="en-US" w:eastAsia="zh-CN" w:bidi="ar-SA"/>
        </w:rPr>
        <w:t>此项目</w:t>
      </w:r>
      <w:r>
        <w:rPr>
          <w:rFonts w:hint="eastAsia" w:ascii="仿宋_GB2312" w:hAnsi="仿宋_GB2312" w:eastAsia="仿宋_GB2312" w:cs="仿宋_GB2312"/>
          <w:kern w:val="0"/>
          <w:sz w:val="32"/>
          <w:szCs w:val="32"/>
          <w:lang w:val="zh-CN" w:eastAsia="zh-CN" w:bidi="ar-SA"/>
        </w:rPr>
        <w:t>严格执行质量标准，成本标准，无超标超概现象。</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（二）项目效益情况</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汉阳小学食堂工勤人员项目的实施，改进了</w:t>
      </w:r>
      <w:r>
        <w:rPr>
          <w:rFonts w:hint="eastAsia" w:ascii="仿宋_GB2312" w:hAnsi="仿宋_GB2312" w:eastAsia="仿宋_GB2312" w:cs="仿宋_GB2312"/>
          <w:kern w:val="0"/>
          <w:sz w:val="32"/>
          <w:szCs w:val="32"/>
          <w:lang w:val="en-US" w:eastAsia="zh-CN" w:bidi="ar-SA"/>
        </w:rPr>
        <w:t>学校师生</w:t>
      </w:r>
      <w:r>
        <w:rPr>
          <w:rFonts w:hint="eastAsia" w:ascii="仿宋_GB2312" w:hAnsi="仿宋_GB2312" w:eastAsia="仿宋_GB2312" w:cs="仿宋_GB2312"/>
          <w:kern w:val="0"/>
          <w:sz w:val="32"/>
          <w:szCs w:val="32"/>
          <w:lang w:val="zh-CN" w:eastAsia="zh-CN" w:bidi="ar-SA"/>
        </w:rPr>
        <w:t>生活</w:t>
      </w:r>
      <w:r>
        <w:rPr>
          <w:rFonts w:hint="eastAsia" w:ascii="仿宋_GB2312" w:hAnsi="仿宋_GB2312" w:eastAsia="仿宋_GB2312" w:cs="仿宋_GB2312"/>
          <w:kern w:val="0"/>
          <w:sz w:val="32"/>
          <w:szCs w:val="32"/>
          <w:lang w:val="en-US" w:eastAsia="zh-CN" w:bidi="ar-SA"/>
        </w:rPr>
        <w:t>条件</w:t>
      </w:r>
      <w:r>
        <w:rPr>
          <w:rFonts w:hint="eastAsia" w:ascii="仿宋_GB2312" w:hAnsi="仿宋_GB2312" w:eastAsia="仿宋_GB2312" w:cs="仿宋_GB2312"/>
          <w:kern w:val="0"/>
          <w:sz w:val="32"/>
          <w:szCs w:val="32"/>
          <w:lang w:val="zh-CN" w:eastAsia="zh-CN" w:bidi="ar-SA"/>
        </w:rPr>
        <w:t>，提高师生营养伙食标准，减轻了家长的经济负担。对我校及汉阳经济的发展，都起着推动作用。学生营养得到保障，丰富了学生生活，受到了师生及家长的一致好评。</w:t>
      </w:r>
    </w:p>
    <w:p>
      <w:pPr>
        <w:spacing w:line="600" w:lineRule="exact"/>
        <w:ind w:firstLine="640"/>
        <w:outlineLvl w:val="1"/>
        <w:rPr>
          <w:rFonts w:hint="eastAsia" w:ascii="黑体" w:eastAsia="黑体"/>
          <w:sz w:val="32"/>
          <w:szCs w:val="32"/>
          <w:lang w:val="en-US" w:eastAsia="zh-CN"/>
        </w:rPr>
      </w:pPr>
      <w:r>
        <w:rPr>
          <w:rFonts w:hint="eastAsia" w:ascii="黑体" w:eastAsia="黑体"/>
          <w:sz w:val="32"/>
          <w:szCs w:val="32"/>
          <w:lang w:val="en-US" w:eastAsia="zh-CN"/>
        </w:rPr>
        <w:t>四、问题及建议</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（一）存在的问题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无</w:t>
      </w:r>
    </w:p>
    <w:p>
      <w:pPr>
        <w:spacing w:line="600" w:lineRule="exact"/>
        <w:ind w:firstLine="642"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（二）相关建议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无</w:t>
      </w:r>
    </w:p>
    <w:p>
      <w:pPr>
        <w:pStyle w:val="2"/>
        <w:rPr>
          <w:rFonts w:hint="eastAsia"/>
          <w:lang w:val="zh-CN" w:eastAsia="zh-CN"/>
        </w:rPr>
      </w:pPr>
    </w:p>
    <w:tbl>
      <w:tblPr>
        <w:tblStyle w:val="14"/>
        <w:tblpPr w:leftFromText="180" w:rightFromText="180" w:vertAnchor="text" w:horzAnchor="page" w:tblpX="1147" w:tblpY="884"/>
        <w:tblOverlap w:val="never"/>
        <w:tblW w:w="0" w:type="auto"/>
        <w:tblInd w:w="0" w:type="dxa"/>
        <w:tblLayout w:type="fixed"/>
        <w:tblCellMar>
          <w:top w:w="0" w:type="dxa"/>
          <w:left w:w="0" w:type="dxa"/>
          <w:bottom w:w="0" w:type="dxa"/>
          <w:right w:w="0" w:type="dxa"/>
        </w:tblCellMar>
      </w:tblPr>
      <w:tblGrid>
        <w:gridCol w:w="675"/>
        <w:gridCol w:w="645"/>
        <w:gridCol w:w="15"/>
        <w:gridCol w:w="810"/>
        <w:gridCol w:w="1980"/>
        <w:gridCol w:w="285"/>
        <w:gridCol w:w="840"/>
        <w:gridCol w:w="1185"/>
        <w:gridCol w:w="900"/>
        <w:gridCol w:w="540"/>
        <w:gridCol w:w="1080"/>
        <w:gridCol w:w="1080"/>
      </w:tblGrid>
      <w:tr>
        <w:tblPrEx>
          <w:tblCellMar>
            <w:top w:w="0" w:type="dxa"/>
            <w:left w:w="0" w:type="dxa"/>
            <w:bottom w:w="0" w:type="dxa"/>
            <w:right w:w="0" w:type="dxa"/>
          </w:tblCellMar>
        </w:tblPrEx>
        <w:trPr>
          <w:trHeight w:val="270" w:hRule="atLeast"/>
        </w:trPr>
        <w:tc>
          <w:tcPr>
            <w:tcW w:w="10035" w:type="dxa"/>
            <w:gridSpan w:val="12"/>
            <w:tcBorders>
              <w:top w:val="nil"/>
              <w:left w:val="nil"/>
              <w:bottom w:val="nil"/>
              <w:right w:val="nil"/>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年度 ）</w:t>
            </w: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39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营养改善计划补助食堂人员经费</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项目负责人</w:t>
            </w:r>
          </w:p>
        </w:tc>
        <w:tc>
          <w:tcPr>
            <w:tcW w:w="27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唐剑峰</w:t>
            </w: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39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剑阁县教育局</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7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剑阁县汉阳小学校</w:t>
            </w:r>
          </w:p>
        </w:tc>
      </w:tr>
      <w:tr>
        <w:tblPrEx>
          <w:tblCellMar>
            <w:top w:w="0" w:type="dxa"/>
            <w:left w:w="0" w:type="dxa"/>
            <w:bottom w:w="0" w:type="dxa"/>
            <w:right w:w="0" w:type="dxa"/>
          </w:tblCellMar>
        </w:tblPrEx>
        <w:trPr>
          <w:trHeight w:val="420" w:hRule="atLeast"/>
        </w:trPr>
        <w:tc>
          <w:tcPr>
            <w:tcW w:w="13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资金情况</w:t>
            </w: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1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3.5</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3.5</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其中：中央、省、市财政资金</w:t>
            </w:r>
          </w:p>
        </w:tc>
        <w:tc>
          <w:tcPr>
            <w:tcW w:w="11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县级财政资金</w:t>
            </w:r>
          </w:p>
        </w:tc>
        <w:tc>
          <w:tcPr>
            <w:tcW w:w="11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3.5</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3.5</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1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5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478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年度总体目标完成情况综述</w:t>
            </w: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5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78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226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w:t>
            </w:r>
          </w:p>
        </w:tc>
        <w:tc>
          <w:tcPr>
            <w:tcW w:w="5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216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未完成原因及拟采取的改进措施</w:t>
            </w: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26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实际值</w:t>
            </w:r>
          </w:p>
        </w:tc>
        <w:tc>
          <w:tcPr>
            <w:tcW w:w="5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产出指标（50分）</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补助食堂工勤人员数</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6</w:t>
            </w:r>
            <w:r>
              <w:rPr>
                <w:rFonts w:hint="eastAsia" w:ascii="宋体" w:hAnsi="宋体" w:eastAsia="宋体" w:cs="宋体"/>
                <w:i w:val="0"/>
                <w:color w:val="000000"/>
                <w:kern w:val="0"/>
                <w:sz w:val="16"/>
                <w:szCs w:val="16"/>
                <w:u w:val="none"/>
                <w:lang w:val="en-US" w:eastAsia="zh-CN" w:bidi="ar"/>
              </w:rPr>
              <w:t>人</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6</w:t>
            </w:r>
            <w:r>
              <w:rPr>
                <w:rFonts w:hint="eastAsia" w:ascii="宋体" w:hAnsi="宋体" w:eastAsia="宋体" w:cs="宋体"/>
                <w:i w:val="0"/>
                <w:color w:val="000000"/>
                <w:kern w:val="0"/>
                <w:sz w:val="16"/>
                <w:szCs w:val="16"/>
                <w:u w:val="none"/>
                <w:lang w:val="en-US" w:eastAsia="zh-CN" w:bidi="ar"/>
              </w:rPr>
              <w:t>人</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营养餐供餐合格率</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完成时间</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w:t>
            </w:r>
            <w:r>
              <w:rPr>
                <w:rFonts w:hint="eastAsia" w:ascii="宋体" w:hAnsi="宋体" w:cs="宋体"/>
                <w:i w:val="0"/>
                <w:color w:val="000000"/>
                <w:kern w:val="0"/>
                <w:sz w:val="16"/>
                <w:szCs w:val="16"/>
                <w:u w:val="none"/>
                <w:lang w:val="en-US" w:eastAsia="zh-CN" w:bidi="ar"/>
              </w:rPr>
              <w:t>2</w:t>
            </w:r>
            <w:r>
              <w:rPr>
                <w:rFonts w:hint="eastAsia" w:ascii="宋体" w:hAnsi="宋体" w:eastAsia="宋体" w:cs="宋体"/>
                <w:i w:val="0"/>
                <w:color w:val="000000"/>
                <w:kern w:val="0"/>
                <w:sz w:val="16"/>
                <w:szCs w:val="16"/>
                <w:u w:val="none"/>
                <w:lang w:val="en-US" w:eastAsia="zh-CN" w:bidi="ar"/>
              </w:rPr>
              <w:t>.12.31</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w:t>
            </w:r>
            <w:r>
              <w:rPr>
                <w:rFonts w:hint="eastAsia" w:ascii="宋体" w:hAnsi="宋体" w:cs="宋体"/>
                <w:i w:val="0"/>
                <w:color w:val="000000"/>
                <w:kern w:val="0"/>
                <w:sz w:val="16"/>
                <w:szCs w:val="16"/>
                <w:u w:val="none"/>
                <w:lang w:val="en-US" w:eastAsia="zh-CN" w:bidi="ar"/>
              </w:rPr>
              <w:t>2</w:t>
            </w:r>
            <w:r>
              <w:rPr>
                <w:rFonts w:hint="eastAsia" w:ascii="宋体" w:hAnsi="宋体" w:eastAsia="宋体" w:cs="宋体"/>
                <w:i w:val="0"/>
                <w:color w:val="000000"/>
                <w:kern w:val="0"/>
                <w:sz w:val="16"/>
                <w:szCs w:val="16"/>
                <w:u w:val="none"/>
                <w:lang w:val="en-US" w:eastAsia="zh-CN" w:bidi="ar"/>
              </w:rPr>
              <w:t>.12.31</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食堂工勤人员经费</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3.5</w:t>
            </w:r>
            <w:r>
              <w:rPr>
                <w:rFonts w:hint="eastAsia" w:ascii="宋体" w:hAnsi="宋体" w:eastAsia="宋体" w:cs="宋体"/>
                <w:i w:val="0"/>
                <w:color w:val="000000"/>
                <w:kern w:val="0"/>
                <w:sz w:val="16"/>
                <w:szCs w:val="16"/>
                <w:u w:val="none"/>
                <w:lang w:val="en-US" w:eastAsia="zh-CN" w:bidi="ar"/>
              </w:rPr>
              <w:t>万元</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3.5</w:t>
            </w:r>
            <w:r>
              <w:rPr>
                <w:rFonts w:hint="eastAsia" w:ascii="宋体" w:hAnsi="宋体" w:eastAsia="宋体" w:cs="宋体"/>
                <w:i w:val="0"/>
                <w:color w:val="000000"/>
                <w:kern w:val="0"/>
                <w:sz w:val="16"/>
                <w:szCs w:val="16"/>
                <w:u w:val="none"/>
                <w:lang w:val="en-US" w:eastAsia="zh-CN" w:bidi="ar"/>
              </w:rPr>
              <w:t>万元</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效绩指标（30分）</w:t>
            </w: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提升农村义务教育学生身体素质</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逐步改善</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明</w:t>
            </w:r>
            <w:r>
              <w:rPr>
                <w:rFonts w:hint="eastAsia" w:ascii="宋体" w:hAnsi="宋体" w:cs="宋体"/>
                <w:i w:val="0"/>
                <w:color w:val="000000"/>
                <w:kern w:val="0"/>
                <w:sz w:val="16"/>
                <w:szCs w:val="16"/>
                <w:u w:val="none"/>
                <w:lang w:val="en-US" w:eastAsia="zh-CN" w:bidi="ar"/>
              </w:rPr>
              <w:t>显</w:t>
            </w:r>
            <w:r>
              <w:rPr>
                <w:rFonts w:hint="eastAsia" w:ascii="宋体" w:hAnsi="宋体" w:eastAsia="宋体" w:cs="宋体"/>
                <w:i w:val="0"/>
                <w:color w:val="000000"/>
                <w:kern w:val="0"/>
                <w:sz w:val="16"/>
                <w:szCs w:val="16"/>
                <w:u w:val="none"/>
                <w:lang w:val="en-US" w:eastAsia="zh-CN" w:bidi="ar"/>
              </w:rPr>
              <w:t>提高</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739"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师生满意度</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739"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(20分)</w:t>
            </w: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家长满意度</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1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bl>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2022年汉阳小学食堂工勤人员经费项目绩效自评表</w:t>
      </w:r>
    </w:p>
    <w:p>
      <w:pPr>
        <w:spacing w:line="360" w:lineRule="auto"/>
        <w:jc w:val="center"/>
        <w:rPr>
          <w:rFonts w:hint="eastAsia" w:ascii="黑体" w:hAnsi="黑体" w:eastAsia="黑体" w:cs="黑体"/>
          <w:b/>
          <w:sz w:val="36"/>
          <w:szCs w:val="36"/>
          <w:lang w:val="en-US"/>
        </w:rPr>
      </w:pPr>
    </w:p>
    <w:p>
      <w:pPr>
        <w:pStyle w:val="42"/>
        <w:spacing w:before="0" w:after="0" w:line="400" w:lineRule="exact"/>
        <w:jc w:val="center"/>
        <w:rPr>
          <w:rFonts w:hint="eastAsia" w:ascii="黑体" w:hAnsi="黑体" w:eastAsia="黑体" w:cs="宋体"/>
          <w:color w:val="000000"/>
          <w:sz w:val="36"/>
          <w:szCs w:val="36"/>
          <w:lang w:val="en-US" w:eastAsia="zh-CN"/>
        </w:rPr>
      </w:pPr>
    </w:p>
    <w:p>
      <w:pPr>
        <w:pStyle w:val="42"/>
        <w:spacing w:before="0" w:after="0" w:line="400" w:lineRule="exact"/>
        <w:jc w:val="center"/>
        <w:rPr>
          <w:rFonts w:hint="eastAsia" w:ascii="黑体" w:hAnsi="黑体" w:eastAsia="黑体" w:cs="宋体"/>
          <w:color w:val="000000"/>
          <w:sz w:val="36"/>
          <w:szCs w:val="36"/>
          <w:lang w:val="en-US" w:eastAsia="zh-CN"/>
        </w:rPr>
      </w:pPr>
      <w:r>
        <w:rPr>
          <w:rFonts w:hint="eastAsia" w:ascii="黑体" w:hAnsi="黑体" w:eastAsia="黑体" w:cs="宋体"/>
          <w:color w:val="000000"/>
          <w:sz w:val="36"/>
          <w:szCs w:val="36"/>
          <w:lang w:val="en-US" w:eastAsia="zh-CN"/>
        </w:rPr>
        <w:t>剑阁县汉阳小学校</w:t>
      </w:r>
    </w:p>
    <w:p>
      <w:pPr>
        <w:pStyle w:val="42"/>
        <w:spacing w:before="0" w:after="0" w:line="400" w:lineRule="exact"/>
        <w:jc w:val="center"/>
        <w:rPr>
          <w:rFonts w:hint="eastAsia" w:ascii="黑体" w:hAnsi="黑体" w:eastAsia="黑体" w:cs="宋体"/>
          <w:color w:val="000000"/>
          <w:sz w:val="36"/>
          <w:szCs w:val="36"/>
          <w:lang w:val="en-US" w:eastAsia="zh-CN"/>
        </w:rPr>
      </w:pPr>
      <w:r>
        <w:rPr>
          <w:rFonts w:hint="eastAsia" w:ascii="黑体" w:hAnsi="黑体" w:eastAsia="黑体" w:cs="宋体"/>
          <w:color w:val="000000"/>
          <w:sz w:val="36"/>
          <w:szCs w:val="36"/>
          <w:lang w:val="en-US" w:eastAsia="zh-CN"/>
        </w:rPr>
        <w:t>校园安全保障经费项目支出绩效自评报告</w:t>
      </w:r>
    </w:p>
    <w:p>
      <w:pPr>
        <w:spacing w:line="600" w:lineRule="exact"/>
        <w:ind w:firstLine="640" w:firstLineChars="200"/>
        <w:outlineLvl w:val="1"/>
        <w:rPr>
          <w:rFonts w:hint="eastAsia" w:ascii="黑体" w:eastAsia="黑体"/>
          <w:sz w:val="32"/>
          <w:szCs w:val="32"/>
          <w:lang w:val="en-US" w:eastAsia="zh-CN"/>
        </w:rPr>
      </w:pPr>
      <w:r>
        <w:rPr>
          <w:rFonts w:hint="eastAsia" w:ascii="黑体" w:eastAsia="黑体"/>
          <w:sz w:val="32"/>
          <w:szCs w:val="32"/>
          <w:lang w:val="en-US" w:eastAsia="zh-CN"/>
        </w:rPr>
        <w:t>一、项目概况</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剑阁县汉阳小学校园安保经费项目，财政预算总资金2.7万元。实施内容包括人员工资、服装装备、三险一金、管理费等。加强校园安保力量，确保安保人员固定，队伍稳定，强化校园及周边治安管控，预防高危人员对师生实施人身侵害。确保师生的生命财产安全，校园秩序持续稳定。</w:t>
      </w:r>
    </w:p>
    <w:p>
      <w:pPr>
        <w:spacing w:line="600" w:lineRule="exact"/>
        <w:ind w:firstLine="642" w:firstLineChars="200"/>
        <w:outlineLvl w:val="2"/>
        <w:rPr>
          <w:rFonts w:hint="eastAsia" w:ascii="仿宋" w:hAnsi="仿宋" w:eastAsia="仿宋"/>
          <w:b/>
          <w:sz w:val="32"/>
          <w:szCs w:val="32"/>
          <w:lang w:val="en-US" w:eastAsia="zh-CN"/>
        </w:rPr>
      </w:pPr>
      <w:r>
        <w:rPr>
          <w:rFonts w:hint="eastAsia" w:ascii="仿宋" w:hAnsi="仿宋" w:eastAsia="仿宋"/>
          <w:b/>
          <w:sz w:val="32"/>
          <w:szCs w:val="32"/>
          <w:lang w:val="en-US" w:eastAsia="zh-CN"/>
        </w:rPr>
        <w:t xml:space="preserve"> (一）项目资金申报及批复情况</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剑阁县汉阳小学校校园安保经费项目按剑财教（2022）185号文件，财政下达预算资金2.7万元。</w:t>
      </w:r>
    </w:p>
    <w:p>
      <w:pPr>
        <w:spacing w:line="600" w:lineRule="exact"/>
        <w:ind w:firstLine="642" w:firstLineChars="200"/>
        <w:outlineLvl w:val="2"/>
        <w:rPr>
          <w:rFonts w:hint="eastAsia" w:ascii="仿宋" w:hAnsi="仿宋" w:eastAsia="仿宋"/>
          <w:b/>
          <w:sz w:val="32"/>
          <w:szCs w:val="32"/>
          <w:lang w:val="en-US" w:eastAsia="zh-CN"/>
        </w:rPr>
      </w:pPr>
      <w:r>
        <w:rPr>
          <w:rFonts w:hint="eastAsia" w:ascii="仿宋" w:hAnsi="仿宋" w:eastAsia="仿宋"/>
          <w:b/>
          <w:sz w:val="32"/>
          <w:szCs w:val="32"/>
          <w:lang w:val="en-US" w:eastAsia="zh-CN"/>
        </w:rPr>
        <w:t xml:space="preserve">  (二）项目绩效目标</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1、项目效益性分析</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（1）经济和社会的影响</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该项目实施加强了我校校园安保工作，确保了校园秩序持续稳定，师生安全感明显增强。</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（2）项目目标完成度</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该项目预期已经完成，2022年度我校未发生暴力恐怖事件，未发生危害师生生命财产安全的校园恶性事件。</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2、项目效率性分析</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（1）项目实施进度</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该项目是按照工作需求逐步进行，到2022年底已完成全部工作目标。</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（2）项目完成质量</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人员进出校门登记100%，人员车辆进出校门查验100%，校园巡查100%.</w:t>
      </w:r>
    </w:p>
    <w:p>
      <w:pPr>
        <w:spacing w:line="600" w:lineRule="exact"/>
        <w:ind w:firstLine="642" w:firstLineChars="200"/>
        <w:outlineLvl w:val="2"/>
        <w:rPr>
          <w:rFonts w:hint="eastAsia" w:ascii="仿宋" w:hAnsi="仿宋" w:eastAsia="仿宋"/>
          <w:b/>
          <w:sz w:val="32"/>
          <w:szCs w:val="32"/>
          <w:lang w:val="en-US" w:eastAsia="zh-CN"/>
        </w:rPr>
      </w:pPr>
      <w:r>
        <w:rPr>
          <w:rFonts w:hint="eastAsia" w:ascii="仿宋" w:hAnsi="仿宋" w:eastAsia="仿宋"/>
          <w:b/>
          <w:sz w:val="32"/>
          <w:szCs w:val="32"/>
          <w:lang w:val="en-US" w:eastAsia="zh-CN"/>
        </w:rPr>
        <w:t xml:space="preserve"> (三）项目资金申报相符性</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剑阁县汉阳小学校园安全保障经费项目申报工作内容与具体实施内容完全相符，项目申报前进行了可研调查，各项指标完全符合国家相应标准，项目可行性得到科学论证。</w:t>
      </w:r>
    </w:p>
    <w:p>
      <w:pPr>
        <w:spacing w:line="600" w:lineRule="exact"/>
        <w:ind w:firstLine="640" w:firstLineChars="200"/>
        <w:outlineLvl w:val="1"/>
        <w:rPr>
          <w:rFonts w:hint="eastAsia" w:ascii="黑体" w:eastAsia="黑体"/>
          <w:sz w:val="32"/>
          <w:szCs w:val="32"/>
          <w:lang w:val="en-US" w:eastAsia="zh-CN"/>
        </w:rPr>
      </w:pPr>
      <w:r>
        <w:rPr>
          <w:rFonts w:hint="eastAsia" w:ascii="黑体" w:eastAsia="黑体"/>
          <w:sz w:val="32"/>
          <w:szCs w:val="32"/>
          <w:lang w:val="en-US" w:eastAsia="zh-CN"/>
        </w:rPr>
        <w:t>二、项目实施及管理情况</w:t>
      </w:r>
    </w:p>
    <w:p>
      <w:pPr>
        <w:spacing w:line="600" w:lineRule="exact"/>
        <w:ind w:firstLine="642" w:firstLineChars="200"/>
        <w:outlineLvl w:val="2"/>
        <w:rPr>
          <w:rFonts w:hint="eastAsia" w:ascii="仿宋" w:hAnsi="仿宋" w:eastAsia="仿宋"/>
          <w:b/>
          <w:sz w:val="32"/>
          <w:szCs w:val="32"/>
          <w:lang w:val="en-US" w:eastAsia="zh-CN"/>
        </w:rPr>
      </w:pPr>
      <w:r>
        <w:rPr>
          <w:rFonts w:hint="eastAsia" w:ascii="仿宋" w:hAnsi="仿宋" w:eastAsia="仿宋"/>
          <w:b/>
          <w:sz w:val="32"/>
          <w:szCs w:val="32"/>
          <w:lang w:val="en-US" w:eastAsia="zh-CN"/>
        </w:rPr>
        <w:t>(一）资金计划、到位及使用情况</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1、资金计划及到位。</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剑阁县汉阳小学校校园安全保障项目资金来源于2022年义务教育校园安全保障补助资金2.7万元。专项经费到位及时，劳务费能依合同按时到位，到位率100%，确保了项目顺利推进。</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2、资金使用情况。</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剑阁县汉阳小学校校园安全保障经费为专项资金，支出依法合规，无虚列项目支出情况，无截留挤占挪用情况，无超标开支情况，无超预算情况。现已支付2.7万元。</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剑阁县汉阳小学校项目建设内部控制制度基本健全，管理规范。学校会计报表、会计账簿等会计资料真实地反映了专项资金管理，费用支出情况。在财务管理方面，汉阳小学执行严格的财务审批制度，重大经济事项均由校行政集体研究组织实施，为提高工作质量和效率，明确规范管理，强化责任，汉阳小学通过制定和落实《财务管理制度》《财务工作人员考评细则》等内部管理制度，规范了内部管理，推进了智能型学校建设，确保了工程项目实施顺利进行。</w:t>
      </w:r>
    </w:p>
    <w:p>
      <w:pPr>
        <w:pStyle w:val="46"/>
        <w:spacing w:before="0" w:after="0" w:line="400" w:lineRule="exact"/>
        <w:ind w:firstLine="640" w:firstLineChars="200"/>
        <w:jc w:val="left"/>
        <w:rPr>
          <w:rFonts w:hint="eastAsia" w:ascii="仿宋_GB2312" w:hAnsi="仿宋_GB2312" w:eastAsia="仿宋_GB2312" w:cs="仿宋_GB2312"/>
          <w:kern w:val="0"/>
          <w:sz w:val="32"/>
          <w:szCs w:val="32"/>
          <w:lang w:val="en-US" w:eastAsia="zh-CN" w:bidi="ar-SA"/>
        </w:rPr>
      </w:pPr>
    </w:p>
    <w:p>
      <w:pPr>
        <w:spacing w:line="360" w:lineRule="auto"/>
        <w:ind w:firstLine="1960" w:firstLineChars="700"/>
        <w:rPr>
          <w:rFonts w:hint="eastAsia" w:eastAsia="宋体"/>
          <w:sz w:val="28"/>
          <w:lang w:val="en-US"/>
        </w:rPr>
      </w:pPr>
    </w:p>
    <w:p>
      <w:pPr>
        <w:spacing w:line="360" w:lineRule="auto"/>
        <w:ind w:firstLine="420" w:firstLineChars="150"/>
        <w:rPr>
          <w:rFonts w:eastAsia="宋体"/>
          <w:sz w:val="28"/>
          <w:lang w:val="en-US"/>
        </w:rPr>
      </w:pPr>
    </w:p>
    <w:p>
      <w:pPr>
        <w:pStyle w:val="46"/>
        <w:spacing w:before="0" w:after="0" w:line="400" w:lineRule="exact"/>
        <w:ind w:firstLine="560" w:firstLineChars="200"/>
        <w:jc w:val="left"/>
        <w:rPr>
          <w:rFonts w:eastAsia="宋体"/>
          <w:sz w:val="28"/>
          <w:lang w:val="en-US"/>
        </w:rPr>
      </w:pPr>
    </w:p>
    <w:tbl>
      <w:tblPr>
        <w:tblStyle w:val="14"/>
        <w:tblpPr w:leftFromText="180" w:rightFromText="180" w:vertAnchor="text" w:horzAnchor="page" w:tblpX="1162" w:tblpY="-13917"/>
        <w:tblOverlap w:val="never"/>
        <w:tblW w:w="9860" w:type="dxa"/>
        <w:tblInd w:w="0" w:type="dxa"/>
        <w:tblLayout w:type="fixed"/>
        <w:tblCellMar>
          <w:top w:w="0" w:type="dxa"/>
          <w:left w:w="0" w:type="dxa"/>
          <w:bottom w:w="0" w:type="dxa"/>
          <w:right w:w="0" w:type="dxa"/>
        </w:tblCellMar>
      </w:tblPr>
      <w:tblGrid>
        <w:gridCol w:w="654"/>
        <w:gridCol w:w="624"/>
        <w:gridCol w:w="15"/>
        <w:gridCol w:w="783"/>
        <w:gridCol w:w="1916"/>
        <w:gridCol w:w="275"/>
        <w:gridCol w:w="814"/>
        <w:gridCol w:w="463"/>
        <w:gridCol w:w="454"/>
        <w:gridCol w:w="1323"/>
        <w:gridCol w:w="449"/>
        <w:gridCol w:w="1045"/>
        <w:gridCol w:w="2"/>
        <w:gridCol w:w="1043"/>
      </w:tblGrid>
      <w:tr>
        <w:tblPrEx>
          <w:tblCellMar>
            <w:top w:w="0" w:type="dxa"/>
            <w:left w:w="0" w:type="dxa"/>
            <w:bottom w:w="0" w:type="dxa"/>
            <w:right w:w="0" w:type="dxa"/>
          </w:tblCellMar>
        </w:tblPrEx>
        <w:trPr>
          <w:trHeight w:val="90" w:hRule="atLeast"/>
        </w:trPr>
        <w:tc>
          <w:tcPr>
            <w:tcW w:w="1293"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ascii="黑体" w:hAnsi="宋体" w:eastAsia="黑体" w:cs="黑体"/>
                <w:i w:val="0"/>
                <w:color w:val="000000"/>
                <w:sz w:val="24"/>
                <w:szCs w:val="24"/>
                <w:u w:val="none"/>
              </w:rPr>
            </w:pPr>
          </w:p>
        </w:tc>
        <w:tc>
          <w:tcPr>
            <w:tcW w:w="2699" w:type="dxa"/>
            <w:gridSpan w:val="2"/>
            <w:tcBorders>
              <w:top w:val="nil"/>
              <w:left w:val="nil"/>
              <w:bottom w:val="nil"/>
              <w:right w:val="nil"/>
            </w:tcBorders>
            <w:noWrap/>
            <w:tcMar>
              <w:top w:w="15" w:type="dxa"/>
              <w:left w:w="15" w:type="dxa"/>
              <w:right w:w="15" w:type="dxa"/>
            </w:tcMar>
            <w:vAlign w:val="center"/>
          </w:tcPr>
          <w:p>
            <w:pPr>
              <w:jc w:val="both"/>
              <w:rPr>
                <w:rFonts w:hint="eastAsia"/>
              </w:rPr>
            </w:pPr>
          </w:p>
          <w:p>
            <w:pPr>
              <w:pStyle w:val="2"/>
              <w:rPr>
                <w:rFonts w:hint="eastAsia"/>
              </w:rPr>
            </w:pPr>
          </w:p>
        </w:tc>
        <w:tc>
          <w:tcPr>
            <w:tcW w:w="27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814"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463"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777" w:type="dxa"/>
            <w:gridSpan w:val="2"/>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449"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4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45" w:type="dxa"/>
            <w:gridSpan w:val="2"/>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9860" w:type="dxa"/>
            <w:gridSpan w:val="14"/>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Style w:val="50"/>
                <w:rFonts w:hint="eastAsia" w:ascii="仿宋" w:hAnsi="仿宋" w:eastAsia="仿宋" w:cs="仿宋"/>
                <w:sz w:val="32"/>
                <w:szCs w:val="32"/>
                <w:lang w:val="en-US" w:eastAsia="zh-CN" w:bidi="ar"/>
              </w:rPr>
            </w:pPr>
            <w:r>
              <w:rPr>
                <w:rStyle w:val="50"/>
                <w:rFonts w:hint="eastAsia" w:ascii="仿宋" w:hAnsi="仿宋" w:eastAsia="仿宋" w:cs="仿宋"/>
                <w:sz w:val="32"/>
                <w:szCs w:val="32"/>
                <w:lang w:val="en-US" w:eastAsia="zh-CN" w:bidi="ar"/>
              </w:rPr>
              <w:t>2022 年剑阁县汉阳小学校</w:t>
            </w: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Style w:val="50"/>
                <w:rFonts w:hint="eastAsia" w:ascii="仿宋" w:hAnsi="仿宋" w:eastAsia="仿宋" w:cs="仿宋"/>
                <w:sz w:val="32"/>
                <w:szCs w:val="32"/>
                <w:lang w:val="en-US" w:eastAsia="zh-CN" w:bidi="ar"/>
              </w:rPr>
              <w:t>校园安保经费项目绩效目标自评表</w:t>
            </w:r>
          </w:p>
        </w:tc>
      </w:tr>
      <w:tr>
        <w:tblPrEx>
          <w:tblCellMar>
            <w:top w:w="0" w:type="dxa"/>
            <w:left w:w="0" w:type="dxa"/>
            <w:bottom w:w="0" w:type="dxa"/>
            <w:right w:w="0" w:type="dxa"/>
          </w:tblCellMar>
        </w:tblPrEx>
        <w:trPr>
          <w:trHeight w:val="90" w:hRule="atLeast"/>
        </w:trPr>
        <w:tc>
          <w:tcPr>
            <w:tcW w:w="9860" w:type="dxa"/>
            <w:gridSpan w:val="14"/>
            <w:tcBorders>
              <w:top w:val="nil"/>
              <w:left w:val="nil"/>
              <w:bottom w:val="nil"/>
              <w:right w:val="nil"/>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年度 ）</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学校安全保障经费</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w:t>
            </w:r>
          </w:p>
        </w:tc>
        <w:tc>
          <w:tcPr>
            <w:tcW w:w="25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唐剑峰</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7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剑阁县教育局</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5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剑阁县汉阳小学校</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p>
        </w:tc>
        <w:tc>
          <w:tcPr>
            <w:tcW w:w="26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26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0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1"/>
                <w:lang w:val="en-US" w:eastAsia="zh-CN" w:bidi="ar"/>
              </w:rPr>
              <w:t xml:space="preserve"> 其中：中央、省、市财政资金</w:t>
            </w:r>
          </w:p>
        </w:tc>
        <w:tc>
          <w:tcPr>
            <w:tcW w:w="10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1"/>
                <w:lang w:val="en-US" w:eastAsia="zh-CN" w:bidi="ar"/>
              </w:rPr>
              <w:t xml:space="preserve">       县级财政资金</w:t>
            </w:r>
          </w:p>
        </w:tc>
        <w:tc>
          <w:tcPr>
            <w:tcW w:w="10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1"/>
                <w:lang w:val="en-US" w:eastAsia="zh-CN" w:bidi="ar"/>
              </w:rPr>
              <w:t xml:space="preserve">       其他资金</w:t>
            </w:r>
          </w:p>
        </w:tc>
        <w:tc>
          <w:tcPr>
            <w:tcW w:w="10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42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779"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2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9"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6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79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209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实际值</w:t>
            </w: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产出指标（50分）</w:t>
            </w: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补助校园安保人员</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校园安全保障率</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完成时间 </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2"/>
                <w:szCs w:val="12"/>
                <w:u w:val="none"/>
                <w:lang w:val="en-US"/>
              </w:rPr>
            </w:pPr>
            <w:r>
              <w:rPr>
                <w:rFonts w:hint="eastAsia" w:ascii="宋体" w:hAnsi="宋体" w:eastAsia="宋体" w:cs="宋体"/>
                <w:i w:val="0"/>
                <w:color w:val="000000"/>
                <w:kern w:val="0"/>
                <w:sz w:val="12"/>
                <w:szCs w:val="12"/>
                <w:u w:val="none"/>
                <w:lang w:val="en-US" w:eastAsia="zh-CN" w:bidi="ar"/>
              </w:rPr>
              <w:t>202</w:t>
            </w:r>
            <w:r>
              <w:rPr>
                <w:rFonts w:hint="eastAsia" w:ascii="宋体" w:hAnsi="宋体" w:cs="宋体"/>
                <w:i w:val="0"/>
                <w:color w:val="000000"/>
                <w:kern w:val="0"/>
                <w:sz w:val="12"/>
                <w:szCs w:val="12"/>
                <w:u w:val="none"/>
                <w:lang w:val="en-US" w:eastAsia="zh-CN" w:bidi="ar"/>
              </w:rPr>
              <w:t>2.12.31</w:t>
            </w: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2"/>
                <w:szCs w:val="12"/>
                <w:u w:val="none"/>
                <w:lang w:val="en-US"/>
              </w:rPr>
            </w:pPr>
            <w:r>
              <w:rPr>
                <w:rFonts w:hint="eastAsia" w:ascii="宋体" w:hAnsi="宋体" w:eastAsia="宋体" w:cs="宋体"/>
                <w:i w:val="0"/>
                <w:color w:val="000000"/>
                <w:kern w:val="0"/>
                <w:sz w:val="12"/>
                <w:szCs w:val="12"/>
                <w:u w:val="none"/>
                <w:lang w:val="en-US" w:eastAsia="zh-CN" w:bidi="ar"/>
              </w:rPr>
              <w:t>202</w:t>
            </w:r>
            <w:r>
              <w:rPr>
                <w:rFonts w:hint="eastAsia" w:ascii="宋体" w:hAnsi="宋体" w:cs="宋体"/>
                <w:i w:val="0"/>
                <w:color w:val="000000"/>
                <w:kern w:val="0"/>
                <w:sz w:val="12"/>
                <w:szCs w:val="12"/>
                <w:u w:val="none"/>
                <w:lang w:val="en-US" w:eastAsia="zh-CN" w:bidi="ar"/>
              </w:rPr>
              <w:t>2.12.31</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校园安全保障人员经费</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效绩指标（30分）</w:t>
            </w:r>
          </w:p>
        </w:tc>
        <w:tc>
          <w:tcPr>
            <w:tcW w:w="79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提升学生学校安全保障</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保障学校师生及财产安全</w:t>
            </w: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保障学校师生及财产安全</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7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家长满意度</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98.00%</w:t>
            </w: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(20分)</w:t>
            </w:r>
          </w:p>
        </w:tc>
        <w:tc>
          <w:tcPr>
            <w:tcW w:w="7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学生满意度</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99.00%</w:t>
            </w: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42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2"/>
      <w:bookmarkEnd w:id="53"/>
      <w:bookmarkStart w:id="55" w:name="_Toc15396619"/>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5"/>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ascii="仿宋" w:hAnsi="仿宋" w:eastAsia="仿宋"/>
        </w:rPr>
      </w:pPr>
      <w:bookmarkStart w:id="56" w:name="_Toc15396620"/>
      <w:r>
        <w:rPr>
          <w:rFonts w:hint="eastAsia" w:ascii="仿宋" w:hAnsi="仿宋" w:eastAsia="仿宋"/>
          <w:b w:val="0"/>
        </w:rPr>
        <w:t>二、收</w:t>
      </w:r>
      <w:r>
        <w:rPr>
          <w:rStyle w:val="27"/>
          <w:rFonts w:hint="eastAsia" w:ascii="仿宋" w:hAnsi="仿宋" w:eastAsia="仿宋"/>
          <w:b w:val="0"/>
          <w:bCs w:val="0"/>
        </w:rPr>
        <w:t>入决算表</w:t>
      </w:r>
      <w:bookmarkEnd w:id="56"/>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ascii="仿宋" w:hAnsi="仿宋" w:eastAsia="仿宋"/>
        </w:rPr>
      </w:pPr>
      <w:bookmarkStart w:id="57"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7"/>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ascii="仿宋" w:hAnsi="仿宋" w:eastAsia="仿宋"/>
          <w:b w:val="0"/>
        </w:rPr>
      </w:pPr>
      <w:bookmarkStart w:id="58"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8"/>
    </w:p>
    <w:p>
      <w:pPr>
        <w:pStyle w:val="5"/>
        <w:keepNext/>
        <w:keepLines/>
        <w:pageBreakBefore w:val="0"/>
        <w:widowControl w:val="0"/>
        <w:kinsoku/>
        <w:wordWrap/>
        <w:overflowPunct/>
        <w:topLinePunct w:val="0"/>
        <w:autoSpaceDE/>
        <w:autoSpaceDN/>
        <w:bidi w:val="0"/>
        <w:adjustRightInd/>
        <w:snapToGrid/>
        <w:spacing w:line="440" w:lineRule="exact"/>
        <w:textAlignment w:val="auto"/>
        <w:rPr>
          <w:rStyle w:val="27"/>
          <w:rFonts w:ascii="仿宋" w:hAnsi="仿宋" w:eastAsia="仿宋"/>
          <w:b w:val="0"/>
          <w:bCs w:val="0"/>
        </w:rPr>
      </w:pPr>
      <w:bookmarkStart w:id="59"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9"/>
      <w:bookmarkStart w:id="60" w:name="_Toc15396624"/>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60"/>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ascii="仿宋" w:hAnsi="仿宋" w:eastAsia="仿宋"/>
        </w:rPr>
      </w:pPr>
      <w:bookmarkStart w:id="61"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1"/>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ascii="仿宋" w:hAnsi="仿宋" w:eastAsia="仿宋"/>
        </w:rPr>
      </w:pPr>
      <w:bookmarkStart w:id="62"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2"/>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ascii="仿宋" w:hAnsi="仿宋" w:eastAsia="仿宋"/>
        </w:rPr>
      </w:pPr>
      <w:bookmarkStart w:id="63"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3"/>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ascii="仿宋" w:hAnsi="仿宋" w:eastAsia="仿宋"/>
        </w:rPr>
      </w:pPr>
      <w:bookmarkStart w:id="64" w:name="_Toc15396628"/>
      <w:r>
        <w:rPr>
          <w:rStyle w:val="27"/>
          <w:rFonts w:hint="eastAsia" w:ascii="仿宋" w:hAnsi="仿宋" w:eastAsia="仿宋"/>
          <w:b w:val="0"/>
          <w:bCs w:val="0"/>
        </w:rPr>
        <w:t>十、</w:t>
      </w:r>
      <w:bookmarkEnd w:id="64"/>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ascii="仿宋" w:hAnsi="仿宋" w:eastAsia="仿宋"/>
        </w:rPr>
      </w:pPr>
      <w:bookmarkStart w:id="65" w:name="_Toc15396629"/>
      <w:r>
        <w:rPr>
          <w:rStyle w:val="27"/>
          <w:rFonts w:hint="eastAsia" w:ascii="仿宋" w:hAnsi="仿宋" w:eastAsia="仿宋"/>
          <w:b w:val="0"/>
          <w:bCs w:val="0"/>
        </w:rPr>
        <w:t>十一、</w:t>
      </w:r>
      <w:bookmarkEnd w:id="65"/>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ascii="仿宋" w:hAnsi="仿宋" w:eastAsia="仿宋"/>
        </w:rPr>
      </w:pPr>
      <w:bookmarkStart w:id="66" w:name="_Toc15396630"/>
      <w:r>
        <w:rPr>
          <w:rStyle w:val="27"/>
          <w:rFonts w:hint="eastAsia" w:ascii="仿宋" w:hAnsi="仿宋" w:eastAsia="仿宋"/>
          <w:b w:val="0"/>
          <w:bCs w:val="0"/>
        </w:rPr>
        <w:t>十二、</w:t>
      </w:r>
      <w:bookmarkEnd w:id="66"/>
      <w:r>
        <w:rPr>
          <w:rStyle w:val="27"/>
          <w:rFonts w:hint="eastAsia" w:ascii="仿宋" w:hAnsi="仿宋" w:eastAsia="仿宋"/>
          <w:b w:val="0"/>
          <w:bCs w:val="0"/>
        </w:rPr>
        <w:t>国有资本经营预算财政拨款支出决算表</w:t>
      </w:r>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eastAsia="仿宋"/>
        </w:rPr>
      </w:pPr>
      <w:bookmarkStart w:id="67" w:name="_Toc15396631"/>
      <w:r>
        <w:rPr>
          <w:rStyle w:val="27"/>
          <w:rFonts w:hint="eastAsia" w:ascii="仿宋" w:hAnsi="仿宋" w:eastAsia="仿宋"/>
          <w:b w:val="0"/>
          <w:bCs w:val="0"/>
        </w:rPr>
        <w:t>十三、</w:t>
      </w:r>
      <w:bookmarkEnd w:id="67"/>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134" w:left="1800"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5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5651A"/>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30FD"/>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9849CC"/>
    <w:rsid w:val="053A62B5"/>
    <w:rsid w:val="05DB4D76"/>
    <w:rsid w:val="07DE4573"/>
    <w:rsid w:val="09181829"/>
    <w:rsid w:val="0A2032A3"/>
    <w:rsid w:val="0A663DB0"/>
    <w:rsid w:val="0AB55CF1"/>
    <w:rsid w:val="0B8A37D8"/>
    <w:rsid w:val="10A5002C"/>
    <w:rsid w:val="10C055FF"/>
    <w:rsid w:val="118107EC"/>
    <w:rsid w:val="11DD6519"/>
    <w:rsid w:val="13583231"/>
    <w:rsid w:val="144517A6"/>
    <w:rsid w:val="16B50773"/>
    <w:rsid w:val="16BB723D"/>
    <w:rsid w:val="16DE7C2D"/>
    <w:rsid w:val="17BB0135"/>
    <w:rsid w:val="18015F3F"/>
    <w:rsid w:val="1BE8440E"/>
    <w:rsid w:val="1D1522F2"/>
    <w:rsid w:val="1D155CEE"/>
    <w:rsid w:val="1D722113"/>
    <w:rsid w:val="1D7940CD"/>
    <w:rsid w:val="1E9D064A"/>
    <w:rsid w:val="20BE7ADD"/>
    <w:rsid w:val="20F57F95"/>
    <w:rsid w:val="23203CBF"/>
    <w:rsid w:val="240371BF"/>
    <w:rsid w:val="25711CC6"/>
    <w:rsid w:val="25960BBC"/>
    <w:rsid w:val="25C741E6"/>
    <w:rsid w:val="25FA498E"/>
    <w:rsid w:val="275B4752"/>
    <w:rsid w:val="27842671"/>
    <w:rsid w:val="29AA157C"/>
    <w:rsid w:val="29FD04D3"/>
    <w:rsid w:val="2ABE7A3E"/>
    <w:rsid w:val="2AD22E02"/>
    <w:rsid w:val="2CA234A8"/>
    <w:rsid w:val="2EFA178C"/>
    <w:rsid w:val="2F8E1C1C"/>
    <w:rsid w:val="30A1619D"/>
    <w:rsid w:val="30B46D73"/>
    <w:rsid w:val="319F7F4E"/>
    <w:rsid w:val="36B74ADC"/>
    <w:rsid w:val="383D272C"/>
    <w:rsid w:val="397F6966"/>
    <w:rsid w:val="39AE70AB"/>
    <w:rsid w:val="3C0C0783"/>
    <w:rsid w:val="3F920AC2"/>
    <w:rsid w:val="3F9F3A96"/>
    <w:rsid w:val="40766A16"/>
    <w:rsid w:val="44462D5C"/>
    <w:rsid w:val="48BF60AB"/>
    <w:rsid w:val="493C27E9"/>
    <w:rsid w:val="496F39ED"/>
    <w:rsid w:val="49C8477A"/>
    <w:rsid w:val="49FF41D3"/>
    <w:rsid w:val="4A5D796A"/>
    <w:rsid w:val="4BE068DB"/>
    <w:rsid w:val="4BF6002B"/>
    <w:rsid w:val="4C5B2F8D"/>
    <w:rsid w:val="4E3917D8"/>
    <w:rsid w:val="4ECE2238"/>
    <w:rsid w:val="51DB4B86"/>
    <w:rsid w:val="52340ED3"/>
    <w:rsid w:val="53777B00"/>
    <w:rsid w:val="53C71D4B"/>
    <w:rsid w:val="54DA7A98"/>
    <w:rsid w:val="55203D2A"/>
    <w:rsid w:val="55333C3E"/>
    <w:rsid w:val="56B57E6A"/>
    <w:rsid w:val="56CB143B"/>
    <w:rsid w:val="579411AF"/>
    <w:rsid w:val="598D4F87"/>
    <w:rsid w:val="5C205738"/>
    <w:rsid w:val="5C393517"/>
    <w:rsid w:val="5C9E41E1"/>
    <w:rsid w:val="5E8B5ED3"/>
    <w:rsid w:val="5ED7605C"/>
    <w:rsid w:val="60D07D7A"/>
    <w:rsid w:val="64086E1C"/>
    <w:rsid w:val="64CA39A1"/>
    <w:rsid w:val="6722430F"/>
    <w:rsid w:val="69630ADE"/>
    <w:rsid w:val="6C464E52"/>
    <w:rsid w:val="6C4A05C8"/>
    <w:rsid w:val="6D3B1A89"/>
    <w:rsid w:val="6FF173C5"/>
    <w:rsid w:val="701A1376"/>
    <w:rsid w:val="71BF4EC2"/>
    <w:rsid w:val="71CD7465"/>
    <w:rsid w:val="72075227"/>
    <w:rsid w:val="72734D90"/>
    <w:rsid w:val="72A74CB6"/>
    <w:rsid w:val="73B64BE0"/>
    <w:rsid w:val="7412278C"/>
    <w:rsid w:val="77166A84"/>
    <w:rsid w:val="788640F0"/>
    <w:rsid w:val="792766E2"/>
    <w:rsid w:val="79E7B28D"/>
    <w:rsid w:val="7AF12A08"/>
    <w:rsid w:val="7BD21EBC"/>
    <w:rsid w:val="7CFF79CA"/>
    <w:rsid w:val="7D3A1533"/>
    <w:rsid w:val="7D9F6409"/>
    <w:rsid w:val="7F82636A"/>
    <w:rsid w:val="7F9F20EE"/>
    <w:rsid w:val="9E3A10E2"/>
    <w:rsid w:val="EDEDB5F1"/>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Times New Roman" w:eastAsia="宋体"/>
    </w:rPr>
  </w:style>
  <w:style w:type="paragraph" w:styleId="3">
    <w:name w:val="Body Text Indent"/>
    <w:basedOn w:val="1"/>
    <w:qFormat/>
    <w:uiPriority w:val="0"/>
    <w:pPr>
      <w:spacing w:line="560" w:lineRule="exact"/>
      <w:ind w:firstLine="640" w:firstLineChars="200"/>
      <w:jc w:val="left"/>
    </w:pPr>
    <w:rPr>
      <w:rFonts w:ascii="仿宋_GB2312"/>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4"/>
    <w:qFormat/>
    <w:uiPriority w:val="9"/>
    <w:rPr>
      <w:rFonts w:ascii="Times New Roman" w:hAnsi="Times New Roman"/>
      <w:b/>
      <w:bCs/>
      <w:kern w:val="44"/>
      <w:sz w:val="44"/>
      <w:szCs w:val="44"/>
    </w:rPr>
  </w:style>
  <w:style w:type="character" w:customStyle="1" w:styleId="27">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Normal_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3">
    <w:name w:val="Normal_5"/>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4">
    <w:name w:val="Normal_1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5">
    <w:name w:val="Normal_13"/>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6">
    <w:name w:val="Normal_14"/>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7">
    <w:name w:val="Normal_16"/>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8">
    <w:name w:val="Normal_17"/>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9">
    <w:name w:val="Normal_20"/>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
    <w:name w:val="Normal_29"/>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1">
    <w:name w:val="Normal_3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2">
    <w:name w:val="Normal_2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3">
    <w:name w:val="Normal_24"/>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4">
    <w:name w:val="Normal_25"/>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5">
    <w:name w:val="Normal_26"/>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6">
    <w:name w:val="Normal_27"/>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7">
    <w:name w:val="Normal_28"/>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8">
    <w:name w:val="MSG_EN_FONT_STYLE_NAME_TEMPLATE_ROLE_NUMBER MSG_EN_FONT_STYLE_NAME_BY_ROLE_TEXT 4"/>
    <w:basedOn w:val="1"/>
    <w:qFormat/>
    <w:uiPriority w:val="0"/>
    <w:pPr>
      <w:shd w:val="clear" w:color="auto" w:fill="FFFFFF"/>
      <w:spacing w:line="598" w:lineRule="exact"/>
      <w:ind w:firstLine="700"/>
      <w:jc w:val="distribute"/>
    </w:pPr>
    <w:rPr>
      <w:rFonts w:ascii="宋体" w:hAnsi="宋体" w:eastAsia="宋体" w:cs="宋体"/>
      <w:color w:val="auto"/>
      <w:kern w:val="2"/>
      <w:sz w:val="32"/>
      <w:szCs w:val="32"/>
      <w:lang w:val="en-US" w:bidi="ar-SA"/>
    </w:rPr>
  </w:style>
  <w:style w:type="character" w:customStyle="1" w:styleId="49">
    <w:name w:val="font41"/>
    <w:basedOn w:val="15"/>
    <w:qFormat/>
    <w:uiPriority w:val="0"/>
    <w:rPr>
      <w:rFonts w:hint="eastAsia" w:ascii="宋体" w:hAnsi="宋体" w:eastAsia="宋体" w:cs="宋体"/>
      <w:b/>
      <w:color w:val="000000"/>
      <w:sz w:val="32"/>
      <w:szCs w:val="32"/>
      <w:u w:val="none"/>
    </w:rPr>
  </w:style>
  <w:style w:type="character" w:customStyle="1" w:styleId="50">
    <w:name w:val="font31"/>
    <w:basedOn w:val="15"/>
    <w:qFormat/>
    <w:uiPriority w:val="0"/>
    <w:rPr>
      <w:rFonts w:hint="eastAsia" w:ascii="宋体" w:hAnsi="宋体" w:eastAsia="宋体" w:cs="宋体"/>
      <w:b/>
      <w:color w:val="000000"/>
      <w:sz w:val="32"/>
      <w:szCs w:val="32"/>
      <w:u w:val="none"/>
    </w:rPr>
  </w:style>
  <w:style w:type="character" w:customStyle="1" w:styleId="51">
    <w:name w:val="font2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915;&#31639;&#20844;&#24320;&#25554;&#22270;&#21046;&#20316;&#31034;&#2036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915;&#31639;&#20844;&#24320;&#25554;&#22270;&#21046;&#20316;&#31034;&#2036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2&#24180;&#20915;&#31639;&#20844;&#24320;\&#20844;&#24320;&#21450;&#25209;&#22797;&#26448;&#26009;&#65288;&#20379;&#21442;&#32771;&#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9027777777778"/>
          <c:y val="0.0400462962962963"/>
        </c:manualLayout>
      </c:layout>
      <c:overlay val="false"/>
      <c:spPr>
        <a:noFill/>
        <a:ln>
          <a:noFill/>
        </a:ln>
        <a:effectLst/>
      </c:spPr>
      <c:tx>
        <c:rich>
          <a:bodyPr/>
          <a:lstStyle/>
          <a:p>
            <a:pPr>
              <a:defRPr/>
            </a:pPr>
          </a:p>
        </c:rich>
      </c:tx>
    </c:title>
    <c:autoTitleDeleted val="false"/>
    <c:plotArea>
      <c:layout>
        <c:manualLayout>
          <c:layoutTarget val="inner"/>
          <c:xMode val="edge"/>
          <c:yMode val="edge"/>
          <c:x val="0.00416666666666667"/>
          <c:y val="0.0914351851851852"/>
          <c:w val="0.938888888888889"/>
          <c:h val="0.702407407407407"/>
        </c:manualLayout>
      </c:layout>
      <c:barChart>
        <c:barDir val="col"/>
        <c:grouping val="clustered"/>
        <c:varyColors val="false"/>
        <c:ser>
          <c:idx val="0"/>
          <c:order val="0"/>
          <c:spPr>
            <a:gradFill>
              <a:gsLst>
                <a:gs pos="0">
                  <a:schemeClr val="accent1"/>
                </a:gs>
                <a:gs pos="100000">
                  <a:schemeClr val="accent1">
                    <a:lumMod val="84000"/>
                  </a:schemeClr>
                </a:gs>
              </a:gsLst>
              <a:lin ang="5400000" scaled="true"/>
            </a:gradFill>
            <a:ln>
              <a:noFill/>
            </a:ln>
            <a:effectLst>
              <a:outerShdw blurRad="76200" dir="18900000" sy="23000" kx="-1200000" algn="bl" rotWithShape="0">
                <a:prstClr val="black">
                  <a:alpha val="20000"/>
                </a:prstClr>
              </a:outerShdw>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[决算公开插图制作示例.xlsx]图7!$A$26:$A$27</c:f>
              <c:strCache>
                <c:ptCount val="2"/>
                <c:pt idx="0">
                  <c:v>2021年收、支决算总计</c:v>
                </c:pt>
                <c:pt idx="1">
                  <c:v>2022年收、支决算总计</c:v>
                </c:pt>
              </c:strCache>
            </c:strRef>
          </c:cat>
          <c:val>
            <c:numRef>
              <c:f>[决算公开插图制作示例.xlsx]图7!$B$26:$B$27</c:f>
              <c:numCache>
                <c:formatCode>General</c:formatCode>
                <c:ptCount val="2"/>
                <c:pt idx="0">
                  <c:v>738.52</c:v>
                </c:pt>
                <c:pt idx="1">
                  <c:v>686.63</c:v>
                </c:pt>
              </c:numCache>
            </c:numRef>
          </c:val>
        </c:ser>
        <c:dLbls>
          <c:showLegendKey val="false"/>
          <c:showVal val="true"/>
          <c:showCatName val="false"/>
          <c:showSerName val="false"/>
          <c:showPercent val="false"/>
          <c:showBubbleSize val="false"/>
        </c:dLbls>
        <c:gapWidth val="41"/>
        <c:overlap val="0"/>
        <c:axId val="996813554"/>
        <c:axId val="289162241"/>
      </c:barChart>
      <c:catAx>
        <c:axId val="996813554"/>
        <c:scaling>
          <c:orientation val="minMax"/>
        </c:scaling>
        <c:delete val="false"/>
        <c:axPos val="b"/>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dk1">
                    <a:lumMod val="65000"/>
                    <a:lumOff val="35000"/>
                  </a:schemeClr>
                </a:solidFill>
                <a:effectLst/>
                <a:latin typeface="+mn-lt"/>
                <a:ea typeface="+mn-ea"/>
                <a:cs typeface="+mn-cs"/>
              </a:defRPr>
            </a:pPr>
          </a:p>
        </c:txPr>
        <c:crossAx val="289162241"/>
        <c:crosses val="autoZero"/>
        <c:auto val="true"/>
        <c:lblAlgn val="ctr"/>
        <c:lblOffset val="100"/>
        <c:noMultiLvlLbl val="false"/>
      </c:catAx>
      <c:valAx>
        <c:axId val="289162241"/>
        <c:scaling>
          <c:orientation val="minMax"/>
        </c:scaling>
        <c:delete val="true"/>
        <c:axPos val="l"/>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crossAx val="996813554"/>
        <c:crosses val="autoZero"/>
        <c:crossBetween val="between"/>
      </c:valAx>
      <c:spPr>
        <a:noFill/>
        <a:ln>
          <a:noFill/>
        </a:ln>
        <a:effectLst/>
      </c:spPr>
    </c:plotArea>
    <c:plotVisOnly val="true"/>
    <c:dispBlanksAs val="gap"/>
    <c:showDLblsOverMax val="false"/>
  </c:chart>
  <c:spPr>
    <a:gradFill flip="none" rotWithShape="true">
      <a:gsLst>
        <a:gs pos="0">
          <a:schemeClr val="lt1"/>
        </a:gs>
        <a:gs pos="68000">
          <a:schemeClr val="lt1">
            <a:lumMod val="85000"/>
          </a:schemeClr>
        </a:gs>
        <a:gs pos="100000">
          <a:schemeClr val="lt1"/>
        </a:gs>
      </a:gsLst>
      <a:lin ang="5400000" scaled="true"/>
    </a:gradFill>
    <a:ln w="9525" cap="flat" cmpd="sng" algn="ctr">
      <a:solidFill>
        <a:schemeClr val="dk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685.03</a:t>
                    </a:r>
                    <a:endParaRPr lang="en-US" altLang="zh-CN"/>
                  </a:p>
                </c:rich>
              </c:tx>
              <c:dLblPos val="ctr"/>
              <c:showLegendKey val="false"/>
              <c:showVal val="false"/>
              <c:showCatName val="false"/>
              <c:showSerName val="false"/>
              <c:showPercent val="true"/>
              <c:showBubbleSize val="false"/>
              <c:extLst>
                <c:ext xmlns:c15="http://schemas.microsoft.com/office/drawing/2012/chart" uri="{CE6537A1-D6FC-4f65-9D91-7224C49458BB}"/>
              </c:extLst>
            </c:dLbl>
            <c:dLbl>
              <c:idx val="1"/>
              <c:layout>
                <c:manualLayout>
                  <c:x val="-0.000981000138965366"/>
                  <c:y val="0.239599968577674"/>
                </c:manualLayout>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1.6</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[决算公开插图制作示例.xlsx]图7!$A$45:$A$46</c:f>
              <c:strCache>
                <c:ptCount val="2"/>
                <c:pt idx="0">
                  <c:v>一般公共预算财政拨款收入</c:v>
                </c:pt>
                <c:pt idx="1">
                  <c:v>政府性基金预算财政拨款收入</c:v>
                </c:pt>
              </c:strCache>
            </c:strRef>
          </c:cat>
          <c:val>
            <c:numRef>
              <c:f>[决算公开插图制作示例.xlsx]图7!$B$45:$B$46</c:f>
              <c:numCache>
                <c:formatCode>General</c:formatCode>
                <c:ptCount val="2"/>
                <c:pt idx="0">
                  <c:v>685.03</c:v>
                </c:pt>
                <c:pt idx="1">
                  <c:v>1.6</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505555555555555"/>
          <c:y val="0.0511574074074074"/>
          <c:w val="0.538888888888889"/>
          <c:h val="0.898148148148148"/>
        </c:manualLayout>
      </c:layout>
      <c:pieChart>
        <c:varyColors val="true"/>
        <c:ser>
          <c:idx val="0"/>
          <c:order val="0"/>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627.55</a:t>
                    </a:r>
                    <a:endParaRPr lang="en-US" altLang="zh-CN"/>
                  </a:p>
                </c:rich>
              </c:tx>
              <c:dLblPos val="ctr"/>
              <c:showLegendKey val="false"/>
              <c:showVal val="false"/>
              <c:showCatName val="false"/>
              <c:showSerName val="false"/>
              <c:showPercent val="true"/>
              <c:showBubbleSize val="false"/>
              <c:extLst>
                <c:ext xmlns:c15="http://schemas.microsoft.com/office/drawing/2012/chart" uri="{CE6537A1-D6FC-4f65-9D91-7224C49458BB}"/>
              </c:extLst>
            </c:dLbl>
            <c:dLbl>
              <c:idx val="1"/>
              <c:layout>
                <c:manualLayout>
                  <c:x val="0.0402116776070195"/>
                  <c:y val="0.237724088720355"/>
                </c:manualLayout>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59.08</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[决算公开插图制作示例.xlsx]图7!$A$61:$A$62</c:f>
              <c:strCache>
                <c:ptCount val="2"/>
                <c:pt idx="0">
                  <c:v>基本支出</c:v>
                </c:pt>
                <c:pt idx="1">
                  <c:v>项目支出</c:v>
                </c:pt>
              </c:strCache>
            </c:strRef>
          </c:cat>
          <c:val>
            <c:numRef>
              <c:f>[决算公开插图制作示例.xlsx]图7!$B$61:$B$62</c:f>
              <c:numCache>
                <c:formatCode>General</c:formatCode>
                <c:ptCount val="2"/>
                <c:pt idx="0">
                  <c:v>627.55</c:v>
                </c:pt>
                <c:pt idx="1">
                  <c:v>59.08</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14769170579029"/>
          <c:y val="0.113657407407407"/>
        </c:manualLayout>
      </c:layout>
      <c:overlay val="false"/>
      <c:spPr>
        <a:noFill/>
        <a:ln>
          <a:noFill/>
        </a:ln>
        <a:effectLst/>
      </c:spPr>
      <c:tx>
        <c:rich>
          <a:bodyPr/>
          <a:lstStyle/>
          <a:p>
            <a:pPr>
              <a:defRPr/>
            </a:pPr>
          </a:p>
        </c:rich>
      </c:tx>
    </c:title>
    <c:autoTitleDeleted val="false"/>
    <c:plotArea>
      <c:layout>
        <c:manualLayout>
          <c:layoutTarget val="inner"/>
          <c:xMode val="edge"/>
          <c:yMode val="edge"/>
          <c:x val="0.0569444444444444"/>
          <c:y val="0.00694444444444444"/>
          <c:w val="0.938888888888889"/>
          <c:h val="0.689444444444444"/>
        </c:manualLayout>
      </c:layout>
      <c:barChart>
        <c:barDir val="col"/>
        <c:grouping val="clustered"/>
        <c:varyColors val="false"/>
        <c:ser>
          <c:idx val="0"/>
          <c:order val="0"/>
          <c:spPr>
            <a:gradFill>
              <a:gsLst>
                <a:gs pos="0">
                  <a:schemeClr val="accent1"/>
                </a:gs>
                <a:gs pos="100000">
                  <a:schemeClr val="accent1">
                    <a:lumMod val="84000"/>
                  </a:schemeClr>
                </a:gs>
              </a:gsLst>
              <a:lin ang="5400000" scaled="true"/>
            </a:gradFill>
            <a:ln>
              <a:noFill/>
            </a:ln>
            <a:effectLst>
              <a:outerShdw blurRad="76200" dir="18900000" sy="23000" kx="-1200000" algn="bl" rotWithShape="0">
                <a:prstClr val="black">
                  <a:alpha val="20000"/>
                </a:prstClr>
              </a:outerShdw>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[决算公开插图制作示例.xlsx]图7!$A$26:$A$27</c:f>
              <c:strCache>
                <c:ptCount val="2"/>
                <c:pt idx="0">
                  <c:v>2021年收、支决算总计</c:v>
                </c:pt>
                <c:pt idx="1">
                  <c:v>2022年收、支决算总计</c:v>
                </c:pt>
              </c:strCache>
            </c:strRef>
          </c:cat>
          <c:val>
            <c:numRef>
              <c:f>[决算公开插图制作示例.xlsx]图7!$B$26:$B$27</c:f>
              <c:numCache>
                <c:formatCode>General</c:formatCode>
                <c:ptCount val="2"/>
                <c:pt idx="0">
                  <c:v>738.52</c:v>
                </c:pt>
                <c:pt idx="1">
                  <c:v>686.63</c:v>
                </c:pt>
              </c:numCache>
            </c:numRef>
          </c:val>
        </c:ser>
        <c:dLbls>
          <c:showLegendKey val="false"/>
          <c:showVal val="true"/>
          <c:showCatName val="false"/>
          <c:showSerName val="false"/>
          <c:showPercent val="false"/>
          <c:showBubbleSize val="false"/>
        </c:dLbls>
        <c:gapWidth val="41"/>
        <c:overlap val="0"/>
        <c:axId val="996813554"/>
        <c:axId val="289162241"/>
      </c:barChart>
      <c:catAx>
        <c:axId val="996813554"/>
        <c:scaling>
          <c:orientation val="minMax"/>
        </c:scaling>
        <c:delete val="false"/>
        <c:axPos val="b"/>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dk1">
                    <a:lumMod val="65000"/>
                    <a:lumOff val="35000"/>
                  </a:schemeClr>
                </a:solidFill>
                <a:effectLst/>
                <a:latin typeface="+mn-lt"/>
                <a:ea typeface="+mn-ea"/>
                <a:cs typeface="+mn-cs"/>
              </a:defRPr>
            </a:pPr>
          </a:p>
        </c:txPr>
        <c:crossAx val="289162241"/>
        <c:crosses val="autoZero"/>
        <c:auto val="true"/>
        <c:lblAlgn val="ctr"/>
        <c:lblOffset val="100"/>
        <c:noMultiLvlLbl val="false"/>
      </c:catAx>
      <c:valAx>
        <c:axId val="289162241"/>
        <c:scaling>
          <c:orientation val="minMax"/>
        </c:scaling>
        <c:delete val="true"/>
        <c:axPos val="l"/>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crossAx val="996813554"/>
        <c:crosses val="autoZero"/>
        <c:crossBetween val="between"/>
      </c:valAx>
      <c:spPr>
        <a:noFill/>
        <a:ln>
          <a:noFill/>
        </a:ln>
        <a:effectLst/>
      </c:spPr>
    </c:plotArea>
    <c:plotVisOnly val="true"/>
    <c:dispBlanksAs val="gap"/>
    <c:showDLblsOverMax val="false"/>
  </c:chart>
  <c:spPr>
    <a:gradFill flip="none" rotWithShape="true">
      <a:gsLst>
        <a:gs pos="0">
          <a:schemeClr val="lt1"/>
        </a:gs>
        <a:gs pos="68000">
          <a:schemeClr val="lt1">
            <a:lumMod val="85000"/>
          </a:schemeClr>
        </a:gs>
        <a:gs pos="100000">
          <a:schemeClr val="lt1"/>
        </a:gs>
      </a:gsLst>
      <a:lin ang="5400000" scaled="true"/>
    </a:gradFill>
    <a:ln w="9525" cap="flat" cmpd="sng" algn="ctr">
      <a:solidFill>
        <a:schemeClr val="dk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
        <c:rich>
          <a:bodyPr/>
          <a:lstStyle/>
          <a:p>
            <a:pPr>
              <a:defRPr/>
            </a:pPr>
          </a:p>
        </c:rich>
      </c:tx>
    </c:title>
    <c:autoTitleDeleted val="false"/>
    <c:plotArea>
      <c:layout>
        <c:manualLayout>
          <c:layoutTarget val="inner"/>
          <c:xMode val="edge"/>
          <c:yMode val="edge"/>
          <c:x val="0.0546666666666666"/>
          <c:y val="0.00694444444444444"/>
          <c:w val="0.863111111111111"/>
          <c:h val="0.711666666666667"/>
        </c:manualLayout>
      </c:layout>
      <c:barChart>
        <c:barDir val="col"/>
        <c:grouping val="clustered"/>
        <c:varyColors val="false"/>
        <c:ser>
          <c:idx val="0"/>
          <c:order val="0"/>
          <c:spPr>
            <a:gradFill>
              <a:gsLst>
                <a:gs pos="0">
                  <a:schemeClr val="accent1"/>
                </a:gs>
                <a:gs pos="100000">
                  <a:schemeClr val="accent1">
                    <a:lumMod val="84000"/>
                  </a:schemeClr>
                </a:gs>
              </a:gsLst>
              <a:lin ang="5400000" scaled="true"/>
            </a:gradFill>
            <a:ln>
              <a:noFill/>
            </a:ln>
            <a:effectLst>
              <a:outerShdw blurRad="76200" dir="18900000" sy="23000" kx="-1200000" algn="bl" rotWithShape="0">
                <a:prstClr val="black">
                  <a:alpha val="20000"/>
                </a:prstClr>
              </a:outerShdw>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[决算公开插图制作示例.xlsx]图7!$A$79:$A$80</c:f>
              <c:strCache>
                <c:ptCount val="2"/>
                <c:pt idx="0">
                  <c:v>2021年一般公共预算财政拨款支出</c:v>
                </c:pt>
                <c:pt idx="1">
                  <c:v>2022年一般公共预算财政拨款支出</c:v>
                </c:pt>
              </c:strCache>
            </c:strRef>
          </c:cat>
          <c:val>
            <c:numRef>
              <c:f>[决算公开插图制作示例.xlsx]图7!$B$79:$B$80</c:f>
              <c:numCache>
                <c:formatCode>0.00_);[Red]\(0.00\)</c:formatCode>
                <c:ptCount val="2"/>
                <c:pt idx="0">
                  <c:v>736.12</c:v>
                </c:pt>
                <c:pt idx="1">
                  <c:v>685.03</c:v>
                </c:pt>
              </c:numCache>
            </c:numRef>
          </c:val>
        </c:ser>
        <c:dLbls>
          <c:showLegendKey val="false"/>
          <c:showVal val="true"/>
          <c:showCatName val="false"/>
          <c:showSerName val="false"/>
          <c:showPercent val="false"/>
          <c:showBubbleSize val="false"/>
        </c:dLbls>
        <c:gapWidth val="41"/>
        <c:overlap val="0"/>
        <c:axId val="472329876"/>
        <c:axId val="135909292"/>
      </c:barChart>
      <c:catAx>
        <c:axId val="472329876"/>
        <c:scaling>
          <c:orientation val="minMax"/>
        </c:scaling>
        <c:delete val="false"/>
        <c:axPos val="b"/>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dk1">
                    <a:lumMod val="65000"/>
                    <a:lumOff val="35000"/>
                  </a:schemeClr>
                </a:solidFill>
                <a:effectLst/>
                <a:latin typeface="+mn-lt"/>
                <a:ea typeface="+mn-ea"/>
                <a:cs typeface="+mn-cs"/>
              </a:defRPr>
            </a:pPr>
          </a:p>
        </c:txPr>
        <c:crossAx val="135909292"/>
        <c:crosses val="autoZero"/>
        <c:auto val="true"/>
        <c:lblAlgn val="ctr"/>
        <c:lblOffset val="100"/>
        <c:noMultiLvlLbl val="false"/>
      </c:catAx>
      <c:valAx>
        <c:axId val="135909292"/>
        <c:scaling>
          <c:orientation val="minMax"/>
        </c:scaling>
        <c:delete val="true"/>
        <c:axPos val="l"/>
        <c:numFmt formatCode="0.00_);[Red]\(0.00\)"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crossAx val="472329876"/>
        <c:crosses val="autoZero"/>
        <c:crossBetween val="between"/>
      </c:valAx>
      <c:spPr>
        <a:noFill/>
        <a:ln>
          <a:noFill/>
        </a:ln>
        <a:effectLst/>
      </c:spPr>
    </c:plotArea>
    <c:plotVisOnly val="true"/>
    <c:dispBlanksAs val="gap"/>
    <c:showDLblsOverMax val="false"/>
  </c:chart>
  <c:spPr>
    <a:gradFill flip="none" rotWithShape="true">
      <a:gsLst>
        <a:gs pos="0">
          <a:schemeClr val="lt1"/>
        </a:gs>
        <a:gs pos="68000">
          <a:schemeClr val="lt1">
            <a:lumMod val="85000"/>
          </a:schemeClr>
        </a:gs>
        <a:gs pos="100000">
          <a:schemeClr val="lt1"/>
        </a:gs>
      </a:gsLst>
      <a:lin ang="5400000" scaled="true"/>
    </a:gradFill>
    <a:ln w="9525" cap="flat" cmpd="sng" algn="ctr">
      <a:solidFill>
        <a:schemeClr val="dk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Pt>
            <c:idx val="3"/>
            <c:bubble3D val="false"/>
            <c:spPr>
              <a:solidFill>
                <a:schemeClr val="accent4"/>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574.17</a:t>
                    </a:r>
                    <a:endParaRPr lang="en-US" altLang="zh-CN"/>
                  </a:p>
                </c:rich>
              </c:tx>
              <c:dLblPos val="ctr"/>
              <c:showLegendKey val="false"/>
              <c:showVal val="false"/>
              <c:showCatName val="false"/>
              <c:showSerName val="false"/>
              <c:showPercent val="tru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49.27</a:t>
                    </a:r>
                    <a:endParaRPr lang="en-US" altLang="zh-CN"/>
                  </a:p>
                </c:rich>
              </c:tx>
              <c:dLblPos val="ctr"/>
              <c:showLegendKey val="false"/>
              <c:showVal val="false"/>
              <c:showCatName val="false"/>
              <c:showSerName val="false"/>
              <c:showPercent val="true"/>
              <c:showBubbleSize val="false"/>
              <c:extLst>
                <c:ext xmlns:c15="http://schemas.microsoft.com/office/drawing/2012/chart" uri="{CE6537A1-D6FC-4f65-9D91-7224C49458BB}"/>
              </c:extLst>
            </c:dLbl>
            <c:dLbl>
              <c:idx val="2"/>
              <c:layout>
                <c:manualLayout>
                  <c:x val="0.0740471520360052"/>
                  <c:y val="0.148247702786552"/>
                </c:manualLayout>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24.64</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0369477655523287"/>
                  <c:y val="0.247585341545216"/>
                </c:manualLayout>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36.95</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[决算公开插图制作示例.xlsx]图7!$A$98:$A$101</c:f>
              <c:strCache>
                <c:ptCount val="4"/>
                <c:pt idx="0">
                  <c:v>教育支出</c:v>
                </c:pt>
                <c:pt idx="1">
                  <c:v>社会保障和就业支出</c:v>
                </c:pt>
                <c:pt idx="2">
                  <c:v>卫生健康支出</c:v>
                </c:pt>
                <c:pt idx="3">
                  <c:v>住房保障支出</c:v>
                </c:pt>
              </c:strCache>
            </c:strRef>
          </c:cat>
          <c:val>
            <c:numRef>
              <c:f>[决算公开插图制作示例.xlsx]图7!$B$98:$B$101</c:f>
              <c:numCache>
                <c:formatCode>0.00_);[Red]\(0.00\)</c:formatCode>
                <c:ptCount val="4"/>
                <c:pt idx="0">
                  <c:v>574.17</c:v>
                </c:pt>
                <c:pt idx="1">
                  <c:v>49.27</c:v>
                </c:pt>
                <c:pt idx="2">
                  <c:v>24.64</c:v>
                </c:pt>
                <c:pt idx="3">
                  <c:v>36.95</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91666666666667"/>
          <c:y val="0.025462962962963"/>
        </c:manualLayout>
      </c:layout>
      <c:overlay val="false"/>
      <c:spPr>
        <a:noFill/>
        <a:ln>
          <a:noFill/>
        </a:ln>
        <a:effectLst/>
      </c:spPr>
      <c:tx>
        <c:rich>
          <a:bodyPr/>
          <a:lstStyle/>
          <a:p>
            <a:pPr>
              <a:defRPr/>
            </a:pPr>
          </a:p>
        </c:rich>
      </c:tx>
    </c:title>
    <c:autoTitleDeleted val="false"/>
    <c:plotArea>
      <c:layout/>
      <c:pieChart>
        <c:varyColors val="true"/>
        <c:ser>
          <c:idx val="0"/>
          <c:order val="0"/>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Lbls>
            <c:dLbl>
              <c:idx val="0"/>
              <c:delete val="true"/>
            </c:dLbl>
            <c:dLbl>
              <c:idx val="1"/>
              <c:delete val="true"/>
            </c:dLbl>
            <c:dLbl>
              <c:idx val="2"/>
              <c:layout>
                <c:manualLayout>
                  <c:x val="-0.00208380832688811"/>
                  <c:y val="-0.377199074074916"/>
                </c:manualLayout>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0.38</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[决算公开插图制作示例.xlsx]图7!$A$111:$A$113</c:f>
              <c:strCache>
                <c:ptCount val="3"/>
                <c:pt idx="0">
                  <c:v>因公出国（境）费支出</c:v>
                </c:pt>
                <c:pt idx="1">
                  <c:v>公务用车购置及运行维护费支出</c:v>
                </c:pt>
                <c:pt idx="2">
                  <c:v>公务接待费支出</c:v>
                </c:pt>
              </c:strCache>
            </c:strRef>
          </c:cat>
          <c:val>
            <c:numRef>
              <c:f>[决算公开插图制作示例.xlsx]图7!$B$111:$B$113</c:f>
              <c:numCache>
                <c:formatCode>General</c:formatCode>
                <c:ptCount val="3"/>
                <c:pt idx="0">
                  <c:v>0</c:v>
                </c:pt>
                <c:pt idx="1">
                  <c:v>0</c:v>
                </c:pt>
                <c:pt idx="2">
                  <c:v>0.38</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11744</Words>
  <Characters>12621</Characters>
  <Lines>5</Lines>
  <Paragraphs>11</Paragraphs>
  <TotalTime>19</TotalTime>
  <ScaleCrop>false</ScaleCrop>
  <LinksUpToDate>false</LinksUpToDate>
  <CharactersWithSpaces>12711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2025-01-15T15:19:54Z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F7776D40B1FC471C81F04BD0B693F950_12</vt:lpwstr>
  </property>
</Properties>
</file>