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96475"/>
      <w:bookmarkStart w:id="1" w:name="_Toc15378441"/>
      <w:bookmarkStart w:id="2" w:name="_Toc15377193"/>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7" w:name="_GoBack"/>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476"/>
      <w:bookmarkStart w:id="9" w:name="_Toc15377194"/>
      <w:bookmarkStart w:id="10" w:name="_Toc15396598"/>
      <w:r>
        <w:rPr>
          <w:rFonts w:hint="eastAsia" w:ascii="方正小标宋简体" w:hAnsi="方正小标宋简体" w:eastAsia="方正小标宋简体" w:cs="方正小标宋简体"/>
          <w:spacing w:val="-20"/>
          <w:sz w:val="72"/>
          <w:szCs w:val="72"/>
        </w:rPr>
        <w:t>剑阁县</w:t>
      </w:r>
      <w:bookmarkEnd w:id="5"/>
      <w:bookmarkStart w:id="11" w:name="_Toc15306268"/>
      <w:r>
        <w:rPr>
          <w:rFonts w:hint="eastAsia" w:ascii="方正小标宋简体" w:hAnsi="方正小标宋简体" w:eastAsia="方正小标宋简体" w:cs="方正小标宋简体"/>
          <w:spacing w:val="-20"/>
          <w:sz w:val="72"/>
          <w:szCs w:val="72"/>
          <w:lang w:eastAsia="zh-CN"/>
        </w:rPr>
        <w:t>公务和外事服务中心</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bookmarkEnd w:id="67"/>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4"/>
        <w:adjustRightInd w:val="0"/>
        <w:snapToGrid w:val="0"/>
        <w:spacing w:line="440" w:lineRule="exact"/>
        <w:jc w:val="left"/>
        <w:rPr>
          <w:sz w:val="24"/>
        </w:rPr>
      </w:pPr>
      <w:r>
        <w:rPr>
          <w:rFonts w:hint="eastAsia"/>
          <w:sz w:val="24"/>
        </w:rPr>
        <w:t>一、部门职责及重点</w:t>
      </w:r>
      <w:r>
        <w:rPr>
          <w:sz w:val="24"/>
        </w:rPr>
        <w:t>工作</w:t>
      </w:r>
    </w:p>
    <w:p>
      <w:pPr>
        <w:pStyle w:val="14"/>
        <w:adjustRightInd w:val="0"/>
        <w:snapToGrid w:val="0"/>
        <w:spacing w:line="440" w:lineRule="exact"/>
        <w:jc w:val="left"/>
        <w:rPr>
          <w:rFonts w:hint="eastAsia"/>
          <w:sz w:val="24"/>
        </w:rPr>
      </w:pPr>
      <w:r>
        <w:rPr>
          <w:rFonts w:hint="eastAsia"/>
          <w:sz w:val="24"/>
          <w:lang w:eastAsia="zh-CN"/>
        </w:rPr>
        <w:t>（一）</w:t>
      </w:r>
      <w:r>
        <w:rPr>
          <w:rFonts w:hint="eastAsia"/>
          <w:sz w:val="24"/>
        </w:rPr>
        <w:t>部门职责</w:t>
      </w:r>
    </w:p>
    <w:p>
      <w:pPr>
        <w:pStyle w:val="14"/>
        <w:adjustRightInd w:val="0"/>
        <w:snapToGrid w:val="0"/>
        <w:spacing w:line="440" w:lineRule="exact"/>
        <w:jc w:val="left"/>
        <w:rPr>
          <w:rFonts w:hint="eastAsia"/>
          <w:sz w:val="24"/>
        </w:rPr>
      </w:pPr>
      <w:r>
        <w:rPr>
          <w:rFonts w:hint="eastAsia"/>
          <w:sz w:val="24"/>
        </w:rPr>
        <w:t>（二）2022年重点工作完成情况</w:t>
      </w:r>
    </w:p>
    <w:p>
      <w:pPr>
        <w:pStyle w:val="14"/>
        <w:adjustRightInd w:val="0"/>
        <w:snapToGrid w:val="0"/>
        <w:spacing w:line="440" w:lineRule="exact"/>
        <w:jc w:val="left"/>
        <w:rPr>
          <w:rFonts w:ascii="仿宋" w:hAnsi="仿宋" w:eastAsia="仿宋" w:cstheme="minorBidi"/>
          <w:sz w:val="24"/>
        </w:rPr>
      </w:pPr>
      <w:r>
        <w:rPr>
          <w:rFonts w:hint="eastAsia"/>
          <w:sz w:val="24"/>
        </w:rPr>
        <w:t>二、机构设置</w:t>
      </w:r>
    </w:p>
    <w:p>
      <w:pPr>
        <w:pStyle w:val="13"/>
        <w:adjustRightInd w:val="0"/>
        <w:snapToGrid w:val="0"/>
        <w:spacing w:before="0" w:line="440" w:lineRule="exact"/>
        <w:jc w:val="left"/>
        <w:rPr>
          <w:sz w:val="24"/>
          <w:szCs w:val="24"/>
        </w:rPr>
      </w:pPr>
      <w:r>
        <w:rPr>
          <w:rFonts w:hint="eastAsia"/>
          <w:sz w:val="24"/>
        </w:rPr>
        <w:t>第二部分 2022年度部门决算情况说明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4"/>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hint="eastAsia" w:ascii="仿宋" w:hAnsi="仿宋" w:eastAsia="仿宋"/>
          <w:sz w:val="24"/>
          <w:lang w:val="en-US" w:eastAsia="zh-CN"/>
        </w:rPr>
        <w:t xml:space="preserve"> </w:t>
      </w:r>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0"/>
        </w:numPr>
        <w:rPr>
          <w:rFonts w:hint="eastAsia" w:ascii="黑体" w:hAnsi="黑体" w:eastAsia="黑体"/>
          <w:b w:val="0"/>
          <w:lang w:eastAsia="zh-CN"/>
        </w:rPr>
      </w:pPr>
      <w:r>
        <w:rPr>
          <w:rFonts w:hint="eastAsia" w:ascii="黑体" w:hAnsi="黑体" w:eastAsia="黑体"/>
          <w:b w:val="0"/>
          <w:lang w:eastAsia="zh-CN"/>
        </w:rPr>
        <w:t>一、</w:t>
      </w:r>
      <w:r>
        <w:rPr>
          <w:rFonts w:hint="eastAsia" w:ascii="黑体" w:hAnsi="黑体" w:eastAsia="黑体"/>
          <w:b w:val="0"/>
        </w:rPr>
        <w:t>部门职责</w:t>
      </w:r>
      <w:r>
        <w:rPr>
          <w:rFonts w:hint="eastAsia" w:ascii="黑体" w:hAnsi="黑体" w:eastAsia="黑体"/>
          <w:b w:val="0"/>
          <w:lang w:eastAsia="zh-CN"/>
        </w:rPr>
        <w:t>及重点工作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2" w:firstLineChars="200"/>
        <w:textAlignment w:val="auto"/>
        <w:rPr>
          <w:rFonts w:hint="eastAsia" w:ascii="仿宋_GB2312" w:hAnsi="黑体" w:eastAsia="仿宋_GB2312" w:cs="Times New Roman"/>
          <w:b/>
          <w:bCs w:val="0"/>
          <w:color w:val="000000"/>
          <w:sz w:val="32"/>
          <w:szCs w:val="32"/>
          <w:lang w:val="en-US" w:eastAsia="zh-CN"/>
        </w:rPr>
      </w:pPr>
      <w:r>
        <w:rPr>
          <w:rFonts w:hint="eastAsia" w:ascii="仿宋_GB2312" w:hAnsi="黑体" w:eastAsia="仿宋_GB2312" w:cs="Times New Roman"/>
          <w:b/>
          <w:bCs w:val="0"/>
          <w:color w:val="000000"/>
          <w:sz w:val="32"/>
          <w:szCs w:val="32"/>
          <w:lang w:val="en-US" w:eastAsia="zh-CN"/>
        </w:rPr>
        <w:t>（一）部门职责</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1、承担副厅级及以上领导（含曾经担任）来剑的服务保障。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2、按照有关规定负责和参与市委、市政府及以上派出的巡视、检查、督查（督导、督察）、考察、调研、考核、审计等工作组来剑的服务保障。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3、会同有关部门做好中央、国家机关各部委（含各民主党派、工商联等）和省级、市级部门厅级、处级实职领导来剑的服务保障。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4、负责外县党政代表团和人大常委会、政协主要领导率队的考察团来剑的协调联络和服务保障。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5、负责我县党政代表团赴外地考察的协调联络和服务保障。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6、负责县委、县政府交办的由县公务和外事服务中心承担的公务服务、外事接待和招商引资事项的服务保障。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7、按照中央八项规定精神、省委省政府十项规定以及市、县规定要求，负责联系协调县级有关部门及关联单位承办县委、县政府重大公务活动的服务工作。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8、会同县级有关部门承担县委、县政府交办的大型会议、活动的接待服务保障工作。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9、为县委、县政府重要外事活动提供后勤保障服务。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10、承办以县委、县政府名义邀请的外国相应级别以上外宾来访的接待事宜；负责外国驻华使领馆人员、外国重要团组和个人来剑公务活动的协调联络和服务保障。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11、为国外高规格来剑团组、个人提供机场、车站的礼遇及翻译等服务工作。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12、指导县级部门的公务和外事活动服务保障工作；参与拟订全县公务服务相关规定。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13、负责办理市公务服务中心安排的有关在剑事务。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14、负责我县外事相关工作，加强与市外事专班沟通衔接，及时掌握来剑境外人员信息，做好涉外疫情防控的对外联络和指导，配合相关部门做好境外疫情输入及人员专车转运等相关工作，及时向外事专班上报相关信息，完成指挥部交办的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15、负责与市委外办对接联络，及时报送各类信息。</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16、完成县委、县政府交办的其他任务。</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县公务和外事服务中心下设内设机构3个。分别为：综合股、接待一股、接待二股。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2" w:firstLineChars="200"/>
        <w:textAlignment w:val="auto"/>
        <w:rPr>
          <w:rFonts w:hint="eastAsia" w:ascii="仿宋_GB2312" w:hAnsi="黑体" w:eastAsia="仿宋_GB2312" w:cs="Times New Roman"/>
          <w:b/>
          <w:bCs w:val="0"/>
          <w:color w:val="000000"/>
          <w:sz w:val="32"/>
          <w:szCs w:val="32"/>
          <w:lang w:val="en-US" w:eastAsia="zh-CN"/>
        </w:rPr>
      </w:pPr>
      <w:r>
        <w:rPr>
          <w:rFonts w:hint="eastAsia" w:ascii="仿宋_GB2312" w:hAnsi="黑体" w:eastAsia="仿宋_GB2312" w:cs="Times New Roman"/>
          <w:b/>
          <w:bCs w:val="0"/>
          <w:color w:val="000000"/>
          <w:sz w:val="32"/>
          <w:szCs w:val="32"/>
          <w:lang w:val="en-US" w:eastAsia="zh-CN"/>
        </w:rPr>
        <w:t>（二）2022年重点工作完成情况</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bidi="ar-SA"/>
        </w:rPr>
      </w:pPr>
      <w:r>
        <w:rPr>
          <w:rFonts w:hint="eastAsia" w:ascii="仿宋" w:hAnsi="仿宋" w:eastAsia="仿宋" w:cs="仿宋"/>
          <w:sz w:val="32"/>
          <w:szCs w:val="32"/>
          <w:lang w:val="en-US" w:eastAsia="zh-CN" w:bidi="ar-SA"/>
        </w:rPr>
        <w:t>2022年</w:t>
      </w:r>
      <w:r>
        <w:rPr>
          <w:rFonts w:hint="eastAsia" w:ascii="仿宋" w:hAnsi="仿宋" w:eastAsia="仿宋" w:cs="仿宋"/>
          <w:sz w:val="32"/>
          <w:szCs w:val="32"/>
          <w:lang w:eastAsia="zh-CN" w:bidi="ar-SA"/>
        </w:rPr>
        <w:t>，我中心坚持</w:t>
      </w:r>
      <w:r>
        <w:rPr>
          <w:rFonts w:hint="eastAsia" w:ascii="仿宋" w:hAnsi="仿宋" w:eastAsia="仿宋" w:cs="仿宋"/>
          <w:sz w:val="32"/>
          <w:szCs w:val="32"/>
          <w:lang w:val="en-US" w:eastAsia="zh-CN" w:bidi="ar-SA"/>
        </w:rPr>
        <w:t>以习近平新时代中国特色社会主义思想为指导，全面贯彻习近平总书记对四川工作、接待工作系列重要批示精神</w:t>
      </w:r>
      <w:r>
        <w:rPr>
          <w:rFonts w:hint="eastAsia" w:ascii="仿宋" w:hAnsi="仿宋" w:eastAsia="仿宋" w:cs="仿宋"/>
          <w:sz w:val="32"/>
          <w:szCs w:val="32"/>
          <w:lang w:eastAsia="zh-CN" w:bidi="ar-SA"/>
        </w:rPr>
        <w:t>，</w:t>
      </w:r>
      <w:r>
        <w:rPr>
          <w:rFonts w:hint="eastAsia" w:ascii="仿宋" w:hAnsi="仿宋" w:eastAsia="仿宋" w:cs="仿宋"/>
          <w:sz w:val="32"/>
          <w:szCs w:val="32"/>
          <w:lang w:val="en-US" w:eastAsia="zh-CN" w:bidi="ar-SA"/>
        </w:rPr>
        <w:t>准确</w:t>
      </w:r>
      <w:r>
        <w:rPr>
          <w:rFonts w:hint="eastAsia" w:ascii="仿宋" w:hAnsi="仿宋" w:eastAsia="仿宋" w:cs="仿宋"/>
          <w:sz w:val="32"/>
          <w:szCs w:val="32"/>
          <w:lang w:eastAsia="zh-CN" w:bidi="ar-SA"/>
        </w:rPr>
        <w:t>把握公务接待新要求，</w:t>
      </w:r>
      <w:r>
        <w:rPr>
          <w:rFonts w:hint="eastAsia" w:ascii="仿宋" w:hAnsi="仿宋" w:eastAsia="仿宋" w:cs="仿宋"/>
          <w:sz w:val="32"/>
          <w:szCs w:val="32"/>
          <w:lang w:val="en-US" w:eastAsia="zh-CN" w:bidi="ar-SA"/>
        </w:rPr>
        <w:t>主动</w:t>
      </w:r>
      <w:r>
        <w:rPr>
          <w:rFonts w:hint="eastAsia" w:ascii="仿宋" w:hAnsi="仿宋" w:eastAsia="仿宋" w:cs="仿宋"/>
          <w:sz w:val="32"/>
          <w:szCs w:val="32"/>
          <w:lang w:eastAsia="zh-CN" w:bidi="ar-SA"/>
        </w:rPr>
        <w:t>适应公务接待新常态，</w:t>
      </w:r>
      <w:r>
        <w:rPr>
          <w:rFonts w:hint="eastAsia" w:ascii="仿宋" w:hAnsi="仿宋" w:eastAsia="仿宋" w:cs="仿宋"/>
          <w:sz w:val="32"/>
          <w:szCs w:val="32"/>
          <w:lang w:val="en-US" w:eastAsia="zh-CN" w:bidi="ar-SA"/>
        </w:rPr>
        <w:t>积极</w:t>
      </w:r>
      <w:r>
        <w:rPr>
          <w:rFonts w:hint="eastAsia" w:ascii="仿宋" w:hAnsi="仿宋" w:eastAsia="仿宋" w:cs="仿宋"/>
          <w:sz w:val="32"/>
          <w:szCs w:val="32"/>
          <w:lang w:eastAsia="zh-CN" w:bidi="ar-SA"/>
        </w:rPr>
        <w:t>探索公务接待新方式，</w:t>
      </w:r>
      <w:r>
        <w:rPr>
          <w:rFonts w:hint="eastAsia" w:ascii="仿宋" w:hAnsi="仿宋" w:eastAsia="仿宋" w:cs="仿宋"/>
          <w:sz w:val="32"/>
          <w:szCs w:val="32"/>
          <w:lang w:val="en-US" w:eastAsia="zh-CN" w:bidi="ar-SA"/>
        </w:rPr>
        <w:t>使</w:t>
      </w:r>
      <w:r>
        <w:rPr>
          <w:rFonts w:hint="eastAsia" w:ascii="仿宋" w:hAnsi="仿宋" w:eastAsia="仿宋" w:cs="仿宋"/>
          <w:sz w:val="32"/>
          <w:szCs w:val="32"/>
          <w:lang w:eastAsia="zh-CN" w:bidi="ar-SA"/>
        </w:rPr>
        <w:t>公务</w:t>
      </w:r>
      <w:r>
        <w:rPr>
          <w:rFonts w:hint="eastAsia" w:ascii="仿宋" w:hAnsi="仿宋" w:eastAsia="仿宋" w:cs="仿宋"/>
          <w:sz w:val="32"/>
          <w:szCs w:val="32"/>
          <w:lang w:val="en-US" w:eastAsia="zh-CN" w:bidi="ar-SA"/>
        </w:rPr>
        <w:t>接待</w:t>
      </w:r>
      <w:r>
        <w:rPr>
          <w:rFonts w:hint="eastAsia" w:ascii="仿宋" w:hAnsi="仿宋" w:eastAsia="仿宋" w:cs="仿宋"/>
          <w:sz w:val="32"/>
          <w:szCs w:val="32"/>
          <w:lang w:eastAsia="zh-CN" w:bidi="ar-SA"/>
        </w:rPr>
        <w:t>更加精准、保障更加有力、作用更加凸显，充分展示剑阁接待工作新风貌、新形象，为全面落实</w:t>
      </w:r>
      <w:r>
        <w:rPr>
          <w:rFonts w:hint="eastAsia" w:ascii="仿宋" w:hAnsi="仿宋" w:eastAsia="仿宋" w:cs="仿宋"/>
          <w:sz w:val="32"/>
          <w:szCs w:val="32"/>
          <w:lang w:val="en-US" w:eastAsia="zh-CN" w:bidi="ar-SA"/>
        </w:rPr>
        <w:t>县委</w:t>
      </w:r>
      <w:r>
        <w:rPr>
          <w:rFonts w:hint="eastAsia" w:ascii="仿宋" w:hAnsi="仿宋" w:eastAsia="仿宋" w:cs="仿宋"/>
          <w:sz w:val="32"/>
          <w:szCs w:val="32"/>
          <w:lang w:eastAsia="zh-CN" w:bidi="ar-SA"/>
        </w:rPr>
        <w:t>“</w:t>
      </w:r>
      <w:r>
        <w:rPr>
          <w:rFonts w:hint="eastAsia" w:ascii="仿宋" w:hAnsi="仿宋" w:eastAsia="仿宋" w:cs="仿宋"/>
          <w:sz w:val="32"/>
          <w:szCs w:val="32"/>
          <w:lang w:val="en-US" w:eastAsia="zh-CN" w:bidi="ar-SA"/>
        </w:rPr>
        <w:t>1233</w:t>
      </w:r>
      <w:r>
        <w:rPr>
          <w:rFonts w:hint="eastAsia" w:ascii="仿宋" w:hAnsi="仿宋" w:eastAsia="仿宋" w:cs="仿宋"/>
          <w:sz w:val="32"/>
          <w:szCs w:val="32"/>
          <w:lang w:eastAsia="zh-CN" w:bidi="ar-SA"/>
        </w:rPr>
        <w:t>”执政兴县战略发挥了积极作用。</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（一）抓服务中心的大事、要事、关键事。</w:t>
      </w:r>
      <w:r>
        <w:rPr>
          <w:rFonts w:hint="eastAsia" w:ascii="仿宋" w:hAnsi="仿宋" w:eastAsia="仿宋" w:cs="仿宋"/>
          <w:sz w:val="32"/>
          <w:szCs w:val="32"/>
          <w:lang w:eastAsia="zh-CN" w:bidi="ar-SA"/>
        </w:rPr>
        <w:t>一是</w:t>
      </w:r>
      <w:r>
        <w:rPr>
          <w:rFonts w:hint="eastAsia" w:ascii="仿宋" w:hAnsi="仿宋" w:eastAsia="仿宋" w:cs="仿宋"/>
          <w:sz w:val="32"/>
          <w:szCs w:val="32"/>
          <w:lang w:val="en-US" w:eastAsia="zh-CN" w:bidi="ar-SA"/>
        </w:rPr>
        <w:t>强化</w:t>
      </w:r>
      <w:r>
        <w:rPr>
          <w:rFonts w:hint="eastAsia" w:ascii="仿宋" w:hAnsi="仿宋" w:eastAsia="仿宋" w:cs="仿宋"/>
          <w:sz w:val="32"/>
          <w:szCs w:val="32"/>
          <w:lang w:eastAsia="zh-CN" w:bidi="ar-SA"/>
        </w:rPr>
        <w:t>思想政治建设。</w:t>
      </w:r>
      <w:r>
        <w:rPr>
          <w:rFonts w:hint="eastAsia" w:ascii="仿宋" w:hAnsi="仿宋" w:eastAsia="仿宋" w:cs="仿宋"/>
          <w:sz w:val="32"/>
          <w:szCs w:val="32"/>
          <w:lang w:val="en-US" w:eastAsia="zh-CN" w:bidi="ar-SA"/>
        </w:rPr>
        <w:t>深入学习习近平总书记系列重要讲话精神和党的二十大精神，通过集中学习、开展座谈等推动理论学习往深里走、往心里走、往实里走。全年开展集中学习12次，集中座谈6次，组织党员干部利用“学习强国”“剑阁发布”等平台深入学习，所有职工“学习强国”日积分达到30分以上。二是助力全县发展大局。高质量完成各级主要领导来剑调研、国家统计局督察、省委巡视组来剑巡视、全市2022年一季度经济形势分析暨项目投资“拉练评比”现场会、国家及省乡村振兴专项督查等重大活动。圆满完成接待任务360余批次、3900余人。其中，公务接待240余批次、2600余人，协助和指导商务接待120余批次、1300余人；负责和指导大型会议及重大活动接待共10次，接待部级以上领导13批次，厅级以上领导127批次。三是全力保障疫情防控。在全县处置“10.11”本土疫情期间，积极响应号召，充分调动人员、车辆，坚守在防疫一线，圆满完成防疫省、市、县指挥部240余人长达20余天的后勤保障，在疫情防控阻击战中发挥了重要保障作用。四是努力做好涉外事务。严格落实境外来（返）剑人员排查管理措施，主动联系涉外人员本人及家属600余人次，境外来（返）剑人员累计552人，全年未发生境外疫情输入。完成境外剑阁籍人员情况核实统计，全县现阶段因学、工作、姻亲等在境外人员共430余人，完成信息填报143人。做好在剑港澳同胞和外籍人士接种新冠疫苗工作，目前在剑外籍人士11人，已接种9人，未接种1户2人。五是致力做好乡村振兴。深入普安镇水池村、长春村，认真走访群众，调研产业发展情况，召开村组干部会议，研究解决问题。通过协调相关部门，协助解决水池村中药材园区道路建设，长春村2.4公里连村路等。</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二）抓好统筹各方的难事、琐事、职责事。一是将接待工作作为宣传推介剑阁的“第一窗口”。将宣传剑阁放在首位，通过接待手册印制、考察路线安排、宣传片制作等方式，推介剑阁人文历史、风土人情、经济发展、投资环境等，让宾客全方位了解剑阁经济社会发展成就。二是将接待工作作为感知感受剑阁的“第一名片”。深挖剑阁文化特色，与农业、文旅等部门有效结合，及时掌握剑阁本地特色产品，将各类本地造的水果、干果、牛肉等农副产品用于公务接待中。“剑门豆腐干”“凉山牛肉”“柳沟蟠桃”“东宝女皇李”“元山果冻橙”等深受宾客喜爱，让嘉宾感受剑阁人民的淳朴务实和热情好客。三是将接待工作作为争取政策项目的“第一纽带”。始终把沟通内外、广交朋友作为接待工作的一项重要任务，高质量完成了广元亚拉德荣百亿优质种牛全链集群项目暨剑阁县优质肉牛全产业链项目签约仪式、中国美术摄影书法名家邀请展采风创作活动、剑阁县企业家联合会选举暨成立大会等重要活动服务保障，为剑阁争取更多国家政策和项目支持奠定保障基础。</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_GB2312" w:hAnsi="黑体" w:eastAsia="仿宋_GB2312" w:cs="Times New Roman"/>
          <w:bCs/>
          <w:color w:val="000000"/>
          <w:sz w:val="32"/>
          <w:szCs w:val="32"/>
          <w:lang w:val="en-US" w:eastAsia="zh-CN"/>
        </w:rPr>
      </w:pPr>
      <w:r>
        <w:rPr>
          <w:rFonts w:hint="eastAsia" w:ascii="仿宋" w:hAnsi="仿宋" w:eastAsia="仿宋" w:cs="仿宋"/>
          <w:sz w:val="32"/>
          <w:szCs w:val="32"/>
          <w:lang w:val="en-US" w:eastAsia="zh-CN" w:bidi="ar-SA"/>
        </w:rPr>
        <w:t>（三）抓好貌不起眼的小事、琐事、幕后事。一是机关食堂改造升级。自今年6月接管县委机关食堂后，先后投入13.21万元对功能用房进行了维修改造，对厨房设施设备进行了维护更换，改善了机关干部用餐环境，实现打基础利长远。</w:t>
      </w:r>
      <w:r>
        <w:rPr>
          <w:rFonts w:hint="eastAsia" w:ascii="仿宋" w:hAnsi="仿宋" w:eastAsia="仿宋" w:cs="仿宋"/>
          <w:sz w:val="32"/>
          <w:szCs w:val="32"/>
          <w:lang w:eastAsia="zh-CN" w:bidi="ar-SA"/>
        </w:rPr>
        <w:t>二是</w:t>
      </w:r>
      <w:r>
        <w:rPr>
          <w:rFonts w:hint="eastAsia" w:ascii="仿宋" w:hAnsi="仿宋" w:eastAsia="仿宋" w:cs="仿宋"/>
          <w:sz w:val="32"/>
          <w:szCs w:val="32"/>
          <w:lang w:val="en-US" w:eastAsia="zh-CN" w:bidi="ar-SA"/>
        </w:rPr>
        <w:t>业务培训形成常态。开展“岗位大</w:t>
      </w:r>
      <w:r>
        <w:rPr>
          <w:rFonts w:hint="eastAsia" w:ascii="仿宋" w:hAnsi="仿宋" w:eastAsia="仿宋" w:cs="仿宋"/>
          <w:sz w:val="32"/>
          <w:szCs w:val="32"/>
          <w:lang w:val="en-US" w:eastAsia="zh-CN" w:bidi="ar-SA"/>
        </w:rPr>
        <w:tab/>
      </w:r>
      <w:r>
        <w:rPr>
          <w:rFonts w:hint="eastAsia" w:ascii="仿宋" w:hAnsi="仿宋" w:eastAsia="仿宋" w:cs="仿宋"/>
          <w:sz w:val="32"/>
          <w:szCs w:val="32"/>
          <w:lang w:val="en-US" w:eastAsia="zh-CN" w:bidi="ar-SA"/>
        </w:rPr>
        <w:t>练兵”活动，全年开展30余次知识培训，实施“接待干部培养计划”，通过顶岗锻炼、外出考察学习、业务技能培训等形式，强化干部管理。先后抽调8人顶岗锻炼，今年退伍安置1人，提拔重用1人。三是内部管理有效规范。完善内部管理各项制度，建立健全公文处理、财务管理、外出报告等各项制度，在管人、管事、管财、管物等方面形成更加完善有效的制度体系，真正做到有规可依、有章可循。四是信息化建设取得实效。</w:t>
      </w:r>
      <w:r>
        <w:rPr>
          <w:rFonts w:hint="eastAsia" w:ascii="仿宋" w:hAnsi="仿宋" w:eastAsia="仿宋" w:cs="仿宋"/>
          <w:sz w:val="32"/>
          <w:szCs w:val="32"/>
          <w:lang w:eastAsia="zh-CN" w:bidi="ar-SA"/>
        </w:rPr>
        <w:t>客史库、点位库、资源库、人才库“四库”数据内容进一步充实</w:t>
      </w:r>
      <w:r>
        <w:rPr>
          <w:rFonts w:hint="eastAsia" w:ascii="仿宋" w:hAnsi="仿宋" w:eastAsia="仿宋" w:cs="仿宋"/>
          <w:sz w:val="32"/>
          <w:szCs w:val="32"/>
          <w:lang w:val="en-US" w:eastAsia="zh-CN" w:bidi="ar-SA"/>
        </w:rPr>
        <w:t>完善</w:t>
      </w:r>
      <w:r>
        <w:rPr>
          <w:rFonts w:hint="eastAsia" w:ascii="仿宋" w:hAnsi="仿宋" w:eastAsia="仿宋" w:cs="仿宋"/>
          <w:sz w:val="32"/>
          <w:szCs w:val="32"/>
          <w:lang w:eastAsia="zh-CN" w:bidi="ar-SA"/>
        </w:rPr>
        <w:t>，省公务信息平台信息数据及时更新，加快推进调研点位信息平台应用，运用多种电子设备、多媒体技术等现代手段，有效统筹接待资源服务于公务外事服务工作。</w:t>
      </w:r>
    </w:p>
    <w:p>
      <w:pPr>
        <w:pStyle w:val="4"/>
        <w:numPr>
          <w:ilvl w:val="0"/>
          <w:numId w:val="0"/>
        </w:numPr>
        <w:ind w:firstLine="640" w:firstLineChars="200"/>
        <w:rPr>
          <w:rStyle w:val="30"/>
          <w:rFonts w:hint="eastAsia" w:ascii="黑体" w:hAnsi="黑体" w:eastAsia="黑体"/>
          <w:b w:val="0"/>
          <w:bCs w:val="0"/>
        </w:rPr>
      </w:pPr>
      <w:bookmarkStart w:id="14" w:name="_Toc15396601"/>
      <w:bookmarkStart w:id="15" w:name="_Toc15377200"/>
      <w:r>
        <w:rPr>
          <w:rFonts w:hint="eastAsia" w:ascii="黑体" w:hAnsi="黑体" w:eastAsia="黑体"/>
          <w:b w:val="0"/>
          <w:lang w:eastAsia="zh-CN"/>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rFonts w:hint="eastAsia" w:ascii="仿宋" w:hAnsi="仿宋" w:eastAsia="仿宋"/>
          <w:sz w:val="32"/>
          <w:szCs w:val="32"/>
          <w:lang w:eastAsia="zh-CN"/>
        </w:rPr>
        <w:t>剑阁县公务和外事服务中心</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剑阁县公务和外事服务中心无</w:t>
      </w:r>
      <w:r>
        <w:rPr>
          <w:rFonts w:hint="eastAsia" w:ascii="仿宋" w:hAnsi="仿宋" w:eastAsia="仿宋"/>
          <w:sz w:val="32"/>
          <w:szCs w:val="32"/>
        </w:rPr>
        <w:t>纳入2022年度部门决算编制范围的二级预算单位</w:t>
      </w:r>
      <w:r>
        <w:rPr>
          <w:rFonts w:hint="eastAsia" w:ascii="仿宋" w:hAnsi="仿宋" w:eastAsia="仿宋"/>
          <w:sz w:val="32"/>
          <w:szCs w:val="32"/>
          <w:lang w:eastAsia="zh-CN"/>
        </w:rPr>
        <w:t>。</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16"/>
      <w:bookmarkEnd w:id="17"/>
    </w:p>
    <w:p/>
    <w:p>
      <w:pPr>
        <w:pStyle w:val="28"/>
        <w:numPr>
          <w:ilvl w:val="0"/>
          <w:numId w:val="1"/>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445.82</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192.5</w:t>
      </w:r>
      <w:r>
        <w:rPr>
          <w:rFonts w:hint="eastAsia" w:ascii="仿宋" w:hAnsi="仿宋" w:eastAsia="仿宋"/>
          <w:sz w:val="32"/>
          <w:szCs w:val="32"/>
        </w:rPr>
        <w:t>万元，增</w:t>
      </w:r>
      <w:r>
        <w:rPr>
          <w:rFonts w:hint="eastAsia" w:ascii="仿宋" w:hAnsi="仿宋" w:eastAsia="仿宋"/>
          <w:sz w:val="32"/>
          <w:szCs w:val="32"/>
          <w:lang w:val="en-US" w:eastAsia="zh-CN"/>
        </w:rPr>
        <w:t>75.99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支出项目增加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1" locked="0" layoutInCell="1" allowOverlap="1">
            <wp:simplePos x="0" y="0"/>
            <wp:positionH relativeFrom="column">
              <wp:posOffset>453390</wp:posOffset>
            </wp:positionH>
            <wp:positionV relativeFrom="paragraph">
              <wp:posOffset>57150</wp:posOffset>
            </wp:positionV>
            <wp:extent cx="4191635" cy="3189605"/>
            <wp:effectExtent l="4445" t="4445" r="13970" b="635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8"/>
        <w:numPr>
          <w:ilvl w:val="0"/>
          <w:numId w:val="0"/>
        </w:numPr>
        <w:spacing w:line="600" w:lineRule="exact"/>
        <w:ind w:left="640" w:leftChars="0"/>
        <w:outlineLvl w:val="1"/>
        <w:rPr>
          <w:rFonts w:hint="eastAsia" w:ascii="黑体" w:hAnsi="黑体" w:eastAsia="黑体"/>
          <w:sz w:val="32"/>
          <w:szCs w:val="32"/>
        </w:rPr>
      </w:pPr>
      <w:bookmarkStart w:id="20" w:name="_Toc15377206"/>
      <w:bookmarkStart w:id="21" w:name="_Toc15396604"/>
    </w:p>
    <w:p>
      <w:pPr>
        <w:pStyle w:val="28"/>
        <w:numPr>
          <w:ilvl w:val="0"/>
          <w:numId w:val="0"/>
        </w:numPr>
        <w:spacing w:line="600" w:lineRule="exact"/>
        <w:ind w:left="640" w:leftChars="0"/>
        <w:outlineLvl w:val="1"/>
        <w:rPr>
          <w:rFonts w:hint="eastAsia" w:ascii="黑体" w:hAnsi="黑体" w:eastAsia="黑体"/>
          <w:sz w:val="32"/>
          <w:szCs w:val="32"/>
        </w:rPr>
      </w:pPr>
    </w:p>
    <w:p>
      <w:pPr>
        <w:pStyle w:val="28"/>
        <w:numPr>
          <w:ilvl w:val="0"/>
          <w:numId w:val="0"/>
        </w:numPr>
        <w:spacing w:line="600" w:lineRule="exact"/>
        <w:ind w:left="640" w:leftChars="0"/>
        <w:outlineLvl w:val="1"/>
        <w:rPr>
          <w:rFonts w:hint="eastAsia" w:ascii="黑体" w:hAnsi="黑体" w:eastAsia="黑体"/>
          <w:sz w:val="32"/>
          <w:szCs w:val="32"/>
        </w:rPr>
      </w:pPr>
    </w:p>
    <w:p>
      <w:pPr>
        <w:pStyle w:val="28"/>
        <w:numPr>
          <w:ilvl w:val="0"/>
          <w:numId w:val="0"/>
        </w:numPr>
        <w:spacing w:line="600" w:lineRule="exact"/>
        <w:ind w:left="640" w:leftChars="0"/>
        <w:outlineLvl w:val="1"/>
        <w:rPr>
          <w:rFonts w:hint="eastAsia" w:ascii="黑体" w:hAnsi="黑体" w:eastAsia="黑体"/>
          <w:sz w:val="32"/>
          <w:szCs w:val="32"/>
        </w:rPr>
      </w:pPr>
    </w:p>
    <w:p>
      <w:pPr>
        <w:pStyle w:val="28"/>
        <w:numPr>
          <w:ilvl w:val="0"/>
          <w:numId w:val="0"/>
        </w:numPr>
        <w:spacing w:line="600" w:lineRule="exact"/>
        <w:ind w:left="640" w:leftChars="0"/>
        <w:outlineLvl w:val="1"/>
        <w:rPr>
          <w:rFonts w:hint="eastAsia" w:ascii="黑体" w:hAnsi="黑体" w:eastAsia="黑体"/>
          <w:sz w:val="32"/>
          <w:szCs w:val="32"/>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Style w:val="30"/>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445.82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445.82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0"/>
        </w:numPr>
        <w:spacing w:line="600" w:lineRule="exact"/>
        <w:ind w:left="640" w:leftChars="0"/>
        <w:outlineLvl w:val="1"/>
        <w:rPr>
          <w:rFonts w:hint="eastAsia" w:ascii="黑体" w:hAnsi="黑体" w:eastAsia="黑体"/>
          <w:sz w:val="32"/>
          <w:szCs w:val="32"/>
          <w:lang w:eastAsia="zh-CN"/>
        </w:rPr>
      </w:pPr>
      <w:bookmarkStart w:id="22" w:name="_Toc15377207"/>
      <w:bookmarkStart w:id="23" w:name="_Toc15396605"/>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p>
    <w:p>
      <w:pPr>
        <w:pStyle w:val="28"/>
        <w:numPr>
          <w:ilvl w:val="0"/>
          <w:numId w:val="0"/>
        </w:numPr>
        <w:spacing w:line="600" w:lineRule="exact"/>
        <w:ind w:left="640" w:leftChars="0"/>
        <w:outlineLvl w:val="1"/>
        <w:rPr>
          <w:rFonts w:hint="eastAsia" w:ascii="黑体" w:hAnsi="黑体" w:eastAsia="黑体"/>
          <w:sz w:val="32"/>
          <w:szCs w:val="32"/>
          <w:lang w:eastAsia="zh-CN"/>
        </w:rPr>
      </w:pPr>
      <w:r>
        <w:rPr>
          <w:rFonts w:hint="eastAsia" w:ascii="黑体" w:hAnsi="黑体" w:eastAsia="黑体"/>
          <w:sz w:val="32"/>
          <w:szCs w:val="32"/>
          <w:lang w:eastAsia="zh-CN"/>
        </w:rPr>
        <w:drawing>
          <wp:anchor distT="0" distB="0" distL="114300" distR="114300" simplePos="0" relativeHeight="251660288" behindDoc="1" locked="0" layoutInCell="1" allowOverlap="1">
            <wp:simplePos x="0" y="0"/>
            <wp:positionH relativeFrom="column">
              <wp:posOffset>406400</wp:posOffset>
            </wp:positionH>
            <wp:positionV relativeFrom="paragraph">
              <wp:posOffset>-2457450</wp:posOffset>
            </wp:positionV>
            <wp:extent cx="4457700" cy="2762250"/>
            <wp:effectExtent l="0" t="0" r="0" b="0"/>
            <wp:wrapNone/>
            <wp:docPr id="5" name="图片 5" descr="16977702038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697770203872"/>
                    <pic:cNvPicPr>
                      <a:picLocks noChangeAspect="true"/>
                    </pic:cNvPicPr>
                  </pic:nvPicPr>
                  <pic:blipFill>
                    <a:blip r:embed="rId8"/>
                    <a:stretch>
                      <a:fillRect/>
                    </a:stretch>
                  </pic:blipFill>
                  <pic:spPr>
                    <a:xfrm>
                      <a:off x="0" y="0"/>
                      <a:ext cx="4457700" cy="2762250"/>
                    </a:xfrm>
                    <a:prstGeom prst="rect">
                      <a:avLst/>
                    </a:prstGeom>
                  </pic:spPr>
                </pic:pic>
              </a:graphicData>
            </a:graphic>
          </wp:anchor>
        </w:drawing>
      </w:r>
    </w:p>
    <w:p>
      <w:pPr>
        <w:pStyle w:val="28"/>
        <w:numPr>
          <w:ilvl w:val="0"/>
          <w:numId w:val="0"/>
        </w:numPr>
        <w:spacing w:line="600" w:lineRule="exact"/>
        <w:ind w:left="640" w:leftChars="0"/>
        <w:outlineLvl w:val="1"/>
        <w:rPr>
          <w:rStyle w:val="30"/>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445.82</w:t>
      </w:r>
      <w:r>
        <w:rPr>
          <w:rFonts w:hint="eastAsia" w:ascii="仿宋" w:hAnsi="仿宋" w:eastAsia="仿宋"/>
          <w:sz w:val="32"/>
          <w:szCs w:val="32"/>
        </w:rPr>
        <w:t>万元，其中：基本支出</w:t>
      </w:r>
      <w:r>
        <w:rPr>
          <w:rFonts w:hint="eastAsia" w:ascii="仿宋" w:hAnsi="仿宋" w:eastAsia="仿宋"/>
          <w:sz w:val="32"/>
          <w:szCs w:val="32"/>
          <w:lang w:val="en-US" w:eastAsia="zh-CN"/>
        </w:rPr>
        <w:t>101.64</w:t>
      </w:r>
      <w:r>
        <w:rPr>
          <w:rFonts w:hint="eastAsia" w:ascii="仿宋" w:hAnsi="仿宋" w:eastAsia="仿宋"/>
          <w:sz w:val="32"/>
          <w:szCs w:val="32"/>
        </w:rPr>
        <w:t>万元，占</w:t>
      </w:r>
      <w:r>
        <w:rPr>
          <w:rFonts w:hint="eastAsia" w:ascii="仿宋" w:hAnsi="仿宋" w:eastAsia="仿宋"/>
          <w:sz w:val="32"/>
          <w:szCs w:val="32"/>
          <w:lang w:val="en-US" w:eastAsia="zh-CN"/>
        </w:rPr>
        <w:t>22.8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344.18</w:t>
      </w:r>
      <w:r>
        <w:rPr>
          <w:rFonts w:hint="eastAsia" w:ascii="仿宋" w:hAnsi="仿宋" w:eastAsia="仿宋"/>
          <w:sz w:val="32"/>
          <w:szCs w:val="32"/>
        </w:rPr>
        <w:t>万元，占</w:t>
      </w:r>
      <w:r>
        <w:rPr>
          <w:rFonts w:hint="eastAsia" w:ascii="仿宋" w:hAnsi="仿宋" w:eastAsia="仿宋"/>
          <w:sz w:val="32"/>
          <w:szCs w:val="32"/>
          <w:lang w:val="en-US" w:eastAsia="zh-CN"/>
        </w:rPr>
        <w:t>77.2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outlineLvl w:val="1"/>
        <w:rPr>
          <w:rFonts w:hint="eastAsia" w:ascii="黑体" w:hAnsi="黑体" w:eastAsia="黑体"/>
          <w:sz w:val="32"/>
          <w:szCs w:val="32"/>
        </w:rPr>
      </w:pPr>
      <w:bookmarkStart w:id="24" w:name="_Toc15396606"/>
      <w:bookmarkStart w:id="25" w:name="_Toc15377208"/>
    </w:p>
    <w:p>
      <w:pPr>
        <w:spacing w:line="600" w:lineRule="exact"/>
        <w:ind w:firstLine="640" w:firstLineChars="200"/>
        <w:outlineLvl w:val="1"/>
        <w:rPr>
          <w:rFonts w:hint="eastAsia" w:ascii="黑体" w:hAnsi="黑体" w:eastAsia="黑体"/>
          <w:sz w:val="32"/>
          <w:szCs w:val="32"/>
        </w:rPr>
      </w:pPr>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1312" behindDoc="1" locked="0" layoutInCell="1" allowOverlap="1">
            <wp:simplePos x="0" y="0"/>
            <wp:positionH relativeFrom="column">
              <wp:posOffset>428625</wp:posOffset>
            </wp:positionH>
            <wp:positionV relativeFrom="paragraph">
              <wp:posOffset>-259080</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outlineLvl w:val="1"/>
        <w:rPr>
          <w:rFonts w:hint="eastAsia" w:ascii="黑体" w:hAnsi="黑体" w:eastAsia="黑体"/>
          <w:sz w:val="32"/>
          <w:szCs w:val="32"/>
        </w:rPr>
      </w:pPr>
    </w:p>
    <w:p>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445.82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192.5</w:t>
      </w:r>
      <w:r>
        <w:rPr>
          <w:rFonts w:hint="eastAsia" w:ascii="仿宋" w:hAnsi="仿宋" w:eastAsia="仿宋"/>
          <w:sz w:val="32"/>
          <w:szCs w:val="32"/>
        </w:rPr>
        <w:t>万元，增长</w:t>
      </w:r>
      <w:r>
        <w:rPr>
          <w:rFonts w:hint="eastAsia" w:ascii="仿宋" w:hAnsi="仿宋" w:eastAsia="仿宋"/>
          <w:sz w:val="32"/>
          <w:szCs w:val="32"/>
          <w:lang w:val="en-US" w:eastAsia="zh-CN"/>
        </w:rPr>
        <w:t>75.99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支出项目增加。</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9"/>
        <w:jc w:val="center"/>
        <w:rPr>
          <w:rFonts w:ascii="仿宋" w:hAnsi="仿宋" w:eastAsia="仿宋"/>
          <w:b/>
          <w:sz w:val="32"/>
          <w:szCs w:val="32"/>
        </w:rPr>
      </w:pPr>
      <w:r>
        <w:drawing>
          <wp:inline distT="0" distB="0" distL="114300" distR="114300">
            <wp:extent cx="4556125" cy="2602865"/>
            <wp:effectExtent l="4445" t="4445" r="11430" b="2159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9"/>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431.53</w:t>
      </w:r>
      <w:r>
        <w:rPr>
          <w:rFonts w:hint="eastAsia" w:ascii="仿宋" w:hAnsi="仿宋" w:eastAsia="仿宋"/>
          <w:sz w:val="32"/>
          <w:szCs w:val="32"/>
        </w:rPr>
        <w:t>万元，占本年支出合计的</w:t>
      </w:r>
      <w:r>
        <w:rPr>
          <w:rFonts w:hint="eastAsia" w:ascii="仿宋" w:hAnsi="仿宋" w:eastAsia="仿宋"/>
          <w:sz w:val="32"/>
          <w:szCs w:val="32"/>
          <w:lang w:val="en-US" w:eastAsia="zh-CN"/>
        </w:rPr>
        <w:t>96.8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212.94</w:t>
      </w:r>
      <w:r>
        <w:rPr>
          <w:rFonts w:hint="eastAsia" w:ascii="仿宋" w:hAnsi="仿宋" w:eastAsia="仿宋"/>
          <w:sz w:val="32"/>
          <w:szCs w:val="32"/>
        </w:rPr>
        <w:t>万元，增长</w:t>
      </w:r>
      <w:r>
        <w:rPr>
          <w:rFonts w:hint="eastAsia" w:ascii="仿宋" w:hAnsi="仿宋" w:eastAsia="仿宋"/>
          <w:sz w:val="32"/>
          <w:szCs w:val="32"/>
          <w:lang w:val="en-US" w:eastAsia="zh-CN"/>
        </w:rPr>
        <w:t>97.42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支出项目增加。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420" w:firstLineChars="200"/>
      </w:pPr>
    </w:p>
    <w:p>
      <w:pPr>
        <w:pStyle w:val="9"/>
      </w:pPr>
    </w:p>
    <w:p>
      <w:pPr>
        <w:pStyle w:val="9"/>
      </w:pPr>
    </w:p>
    <w:p>
      <w:pPr>
        <w:pStyle w:val="9"/>
      </w:pPr>
    </w:p>
    <w:p>
      <w:pPr>
        <w:pStyle w:val="9"/>
      </w:pPr>
      <w:r>
        <w:drawing>
          <wp:anchor distT="0" distB="0" distL="114300" distR="114300" simplePos="0" relativeHeight="251662336" behindDoc="1" locked="0" layoutInCell="1" allowOverlap="1">
            <wp:simplePos x="0" y="0"/>
            <wp:positionH relativeFrom="column">
              <wp:posOffset>445770</wp:posOffset>
            </wp:positionH>
            <wp:positionV relativeFrom="paragraph">
              <wp:posOffset>-564515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9"/>
      </w:pPr>
    </w:p>
    <w:p>
      <w:pPr>
        <w:pStyle w:val="9"/>
      </w:pPr>
    </w:p>
    <w:p>
      <w:pPr>
        <w:pStyle w:val="9"/>
      </w:pPr>
    </w:p>
    <w:p>
      <w:pPr>
        <w:pStyle w:val="9"/>
      </w:pPr>
    </w:p>
    <w:p>
      <w:pPr>
        <w:pStyle w:val="9"/>
      </w:pPr>
    </w:p>
    <w:p>
      <w:pPr>
        <w:pStyle w:val="9"/>
      </w:pPr>
    </w:p>
    <w:p>
      <w:pPr>
        <w:pStyle w:val="9"/>
      </w:pPr>
    </w:p>
    <w:p>
      <w:pPr>
        <w:spacing w:line="600" w:lineRule="exact"/>
        <w:ind w:firstLine="642" w:firstLineChars="200"/>
        <w:outlineLvl w:val="2"/>
        <w:rPr>
          <w:rFonts w:hint="eastAsia" w:ascii="仿宋" w:hAnsi="仿宋" w:eastAsia="仿宋"/>
          <w:b/>
          <w:sz w:val="32"/>
          <w:szCs w:val="32"/>
        </w:rPr>
      </w:pPr>
      <w:bookmarkStart w:id="29" w:name="_Toc15377211"/>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445.82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431.53</w:t>
      </w:r>
      <w:r>
        <w:rPr>
          <w:rFonts w:hint="eastAsia" w:ascii="仿宋" w:hAnsi="仿宋" w:eastAsia="仿宋"/>
          <w:sz w:val="32"/>
          <w:szCs w:val="32"/>
        </w:rPr>
        <w:t>万元，占</w:t>
      </w:r>
      <w:r>
        <w:rPr>
          <w:rFonts w:hint="eastAsia" w:ascii="仿宋" w:hAnsi="仿宋" w:eastAsia="仿宋"/>
          <w:sz w:val="32"/>
          <w:szCs w:val="32"/>
          <w:lang w:val="en-US" w:eastAsia="zh-CN"/>
        </w:rPr>
        <w:t>96.8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6.51</w:t>
      </w:r>
      <w:r>
        <w:rPr>
          <w:rFonts w:hint="eastAsia" w:ascii="仿宋" w:hAnsi="仿宋" w:eastAsia="仿宋"/>
          <w:sz w:val="32"/>
          <w:szCs w:val="32"/>
        </w:rPr>
        <w:t>万元，占</w:t>
      </w:r>
      <w:r>
        <w:rPr>
          <w:rFonts w:hint="eastAsia" w:ascii="仿宋" w:hAnsi="仿宋" w:eastAsia="仿宋"/>
          <w:sz w:val="32"/>
          <w:szCs w:val="32"/>
          <w:lang w:val="en-US" w:eastAsia="zh-CN"/>
        </w:rPr>
        <w:t>1.46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3.26</w:t>
      </w:r>
      <w:r>
        <w:rPr>
          <w:rFonts w:hint="eastAsia" w:ascii="仿宋" w:hAnsi="仿宋" w:eastAsia="仿宋"/>
          <w:sz w:val="32"/>
          <w:szCs w:val="32"/>
        </w:rPr>
        <w:t>万元，占</w:t>
      </w:r>
      <w:r>
        <w:rPr>
          <w:rFonts w:hint="eastAsia" w:ascii="仿宋" w:hAnsi="仿宋" w:eastAsia="仿宋"/>
          <w:sz w:val="32"/>
          <w:szCs w:val="32"/>
          <w:lang w:val="en-US" w:eastAsia="zh-CN"/>
        </w:rPr>
        <w:t>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4.52</w:t>
      </w:r>
      <w:r>
        <w:rPr>
          <w:rFonts w:hint="eastAsia" w:ascii="仿宋" w:hAnsi="仿宋" w:eastAsia="仿宋"/>
          <w:sz w:val="32"/>
          <w:szCs w:val="32"/>
        </w:rPr>
        <w:t>万元，占</w:t>
      </w:r>
      <w:r>
        <w:rPr>
          <w:rFonts w:hint="eastAsia" w:ascii="仿宋" w:hAnsi="仿宋" w:eastAsia="仿宋"/>
          <w:sz w:val="32"/>
          <w:szCs w:val="32"/>
          <w:lang w:val="en-US" w:eastAsia="zh-CN"/>
        </w:rPr>
        <w:t>1.01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420" w:firstLineChars="200"/>
        <w:rPr>
          <w:rFonts w:ascii="仿宋" w:hAnsi="仿宋" w:eastAsia="仿宋"/>
          <w:sz w:val="32"/>
          <w:szCs w:val="32"/>
        </w:rPr>
      </w:pPr>
      <w:r>
        <w:drawing>
          <wp:anchor distT="0" distB="0" distL="114300" distR="114300" simplePos="0" relativeHeight="251663360" behindDoc="1" locked="0" layoutInCell="1" allowOverlap="1">
            <wp:simplePos x="0" y="0"/>
            <wp:positionH relativeFrom="column">
              <wp:posOffset>518160</wp:posOffset>
            </wp:positionH>
            <wp:positionV relativeFrom="paragraph">
              <wp:posOffset>26035</wp:posOffset>
            </wp:positionV>
            <wp:extent cx="4572000" cy="2743200"/>
            <wp:effectExtent l="4445" t="4445" r="14605" b="1460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spacing w:line="600" w:lineRule="exact"/>
        <w:ind w:firstLine="642" w:firstLineChars="200"/>
        <w:outlineLvl w:val="2"/>
        <w:rPr>
          <w:rFonts w:hint="eastAsia" w:ascii="仿宋" w:hAnsi="仿宋" w:eastAsia="仿宋"/>
          <w:b/>
          <w:sz w:val="32"/>
          <w:szCs w:val="32"/>
        </w:rPr>
      </w:pPr>
      <w:bookmarkStart w:id="30" w:name="_Toc15377212"/>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445.82万元</w:t>
      </w:r>
      <w:r>
        <w:rPr>
          <w:rFonts w:hint="eastAsia" w:ascii="仿宋" w:hAnsi="仿宋" w:eastAsia="仿宋"/>
          <w:sz w:val="32"/>
          <w:szCs w:val="32"/>
        </w:rPr>
        <w:t>，</w:t>
      </w:r>
      <w:r>
        <w:rPr>
          <w:rStyle w:val="19"/>
          <w:rFonts w:hint="eastAsia" w:ascii="仿宋" w:hAnsi="仿宋" w:eastAsia="仿宋"/>
          <w:bCs/>
          <w:sz w:val="32"/>
          <w:szCs w:val="32"/>
        </w:rPr>
        <w:t>完成</w:t>
      </w:r>
      <w:r>
        <w:rPr>
          <w:rStyle w:val="19"/>
          <w:rFonts w:hint="eastAsia" w:ascii="仿宋" w:hAnsi="仿宋" w:eastAsia="仿宋"/>
          <w:bCs/>
          <w:sz w:val="32"/>
          <w:szCs w:val="32"/>
          <w:lang w:eastAsia="zh-CN"/>
        </w:rPr>
        <w:t>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numPr>
          <w:ilvl w:val="0"/>
          <w:numId w:val="0"/>
        </w:numPr>
        <w:spacing w:line="600" w:lineRule="exact"/>
        <w:ind w:firstLine="642"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一般公共服务（类）政府办公厅（室）及相关机构事务</w:t>
      </w:r>
      <w:r>
        <w:rPr>
          <w:rFonts w:ascii="仿宋" w:hAnsi="仿宋" w:eastAsia="仿宋" w:cs="仿宋"/>
          <w:spacing w:val="8"/>
          <w:sz w:val="31"/>
          <w:szCs w:val="31"/>
          <w14:textOutline w14:w="5793" w14:cap="sq" w14:cmpd="sng">
            <w14:solidFill>
              <w14:srgbClr w14:val="000000"/>
            </w14:solidFill>
            <w14:prstDash w14:val="solid"/>
            <w14:bevel/>
          </w14:textOutline>
        </w:rPr>
        <w:t>（款）机关服务（项）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支出决算为34.79万元，完成预算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ascii="仿宋" w:hAnsi="仿宋" w:eastAsia="仿宋" w:cs="仿宋"/>
          <w:spacing w:val="4"/>
          <w:sz w:val="31"/>
          <w:szCs w:val="31"/>
        </w:rPr>
        <w:t>决算数等于预算数</w:t>
      </w:r>
      <w:r>
        <w:rPr>
          <w:rStyle w:val="19"/>
          <w:rFonts w:hint="eastAsia" w:ascii="仿宋" w:hAnsi="仿宋" w:eastAsia="仿宋"/>
          <w:b w:val="0"/>
          <w:bCs/>
          <w:sz w:val="32"/>
          <w:szCs w:val="32"/>
        </w:rPr>
        <w:t>。</w:t>
      </w:r>
    </w:p>
    <w:p>
      <w:pPr>
        <w:numPr>
          <w:ilvl w:val="0"/>
          <w:numId w:val="0"/>
        </w:numPr>
        <w:spacing w:line="600" w:lineRule="exact"/>
        <w:ind w:firstLine="642" w:firstLineChars="200"/>
        <w:rPr>
          <w:rFonts w:hint="eastAsia" w:ascii="仿宋" w:hAnsi="仿宋" w:eastAsia="仿宋" w:cs="仿宋"/>
          <w:spacing w:val="4"/>
          <w:sz w:val="31"/>
          <w:szCs w:val="31"/>
        </w:rPr>
      </w:pPr>
      <w:r>
        <w:rPr>
          <w:rStyle w:val="19"/>
          <w:rFonts w:hint="eastAsia" w:ascii="仿宋" w:hAnsi="仿宋" w:eastAsia="仿宋" w:cstheme="minorBidi"/>
          <w:bCs/>
          <w:sz w:val="32"/>
          <w:szCs w:val="32"/>
          <w:lang w:val="en-US" w:eastAsia="zh-CN"/>
        </w:rPr>
        <w:t>2.</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党委</w:t>
      </w:r>
      <w:r>
        <w:rPr>
          <w:rStyle w:val="19"/>
          <w:rFonts w:hint="eastAsia" w:ascii="仿宋" w:hAnsi="仿宋" w:eastAsia="仿宋"/>
          <w:bCs/>
          <w:sz w:val="32"/>
          <w:szCs w:val="32"/>
        </w:rPr>
        <w:t>办公厅（室）及相关机构事务</w:t>
      </w:r>
      <w:r>
        <w:rPr>
          <w:rFonts w:ascii="仿宋" w:hAnsi="仿宋" w:eastAsia="仿宋" w:cs="仿宋"/>
          <w:spacing w:val="8"/>
          <w:sz w:val="31"/>
          <w:szCs w:val="31"/>
          <w14:textOutline w14:w="5793" w14:cap="sq" w14:cmpd="sng">
            <w14:solidFill>
              <w14:srgbClr w14:val="000000"/>
            </w14:solidFill>
            <w14:prstDash w14:val="solid"/>
            <w14:bevel/>
          </w14:textOutline>
        </w:rPr>
        <w:t>（款）机关服务（项）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支出决算为396.74万元，完成预算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ascii="仿宋" w:hAnsi="仿宋" w:eastAsia="仿宋" w:cs="仿宋"/>
          <w:spacing w:val="4"/>
          <w:sz w:val="31"/>
          <w:szCs w:val="31"/>
        </w:rPr>
        <w:t>决算数等于预算数</w:t>
      </w:r>
      <w:r>
        <w:rPr>
          <w:rFonts w:hint="eastAsia" w:ascii="仿宋" w:hAnsi="仿宋" w:eastAsia="仿宋" w:cs="仿宋"/>
          <w:spacing w:val="4"/>
          <w:sz w:val="31"/>
          <w:szCs w:val="31"/>
        </w:rPr>
        <w:t>。</w:t>
      </w:r>
    </w:p>
    <w:p>
      <w:pPr>
        <w:numPr>
          <w:ilvl w:val="0"/>
          <w:numId w:val="0"/>
        </w:numPr>
        <w:spacing w:line="600" w:lineRule="exact"/>
        <w:ind w:firstLine="638" w:firstLineChars="200"/>
        <w:rPr>
          <w:rStyle w:val="19"/>
          <w:rFonts w:hint="default" w:ascii="仿宋" w:hAnsi="仿宋" w:eastAsia="仿宋" w:cstheme="minorBidi"/>
          <w:bCs/>
          <w:sz w:val="32"/>
          <w:szCs w:val="32"/>
          <w:lang w:val="en-US" w:eastAsia="zh-CN"/>
        </w:rPr>
      </w:pPr>
      <w:r>
        <w:rPr>
          <w:rFonts w:hint="eastAsia" w:ascii="仿宋" w:hAnsi="仿宋" w:eastAsia="仿宋" w:cs="仿宋"/>
          <w:b/>
          <w:bCs/>
          <w:spacing w:val="4"/>
          <w:sz w:val="31"/>
          <w:szCs w:val="31"/>
          <w:lang w:val="en-US" w:eastAsia="zh-CN"/>
        </w:rPr>
        <w:t>3</w:t>
      </w:r>
      <w:r>
        <w:rPr>
          <w:rFonts w:hint="eastAsia" w:ascii="仿宋" w:hAnsi="仿宋" w:eastAsia="仿宋" w:cs="仿宋"/>
          <w:b/>
          <w:bCs/>
          <w:spacing w:val="4"/>
          <w:sz w:val="31"/>
          <w:szCs w:val="31"/>
        </w:rPr>
        <w:t>.社会保障和就业支出（类）行政事业单位养老支出（</w:t>
      </w:r>
      <w:r>
        <w:rPr>
          <w:rStyle w:val="19"/>
          <w:rFonts w:hint="eastAsia" w:ascii="仿宋" w:hAnsi="仿宋" w:eastAsia="仿宋" w:cstheme="minorBidi"/>
          <w:b/>
          <w:bCs/>
          <w:sz w:val="32"/>
          <w:szCs w:val="32"/>
        </w:rPr>
        <w:t>款） 机关事业单位基本养老保险缴费支出（项） :</w:t>
      </w:r>
      <w:r>
        <w:rPr>
          <w:rStyle w:val="19"/>
          <w:rFonts w:hint="eastAsia" w:ascii="仿宋" w:hAnsi="仿宋" w:eastAsia="仿宋" w:cstheme="minorBidi"/>
          <w:bCs/>
          <w:sz w:val="32"/>
          <w:szCs w:val="32"/>
        </w:rPr>
        <w:t xml:space="preserve"> </w:t>
      </w:r>
      <w:r>
        <w:rPr>
          <w:rFonts w:ascii="仿宋" w:hAnsi="仿宋" w:eastAsia="仿宋" w:cs="仿宋"/>
          <w:spacing w:val="17"/>
          <w:sz w:val="31"/>
          <w:szCs w:val="31"/>
        </w:rPr>
        <w:t>支出决算为</w:t>
      </w:r>
      <w:r>
        <w:rPr>
          <w:rFonts w:hint="eastAsia" w:ascii="仿宋" w:hAnsi="仿宋" w:eastAsia="仿宋" w:cs="仿宋"/>
          <w:spacing w:val="6"/>
          <w:sz w:val="31"/>
          <w:szCs w:val="31"/>
          <w:lang w:val="en-US" w:eastAsia="zh-CN"/>
        </w:rPr>
        <w:t>6.51</w:t>
      </w:r>
      <w:r>
        <w:rPr>
          <w:rFonts w:ascii="仿宋" w:hAnsi="仿宋" w:eastAsia="仿宋" w:cs="仿宋"/>
          <w:spacing w:val="6"/>
          <w:sz w:val="31"/>
          <w:szCs w:val="31"/>
        </w:rPr>
        <w:t>万元</w:t>
      </w:r>
      <w:r>
        <w:rPr>
          <w:rFonts w:hint="eastAsia" w:ascii="仿宋" w:hAnsi="仿宋" w:eastAsia="仿宋" w:cs="仿宋"/>
          <w:spacing w:val="6"/>
          <w:sz w:val="31"/>
          <w:szCs w:val="31"/>
        </w:rPr>
        <w:t>，完成预算 100%，决算数等于预算数。</w:t>
      </w:r>
    </w:p>
    <w:p>
      <w:pPr>
        <w:numPr>
          <w:ilvl w:val="0"/>
          <w:numId w:val="0"/>
        </w:numPr>
        <w:spacing w:line="600" w:lineRule="exact"/>
        <w:ind w:firstLine="642" w:firstLineChars="200"/>
        <w:rPr>
          <w:rFonts w:hint="eastAsia" w:ascii="仿宋" w:hAnsi="仿宋" w:eastAsia="仿宋" w:cs="仿宋"/>
          <w:spacing w:val="6"/>
          <w:sz w:val="31"/>
          <w:szCs w:val="31"/>
          <w:lang w:val="en-US" w:eastAsia="zh-CN"/>
        </w:rPr>
      </w:pPr>
      <w:r>
        <w:rPr>
          <w:rStyle w:val="19"/>
          <w:rFonts w:hint="eastAsia" w:ascii="仿宋" w:hAnsi="仿宋" w:eastAsia="仿宋" w:cstheme="minorBidi"/>
          <w:bCs/>
          <w:sz w:val="32"/>
          <w:szCs w:val="32"/>
          <w:lang w:val="en-US" w:eastAsia="zh-CN"/>
        </w:rPr>
        <w:t>4</w:t>
      </w:r>
      <w:r>
        <w:rPr>
          <w:rStyle w:val="19"/>
          <w:rFonts w:hint="eastAsia" w:ascii="仿宋" w:hAnsi="仿宋" w:eastAsia="仿宋" w:cstheme="minorBidi"/>
          <w:bCs/>
          <w:sz w:val="32"/>
          <w:szCs w:val="32"/>
        </w:rPr>
        <w:t>.卫生健康支出（类）行政事业单位医疗（款） 事业 单位医疗</w:t>
      </w:r>
      <w:r>
        <w:rPr>
          <w:rStyle w:val="19"/>
          <w:rFonts w:hint="eastAsia" w:ascii="仿宋" w:hAnsi="仿宋" w:eastAsia="仿宋" w:cstheme="minorBidi"/>
          <w:bCs/>
          <w:sz w:val="32"/>
          <w:szCs w:val="32"/>
          <w:lang w:val="en-US" w:eastAsia="zh-CN"/>
        </w:rPr>
        <w:t>（项）:</w:t>
      </w:r>
      <w:r>
        <w:rPr>
          <w:rFonts w:hint="eastAsia" w:ascii="仿宋" w:hAnsi="仿宋" w:eastAsia="仿宋" w:cs="仿宋"/>
          <w:spacing w:val="6"/>
          <w:sz w:val="31"/>
          <w:szCs w:val="31"/>
          <w:lang w:val="en-US" w:eastAsia="zh-CN"/>
        </w:rPr>
        <w:t xml:space="preserve"> 支出决算为3.26万元，完成预算100%，决算数等于预算数。</w:t>
      </w:r>
    </w:p>
    <w:p>
      <w:pPr>
        <w:numPr>
          <w:ilvl w:val="0"/>
          <w:numId w:val="0"/>
        </w:numPr>
        <w:spacing w:line="600" w:lineRule="exact"/>
        <w:ind w:firstLine="642" w:firstLineChars="200"/>
        <w:rPr>
          <w:rFonts w:ascii="仿宋" w:hAnsi="仿宋" w:eastAsia="仿宋"/>
          <w:b/>
          <w:sz w:val="32"/>
          <w:szCs w:val="32"/>
        </w:rPr>
      </w:pPr>
      <w:r>
        <w:rPr>
          <w:rStyle w:val="19"/>
          <w:rFonts w:hint="eastAsia" w:ascii="仿宋" w:hAnsi="仿宋" w:eastAsia="仿宋" w:cstheme="minorBidi"/>
          <w:bCs/>
          <w:sz w:val="32"/>
          <w:szCs w:val="32"/>
          <w:lang w:val="en-US" w:eastAsia="zh-CN"/>
        </w:rPr>
        <w:t xml:space="preserve">5.住房保障支出（类）住房改革支出（款）住房公积金 （项） : </w:t>
      </w:r>
      <w:r>
        <w:rPr>
          <w:rFonts w:hint="eastAsia" w:ascii="仿宋" w:hAnsi="仿宋" w:eastAsia="仿宋" w:cs="仿宋"/>
          <w:spacing w:val="6"/>
          <w:sz w:val="31"/>
          <w:szCs w:val="31"/>
          <w:lang w:val="en-US" w:eastAsia="zh-CN"/>
        </w:rPr>
        <w:t>支出决算为 4.52万元，完成预算100%，决算数等于预算数。</w:t>
      </w:r>
    </w:p>
    <w:p>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101.64</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96.19</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其他社会保障缴费、住房公积金、其他工资福利支出等。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5.46</w:t>
      </w:r>
      <w:r>
        <w:rPr>
          <w:rFonts w:hint="eastAsia" w:ascii="仿宋" w:hAnsi="仿宋" w:eastAsia="仿宋"/>
          <w:sz w:val="32"/>
          <w:szCs w:val="32"/>
        </w:rPr>
        <w:t>万元，主要包括：办公费、水费、电费</w:t>
      </w:r>
      <w:r>
        <w:rPr>
          <w:rFonts w:hint="eastAsia" w:ascii="仿宋" w:hAnsi="仿宋" w:eastAsia="仿宋"/>
          <w:sz w:val="32"/>
          <w:szCs w:val="32"/>
          <w:lang w:eastAsia="zh-CN"/>
        </w:rPr>
        <w:t>、</w:t>
      </w:r>
      <w:r>
        <w:rPr>
          <w:rFonts w:hint="eastAsia" w:ascii="仿宋" w:hAnsi="仿宋" w:eastAsia="仿宋"/>
          <w:sz w:val="32"/>
          <w:szCs w:val="32"/>
        </w:rPr>
        <w:t>物业管理费、差旅费</w:t>
      </w:r>
      <w:r>
        <w:rPr>
          <w:rFonts w:hint="eastAsia" w:ascii="仿宋" w:hAnsi="仿宋" w:eastAsia="仿宋"/>
          <w:sz w:val="32"/>
          <w:szCs w:val="32"/>
          <w:lang w:eastAsia="zh-CN"/>
        </w:rPr>
        <w:t>、</w:t>
      </w:r>
      <w:r>
        <w:rPr>
          <w:rFonts w:hint="eastAsia" w:ascii="仿宋" w:hAnsi="仿宋" w:eastAsia="仿宋"/>
          <w:sz w:val="32"/>
          <w:szCs w:val="32"/>
        </w:rPr>
        <w:t>工会经费、福利费等。</w:t>
      </w:r>
    </w:p>
    <w:p>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22年“三公”经费财政拨款支出决算为197.48万元，完成预算</w:t>
      </w:r>
      <w:r>
        <w:rPr>
          <w:rFonts w:hint="eastAsia" w:ascii="仿宋" w:hAnsi="仿宋" w:eastAsia="仿宋"/>
          <w:sz w:val="32"/>
          <w:szCs w:val="32"/>
          <w:lang w:val="en-US" w:eastAsia="zh-CN"/>
        </w:rPr>
        <w:t>79.44</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37.79</w:t>
      </w:r>
      <w:r>
        <w:rPr>
          <w:rFonts w:hint="eastAsia" w:ascii="仿宋" w:hAnsi="仿宋" w:eastAsia="仿宋"/>
          <w:sz w:val="32"/>
          <w:szCs w:val="32"/>
        </w:rPr>
        <w:t>万元，增长</w:t>
      </w:r>
      <w:r>
        <w:rPr>
          <w:rFonts w:hint="eastAsia" w:ascii="仿宋" w:hAnsi="仿宋" w:eastAsia="仿宋"/>
          <w:sz w:val="32"/>
          <w:szCs w:val="32"/>
          <w:lang w:val="en-US" w:eastAsia="zh-CN"/>
        </w:rPr>
        <w:t>23.66</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公务接待费用支出减少</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16.98</w:t>
      </w:r>
      <w:r>
        <w:rPr>
          <w:rFonts w:hint="eastAsia" w:ascii="仿宋" w:hAnsi="仿宋" w:eastAsia="仿宋"/>
          <w:sz w:val="32"/>
          <w:szCs w:val="32"/>
        </w:rPr>
        <w:t>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；公务接待费支出决算180.5万元，占</w:t>
      </w:r>
      <w:r>
        <w:rPr>
          <w:rFonts w:hint="eastAsia" w:ascii="仿宋" w:hAnsi="仿宋" w:eastAsia="仿宋"/>
          <w:sz w:val="32"/>
          <w:szCs w:val="32"/>
          <w:lang w:val="en-US" w:eastAsia="zh-CN"/>
        </w:rPr>
        <w:t>91.4</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column">
              <wp:posOffset>452120</wp:posOffset>
            </wp:positionH>
            <wp:positionV relativeFrom="paragraph">
              <wp:posOffset>182880</wp:posOffset>
            </wp:positionV>
            <wp:extent cx="4575175" cy="2410460"/>
            <wp:effectExtent l="5080" t="4445" r="1079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16.98</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99.88</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7.98</w:t>
      </w:r>
      <w:r>
        <w:rPr>
          <w:rFonts w:hint="eastAsia" w:ascii="仿宋_GB2312" w:eastAsia="仿宋_GB2312"/>
          <w:sz w:val="32"/>
          <w:szCs w:val="32"/>
        </w:rPr>
        <w:t>万元，增长</w:t>
      </w:r>
      <w:r>
        <w:rPr>
          <w:rFonts w:hint="eastAsia" w:ascii="仿宋_GB2312" w:eastAsia="仿宋_GB2312"/>
          <w:sz w:val="32"/>
          <w:szCs w:val="32"/>
          <w:lang w:val="en-US" w:eastAsia="zh-CN"/>
        </w:rPr>
        <w:t>88.67</w:t>
      </w:r>
      <w:r>
        <w:rPr>
          <w:rFonts w:ascii="仿宋_GB2312" w:eastAsia="仿宋_GB2312"/>
          <w:sz w:val="32"/>
          <w:szCs w:val="32"/>
        </w:rPr>
        <w:t>%</w:t>
      </w:r>
      <w:r>
        <w:rPr>
          <w:rFonts w:hint="eastAsia" w:ascii="仿宋_GB2312" w:eastAsia="仿宋_GB2312"/>
          <w:sz w:val="32"/>
          <w:szCs w:val="32"/>
        </w:rPr>
        <w:t>。主要原因是公务用车维护费</w:t>
      </w:r>
      <w:r>
        <w:rPr>
          <w:rFonts w:hint="eastAsia" w:ascii="仿宋_GB2312" w:eastAsia="仿宋_GB2312"/>
          <w:sz w:val="32"/>
          <w:szCs w:val="32"/>
          <w:lang w:eastAsia="zh-CN"/>
        </w:rPr>
        <w:t>支出增加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辆，其中：载客汽车</w:t>
      </w:r>
      <w:r>
        <w:rPr>
          <w:rFonts w:hint="eastAsia" w:ascii="仿宋_GB2312" w:eastAsia="仿宋_GB2312"/>
          <w:sz w:val="32"/>
          <w:szCs w:val="32"/>
          <w:lang w:val="en-US" w:eastAsia="zh-CN"/>
        </w:rPr>
        <w:t>3</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16.98</w:t>
      </w:r>
      <w:r>
        <w:rPr>
          <w:rFonts w:hint="eastAsia" w:ascii="仿宋_GB2312" w:eastAsia="仿宋_GB2312"/>
          <w:sz w:val="32"/>
          <w:szCs w:val="32"/>
        </w:rPr>
        <w:t>万元。主要用于</w:t>
      </w:r>
      <w:r>
        <w:rPr>
          <w:rFonts w:hint="eastAsia" w:ascii="仿宋_GB2312" w:eastAsia="仿宋_GB2312"/>
          <w:sz w:val="32"/>
          <w:szCs w:val="32"/>
          <w:lang w:eastAsia="zh-CN"/>
        </w:rPr>
        <w:t>公务接待</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180.5</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91.4</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29.81</w:t>
      </w:r>
      <w:r>
        <w:rPr>
          <w:rFonts w:hint="eastAsia" w:ascii="仿宋_GB2312" w:eastAsia="仿宋_GB2312"/>
          <w:sz w:val="32"/>
          <w:szCs w:val="32"/>
        </w:rPr>
        <w:t>万元，增长</w:t>
      </w:r>
      <w:r>
        <w:rPr>
          <w:rFonts w:hint="eastAsia" w:ascii="仿宋_GB2312" w:eastAsia="仿宋_GB2312"/>
          <w:sz w:val="32"/>
          <w:szCs w:val="32"/>
          <w:lang w:val="en-US" w:eastAsia="zh-CN"/>
        </w:rPr>
        <w:t>19.78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公务接待增多</w:t>
      </w:r>
      <w:r>
        <w:rPr>
          <w:rFonts w:hint="eastAsia" w:ascii="仿宋_GB2312" w:eastAsia="仿宋_GB2312"/>
          <w:sz w:val="32"/>
          <w:szCs w:val="32"/>
        </w:rPr>
        <w:t>。其中：</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rPr>
        <w:t>180.5</w:t>
      </w:r>
      <w:r>
        <w:rPr>
          <w:rFonts w:hint="eastAsia" w:ascii="仿宋_GB2312" w:eastAsia="仿宋_GB2312"/>
          <w:sz w:val="32"/>
          <w:szCs w:val="32"/>
        </w:rPr>
        <w:t>万元，</w:t>
      </w:r>
      <w:r>
        <w:rPr>
          <w:rFonts w:hint="eastAsia" w:ascii="仿宋" w:hAnsi="仿宋" w:eastAsia="仿宋" w:cs="Times New Roman"/>
          <w:sz w:val="32"/>
          <w:szCs w:val="32"/>
        </w:rPr>
        <w:t>主要用于执行公务、开展业务活动开支的交通费、住宿费、用餐费等。国内公务接待</w:t>
      </w:r>
      <w:r>
        <w:rPr>
          <w:rFonts w:hint="eastAsia" w:ascii="仿宋" w:hAnsi="仿宋" w:eastAsia="仿宋" w:cs="Times New Roman"/>
          <w:sz w:val="32"/>
          <w:szCs w:val="32"/>
          <w:lang w:val="en-US" w:eastAsia="zh-CN"/>
        </w:rPr>
        <w:t>360余批次、3900余人。其中，公务接待240余批次、2600余人，协助和指导商务接待120余批次、1300余人；负责和指导大型会议及重大活动接待共10次，接待部级以上领导13批次，厅级以上领导127批次。</w:t>
      </w:r>
      <w:r>
        <w:rPr>
          <w:rFonts w:hint="eastAsia" w:ascii="仿宋" w:hAnsi="仿宋" w:eastAsia="仿宋" w:cs="Times New Roman"/>
          <w:sz w:val="32"/>
          <w:szCs w:val="32"/>
        </w:rPr>
        <w:t>共计支出180.5万元</w:t>
      </w:r>
      <w:r>
        <w:rPr>
          <w:rFonts w:hint="eastAsia" w:ascii="仿宋" w:hAnsi="仿宋" w:eastAsia="仿宋" w:cs="Times New Roman"/>
          <w:sz w:val="32"/>
          <w:szCs w:val="32"/>
          <w:lang w:eastAsia="zh-CN"/>
        </w:rPr>
        <w:t>。</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pPr>
        <w:spacing w:line="600" w:lineRule="exact"/>
        <w:ind w:firstLine="640"/>
        <w:rPr>
          <w:rFonts w:hint="eastAsia" w:ascii="方正小标宋简体" w:hAnsi="方正小标宋简体" w:eastAsia="仿宋_GB2312" w:cs="方正小标宋简体"/>
          <w:sz w:val="44"/>
          <w:szCs w:val="44"/>
          <w:lang w:eastAsia="zh-CN"/>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numPr>
          <w:ilvl w:val="0"/>
          <w:numId w:val="2"/>
        </w:numPr>
        <w:spacing w:line="600" w:lineRule="exact"/>
        <w:ind w:firstLine="640"/>
        <w:outlineLvl w:val="1"/>
        <w:rPr>
          <w:rStyle w:val="30"/>
          <w:rFonts w:ascii="黑体" w:hAnsi="黑体" w:eastAsia="黑体"/>
          <w:b w:val="0"/>
        </w:rPr>
      </w:pPr>
      <w:bookmarkStart w:id="44" w:name="_Toc15396612"/>
      <w:bookmarkStart w:id="45" w:name="_Toc15377221"/>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2022年，</w:t>
      </w:r>
      <w:r>
        <w:rPr>
          <w:rFonts w:hint="eastAsia" w:ascii="仿宋" w:hAnsi="仿宋" w:eastAsia="仿宋" w:cs="Times New Roman"/>
          <w:sz w:val="32"/>
          <w:szCs w:val="32"/>
          <w:lang w:eastAsia="zh-CN"/>
        </w:rPr>
        <w:t>剑阁县公务和外事服务中心</w:t>
      </w:r>
      <w:r>
        <w:rPr>
          <w:rFonts w:hint="eastAsia" w:ascii="仿宋" w:hAnsi="仿宋" w:eastAsia="仿宋" w:cs="Times New Roman"/>
          <w:sz w:val="32"/>
          <w:szCs w:val="32"/>
        </w:rPr>
        <w:t>机关运行经费支出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万元，比2021年减少</w:t>
      </w:r>
      <w:r>
        <w:rPr>
          <w:rFonts w:hint="eastAsia" w:ascii="仿宋" w:hAnsi="仿宋" w:eastAsia="仿宋" w:cs="Times New Roman"/>
          <w:sz w:val="32"/>
          <w:szCs w:val="32"/>
          <w:lang w:val="en-US" w:eastAsia="zh-CN"/>
        </w:rPr>
        <w:t>13.61</w:t>
      </w:r>
      <w:r>
        <w:rPr>
          <w:rFonts w:hint="eastAsia" w:ascii="仿宋" w:hAnsi="仿宋" w:eastAsia="仿宋" w:cs="Times New Roman"/>
          <w:sz w:val="32"/>
          <w:szCs w:val="32"/>
        </w:rPr>
        <w:t>万元，主要原因是</w:t>
      </w:r>
      <w:r>
        <w:rPr>
          <w:rFonts w:hint="eastAsia" w:ascii="仿宋" w:hAnsi="仿宋" w:eastAsia="仿宋" w:cs="Times New Roman"/>
          <w:sz w:val="32"/>
          <w:szCs w:val="32"/>
          <w:lang w:eastAsia="zh-CN"/>
        </w:rPr>
        <w:t>公用经费预算减少</w:t>
      </w:r>
      <w:r>
        <w:rPr>
          <w:rFonts w:hint="eastAsia" w:ascii="仿宋" w:hAnsi="仿宋" w:eastAsia="仿宋" w:cs="Times New Roman"/>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2022年，</w:t>
      </w:r>
      <w:r>
        <w:rPr>
          <w:rFonts w:hint="eastAsia" w:ascii="仿宋" w:hAnsi="仿宋" w:eastAsia="仿宋" w:cs="Times New Roman"/>
          <w:sz w:val="32"/>
          <w:szCs w:val="32"/>
          <w:lang w:eastAsia="zh-CN"/>
        </w:rPr>
        <w:t>剑阁县公务和外事服务中心</w:t>
      </w:r>
      <w:r>
        <w:rPr>
          <w:rFonts w:hint="eastAsia" w:ascii="仿宋" w:hAnsi="仿宋" w:eastAsia="仿宋" w:cs="Times New Roman"/>
          <w:sz w:val="32"/>
          <w:szCs w:val="32"/>
        </w:rPr>
        <w:t>政府采购支出总额</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万元，其中：政府采购货物支出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万元、政府采购工程支出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万元、政府采购服务支出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万元。授予中小企业合同金额</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万元，占政府采购支出总额的</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截至2022年12月31日，</w:t>
      </w:r>
      <w:r>
        <w:rPr>
          <w:rFonts w:hint="eastAsia" w:ascii="仿宋_GB2312" w:hAnsi="Times New Roman" w:eastAsia="仿宋_GB2312" w:cs="Times New Roman"/>
          <w:sz w:val="32"/>
          <w:szCs w:val="32"/>
          <w:lang w:eastAsia="zh-CN"/>
        </w:rPr>
        <w:t>剑阁县公务和外事服务中心</w:t>
      </w:r>
      <w:r>
        <w:rPr>
          <w:rFonts w:hint="eastAsia" w:ascii="仿宋_GB2312" w:hAnsi="Times New Roman" w:eastAsia="仿宋_GB2312" w:cs="Times New Roman"/>
          <w:sz w:val="32"/>
          <w:szCs w:val="32"/>
        </w:rPr>
        <w:t>共有车辆</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辆，其中：</w:t>
      </w:r>
      <w:r>
        <w:rPr>
          <w:rFonts w:hint="eastAsia" w:ascii="仿宋_GB2312" w:hAnsi="Times New Roman" w:eastAsia="仿宋_GB2312" w:cs="Times New Roman"/>
          <w:sz w:val="32"/>
          <w:szCs w:val="32"/>
          <w:lang w:eastAsia="zh-CN"/>
        </w:rPr>
        <w:t>公务接待用车</w:t>
      </w:r>
      <w:r>
        <w:rPr>
          <w:rFonts w:hint="eastAsia" w:ascii="仿宋_GB2312" w:hAnsi="Times New Roman" w:eastAsia="仿宋_GB2312" w:cs="Times New Roman"/>
          <w:sz w:val="32"/>
          <w:szCs w:val="32"/>
          <w:lang w:val="en-US" w:eastAsia="zh-CN"/>
        </w:rPr>
        <w:t>3辆。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rPr>
          <w:rFonts w:hint="eastAsia" w:ascii="黑体" w:hAnsi="黑体" w:eastAsia="黑体"/>
          <w:sz w:val="44"/>
          <w:szCs w:val="44"/>
          <w:lang w:eastAsia="zh-CN"/>
        </w:rPr>
      </w:pPr>
      <w:r>
        <w:rPr>
          <w:rFonts w:hint="eastAsia" w:ascii="仿宋" w:hAnsi="仿宋" w:eastAsia="仿宋" w:cs="Times New Roman"/>
          <w:sz w:val="32"/>
          <w:szCs w:val="32"/>
        </w:rPr>
        <w:t>根据预算绩效管理要求，本</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在2022年度预算编制阶段，组织对</w:t>
      </w:r>
      <w:r>
        <w:rPr>
          <w:rFonts w:hint="eastAsia" w:ascii="仿宋" w:hAnsi="仿宋" w:eastAsia="仿宋" w:cs="Times New Roman"/>
          <w:sz w:val="32"/>
          <w:szCs w:val="32"/>
          <w:lang w:val="en-US" w:eastAsia="zh-CN"/>
        </w:rPr>
        <w:t>公务接待</w:t>
      </w:r>
      <w:r>
        <w:rPr>
          <w:rFonts w:hint="eastAsia" w:ascii="仿宋" w:hAnsi="仿宋" w:eastAsia="仿宋" w:cs="Times New Roman"/>
          <w:sz w:val="32"/>
          <w:szCs w:val="32"/>
        </w:rPr>
        <w:t>等</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个项目开展了预算事前绩效评估，对</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个项目编制了绩效目标，预算执行过程中，选取</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个项目开展绩效监控，组织对</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个项目开展绩效自评，绩效自评表详见第四部分附件。</w:t>
      </w:r>
      <w:bookmarkStart w:id="49" w:name="_Toc15396613"/>
      <w:bookmarkStart w:id="50" w:name="_Toc15377225"/>
    </w:p>
    <w:p>
      <w:pPr>
        <w:numPr>
          <w:ilvl w:val="0"/>
          <w:numId w:val="0"/>
        </w:numPr>
        <w:spacing w:line="600" w:lineRule="exact"/>
        <w:jc w:val="center"/>
        <w:outlineLvl w:val="0"/>
        <w:rPr>
          <w:rFonts w:hint="eastAsia" w:ascii="黑体" w:hAnsi="黑体" w:eastAsia="黑体"/>
          <w:sz w:val="44"/>
          <w:szCs w:val="44"/>
          <w:lang w:eastAsia="zh-CN"/>
        </w:rPr>
      </w:pPr>
    </w:p>
    <w:p>
      <w:pPr>
        <w:numPr>
          <w:ilvl w:val="0"/>
          <w:numId w:val="0"/>
        </w:numPr>
        <w:spacing w:line="600" w:lineRule="exact"/>
        <w:jc w:val="center"/>
        <w:outlineLvl w:val="0"/>
        <w:rPr>
          <w:rStyle w:val="29"/>
          <w:rFonts w:ascii="黑体" w:hAnsi="黑体" w:eastAsia="黑体"/>
          <w:b w:val="0"/>
        </w:rPr>
      </w:pPr>
      <w:r>
        <w:rPr>
          <w:rFonts w:hint="eastAsia" w:ascii="黑体" w:hAnsi="黑体" w:eastAsia="黑体"/>
          <w:sz w:val="44"/>
          <w:szCs w:val="44"/>
          <w:lang w:eastAsia="zh-CN"/>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 一般公共服务（类）党委办公厅（室）及相关机构事务（款）机关服务（项），指所属事业单位用于保障机构正常运行、开展日常工作的基本支出。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社会保障和就业（类）行政事业单位养老（款）机关事业单位基本养老保险缴费（项），反映机关事业单位实施养老保险制度由单位缴纳的基本养老保险支出。</w:t>
      </w:r>
    </w:p>
    <w:p>
      <w:pPr>
        <w:pStyle w:val="27"/>
        <w:spacing w:line="560" w:lineRule="exact"/>
        <w:ind w:firstLine="640" w:firstLineChars="200"/>
        <w:rPr>
          <w:rFonts w:hint="eastAsia" w:ascii="仿宋_GB2312" w:eastAsia="仿宋_GB2312"/>
          <w:color w:val="auto"/>
          <w:sz w:val="32"/>
          <w:szCs w:val="32"/>
        </w:rPr>
      </w:pPr>
      <w:bookmarkStart w:id="51" w:name="_Toc15377226"/>
      <w:r>
        <w:rPr>
          <w:rFonts w:hint="eastAsia" w:ascii="仿宋_GB2312" w:eastAsia="仿宋_GB2312"/>
          <w:color w:val="auto"/>
          <w:sz w:val="32"/>
          <w:szCs w:val="32"/>
        </w:rPr>
        <w:t>11.医疗卫生与计划生育（类）行政事业单位医疗（款</w:t>
      </w:r>
      <w:r>
        <w:rPr>
          <w:rFonts w:hint="eastAsia" w:ascii="仿宋_GB2312" w:eastAsia="仿宋_GB2312"/>
          <w:color w:val="auto"/>
          <w:sz w:val="32"/>
          <w:szCs w:val="32"/>
          <w:lang w:eastAsia="zh-CN"/>
        </w:rPr>
        <w:t>）</w:t>
      </w:r>
      <w:r>
        <w:rPr>
          <w:rFonts w:hint="eastAsia" w:ascii="仿宋_GB2312" w:eastAsia="仿宋_GB2312"/>
          <w:color w:val="auto"/>
          <w:sz w:val="32"/>
          <w:szCs w:val="32"/>
        </w:rPr>
        <w:t>行政单位医疗（项），反映财政部门集中安排的行政单位基本医疗保险缴费经费，未参加医疗保险的行政单位的公费医疗经费，安国家规定享受离休人员、红军老战士待遇人员的医疗纠纷。</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12.住房保障（类）住房改革（款）住房公积金（项），反映行政事业单位按人力资源和社会保障部、财政部规定的基本工资和津贴补贴以及规定比例为职工缴纳的住房公积金。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13.基本支出：指为保障机构正常运转、完成日常工作任务而发生的人员支出和公用支出。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14.项目支出：指在基本支出之外为完成特定行政任务和事业发展目标所发生的支出。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 三公” 经费：指部门用财政拨款安排的因公出国（境） 费、公务用车购置及运行费和公务接待费。其中，因公出国</w:t>
      </w:r>
      <w:r>
        <w:rPr>
          <w:rFonts w:hint="eastAsia" w:ascii="仿宋_GB2312" w:eastAsia="仿宋_GB2312"/>
          <w:color w:val="auto"/>
          <w:sz w:val="32"/>
          <w:szCs w:val="32"/>
          <w:lang w:eastAsia="zh-CN"/>
        </w:rPr>
        <w:t>（</w:t>
      </w:r>
      <w:r>
        <w:rPr>
          <w:rFonts w:hint="eastAsia" w:ascii="仿宋_GB2312" w:eastAsia="仿宋_GB2312"/>
          <w:color w:val="auto"/>
          <w:sz w:val="32"/>
          <w:szCs w:val="32"/>
        </w:rPr>
        <w:t>境</w:t>
      </w:r>
      <w:r>
        <w:rPr>
          <w:rFonts w:hint="eastAsia" w:ascii="仿宋_GB2312" w:eastAsia="仿宋_GB2312"/>
          <w:color w:val="auto"/>
          <w:sz w:val="32"/>
          <w:szCs w:val="32"/>
          <w:lang w:eastAsia="zh-CN"/>
        </w:rPr>
        <w:t>）</w:t>
      </w:r>
      <w:r>
        <w:rPr>
          <w:rFonts w:hint="eastAsia" w:ascii="仿宋_GB2312" w:eastAsia="仿宋_GB2312"/>
          <w:color w:val="auto"/>
          <w:sz w:val="32"/>
          <w:szCs w:val="32"/>
        </w:rPr>
        <w:t>费反映单位公务出国（境）的国际旅费、国外城市间交通费、住宿费、伙食费、培训费、公杂费等支出；公务用车购置及运行费反映单位公务用车车辆购置支出（含车辆购置税）及租用费、燃料费、维修费、保险费等支出；公务接待费反映单位按规定开支的各类公务接（含外宾接待）支出。</w:t>
      </w:r>
    </w:p>
    <w:p>
      <w:pPr>
        <w:pStyle w:val="27"/>
        <w:spacing w:line="560" w:lineRule="exact"/>
        <w:ind w:firstLine="640" w:firstLineChars="200"/>
        <w:rPr>
          <w:rFonts w:hint="eastAsia" w:ascii="仿宋_GB2312" w:eastAsia="仿宋_GB2312"/>
          <w:color w:val="auto"/>
          <w:sz w:val="32"/>
          <w:szCs w:val="32"/>
          <w:lang w:eastAsia="zh-CN"/>
        </w:rPr>
        <w:sectPr>
          <w:footerReference r:id="rId3" w:type="default"/>
          <w:pgSz w:w="11906" w:h="16839"/>
          <w:pgMar w:top="1431" w:right="1508" w:bottom="1378" w:left="1785" w:header="0" w:footer="1212" w:gutter="0"/>
          <w:cols w:space="720" w:num="1"/>
        </w:sectPr>
      </w:pPr>
      <w:r>
        <w:rPr>
          <w:rFonts w:hint="eastAsia" w:ascii="仿宋_GB2312" w:eastAsia="仿宋_GB2312"/>
          <w:color w:val="auto"/>
          <w:sz w:val="32"/>
          <w:szCs w:val="32"/>
        </w:rPr>
        <w:t>16.机关运行经费：为保障行政单位（含参照公务员法</w:t>
      </w:r>
      <w:r>
        <w:rPr>
          <w:rFonts w:hint="eastAsia" w:ascii="仿宋_GB2312" w:eastAsia="仿宋_GB2312"/>
          <w:color w:val="auto"/>
          <w:sz w:val="32"/>
          <w:szCs w:val="32"/>
          <w:lang w:eastAsia="zh-CN"/>
        </w:rPr>
        <w:t>、</w:t>
      </w:r>
      <w:r>
        <w:rPr>
          <w:rFonts w:hint="eastAsia" w:ascii="仿宋_GB2312" w:eastAsia="仿宋_GB2312"/>
          <w:color w:val="auto"/>
          <w:sz w:val="32"/>
          <w:szCs w:val="32"/>
        </w:rPr>
        <w:t>管理的事业单位）运行用于购买货物和服务的各项资金，包括办公及印刷费、咨询费、水费、 电费、邮电费、差旅费、</w:t>
      </w:r>
      <w:r>
        <w:rPr>
          <w:rFonts w:hint="eastAsia" w:ascii="仿宋_GB2312" w:eastAsia="仿宋_GB2312"/>
          <w:color w:val="auto"/>
          <w:sz w:val="32"/>
          <w:szCs w:val="32"/>
          <w:lang w:eastAsia="zh-CN"/>
        </w:rPr>
        <w:t>维</w:t>
      </w:r>
      <w:r>
        <w:rPr>
          <w:rFonts w:hint="eastAsia" w:ascii="仿宋_GB2312" w:eastAsia="仿宋_GB2312"/>
          <w:color w:val="auto"/>
          <w:sz w:val="32"/>
          <w:szCs w:val="32"/>
        </w:rPr>
        <w:t>修（护）费、会议费、公务接待费、劳务费、工会经费、福利费以及其他费用</w:t>
      </w:r>
      <w:r>
        <w:rPr>
          <w:rFonts w:hint="eastAsia" w:ascii="仿宋_GB2312" w:eastAsia="仿宋_GB2312"/>
          <w:color w:val="auto"/>
          <w:sz w:val="32"/>
          <w:szCs w:val="32"/>
          <w:lang w:eastAsia="zh-CN"/>
        </w:rPr>
        <w:t>。</w:t>
      </w:r>
    </w:p>
    <w:p>
      <w:pPr>
        <w:pStyle w:val="27"/>
        <w:spacing w:line="560" w:lineRule="exact"/>
        <w:jc w:val="center"/>
        <w:rPr>
          <w:rStyle w:val="29"/>
          <w:rFonts w:ascii="黑体" w:hAnsi="黑体" w:eastAsia="黑体"/>
          <w:b w:val="0"/>
        </w:rPr>
      </w:pP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年部门整体绩效评价报告</w:t>
      </w:r>
    </w:p>
    <w:p>
      <w:pPr>
        <w:widowControl/>
        <w:adjustRightInd w:val="0"/>
        <w:snapToGrid w:val="0"/>
        <w:spacing w:line="560" w:lineRule="exact"/>
        <w:ind w:firstLine="640" w:firstLineChars="200"/>
        <w:contextualSpacing/>
        <w:jc w:val="left"/>
        <w:rPr>
          <w:rFonts w:hint="eastAsia" w:ascii="黑体" w:hAnsi="宋体" w:eastAsia="黑体" w:cs="宋体"/>
          <w:kern w:val="0"/>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 </w:t>
      </w:r>
    </w:p>
    <w:p>
      <w:pPr>
        <w:widowControl/>
        <w:numPr>
          <w:ilvl w:val="0"/>
          <w:numId w:val="3"/>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pPr>
        <w:spacing w:before="193" w:line="228" w:lineRule="auto"/>
        <w:ind w:left="680"/>
        <w:rPr>
          <w:rFonts w:ascii="仿宋" w:hAnsi="仿宋" w:eastAsia="仿宋" w:cs="仿宋"/>
          <w:sz w:val="31"/>
          <w:szCs w:val="31"/>
        </w:rPr>
      </w:pPr>
      <w:r>
        <w:rPr>
          <w:rFonts w:hint="eastAsia" w:ascii="楷体_GB2312" w:hAnsi="楷体_GB2312" w:eastAsia="楷体_GB2312" w:cs="楷体_GB2312"/>
          <w:b/>
          <w:bCs/>
          <w:kern w:val="0"/>
          <w:sz w:val="32"/>
          <w:szCs w:val="32"/>
          <w:shd w:val="clear" w:color="auto" w:fill="FFFFFF"/>
          <w:lang w:val="zh-CN"/>
        </w:rPr>
        <w:t>（一）机构组成。</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剑阁县公务和外事服务中心为正科级单位，下属二级单位0个，其中行政单位0个，参照公务员法管理的事业单位0个，其他事业单位0个。</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2"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1、承担副厅级及以上领导（含曾经担任）来剑的服务保障。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2、按照有关规定负责和参与市委、市政府及以上派出的巡视、检查、督查（督导、督察）、考察、调研、考核、审计等工作组来剑的服务保障。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3、会同有关部门做好中央、国家机关各部委（含各民主党派、工商联等）和省级、市级部门厅级、处级实职领导来剑的服务保障。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4、负责外县党政代表团和人大常委会、政协主要领导率队的考察团来剑的协调联络和服务保障。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5、负责我县党政代表团赴外地考察的协调联络和服务保障。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6、负责县委、县政府交办的由县公务和外事服务中心承担的公务服务、外事接待和招商引资事项的服务保障。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7、按照中央八项规定精神、省委省政府十项规定以及市、县规定要求，负责联系协调县级有关部门及关联单位承办县委、县政府重大公务活动的服务工作。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8、会同县级有关部门承担县委、县政府交办的大型会议、活动的接待服务保障工作。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9、为县委、县政府重要外事活动提供后勤保障服务。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10、承办以县委、县政府名义邀请的外国相应级别以上外宾来访的接待事宜；负责外国驻华使领馆人员、外国重要团组和个人来剑公务活动的协调联络和服务保障。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11、为国外高规格来剑团组、个人提供机场、车站的礼遇及翻译等服务工作。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12、指导县级部门的公务和外事活动服务保障工作；参与拟订全县公务服务相关规定。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13、负责办理市公务服务中心安排的有关在剑事务。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14、负责我县外事相关工作，加强与市外事专班沟通衔接，及时掌握来剑境外人员信息，做好涉外疫情防控的对外联络和指导，配合相关部门做好境外疫情输入及人员专车转运等相关工作，及时向外事专班上报相关信息，完成指挥部交办的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15、负责与市委外办对接联络，及时报送各类信息。</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16、完成县委、县政府交办的其他任务。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s="Times New Roman"/>
          <w:bCs/>
          <w:color w:val="000000"/>
          <w:sz w:val="32"/>
          <w:szCs w:val="32"/>
          <w:lang w:val="en-US" w:eastAsia="zh-CN"/>
        </w:rPr>
      </w:pPr>
      <w:r>
        <w:rPr>
          <w:rFonts w:hint="eastAsia" w:ascii="仿宋_GB2312" w:hAnsi="黑体" w:eastAsia="仿宋_GB2312" w:cs="Times New Roman"/>
          <w:bCs/>
          <w:color w:val="000000"/>
          <w:sz w:val="32"/>
          <w:szCs w:val="32"/>
          <w:lang w:val="en-US" w:eastAsia="zh-CN"/>
        </w:rPr>
        <w:t>人员概况：剑阁县公务和外事服务中心（原县委接待办）成立于 2005 年，2015 年更名为县机关事务管理局，2016 年更名 为县委县政府接待办，2019年机构改革更名为县公务和外事服务中心，属县委直属正科级事业单位，由县委办代管。机构改革后，核定事业管理岗位编制12个，目前使用编制6个，控制数（司勤人员）2名。</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（三）部门整体支出绩效目标。</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本年度</w:t>
      </w:r>
      <w:r>
        <w:rPr>
          <w:rFonts w:hint="eastAsia" w:ascii="仿宋" w:hAnsi="仿宋" w:eastAsia="仿宋" w:cs="仿宋"/>
          <w:sz w:val="30"/>
          <w:szCs w:val="30"/>
          <w:lang w:eastAsia="zh-CN"/>
        </w:rPr>
        <w:t>部门总体</w:t>
      </w:r>
      <w:r>
        <w:rPr>
          <w:rFonts w:hint="eastAsia" w:ascii="仿宋" w:hAnsi="仿宋" w:eastAsia="仿宋" w:cs="仿宋"/>
          <w:sz w:val="30"/>
          <w:szCs w:val="30"/>
        </w:rPr>
        <w:t>收入共计</w:t>
      </w:r>
      <w:r>
        <w:rPr>
          <w:rFonts w:hint="eastAsia" w:ascii="仿宋" w:hAnsi="仿宋" w:eastAsia="仿宋" w:cs="仿宋"/>
          <w:sz w:val="30"/>
          <w:szCs w:val="30"/>
          <w:lang w:val="en-US" w:eastAsia="zh-CN"/>
        </w:rPr>
        <w:t>445.82</w:t>
      </w:r>
      <w:r>
        <w:rPr>
          <w:rFonts w:hint="eastAsia" w:ascii="仿宋" w:hAnsi="仿宋" w:eastAsia="仿宋" w:cs="仿宋"/>
          <w:sz w:val="30"/>
          <w:szCs w:val="30"/>
        </w:rPr>
        <w:t>万元，其中</w:t>
      </w:r>
      <w:r>
        <w:rPr>
          <w:rFonts w:hint="eastAsia" w:ascii="仿宋" w:hAnsi="仿宋" w:eastAsia="仿宋" w:cs="仿宋"/>
          <w:sz w:val="30"/>
          <w:szCs w:val="30"/>
          <w:lang w:eastAsia="zh-CN"/>
        </w:rPr>
        <w:t>一般公共预算财政拨款收入</w:t>
      </w:r>
      <w:r>
        <w:rPr>
          <w:rFonts w:hint="eastAsia" w:ascii="仿宋" w:hAnsi="仿宋" w:eastAsia="仿宋" w:cs="仿宋"/>
          <w:sz w:val="30"/>
          <w:szCs w:val="30"/>
          <w:lang w:val="en-US" w:eastAsia="zh-CN"/>
        </w:rPr>
        <w:t>445.82</w:t>
      </w:r>
      <w:r>
        <w:rPr>
          <w:rFonts w:hint="eastAsia" w:ascii="仿宋" w:hAnsi="仿宋" w:eastAsia="仿宋" w:cs="仿宋"/>
          <w:sz w:val="30"/>
          <w:szCs w:val="30"/>
        </w:rPr>
        <w:t>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本年度</w:t>
      </w:r>
      <w:r>
        <w:rPr>
          <w:rFonts w:hint="eastAsia" w:ascii="仿宋" w:hAnsi="仿宋" w:eastAsia="仿宋" w:cs="仿宋"/>
          <w:sz w:val="30"/>
          <w:szCs w:val="30"/>
          <w:lang w:eastAsia="zh-CN"/>
        </w:rPr>
        <w:t>部门总体支出</w:t>
      </w:r>
      <w:r>
        <w:rPr>
          <w:rFonts w:hint="eastAsia" w:ascii="仿宋" w:hAnsi="仿宋" w:eastAsia="仿宋" w:cs="仿宋"/>
          <w:sz w:val="30"/>
          <w:szCs w:val="30"/>
        </w:rPr>
        <w:t>共计</w:t>
      </w:r>
      <w:r>
        <w:rPr>
          <w:rFonts w:hint="eastAsia" w:ascii="仿宋" w:hAnsi="仿宋" w:eastAsia="仿宋" w:cs="仿宋"/>
          <w:sz w:val="30"/>
          <w:szCs w:val="30"/>
          <w:lang w:val="en-US" w:eastAsia="zh-CN"/>
        </w:rPr>
        <w:t>445.82</w:t>
      </w:r>
      <w:r>
        <w:rPr>
          <w:rFonts w:hint="eastAsia" w:ascii="仿宋" w:hAnsi="仿宋" w:eastAsia="仿宋" w:cs="仿宋"/>
          <w:sz w:val="30"/>
          <w:szCs w:val="30"/>
        </w:rPr>
        <w:t>万元，其中</w:t>
      </w:r>
      <w:r>
        <w:rPr>
          <w:rFonts w:hint="eastAsia" w:ascii="仿宋" w:hAnsi="仿宋" w:eastAsia="仿宋" w:cs="仿宋"/>
          <w:sz w:val="30"/>
          <w:szCs w:val="30"/>
          <w:lang w:eastAsia="zh-CN"/>
        </w:rPr>
        <w:t>一般公共预算财政拨款支出</w:t>
      </w:r>
      <w:r>
        <w:rPr>
          <w:rFonts w:hint="eastAsia" w:ascii="仿宋" w:hAnsi="仿宋" w:eastAsia="仿宋" w:cs="仿宋"/>
          <w:sz w:val="30"/>
          <w:szCs w:val="30"/>
          <w:lang w:val="en-US" w:eastAsia="zh-CN"/>
        </w:rPr>
        <w:t>445.82</w:t>
      </w:r>
      <w:r>
        <w:rPr>
          <w:rFonts w:hint="eastAsia" w:ascii="仿宋" w:hAnsi="仿宋" w:eastAsia="仿宋" w:cs="仿宋"/>
          <w:sz w:val="30"/>
          <w:szCs w:val="30"/>
        </w:rPr>
        <w:t>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2022年度我部门无结余结转资金。</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本年度财政拨款收入共计445.82万元，其中基本财政拨款收入101.64万元，项目财政拨款收入344.18万元。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2.部门财政拨款支出情况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本年度财政拨款收入共计445.82万元，其中基本财政拨款支出101.64万元，项目财政拨款支出344.18万元。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3.部门财政拨款结转结余情况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2022年度我部门无结余结转资金。</w:t>
      </w:r>
    </w:p>
    <w:p>
      <w:pPr>
        <w:widowControl/>
        <w:numPr>
          <w:ilvl w:val="0"/>
          <w:numId w:val="0"/>
        </w:numPr>
        <w:adjustRightInd w:val="0"/>
        <w:snapToGrid w:val="0"/>
        <w:spacing w:line="560" w:lineRule="exact"/>
        <w:ind w:leftChars="200" w:firstLine="320" w:firstLineChars="100"/>
        <w:contextualSpacing/>
        <w:jc w:val="left"/>
      </w:pPr>
      <w:r>
        <w:rPr>
          <w:rFonts w:hint="eastAsia" w:ascii="黑体" w:hAnsi="宋体" w:eastAsia="黑体" w:cs="宋体"/>
          <w:kern w:val="0"/>
          <w:sz w:val="32"/>
          <w:szCs w:val="32"/>
          <w:shd w:val="clear" w:color="auto" w:fill="FFFFFF"/>
          <w:lang w:eastAsia="zh-CN"/>
        </w:rPr>
        <w:t>三、</w:t>
      </w:r>
      <w:r>
        <w:rPr>
          <w:rFonts w:hint="eastAsia" w:ascii="黑体" w:hAnsi="宋体" w:eastAsia="黑体" w:cs="宋体"/>
          <w:kern w:val="0"/>
          <w:sz w:val="32"/>
          <w:szCs w:val="32"/>
          <w:shd w:val="clear" w:color="auto" w:fill="FFFFFF"/>
        </w:rPr>
        <w:t>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人员类预算资金96.19万元，为部门职工工资福利和工作正常开展提供经费保障，完成工资福利支出96.19万元；</w:t>
      </w:r>
      <w:r>
        <w:rPr>
          <w:rFonts w:hint="eastAsia" w:ascii="仿宋_GB2312" w:hAnsi="仿宋_GB2312" w:eastAsia="仿宋_GB2312" w:cs="仿宋_GB2312"/>
          <w:kern w:val="0"/>
          <w:sz w:val="32"/>
          <w:szCs w:val="32"/>
          <w:shd w:val="clear" w:color="auto" w:fill="FFFFFF"/>
          <w:lang w:eastAsia="zh-CN"/>
        </w:rPr>
        <w:t>及时开展绩效运行监控，按需进行预算调整；</w:t>
      </w:r>
      <w:r>
        <w:rPr>
          <w:rFonts w:hint="eastAsia" w:ascii="仿宋_GB2312" w:hAnsi="仿宋_GB2312" w:eastAsia="仿宋_GB2312" w:cs="仿宋_GB2312"/>
          <w:kern w:val="0"/>
          <w:sz w:val="32"/>
          <w:szCs w:val="32"/>
          <w:shd w:val="clear" w:color="auto" w:fill="FFFFFF"/>
          <w:lang w:val="en-US" w:eastAsia="zh-CN"/>
        </w:rPr>
        <w:t>截止2022年底部门预算执行进度100%；人员类预算支出完成率100%；人员类资金结余0万元，资金结余</w:t>
      </w:r>
      <w:r>
        <w:rPr>
          <w:rFonts w:hint="eastAsia" w:ascii="仿宋_GB2312" w:hAnsi="仿宋_GB2312" w:eastAsia="仿宋_GB2312" w:cs="仿宋_GB2312"/>
          <w:kern w:val="0"/>
          <w:sz w:val="32"/>
          <w:szCs w:val="32"/>
          <w:shd w:val="clear" w:color="auto" w:fill="FFFFFF"/>
          <w:lang w:val="zh-CN" w:eastAsia="zh-CN"/>
        </w:rPr>
        <w:t>率</w:t>
      </w:r>
      <w:r>
        <w:rPr>
          <w:rFonts w:hint="eastAsia" w:ascii="仿宋_GB2312" w:hAnsi="仿宋_GB2312" w:eastAsia="仿宋_GB2312" w:cs="仿宋_GB2312"/>
          <w:kern w:val="0"/>
          <w:sz w:val="32"/>
          <w:szCs w:val="32"/>
          <w:shd w:val="clear" w:color="auto" w:fill="FFFFFF"/>
          <w:lang w:val="en-US" w:eastAsia="zh-CN"/>
        </w:rPr>
        <w:t>0%，不存在</w:t>
      </w:r>
      <w:r>
        <w:rPr>
          <w:rFonts w:hint="eastAsia" w:ascii="仿宋_GB2312" w:hAnsi="仿宋_GB2312" w:eastAsia="仿宋_GB2312" w:cs="仿宋_GB2312"/>
          <w:kern w:val="0"/>
          <w:sz w:val="32"/>
          <w:szCs w:val="32"/>
          <w:shd w:val="clear" w:color="auto" w:fill="FFFFFF"/>
          <w:lang w:val="zh-CN" w:eastAsia="zh-CN"/>
        </w:rPr>
        <w:t>低效无效率的情况；人员类</w:t>
      </w:r>
      <w:r>
        <w:rPr>
          <w:rFonts w:hint="eastAsia" w:ascii="仿宋_GB2312" w:hAnsi="仿宋_GB2312" w:eastAsia="仿宋_GB2312" w:cs="仿宋_GB2312"/>
          <w:kern w:val="0"/>
          <w:sz w:val="32"/>
          <w:szCs w:val="32"/>
          <w:shd w:val="clear" w:color="auto" w:fill="FFFFFF"/>
          <w:lang w:val="en-US" w:eastAsia="zh-CN"/>
        </w:rPr>
        <w:t>支出无违规记录的情况。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运转类预算资金5.46万元，完成日常工作运转支出5.46万元；2022年度决算职工日常工作运转支出5.46万元，非定额公用支出0万元；及时开展绩效运行监控，按需进行预算调整；截止2022年底部门预算执行进度100%；运转类预算支出完成率100%；运转类资金结余0万元，资金结余</w:t>
      </w:r>
      <w:r>
        <w:rPr>
          <w:rFonts w:hint="eastAsia" w:ascii="仿宋_GB2312" w:hAnsi="仿宋_GB2312" w:eastAsia="仿宋_GB2312" w:cs="仿宋_GB2312"/>
          <w:kern w:val="0"/>
          <w:sz w:val="32"/>
          <w:szCs w:val="32"/>
          <w:shd w:val="clear" w:color="auto" w:fill="FFFFFF"/>
          <w:lang w:val="zh-CN" w:eastAsia="zh-CN"/>
        </w:rPr>
        <w:t>率</w:t>
      </w:r>
      <w:r>
        <w:rPr>
          <w:rFonts w:hint="eastAsia" w:ascii="仿宋_GB2312" w:hAnsi="仿宋_GB2312" w:eastAsia="仿宋_GB2312" w:cs="仿宋_GB2312"/>
          <w:kern w:val="0"/>
          <w:sz w:val="32"/>
          <w:szCs w:val="32"/>
          <w:shd w:val="clear" w:color="auto" w:fill="FFFFFF"/>
          <w:lang w:val="en-US" w:eastAsia="zh-CN"/>
        </w:rPr>
        <w:t>0%，不存在</w:t>
      </w:r>
      <w:r>
        <w:rPr>
          <w:rFonts w:hint="eastAsia" w:ascii="仿宋_GB2312" w:hAnsi="仿宋_GB2312" w:eastAsia="仿宋_GB2312" w:cs="仿宋_GB2312"/>
          <w:kern w:val="0"/>
          <w:sz w:val="32"/>
          <w:szCs w:val="32"/>
          <w:shd w:val="clear" w:color="auto" w:fill="FFFFFF"/>
          <w:lang w:val="zh-CN" w:eastAsia="zh-CN"/>
        </w:rPr>
        <w:t>低效无效率的情况；运转类</w:t>
      </w:r>
      <w:r>
        <w:rPr>
          <w:rFonts w:hint="eastAsia" w:ascii="仿宋_GB2312" w:hAnsi="仿宋_GB2312" w:eastAsia="仿宋_GB2312" w:cs="仿宋_GB2312"/>
          <w:kern w:val="0"/>
          <w:sz w:val="32"/>
          <w:szCs w:val="32"/>
          <w:shd w:val="clear" w:color="auto" w:fill="FFFFFF"/>
          <w:lang w:val="en-US" w:eastAsia="zh-CN"/>
        </w:rPr>
        <w:t>支出无违规记录的情况。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yellow"/>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特定目标类项目预算资金</w:t>
      </w:r>
      <w:r>
        <w:rPr>
          <w:rFonts w:hint="eastAsia" w:ascii="仿宋" w:hAnsi="仿宋" w:eastAsia="仿宋"/>
          <w:sz w:val="32"/>
          <w:szCs w:val="32"/>
          <w:highlight w:val="none"/>
          <w:lang w:val="en-US" w:eastAsia="zh-CN"/>
        </w:rPr>
        <w:t>231.16万元，特定目标类项目3</w:t>
      </w:r>
      <w:r>
        <w:rPr>
          <w:rFonts w:hint="eastAsia" w:ascii="仿宋_GB2312" w:hAnsi="仿宋_GB2312" w:eastAsia="仿宋_GB2312" w:cs="仿宋_GB2312"/>
          <w:kern w:val="0"/>
          <w:sz w:val="32"/>
          <w:szCs w:val="32"/>
          <w:highlight w:val="none"/>
          <w:shd w:val="clear" w:color="auto" w:fill="FFFFFF"/>
          <w:lang w:val="en-US" w:eastAsia="zh-CN"/>
        </w:rPr>
        <w:t>个，完成特定目标类项目支出</w:t>
      </w:r>
      <w:r>
        <w:rPr>
          <w:rFonts w:hint="eastAsia" w:ascii="仿宋" w:hAnsi="仿宋" w:eastAsia="仿宋"/>
          <w:sz w:val="32"/>
          <w:szCs w:val="32"/>
          <w:highlight w:val="none"/>
          <w:lang w:val="en-US" w:eastAsia="zh-CN"/>
        </w:rPr>
        <w:t>224.05万元；及时开展绩效运行监控，按需进行预算调整；截止2022年底预</w:t>
      </w:r>
      <w:r>
        <w:rPr>
          <w:rFonts w:hint="eastAsia" w:ascii="仿宋_GB2312" w:hAnsi="仿宋_GB2312" w:eastAsia="仿宋_GB2312" w:cs="仿宋_GB2312"/>
          <w:kern w:val="0"/>
          <w:sz w:val="32"/>
          <w:szCs w:val="32"/>
          <w:highlight w:val="none"/>
          <w:shd w:val="clear" w:color="auto" w:fill="FFFFFF"/>
          <w:lang w:val="en-US" w:eastAsia="zh-CN"/>
        </w:rPr>
        <w:t>算执行进度96.92%；特定目标类预算支出完成率96.92%；特定目标类资金结余7.11万元，资金结余</w:t>
      </w:r>
      <w:r>
        <w:rPr>
          <w:rFonts w:hint="eastAsia" w:ascii="仿宋_GB2312" w:hAnsi="仿宋_GB2312" w:eastAsia="仿宋_GB2312" w:cs="仿宋_GB2312"/>
          <w:kern w:val="0"/>
          <w:sz w:val="32"/>
          <w:szCs w:val="32"/>
          <w:highlight w:val="none"/>
          <w:shd w:val="clear" w:color="auto" w:fill="FFFFFF"/>
          <w:lang w:val="zh-CN" w:eastAsia="zh-CN"/>
        </w:rPr>
        <w:t>率</w:t>
      </w:r>
      <w:r>
        <w:rPr>
          <w:rFonts w:hint="eastAsia" w:ascii="仿宋_GB2312" w:hAnsi="仿宋_GB2312" w:eastAsia="仿宋_GB2312" w:cs="仿宋_GB2312"/>
          <w:kern w:val="0"/>
          <w:sz w:val="32"/>
          <w:szCs w:val="32"/>
          <w:highlight w:val="none"/>
          <w:shd w:val="clear" w:color="auto" w:fill="FFFFFF"/>
          <w:lang w:val="en-US" w:eastAsia="zh-CN"/>
        </w:rPr>
        <w:t>3.08%，不存在</w:t>
      </w:r>
      <w:r>
        <w:rPr>
          <w:rFonts w:hint="eastAsia" w:ascii="仿宋_GB2312" w:hAnsi="仿宋_GB2312" w:eastAsia="仿宋_GB2312" w:cs="仿宋_GB2312"/>
          <w:kern w:val="0"/>
          <w:sz w:val="32"/>
          <w:szCs w:val="32"/>
          <w:highlight w:val="none"/>
          <w:shd w:val="clear" w:color="auto" w:fill="FFFFFF"/>
          <w:lang w:val="zh-CN" w:eastAsia="zh-CN"/>
        </w:rPr>
        <w:t>低效无效率的情况；</w:t>
      </w:r>
      <w:r>
        <w:rPr>
          <w:rFonts w:hint="eastAsia" w:ascii="仿宋_GB2312" w:hAnsi="仿宋_GB2312" w:eastAsia="仿宋_GB2312" w:cs="仿宋_GB2312"/>
          <w:kern w:val="0"/>
          <w:sz w:val="32"/>
          <w:szCs w:val="32"/>
          <w:highlight w:val="none"/>
          <w:shd w:val="clear" w:color="auto" w:fill="FFFFFF"/>
          <w:lang w:val="en-US" w:eastAsia="zh-CN"/>
        </w:rPr>
        <w:t>特定目标</w:t>
      </w:r>
      <w:r>
        <w:rPr>
          <w:rFonts w:hint="eastAsia" w:ascii="仿宋_GB2312" w:hAnsi="仿宋_GB2312" w:eastAsia="仿宋_GB2312" w:cs="仿宋_GB2312"/>
          <w:kern w:val="0"/>
          <w:sz w:val="32"/>
          <w:szCs w:val="32"/>
          <w:highlight w:val="none"/>
          <w:shd w:val="clear" w:color="auto" w:fill="FFFFFF"/>
          <w:lang w:val="zh-CN" w:eastAsia="zh-CN"/>
        </w:rPr>
        <w:t>类</w:t>
      </w:r>
      <w:r>
        <w:rPr>
          <w:rFonts w:hint="eastAsia" w:ascii="仿宋_GB2312" w:hAnsi="仿宋_GB2312" w:eastAsia="仿宋_GB2312" w:cs="仿宋_GB2312"/>
          <w:kern w:val="0"/>
          <w:sz w:val="32"/>
          <w:szCs w:val="32"/>
          <w:highlight w:val="none"/>
          <w:shd w:val="clear" w:color="auto" w:fill="FFFFFF"/>
          <w:lang w:val="en-US" w:eastAsia="zh-CN"/>
        </w:rPr>
        <w:t>支出无违规记录的情况。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我中心将深入贯彻习近平新时代中国特色社会主义思想，认真按照《剑阁县党政机关国内公务接待管理办法》， 按照“统筹兼顾、厉行节约、保障重点、注重绩效 ”的原则， 认真分析近年部门财务收支状况及预算执行情况，提出相关事项的支出范围、规模、标准和预期实现目标，为科学开展预算绩效编制工作提供有力数据支撑。</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zh-CN" w:eastAsia="zh-CN"/>
        </w:rPr>
      </w:pPr>
      <w:r>
        <w:rPr>
          <w:rFonts w:hint="eastAsia" w:ascii="仿宋_GB2312" w:hAnsi="仿宋_GB2312" w:eastAsia="仿宋_GB2312" w:cs="仿宋_GB2312"/>
          <w:kern w:val="0"/>
          <w:sz w:val="32"/>
          <w:szCs w:val="32"/>
          <w:highlight w:val="none"/>
          <w:shd w:val="clear" w:color="auto" w:fill="FFFFFF"/>
          <w:lang w:val="en-US" w:eastAsia="zh-CN"/>
        </w:rPr>
        <w:t>我中心在保障机关正常运转的同时，认真履行好部门的职能职责，全面完成全年的各项目标任务，按时完成信息公开。对绩效评价中发现的问题及时整改，杜绝出现项目资金使用不及时、预算执行率低、核算管理不到位等问题，切实规范资金使用行为通过加强预算收支管理，不断建立健全内部管理制度，梳理内部管理流程，部门整体支出管理情况得到提升。</w:t>
      </w:r>
    </w:p>
    <w:p>
      <w:pPr>
        <w:widowControl/>
        <w:numPr>
          <w:ilvl w:val="0"/>
          <w:numId w:val="0"/>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（四）自评质量。</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按照财政局的统一部署和要求，县公务和外事服务中心组织开展了2022年度部门整体支出绩效自评，严格执行年度预算批复，合理安排好全年的经费支出，基本支出保障了人员工资、津补贴的及时足额发放， 日常工作事务的正常开展；项目支出保障了各专项工作按照年度工作计划积极推进，各个项目绩效目标总体完成良好，部门整体支出自评准确。</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本中心 2021 年度预算具有明确的用途和目标，制定了  较详细的执行计划，资金到位及时。严格按照财政有关规定 使用，绩效目标指向明确，符合国民经济和社会发展规划、 部门职能及事业发展规划。绩效目标在数量、质量、成本、 时效、效益方面进行了细化、量化，基本合理配置，符合客观实际，在一定期限内如期完成。预算决策、管理、执行等日渐规范，能够较好地满足工作需要，取得了良好经济效益和社会效果。</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工作经费差口较大，公务接待费用、会议费紧张。2020 年度预算执行进度偏慢。在预算管理方面，推进预算执行的措施方法还须进一步细致精准。</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1.加强政策学习。组织部门干部职工认真学习《预算法》等相关法规、制度，提高部门领导对全面预算管理的重视程度，增强财务人员的预算意识，坚持先有预算、后有支出，没有预算不得支出的支出理念。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2.完善管理制度。进一步加强资产管理进一步贯彻落实中央八项规定，进一步完善本部门“三公”经费等公务支出管理制度及厉行节约制度，加强经费审批和控制，规范支出标准与范围，并严格执行。</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3.科学编制预算。预算编制前根据年度内部门可预见的工作任务，确定部门年度预算目标，细化预算指标，科学合理编制部门预算，推进预算编制科学化、准确化。</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4.强化预算管理。根据实际情况，定期做好预算执行分析，掌握预算执行进度，及时找出预算实际执行情况与预算目标之间存在的差异，采取有效措施纠正偏差，提高预算执行的时效性和均衡性，同时为下一次科学、准确地编制部门预算积累经验。</w:t>
      </w:r>
    </w:p>
    <w:p>
      <w:pPr>
        <w:pStyle w:val="16"/>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6"/>
        <w:spacing w:line="560" w:lineRule="exact"/>
        <w:ind w:left="0" w:leftChars="0" w:firstLine="0" w:firstLineChars="0"/>
        <w:rPr>
          <w:sz w:val="32"/>
          <w:lang w:val="zh-CN"/>
        </w:rPr>
      </w:pPr>
    </w:p>
    <w:p>
      <w:pPr>
        <w:pStyle w:val="6"/>
        <w:spacing w:before="93"/>
        <w:rPr>
          <w:rFonts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spacing w:line="600" w:lineRule="exact"/>
        <w:jc w:val="center"/>
        <w:outlineLvl w:val="0"/>
        <w:rPr>
          <w:rFonts w:hint="eastAsia" w:ascii="黑体" w:hAnsi="黑体" w:eastAsia="黑体"/>
          <w:sz w:val="44"/>
          <w:szCs w:val="44"/>
        </w:rPr>
      </w:pPr>
      <w:bookmarkStart w:id="53" w:name="_Toc15396618"/>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Style w:val="2"/>
        <w:rPr>
          <w:rFonts w:hint="eastAsia" w:ascii="黑体" w:hAnsi="黑体" w:eastAsia="黑体"/>
          <w:sz w:val="44"/>
          <w:szCs w:val="44"/>
        </w:rPr>
      </w:pPr>
    </w:p>
    <w:p>
      <w:pPr>
        <w:rPr>
          <w:rFonts w:hint="eastAsia"/>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4" w:type="default"/>
      <w:footerReference r:id="rId5" w:type="default"/>
      <w:pgSz w:w="11906" w:h="16838"/>
      <w:pgMar w:top="2098" w:right="1531" w:bottom="1984"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16</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FF674BC"/>
    <w:multiLevelType w:val="singleLevel"/>
    <w:tmpl w:val="FFF674BC"/>
    <w:lvl w:ilvl="0" w:tentative="0">
      <w:start w:val="1"/>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2C25739"/>
    <w:rsid w:val="066E0107"/>
    <w:rsid w:val="07996F6E"/>
    <w:rsid w:val="0A132417"/>
    <w:rsid w:val="0A2032A3"/>
    <w:rsid w:val="0BC64306"/>
    <w:rsid w:val="0EE02FCE"/>
    <w:rsid w:val="0F231D56"/>
    <w:rsid w:val="0F98263C"/>
    <w:rsid w:val="101860EC"/>
    <w:rsid w:val="10C055FF"/>
    <w:rsid w:val="118107EC"/>
    <w:rsid w:val="13D50BC4"/>
    <w:rsid w:val="161B0301"/>
    <w:rsid w:val="16BB723D"/>
    <w:rsid w:val="17B201C4"/>
    <w:rsid w:val="1BE8440E"/>
    <w:rsid w:val="1D155CEE"/>
    <w:rsid w:val="1F887313"/>
    <w:rsid w:val="1FF35744"/>
    <w:rsid w:val="20104D96"/>
    <w:rsid w:val="23860B96"/>
    <w:rsid w:val="240371BF"/>
    <w:rsid w:val="269F0F49"/>
    <w:rsid w:val="29FD04D3"/>
    <w:rsid w:val="2C8A61B5"/>
    <w:rsid w:val="2DF04E50"/>
    <w:rsid w:val="2F040D46"/>
    <w:rsid w:val="319F7F4E"/>
    <w:rsid w:val="3304709D"/>
    <w:rsid w:val="36AA5135"/>
    <w:rsid w:val="376D39B2"/>
    <w:rsid w:val="37E16F03"/>
    <w:rsid w:val="38D469F0"/>
    <w:rsid w:val="3D98207C"/>
    <w:rsid w:val="3E78745D"/>
    <w:rsid w:val="41B006A6"/>
    <w:rsid w:val="44E268DA"/>
    <w:rsid w:val="478F7E42"/>
    <w:rsid w:val="48627FD5"/>
    <w:rsid w:val="4A5A15C4"/>
    <w:rsid w:val="4A627F82"/>
    <w:rsid w:val="4AC72371"/>
    <w:rsid w:val="4B0E749A"/>
    <w:rsid w:val="4B3F2FD2"/>
    <w:rsid w:val="4B4F25DA"/>
    <w:rsid w:val="4BE068DB"/>
    <w:rsid w:val="4D577224"/>
    <w:rsid w:val="4EAB630A"/>
    <w:rsid w:val="4ECE2238"/>
    <w:rsid w:val="4F07292E"/>
    <w:rsid w:val="537E6D0A"/>
    <w:rsid w:val="5AF92295"/>
    <w:rsid w:val="5BE9221A"/>
    <w:rsid w:val="5CD71FC4"/>
    <w:rsid w:val="5E6F1663"/>
    <w:rsid w:val="5FFC8177"/>
    <w:rsid w:val="626F653F"/>
    <w:rsid w:val="635B1539"/>
    <w:rsid w:val="654900FB"/>
    <w:rsid w:val="67D74CFA"/>
    <w:rsid w:val="6C4A05C8"/>
    <w:rsid w:val="6D122652"/>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B54DF8E0"/>
    <w:rsid w:val="D8D6DB89"/>
    <w:rsid w:val="DB6F4CAB"/>
    <w:rsid w:val="DF6F9789"/>
    <w:rsid w:val="FCFF08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semiHidden/>
    <w:qFormat/>
    <w:uiPriority w:val="99"/>
    <w:rPr>
      <w:rFonts w:ascii="宋体" w:hAnsi="Courier New" w:cs="Courier New"/>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253.32</c:v>
                </c:pt>
                <c:pt idx="1">
                  <c:v>445.82</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0.228</c:v>
                </c:pt>
                <c:pt idx="1">
                  <c:v>0.772</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256.26</c:v>
                </c:pt>
                <c:pt idx="1">
                  <c:v>445.82</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218.59</c:v>
                </c:pt>
                <c:pt idx="1">
                  <c:v>431.53</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431.53</c:v>
                </c:pt>
                <c:pt idx="1">
                  <c:v>6.51</c:v>
                </c:pt>
                <c:pt idx="2">
                  <c:v>3.26</c:v>
                </c:pt>
                <c:pt idx="3">
                  <c:v>4.52</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16.98</c:v>
                </c:pt>
                <c:pt idx="2">
                  <c:v>180.5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0</TotalTime>
  <ScaleCrop>false</ScaleCrop>
  <LinksUpToDate>false</LinksUpToDate>
  <CharactersWithSpaces>8214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2023-10-21T02:26:00Z</cp:lastPrinted>
  <dcterms:modified xsi:type="dcterms:W3CDTF">2025-01-24T11:35:57Z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72BF0D0BE7F44DB1BF16F8D832B8A551_12</vt:lpwstr>
  </property>
</Properties>
</file>