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p>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剑阁县人力资源和社会保障局</w:t>
      </w:r>
    </w:p>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一、剑阁县人社局行政执法主体</w:t>
      </w:r>
    </w:p>
    <w:p>
      <w:pPr>
        <w:pStyle w:val="12"/>
      </w:pPr>
      <w:r>
        <w:rPr>
          <w:rFonts w:hint="eastAsia" w:ascii="仿宋_GB2312" w:hAnsi="仿宋_GB2312" w:eastAsia="仿宋_GB2312" w:cs="仿宋_GB2312"/>
          <w:sz w:val="32"/>
          <w:szCs w:val="32"/>
          <w:lang w:val="en-US" w:eastAsia="zh-CN"/>
        </w:rPr>
        <w:t xml:space="preserve">广元市司法局  </w:t>
      </w:r>
      <w:r>
        <w:t>窗体顶端</w:t>
      </w:r>
    </w:p>
    <w:p>
      <w:pPr>
        <w:ind w:firstLine="643"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eastAsia="zh-CN"/>
        </w:rPr>
        <w:t>行政执法主体1个</w:t>
      </w:r>
      <w:r>
        <w:rPr>
          <w:rFonts w:hint="eastAsia" w:ascii="仿宋_GB2312" w:hAnsi="仿宋_GB2312" w:eastAsia="仿宋_GB2312" w:cs="仿宋_GB2312"/>
          <w:sz w:val="32"/>
          <w:szCs w:val="32"/>
          <w:lang w:val="en-US" w:eastAsia="zh-CN"/>
        </w:rPr>
        <w:t>：剑阁县人社局    地址:四川省广元市剑阁县修城坝南华街25号. 邮编:628317  电话0839-6625010    传真:0839-6625010</w:t>
      </w:r>
    </w:p>
    <w:p>
      <w:pPr>
        <w:pStyle w:val="13"/>
      </w:pPr>
      <w:r>
        <w:t>窗体底端</w:t>
      </w:r>
    </w:p>
    <w:p>
      <w:pPr>
        <w:pStyle w:val="12"/>
      </w:pPr>
      <w:r>
        <w:t>窗体顶端</w:t>
      </w: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行政执法机构设置1个</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劳动监察大队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主要职责：宣传劳动保障法律、法规和规章，督促用人单位贯彻执行；检查用人单位遵守劳动保障法律、法规和规章的情况；受理对违反劳动保障法律、法规或者规章的行为的举报、投诉；依法纠正和查处违反劳动保障法律、法规或者规章的行为。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股室负责人：杨洪建     联系电话：0839-6602736 </w:t>
      </w:r>
    </w:p>
    <w:p>
      <w:pPr>
        <w:pStyle w:val="13"/>
      </w:pPr>
      <w:r>
        <w:t>窗体底端</w:t>
      </w:r>
    </w:p>
    <w:p>
      <w:pPr>
        <w:numPr>
          <w:ilvl w:val="0"/>
          <w:numId w:val="0"/>
        </w:numPr>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二、剑阁县人社局行政执法人员清单</w:t>
      </w:r>
    </w:p>
    <w:tbl>
      <w:tblPr>
        <w:tblStyle w:val="7"/>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2"/>
                <w:sz w:val="28"/>
                <w:szCs w:val="28"/>
                <w:u w:val="none"/>
                <w:lang w:val="en-US" w:eastAsia="zh-CN" w:bidi="ar-SA"/>
              </w:rPr>
              <w:t>陈洁</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rPr>
              <w:t>川H08080121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rPr>
              <w:t>范金燕</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rPr>
              <w:t>川H08080123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王彦欢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川H08080124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丘婷婷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川H08080127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严舒琴</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川H08080137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罗小英</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川H08080134</w:t>
            </w:r>
          </w:p>
        </w:tc>
      </w:tr>
      <w:tr>
        <w:tblPrEx>
          <w:tblCellMar>
            <w:top w:w="0" w:type="dxa"/>
            <w:left w:w="0" w:type="dxa"/>
            <w:bottom w:w="0" w:type="dxa"/>
            <w:right w:w="0" w:type="dxa"/>
          </w:tblCellMar>
        </w:tblPrEx>
        <w:trPr>
          <w:trHeight w:val="630"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张星平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川H08080001</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杨洪建</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川H08080002</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蒲全洲</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川H08080066</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杜瑶</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川H08080199</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奂政露</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川H08080198</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代晟林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川H08080191</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吴琪</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川H08080192</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杜俊达</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川H08080195</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罗永旺</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川H08080196</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贾玉惠</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川H08080190</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李婧</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2"/>
                <w:sz w:val="28"/>
                <w:szCs w:val="28"/>
                <w:u w:val="none"/>
                <w:lang w:val="en-US" w:eastAsia="zh-CN" w:bidi="ar-SA"/>
              </w:rPr>
              <w:t>川</w:t>
            </w:r>
            <w:r>
              <w:rPr>
                <w:rFonts w:hint="default" w:ascii="仿宋_GB2312" w:hAnsi="仿宋_GB2312" w:eastAsia="仿宋_GB2312" w:cs="仿宋_GB2312"/>
                <w:i w:val="0"/>
                <w:color w:val="000000"/>
                <w:kern w:val="2"/>
                <w:sz w:val="28"/>
                <w:szCs w:val="28"/>
                <w:u w:val="none"/>
                <w:lang w:val="en-US" w:eastAsia="zh-CN" w:bidi="ar-SA"/>
              </w:rPr>
              <w:t>H08080189</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加文霞</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川H08080040</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19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杨倩</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川H08080041</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20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郑芳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川H08080042</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21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母玉兰</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川H08080044</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22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袁政</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川H08080048</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23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吴红梅</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川H08080049</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24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default"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赵怡畅</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川H08080051</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25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default"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仲黎明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default" w:ascii="仿宋_GB2312" w:hAnsi="仿宋_GB2312" w:eastAsia="仿宋_GB2312" w:cs="仿宋_GB2312"/>
                <w:i w:val="0"/>
                <w:color w:val="000000"/>
                <w:kern w:val="2"/>
                <w:sz w:val="28"/>
                <w:szCs w:val="28"/>
                <w:u w:val="none"/>
                <w:lang w:val="en-US" w:eastAsia="zh-CN" w:bidi="ar-SA"/>
              </w:rPr>
              <w:t>川H08080009</w:t>
            </w:r>
          </w:p>
        </w:tc>
      </w:tr>
    </w:tbl>
    <w:p>
      <w:pPr>
        <w:keepNext w:val="0"/>
        <w:keepLines w:val="0"/>
        <w:pageBreakBefore w:val="0"/>
        <w:numPr>
          <w:ilvl w:val="0"/>
          <w:numId w:val="0"/>
        </w:numPr>
        <w:kinsoku/>
        <w:wordWrap/>
        <w:overflowPunct/>
        <w:topLinePunct w:val="0"/>
        <w:autoSpaceDE/>
        <w:autoSpaceDN/>
        <w:bidi w:val="0"/>
        <w:adjustRightInd/>
        <w:snapToGrid/>
        <w:spacing w:line="400" w:lineRule="exact"/>
        <w:rPr>
          <w:rFonts w:hint="eastAsia" w:ascii="仿宋_GB2312" w:hAnsi="仿宋_GB2312" w:eastAsia="仿宋_GB2312" w:cs="仿宋_GB2312"/>
          <w:sz w:val="28"/>
          <w:szCs w:val="28"/>
          <w:lang w:val="en-US" w:eastAsia="zh-CN"/>
        </w:rPr>
      </w:pPr>
    </w:p>
    <w:p>
      <w:pPr>
        <w:ind w:firstLine="643" w:firstLineChars="200"/>
        <w:rPr>
          <w:rFonts w:hint="eastAsia" w:ascii="黑体" w:hAnsi="黑体" w:eastAsia="黑体" w:cs="黑体"/>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val="0"/>
          <w:bCs w:val="0"/>
          <w:sz w:val="32"/>
          <w:szCs w:val="32"/>
          <w:lang w:val="en-US" w:eastAsia="zh-CN"/>
        </w:rPr>
        <w:t>三、剑阁县人社局行政执法权力、责任清单</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 xml:space="preserve">四川政务服务网、剑阁县人民政府网（含行政执法权力及责任事项的权限、职责、服务指南、法定依据、流程图、程序） </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"http://gys.sczwfw.gov.cn/app/qixianShop/12679?areaId=408&amp;areaCode=510800000000"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t>http://gys.sczwfw.gov.cn/app/qixianShop/12679?areaId=408&amp;areaCode=510800000000</w:t>
      </w:r>
      <w:r>
        <w:rPr>
          <w:rFonts w:hint="eastAsia" w:ascii="仿宋_GB2312" w:hAnsi="仿宋_GB2312" w:eastAsia="仿宋_GB2312" w:cs="仿宋_GB2312"/>
          <w:b w:val="0"/>
          <w:bCs w:val="0"/>
          <w:sz w:val="32"/>
          <w:szCs w:val="32"/>
          <w:lang w:val="en-US" w:eastAsia="zh-CN"/>
        </w:rPr>
        <w:fldChar w:fldCharType="end"/>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"https://www.baidu.com/s?word=%E5%89%91%E9%98%81%E5%8E%BF%E4%BA%BA%E6%B0%91%E6%94%BF%E5%BA%9C%E7%BD%91&amp;tn=site888_3_pg&amp;lm=-1&amp;ssl_s=1&amp;ssl_c=ssl1_1724fcc15b6"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t>https://www.baidu.com/s?word=%E5%89%91%E9%98%81%E5%8E%BF%E4%BA%BA%E6%B0%91%E6%94%BF%E5%BA%9C%E7%BD%91&amp;tn=site888_3_pg&amp;lm=-1&amp;ssl_s=1&amp;ssl_c=ssl1_1724fcc15b6</w:t>
      </w:r>
      <w:r>
        <w:rPr>
          <w:rFonts w:hint="eastAsia" w:ascii="仿宋_GB2312" w:hAnsi="仿宋_GB2312" w:eastAsia="仿宋_GB2312" w:cs="仿宋_GB2312"/>
          <w:b w:val="0"/>
          <w:bCs w:val="0"/>
          <w:sz w:val="32"/>
          <w:szCs w:val="32"/>
          <w:lang w:val="en-US" w:eastAsia="zh-CN"/>
        </w:rPr>
        <w:fldChar w:fldCharType="end"/>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四、剑阁县人社局重大行政执法审核目录清单</w:t>
      </w:r>
    </w:p>
    <w:tbl>
      <w:tblPr>
        <w:tblStyle w:val="7"/>
        <w:tblpPr w:vertAnchor="text" w:horzAnchor="page" w:tblpXSpec="center" w:tblpY="652"/>
        <w:tblW w:w="10205"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556"/>
        <w:gridCol w:w="637"/>
        <w:gridCol w:w="207"/>
        <w:gridCol w:w="1557"/>
        <w:gridCol w:w="438"/>
        <w:gridCol w:w="536"/>
        <w:gridCol w:w="611"/>
        <w:gridCol w:w="653"/>
        <w:gridCol w:w="579"/>
        <w:gridCol w:w="2049"/>
        <w:gridCol w:w="238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80" w:hRule="atLeast"/>
          <w:jc w:val="center"/>
        </w:trPr>
        <w:tc>
          <w:tcPr>
            <w:tcW w:w="72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执法类别</w:t>
            </w:r>
          </w:p>
        </w:tc>
        <w:tc>
          <w:tcPr>
            <w:tcW w:w="743"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执法决定</w:t>
            </w:r>
          </w:p>
        </w:tc>
        <w:tc>
          <w:tcPr>
            <w:tcW w:w="2385"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执法依据</w:t>
            </w:r>
          </w:p>
        </w:tc>
        <w:tc>
          <w:tcPr>
            <w:tcW w:w="1320"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提请部门</w:t>
            </w:r>
          </w:p>
        </w:tc>
        <w:tc>
          <w:tcPr>
            <w:tcW w:w="1740"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 审核依据</w:t>
            </w:r>
          </w:p>
        </w:tc>
        <w:tc>
          <w:tcPr>
            <w:tcW w:w="4503"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送审材料</w:t>
            </w:r>
          </w:p>
        </w:tc>
        <w:tc>
          <w:tcPr>
            <w:tcW w:w="3195"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审核重点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jc w:val="center"/>
        </w:trPr>
        <w:tc>
          <w:tcPr>
            <w:tcW w:w="72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行政许可类决定</w:t>
            </w:r>
          </w:p>
        </w:tc>
        <w:tc>
          <w:tcPr>
            <w:tcW w:w="743"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特殊工时审批</w:t>
            </w:r>
          </w:p>
        </w:tc>
        <w:tc>
          <w:tcPr>
            <w:tcW w:w="238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1、《中华人民共和国劳动法》第三十九条　企业因生产特点不能实行本法第三十六条、第三十八条规定的，经劳动行政部门批准，可以实行其他工作和休息方法。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2、《关于企业实行不定时工作制和综合计算工时工作制的审批办法》（劳部发[1994]503号）</w:t>
            </w:r>
          </w:p>
        </w:tc>
        <w:tc>
          <w:tcPr>
            <w:tcW w:w="132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劳动保障监察大队</w:t>
            </w:r>
          </w:p>
        </w:tc>
        <w:tc>
          <w:tcPr>
            <w:tcW w:w="174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《中华人民共和国劳动法》第三十九条、《关于企业实行不定时工作制和综合计算工时工作制的审批办法》（劳部发[1994]503号</w:t>
            </w:r>
          </w:p>
        </w:tc>
        <w:tc>
          <w:tcPr>
            <w:tcW w:w="4503"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1.申请单位提供的申报资料；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w:t>
            </w:r>
            <w:r>
              <w:rPr>
                <w:rFonts w:hint="eastAsia" w:ascii="微软雅黑" w:hAnsi="微软雅黑" w:eastAsia="微软雅黑" w:cs="微软雅黑"/>
                <w:i w:val="0"/>
                <w:caps w:val="0"/>
                <w:color w:val="000000"/>
                <w:spacing w:val="0"/>
                <w:kern w:val="0"/>
                <w:sz w:val="18"/>
                <w:szCs w:val="18"/>
                <w:lang w:val="en-US" w:eastAsia="zh-CN" w:bidi="ar"/>
              </w:rPr>
              <w:t>1</w:t>
            </w:r>
            <w:r>
              <w:rPr>
                <w:rFonts w:hint="eastAsia" w:ascii="微软雅黑" w:hAnsi="微软雅黑" w:eastAsia="微软雅黑" w:cs="微软雅黑"/>
                <w:i w:val="0"/>
                <w:caps w:val="0"/>
                <w:color w:val="000000"/>
                <w:spacing w:val="0"/>
                <w:kern w:val="0"/>
                <w:sz w:val="16"/>
                <w:szCs w:val="16"/>
                <w:lang w:val="en-US" w:eastAsia="zh-CN" w:bidi="ar"/>
              </w:rPr>
              <w:t>）营业执照复印件</w:t>
            </w:r>
            <w:r>
              <w:rPr>
                <w:rFonts w:hint="eastAsia" w:ascii="微软雅黑" w:hAnsi="微软雅黑" w:eastAsia="微软雅黑" w:cs="微软雅黑"/>
                <w:i w:val="0"/>
                <w:caps w:val="0"/>
                <w:color w:val="000000"/>
                <w:spacing w:val="0"/>
                <w:kern w:val="0"/>
                <w:sz w:val="18"/>
                <w:szCs w:val="1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w:t>
            </w:r>
            <w:r>
              <w:rPr>
                <w:rFonts w:hint="eastAsia" w:ascii="微软雅黑" w:hAnsi="微软雅黑" w:eastAsia="微软雅黑" w:cs="微软雅黑"/>
                <w:i w:val="0"/>
                <w:caps w:val="0"/>
                <w:color w:val="000000"/>
                <w:spacing w:val="0"/>
                <w:kern w:val="0"/>
                <w:sz w:val="18"/>
                <w:szCs w:val="18"/>
                <w:lang w:val="en-US" w:eastAsia="zh-CN" w:bidi="ar"/>
              </w:rPr>
              <w:t>2</w:t>
            </w:r>
            <w:r>
              <w:rPr>
                <w:rFonts w:hint="eastAsia" w:ascii="微软雅黑" w:hAnsi="微软雅黑" w:eastAsia="微软雅黑" w:cs="微软雅黑"/>
                <w:i w:val="0"/>
                <w:caps w:val="0"/>
                <w:color w:val="000000"/>
                <w:spacing w:val="0"/>
                <w:kern w:val="0"/>
                <w:sz w:val="16"/>
                <w:szCs w:val="16"/>
                <w:lang w:val="en-US" w:eastAsia="zh-CN" w:bidi="ar"/>
              </w:rPr>
              <w:t>）申请报告</w:t>
            </w:r>
            <w:r>
              <w:rPr>
                <w:rFonts w:hint="eastAsia" w:ascii="微软雅黑" w:hAnsi="微软雅黑" w:eastAsia="微软雅黑" w:cs="微软雅黑"/>
                <w:i w:val="0"/>
                <w:caps w:val="0"/>
                <w:color w:val="000000"/>
                <w:spacing w:val="0"/>
                <w:kern w:val="0"/>
                <w:sz w:val="18"/>
                <w:szCs w:val="1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w:t>
            </w:r>
            <w:r>
              <w:rPr>
                <w:rFonts w:hint="eastAsia" w:ascii="微软雅黑" w:hAnsi="微软雅黑" w:eastAsia="微软雅黑" w:cs="微软雅黑"/>
                <w:i w:val="0"/>
                <w:caps w:val="0"/>
                <w:color w:val="000000"/>
                <w:spacing w:val="0"/>
                <w:kern w:val="0"/>
                <w:sz w:val="18"/>
                <w:szCs w:val="18"/>
                <w:lang w:val="en-US" w:eastAsia="zh-CN" w:bidi="ar"/>
              </w:rPr>
              <w:t>3</w:t>
            </w:r>
            <w:r>
              <w:rPr>
                <w:rFonts w:hint="eastAsia" w:ascii="微软雅黑" w:hAnsi="微软雅黑" w:eastAsia="微软雅黑" w:cs="微软雅黑"/>
                <w:i w:val="0"/>
                <w:caps w:val="0"/>
                <w:color w:val="000000"/>
                <w:spacing w:val="0"/>
                <w:kern w:val="0"/>
                <w:sz w:val="16"/>
                <w:szCs w:val="16"/>
                <w:lang w:val="en-US" w:eastAsia="zh-CN" w:bidi="ar"/>
              </w:rPr>
              <w:t>）有工会的企业，提供工会意见书</w:t>
            </w:r>
            <w:r>
              <w:rPr>
                <w:rFonts w:hint="eastAsia" w:ascii="微软雅黑" w:hAnsi="微软雅黑" w:eastAsia="微软雅黑" w:cs="微软雅黑"/>
                <w:i w:val="0"/>
                <w:caps w:val="0"/>
                <w:color w:val="000000"/>
                <w:spacing w:val="0"/>
                <w:kern w:val="0"/>
                <w:sz w:val="18"/>
                <w:szCs w:val="1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w:t>
            </w:r>
            <w:r>
              <w:rPr>
                <w:rFonts w:hint="eastAsia" w:ascii="微软雅黑" w:hAnsi="微软雅黑" w:eastAsia="微软雅黑" w:cs="微软雅黑"/>
                <w:i w:val="0"/>
                <w:caps w:val="0"/>
                <w:color w:val="000000"/>
                <w:spacing w:val="0"/>
                <w:kern w:val="0"/>
                <w:sz w:val="18"/>
                <w:szCs w:val="18"/>
                <w:lang w:val="en-US" w:eastAsia="zh-CN" w:bidi="ar"/>
              </w:rPr>
              <w:t>4</w:t>
            </w:r>
            <w:r>
              <w:rPr>
                <w:rFonts w:hint="eastAsia" w:ascii="微软雅黑" w:hAnsi="微软雅黑" w:eastAsia="微软雅黑" w:cs="微软雅黑"/>
                <w:i w:val="0"/>
                <w:caps w:val="0"/>
                <w:color w:val="000000"/>
                <w:spacing w:val="0"/>
                <w:kern w:val="0"/>
                <w:sz w:val="16"/>
                <w:szCs w:val="16"/>
                <w:lang w:val="en-US" w:eastAsia="zh-CN" w:bidi="ar"/>
              </w:rPr>
              <w:t>）同意实行特殊工时的职工签名册</w:t>
            </w:r>
            <w:r>
              <w:rPr>
                <w:rFonts w:hint="eastAsia" w:ascii="微软雅黑" w:hAnsi="微软雅黑" w:eastAsia="微软雅黑" w:cs="微软雅黑"/>
                <w:i w:val="0"/>
                <w:caps w:val="0"/>
                <w:color w:val="000000"/>
                <w:spacing w:val="0"/>
                <w:kern w:val="0"/>
                <w:sz w:val="18"/>
                <w:szCs w:val="1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w:t>
            </w:r>
            <w:r>
              <w:rPr>
                <w:rFonts w:hint="eastAsia" w:ascii="微软雅黑" w:hAnsi="微软雅黑" w:eastAsia="微软雅黑" w:cs="微软雅黑"/>
                <w:i w:val="0"/>
                <w:caps w:val="0"/>
                <w:color w:val="000000"/>
                <w:spacing w:val="0"/>
                <w:kern w:val="0"/>
                <w:sz w:val="18"/>
                <w:szCs w:val="18"/>
                <w:lang w:val="en-US" w:eastAsia="zh-CN" w:bidi="ar"/>
              </w:rPr>
              <w:t>5</w:t>
            </w:r>
            <w:r>
              <w:rPr>
                <w:rFonts w:hint="eastAsia" w:ascii="微软雅黑" w:hAnsi="微软雅黑" w:eastAsia="微软雅黑" w:cs="微软雅黑"/>
                <w:i w:val="0"/>
                <w:caps w:val="0"/>
                <w:color w:val="000000"/>
                <w:spacing w:val="0"/>
                <w:kern w:val="0"/>
                <w:sz w:val="16"/>
                <w:szCs w:val="16"/>
                <w:lang w:val="en-US" w:eastAsia="zh-CN" w:bidi="ar"/>
              </w:rPr>
              <w:t>）申报岗位说明：工作时间、休息休假、福利待遇等情况</w:t>
            </w:r>
            <w:r>
              <w:rPr>
                <w:rFonts w:hint="eastAsia" w:ascii="微软雅黑" w:hAnsi="微软雅黑" w:eastAsia="微软雅黑" w:cs="微软雅黑"/>
                <w:i w:val="0"/>
                <w:caps w:val="0"/>
                <w:color w:val="000000"/>
                <w:spacing w:val="0"/>
                <w:kern w:val="0"/>
                <w:sz w:val="18"/>
                <w:szCs w:val="1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w:t>
            </w:r>
            <w:r>
              <w:rPr>
                <w:rFonts w:hint="eastAsia" w:ascii="微软雅黑" w:hAnsi="微软雅黑" w:eastAsia="微软雅黑" w:cs="微软雅黑"/>
                <w:i w:val="0"/>
                <w:caps w:val="0"/>
                <w:color w:val="000000"/>
                <w:spacing w:val="0"/>
                <w:kern w:val="0"/>
                <w:sz w:val="18"/>
                <w:szCs w:val="18"/>
                <w:lang w:val="en-US" w:eastAsia="zh-CN" w:bidi="ar"/>
              </w:rPr>
              <w:t>6</w:t>
            </w:r>
            <w:r>
              <w:rPr>
                <w:rFonts w:hint="eastAsia" w:ascii="微软雅黑" w:hAnsi="微软雅黑" w:eastAsia="微软雅黑" w:cs="微软雅黑"/>
                <w:i w:val="0"/>
                <w:caps w:val="0"/>
                <w:color w:val="000000"/>
                <w:spacing w:val="0"/>
                <w:kern w:val="0"/>
                <w:sz w:val="16"/>
                <w:szCs w:val="16"/>
                <w:lang w:val="en-US" w:eastAsia="zh-CN" w:bidi="ar"/>
              </w:rPr>
              <w:t>）申报特殊工时申请表、申报特殊工时审批表。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2、审批窗口审核意见及情况说明。</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3、行政许可决定书（送审稿）</w:t>
            </w:r>
          </w:p>
        </w:tc>
        <w:tc>
          <w:tcPr>
            <w:tcW w:w="3195"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1.申请事项是否属于本机关职权范围；</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2.申请材料是否齐全、是否符合法定形式；</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3、工会意见或职工签名同意的情况；</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24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4、拟作出的行政许可决定是否合法适当。</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266" w:hRule="atLeast"/>
          <w:jc w:val="center"/>
        </w:trPr>
        <w:tc>
          <w:tcPr>
            <w:tcW w:w="72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行政处罚类决定</w:t>
            </w:r>
          </w:p>
        </w:tc>
        <w:tc>
          <w:tcPr>
            <w:tcW w:w="743"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违法从事职业培训、职业中介、技能培训、考核鉴定等业务的处罚</w:t>
            </w:r>
          </w:p>
        </w:tc>
        <w:tc>
          <w:tcPr>
            <w:tcW w:w="238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textAlignment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就业促进法》第六十四条违反本法规定，未经许可和登记，擅自从事职业中介活动的，由劳动行政部门或者其他主管部门依法予以关闭；有违法所得的，没收违法所得，并处一万元以上五万元以下的罚款。第六十五条 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《劳动保障监察条例》（国务院令第</w:t>
            </w:r>
            <w:r>
              <w:rPr>
                <w:rFonts w:hint="eastAsia" w:ascii="微软雅黑" w:hAnsi="微软雅黑" w:eastAsia="微软雅黑" w:cs="微软雅黑"/>
                <w:i w:val="0"/>
                <w:caps w:val="0"/>
                <w:color w:val="000000"/>
                <w:spacing w:val="0"/>
                <w:kern w:val="0"/>
                <w:sz w:val="18"/>
                <w:szCs w:val="18"/>
                <w:lang w:val="en-US" w:eastAsia="zh-CN" w:bidi="ar"/>
              </w:rPr>
              <w:t>423</w:t>
            </w:r>
            <w:r>
              <w:rPr>
                <w:rFonts w:hint="eastAsia" w:ascii="微软雅黑" w:hAnsi="微软雅黑" w:eastAsia="微软雅黑" w:cs="微软雅黑"/>
                <w:i w:val="0"/>
                <w:caps w:val="0"/>
                <w:color w:val="000000"/>
                <w:spacing w:val="0"/>
                <w:kern w:val="0"/>
                <w:sz w:val="16"/>
                <w:szCs w:val="16"/>
                <w:lang w:val="en-US" w:eastAsia="zh-CN" w:bidi="ar"/>
              </w:rPr>
              <w:t>号）第二十八条职业介绍机构、职业技能培训机构或者职业技能考核鉴定机构违反国家有关职业介绍、职业技能培训或者职业技能考核鉴定的规定的，由劳动保障行政部门责令改正，没收违法所得，并处１万元以上５万元以下的罚款；情节严重的，吊销许可证。</w:t>
            </w:r>
          </w:p>
        </w:tc>
        <w:tc>
          <w:tcPr>
            <w:tcW w:w="132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rPr>
              <w:t>劳动保障监察大队</w:t>
            </w:r>
          </w:p>
        </w:tc>
        <w:tc>
          <w:tcPr>
            <w:tcW w:w="174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rPr>
              <w:t>《民办教育促进法》第六十四条、《就业促进法》第六十四条、第六十五条、《劳动保障监察条例》（国务院令第</w:t>
            </w:r>
            <w:r>
              <w:rPr>
                <w:rFonts w:hint="eastAsia" w:ascii="微软雅黑" w:hAnsi="微软雅黑" w:eastAsia="微软雅黑" w:cs="微软雅黑"/>
                <w:i w:val="0"/>
                <w:caps w:val="0"/>
                <w:color w:val="000000"/>
                <w:spacing w:val="0"/>
                <w:sz w:val="18"/>
                <w:szCs w:val="18"/>
                <w:lang w:val="en-US"/>
              </w:rPr>
              <w:t>423</w:t>
            </w:r>
            <w:r>
              <w:rPr>
                <w:rFonts w:hint="eastAsia" w:ascii="微软雅黑" w:hAnsi="微软雅黑" w:eastAsia="微软雅黑" w:cs="微软雅黑"/>
                <w:i w:val="0"/>
                <w:caps w:val="0"/>
                <w:color w:val="000000"/>
                <w:spacing w:val="0"/>
                <w:sz w:val="16"/>
                <w:szCs w:val="16"/>
              </w:rPr>
              <w:t>号）第二十八条</w:t>
            </w:r>
          </w:p>
        </w:tc>
        <w:tc>
          <w:tcPr>
            <w:tcW w:w="4503"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w:t>
            </w:r>
            <w:r>
              <w:rPr>
                <w:rFonts w:hint="eastAsia" w:ascii="微软雅黑" w:hAnsi="微软雅黑" w:eastAsia="微软雅黑" w:cs="微软雅黑"/>
                <w:i w:val="0"/>
                <w:caps w:val="0"/>
                <w:color w:val="000000"/>
                <w:spacing w:val="0"/>
                <w:sz w:val="16"/>
                <w:szCs w:val="16"/>
              </w:rPr>
              <w:t>劳动保障监察投诉登记表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2.</w:t>
            </w:r>
            <w:r>
              <w:rPr>
                <w:rFonts w:hint="eastAsia" w:ascii="微软雅黑" w:hAnsi="微软雅黑" w:eastAsia="微软雅黑" w:cs="微软雅黑"/>
                <w:i w:val="0"/>
                <w:caps w:val="0"/>
                <w:color w:val="000000"/>
                <w:spacing w:val="0"/>
                <w:sz w:val="16"/>
                <w:szCs w:val="16"/>
              </w:rPr>
              <w:t>劳动保障监察立案审批表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3.</w:t>
            </w:r>
            <w:r>
              <w:rPr>
                <w:rFonts w:hint="eastAsia" w:ascii="微软雅黑" w:hAnsi="微软雅黑" w:eastAsia="微软雅黑" w:cs="微软雅黑"/>
                <w:i w:val="0"/>
                <w:caps w:val="0"/>
                <w:color w:val="000000"/>
                <w:spacing w:val="0"/>
                <w:sz w:val="16"/>
                <w:szCs w:val="16"/>
              </w:rPr>
              <w:t>劳动保障监察询问通知书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4.</w:t>
            </w:r>
            <w:r>
              <w:rPr>
                <w:rFonts w:hint="eastAsia" w:ascii="微软雅黑" w:hAnsi="微软雅黑" w:eastAsia="微软雅黑" w:cs="微软雅黑"/>
                <w:i w:val="0"/>
                <w:caps w:val="0"/>
                <w:color w:val="000000"/>
                <w:spacing w:val="0"/>
                <w:sz w:val="16"/>
                <w:szCs w:val="16"/>
              </w:rPr>
              <w:t>劳动保障监察调查（询问）笔录</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5.</w:t>
            </w:r>
            <w:r>
              <w:rPr>
                <w:rFonts w:hint="eastAsia" w:ascii="微软雅黑" w:hAnsi="微软雅黑" w:eastAsia="微软雅黑" w:cs="微软雅黑"/>
                <w:i w:val="0"/>
                <w:caps w:val="0"/>
                <w:color w:val="000000"/>
                <w:spacing w:val="0"/>
                <w:sz w:val="16"/>
                <w:szCs w:val="16"/>
              </w:rPr>
              <w:t>劳动保障监察案件限期改正指令报批表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6.</w:t>
            </w:r>
            <w:r>
              <w:rPr>
                <w:rFonts w:hint="eastAsia" w:ascii="微软雅黑" w:hAnsi="微软雅黑" w:eastAsia="微软雅黑" w:cs="微软雅黑"/>
                <w:i w:val="0"/>
                <w:caps w:val="0"/>
                <w:color w:val="000000"/>
                <w:spacing w:val="0"/>
                <w:sz w:val="16"/>
                <w:szCs w:val="16"/>
              </w:rPr>
              <w:t>劳动保障监察限期改正指令书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7.</w:t>
            </w:r>
            <w:r>
              <w:rPr>
                <w:rFonts w:hint="eastAsia" w:ascii="微软雅黑" w:hAnsi="微软雅黑" w:eastAsia="微软雅黑" w:cs="微软雅黑"/>
                <w:i w:val="0"/>
                <w:caps w:val="0"/>
                <w:color w:val="000000"/>
                <w:spacing w:val="0"/>
                <w:sz w:val="16"/>
                <w:szCs w:val="16"/>
              </w:rPr>
              <w:t>劳动保障行政部门负责人对复杂、重大行政处罚（理）集体记录（劳动保障监察行政处罚（理）集体讨论记录）</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8.</w:t>
            </w:r>
            <w:r>
              <w:rPr>
                <w:rFonts w:hint="eastAsia" w:ascii="微软雅黑" w:hAnsi="微软雅黑" w:eastAsia="微软雅黑" w:cs="微软雅黑"/>
                <w:i w:val="0"/>
                <w:caps w:val="0"/>
                <w:color w:val="000000"/>
                <w:spacing w:val="0"/>
                <w:sz w:val="16"/>
                <w:szCs w:val="16"/>
              </w:rPr>
              <w:t>劳动保障监察案件行政处理（处罚）事先告知报批表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9.</w:t>
            </w:r>
            <w:r>
              <w:rPr>
                <w:rFonts w:hint="eastAsia" w:ascii="微软雅黑" w:hAnsi="微软雅黑" w:eastAsia="微软雅黑" w:cs="微软雅黑"/>
                <w:i w:val="0"/>
                <w:caps w:val="0"/>
                <w:color w:val="000000"/>
                <w:spacing w:val="0"/>
                <w:sz w:val="16"/>
                <w:szCs w:val="16"/>
              </w:rPr>
              <w:t>劳动保障监察行政处罚（行政处理）事先告知书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10.</w:t>
            </w:r>
            <w:r>
              <w:rPr>
                <w:rFonts w:hint="eastAsia" w:ascii="微软雅黑" w:hAnsi="微软雅黑" w:eastAsia="微软雅黑" w:cs="微软雅黑"/>
                <w:i w:val="0"/>
                <w:caps w:val="0"/>
                <w:color w:val="000000"/>
                <w:spacing w:val="0"/>
                <w:sz w:val="16"/>
                <w:szCs w:val="16"/>
              </w:rPr>
              <w:t>劳动保障监察案件处理（处罚）决定报批表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11.</w:t>
            </w:r>
            <w:r>
              <w:rPr>
                <w:rFonts w:hint="eastAsia" w:ascii="微软雅黑" w:hAnsi="微软雅黑" w:eastAsia="微软雅黑" w:cs="微软雅黑"/>
                <w:i w:val="0"/>
                <w:caps w:val="0"/>
                <w:color w:val="000000"/>
                <w:spacing w:val="0"/>
                <w:sz w:val="16"/>
                <w:szCs w:val="16"/>
              </w:rPr>
              <w:t>劳动保障监察行政处理（处罚）决定书</w:t>
            </w:r>
            <w:r>
              <w:rPr>
                <w:rFonts w:hint="eastAsia" w:ascii="微软雅黑" w:hAnsi="微软雅黑" w:eastAsia="微软雅黑" w:cs="微软雅黑"/>
                <w:i w:val="0"/>
                <w:caps w:val="0"/>
                <w:color w:val="000000"/>
                <w:spacing w:val="0"/>
                <w:sz w:val="18"/>
                <w:szCs w:val="18"/>
                <w:lang w:val="en-US"/>
              </w:rPr>
              <w:t>(</w:t>
            </w:r>
            <w:r>
              <w:rPr>
                <w:rFonts w:hint="eastAsia" w:ascii="微软雅黑" w:hAnsi="微软雅黑" w:eastAsia="微软雅黑" w:cs="微软雅黑"/>
                <w:i w:val="0"/>
                <w:caps w:val="0"/>
                <w:color w:val="000000"/>
                <w:spacing w:val="0"/>
                <w:sz w:val="16"/>
                <w:szCs w:val="16"/>
              </w:rPr>
              <w:t>送审稿</w:t>
            </w:r>
            <w:r>
              <w:rPr>
                <w:rFonts w:hint="eastAsia" w:ascii="微软雅黑" w:hAnsi="微软雅黑" w:eastAsia="微软雅黑" w:cs="微软雅黑"/>
                <w:i w:val="0"/>
                <w:caps w:val="0"/>
                <w:color w:val="000000"/>
                <w:spacing w:val="0"/>
                <w:sz w:val="18"/>
                <w:szCs w:val="18"/>
                <w:lang w:val="en-US"/>
              </w:rPr>
              <w:t>)</w:t>
            </w:r>
            <w:r>
              <w:rPr>
                <w:rFonts w:hint="eastAsia" w:ascii="微软雅黑" w:hAnsi="微软雅黑" w:eastAsia="微软雅黑" w:cs="微软雅黑"/>
                <w:i w:val="0"/>
                <w:caps w:val="0"/>
                <w:color w:val="000000"/>
                <w:spacing w:val="0"/>
                <w:sz w:val="16"/>
                <w:szCs w:val="16"/>
              </w:rPr>
              <w:t>。</w:t>
            </w:r>
          </w:p>
        </w:tc>
        <w:tc>
          <w:tcPr>
            <w:tcW w:w="319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w:t>
            </w:r>
            <w:r>
              <w:rPr>
                <w:rFonts w:hint="eastAsia" w:ascii="微软雅黑" w:hAnsi="微软雅黑" w:eastAsia="微软雅黑" w:cs="微软雅黑"/>
                <w:i w:val="0"/>
                <w:caps w:val="0"/>
                <w:color w:val="000000"/>
                <w:spacing w:val="0"/>
                <w:sz w:val="16"/>
                <w:szCs w:val="16"/>
              </w:rPr>
              <w:t>执法主体是否合法，执法人员是否具备执法资格；</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2.</w:t>
            </w:r>
            <w:r>
              <w:rPr>
                <w:rFonts w:hint="eastAsia" w:ascii="微软雅黑" w:hAnsi="微软雅黑" w:eastAsia="微软雅黑" w:cs="微软雅黑"/>
                <w:i w:val="0"/>
                <w:caps w:val="0"/>
                <w:color w:val="000000"/>
                <w:spacing w:val="0"/>
                <w:sz w:val="16"/>
                <w:szCs w:val="16"/>
              </w:rPr>
              <w:t>主要事实是否清楚，证据是否确凿、充分；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3.</w:t>
            </w:r>
            <w:r>
              <w:rPr>
                <w:rFonts w:hint="eastAsia" w:ascii="微软雅黑" w:hAnsi="微软雅黑" w:eastAsia="微软雅黑" w:cs="微软雅黑"/>
                <w:i w:val="0"/>
                <w:caps w:val="0"/>
                <w:color w:val="000000"/>
                <w:spacing w:val="0"/>
                <w:sz w:val="16"/>
                <w:szCs w:val="16"/>
              </w:rPr>
              <w:t>适用法律、法规、规章是否准确；执行裁量基准是否适当；</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4.</w:t>
            </w:r>
            <w:r>
              <w:rPr>
                <w:rFonts w:hint="eastAsia" w:ascii="微软雅黑" w:hAnsi="微软雅黑" w:eastAsia="微软雅黑" w:cs="微软雅黑"/>
                <w:i w:val="0"/>
                <w:caps w:val="0"/>
                <w:color w:val="000000"/>
                <w:spacing w:val="0"/>
                <w:sz w:val="16"/>
                <w:szCs w:val="16"/>
              </w:rPr>
              <w:t>程序是否合法，是否充分保障行政相对人权利。</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266" w:hRule="atLeast"/>
          <w:jc w:val="center"/>
        </w:trPr>
        <w:tc>
          <w:tcPr>
            <w:tcW w:w="72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行政处罚类决定</w:t>
            </w:r>
          </w:p>
        </w:tc>
        <w:tc>
          <w:tcPr>
            <w:tcW w:w="743"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textAlignment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对用人单位非法使用童工的处罚</w:t>
            </w:r>
          </w:p>
        </w:tc>
        <w:tc>
          <w:tcPr>
            <w:tcW w:w="238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《劳动法》第九十四条用人单位非法招用未满十六周岁的未成年人的，由劳动行政部门责令改正，处以罚款；情节严重的，由工商行政管理部门吊销营业执照； 《禁止使用童工规定》（国务院令第364号）第六条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用人单位经劳动保障行政部门依照前款规定责令限期改正，逾期仍不将童工送交其父母或者其他监护人的，从责令限期改正之日起，由劳动保障行政部门按照每使用一名童工每月处1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tc>
        <w:tc>
          <w:tcPr>
            <w:tcW w:w="132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rPr>
              <w:t>劳动保障监察大队</w:t>
            </w:r>
          </w:p>
        </w:tc>
        <w:tc>
          <w:tcPr>
            <w:tcW w:w="174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8"/>
                <w:szCs w:val="18"/>
              </w:rPr>
              <w:t>《劳动法》第九十四条、《禁止使用童工规定》（国务院令第</w:t>
            </w:r>
            <w:r>
              <w:rPr>
                <w:rFonts w:hint="eastAsia" w:ascii="微软雅黑" w:hAnsi="微软雅黑" w:eastAsia="微软雅黑" w:cs="微软雅黑"/>
                <w:i w:val="0"/>
                <w:caps w:val="0"/>
                <w:color w:val="000000"/>
                <w:spacing w:val="0"/>
                <w:sz w:val="18"/>
                <w:szCs w:val="18"/>
                <w:lang w:val="en-US"/>
              </w:rPr>
              <w:t>364</w:t>
            </w:r>
            <w:r>
              <w:rPr>
                <w:rFonts w:hint="eastAsia" w:ascii="微软雅黑" w:hAnsi="微软雅黑" w:eastAsia="微软雅黑" w:cs="微软雅黑"/>
                <w:i w:val="0"/>
                <w:caps w:val="0"/>
                <w:color w:val="000000"/>
                <w:spacing w:val="0"/>
                <w:sz w:val="18"/>
                <w:szCs w:val="18"/>
              </w:rPr>
              <w:t>号）第六条</w:t>
            </w:r>
          </w:p>
        </w:tc>
        <w:tc>
          <w:tcPr>
            <w:tcW w:w="4503"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w:t>
            </w:r>
            <w:r>
              <w:rPr>
                <w:rFonts w:hint="eastAsia" w:ascii="微软雅黑" w:hAnsi="微软雅黑" w:eastAsia="微软雅黑" w:cs="微软雅黑"/>
                <w:i w:val="0"/>
                <w:caps w:val="0"/>
                <w:color w:val="000000"/>
                <w:spacing w:val="0"/>
                <w:sz w:val="16"/>
                <w:szCs w:val="16"/>
              </w:rPr>
              <w:t>劳动保障监察投诉登记表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2.</w:t>
            </w:r>
            <w:r>
              <w:rPr>
                <w:rFonts w:hint="eastAsia" w:ascii="微软雅黑" w:hAnsi="微软雅黑" w:eastAsia="微软雅黑" w:cs="微软雅黑"/>
                <w:i w:val="0"/>
                <w:caps w:val="0"/>
                <w:color w:val="000000"/>
                <w:spacing w:val="0"/>
                <w:sz w:val="16"/>
                <w:szCs w:val="16"/>
              </w:rPr>
              <w:t>劳动保障监察立案审批表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3.</w:t>
            </w:r>
            <w:r>
              <w:rPr>
                <w:rFonts w:hint="eastAsia" w:ascii="微软雅黑" w:hAnsi="微软雅黑" w:eastAsia="微软雅黑" w:cs="微软雅黑"/>
                <w:i w:val="0"/>
                <w:caps w:val="0"/>
                <w:color w:val="000000"/>
                <w:spacing w:val="0"/>
                <w:sz w:val="16"/>
                <w:szCs w:val="16"/>
              </w:rPr>
              <w:t>劳动保障监察询问通知书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4.</w:t>
            </w:r>
            <w:r>
              <w:rPr>
                <w:rFonts w:hint="eastAsia" w:ascii="微软雅黑" w:hAnsi="微软雅黑" w:eastAsia="微软雅黑" w:cs="微软雅黑"/>
                <w:i w:val="0"/>
                <w:caps w:val="0"/>
                <w:color w:val="000000"/>
                <w:spacing w:val="0"/>
                <w:sz w:val="16"/>
                <w:szCs w:val="16"/>
              </w:rPr>
              <w:t>劳动保障监察调查（询问）笔录</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5.</w:t>
            </w:r>
            <w:r>
              <w:rPr>
                <w:rFonts w:hint="eastAsia" w:ascii="微软雅黑" w:hAnsi="微软雅黑" w:eastAsia="微软雅黑" w:cs="微软雅黑"/>
                <w:i w:val="0"/>
                <w:caps w:val="0"/>
                <w:color w:val="000000"/>
                <w:spacing w:val="0"/>
                <w:sz w:val="16"/>
                <w:szCs w:val="16"/>
              </w:rPr>
              <w:t>劳动保障监察案件限期改正指令报批表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6.</w:t>
            </w:r>
            <w:r>
              <w:rPr>
                <w:rFonts w:hint="eastAsia" w:ascii="微软雅黑" w:hAnsi="微软雅黑" w:eastAsia="微软雅黑" w:cs="微软雅黑"/>
                <w:i w:val="0"/>
                <w:caps w:val="0"/>
                <w:color w:val="000000"/>
                <w:spacing w:val="0"/>
                <w:sz w:val="16"/>
                <w:szCs w:val="16"/>
              </w:rPr>
              <w:t>劳动保障监察限期改正指令书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7.</w:t>
            </w:r>
            <w:r>
              <w:rPr>
                <w:rFonts w:hint="eastAsia" w:ascii="微软雅黑" w:hAnsi="微软雅黑" w:eastAsia="微软雅黑" w:cs="微软雅黑"/>
                <w:i w:val="0"/>
                <w:caps w:val="0"/>
                <w:color w:val="000000"/>
                <w:spacing w:val="0"/>
                <w:sz w:val="16"/>
                <w:szCs w:val="16"/>
              </w:rPr>
              <w:t>劳动保障行政部门负责人对复杂、重大行政处罚（理）集体记录（劳动保障监察行政处罚（理）集体讨论记录）</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8.</w:t>
            </w:r>
            <w:r>
              <w:rPr>
                <w:rFonts w:hint="eastAsia" w:ascii="微软雅黑" w:hAnsi="微软雅黑" w:eastAsia="微软雅黑" w:cs="微软雅黑"/>
                <w:i w:val="0"/>
                <w:caps w:val="0"/>
                <w:color w:val="000000"/>
                <w:spacing w:val="0"/>
                <w:sz w:val="16"/>
                <w:szCs w:val="16"/>
              </w:rPr>
              <w:t>劳动保障监察案件行政处理（处罚）事先告知报批表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9.</w:t>
            </w:r>
            <w:r>
              <w:rPr>
                <w:rFonts w:hint="eastAsia" w:ascii="微软雅黑" w:hAnsi="微软雅黑" w:eastAsia="微软雅黑" w:cs="微软雅黑"/>
                <w:i w:val="0"/>
                <w:caps w:val="0"/>
                <w:color w:val="000000"/>
                <w:spacing w:val="0"/>
                <w:sz w:val="16"/>
                <w:szCs w:val="16"/>
              </w:rPr>
              <w:t>劳动保障监察行政处罚（行政处理）事先告知书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10.</w:t>
            </w:r>
            <w:r>
              <w:rPr>
                <w:rFonts w:hint="eastAsia" w:ascii="微软雅黑" w:hAnsi="微软雅黑" w:eastAsia="微软雅黑" w:cs="微软雅黑"/>
                <w:i w:val="0"/>
                <w:caps w:val="0"/>
                <w:color w:val="000000"/>
                <w:spacing w:val="0"/>
                <w:sz w:val="16"/>
                <w:szCs w:val="16"/>
              </w:rPr>
              <w:t>劳动保障监察案件处理（处罚）决定报批表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11.</w:t>
            </w:r>
            <w:r>
              <w:rPr>
                <w:rFonts w:hint="eastAsia" w:ascii="微软雅黑" w:hAnsi="微软雅黑" w:eastAsia="微软雅黑" w:cs="微软雅黑"/>
                <w:i w:val="0"/>
                <w:caps w:val="0"/>
                <w:color w:val="000000"/>
                <w:spacing w:val="0"/>
                <w:sz w:val="16"/>
                <w:szCs w:val="16"/>
              </w:rPr>
              <w:t>劳动保障监察行政处理（处罚）决定书</w:t>
            </w:r>
            <w:r>
              <w:rPr>
                <w:rFonts w:hint="eastAsia" w:ascii="微软雅黑" w:hAnsi="微软雅黑" w:eastAsia="微软雅黑" w:cs="微软雅黑"/>
                <w:i w:val="0"/>
                <w:caps w:val="0"/>
                <w:color w:val="000000"/>
                <w:spacing w:val="0"/>
                <w:sz w:val="18"/>
                <w:szCs w:val="18"/>
                <w:lang w:val="en-US"/>
              </w:rPr>
              <w:t>(</w:t>
            </w:r>
            <w:r>
              <w:rPr>
                <w:rFonts w:hint="eastAsia" w:ascii="微软雅黑" w:hAnsi="微软雅黑" w:eastAsia="微软雅黑" w:cs="微软雅黑"/>
                <w:i w:val="0"/>
                <w:caps w:val="0"/>
                <w:color w:val="000000"/>
                <w:spacing w:val="0"/>
                <w:sz w:val="16"/>
                <w:szCs w:val="16"/>
              </w:rPr>
              <w:t>送审稿</w:t>
            </w:r>
            <w:r>
              <w:rPr>
                <w:rFonts w:hint="eastAsia" w:ascii="微软雅黑" w:hAnsi="微软雅黑" w:eastAsia="微软雅黑" w:cs="微软雅黑"/>
                <w:i w:val="0"/>
                <w:caps w:val="0"/>
                <w:color w:val="000000"/>
                <w:spacing w:val="0"/>
                <w:sz w:val="18"/>
                <w:szCs w:val="18"/>
                <w:lang w:val="en-US"/>
              </w:rPr>
              <w:t>)</w:t>
            </w:r>
            <w:r>
              <w:rPr>
                <w:rFonts w:hint="eastAsia" w:ascii="微软雅黑" w:hAnsi="微软雅黑" w:eastAsia="微软雅黑" w:cs="微软雅黑"/>
                <w:i w:val="0"/>
                <w:caps w:val="0"/>
                <w:color w:val="000000"/>
                <w:spacing w:val="0"/>
                <w:sz w:val="16"/>
                <w:szCs w:val="16"/>
              </w:rPr>
              <w:t>。</w:t>
            </w:r>
          </w:p>
        </w:tc>
        <w:tc>
          <w:tcPr>
            <w:tcW w:w="319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w:t>
            </w:r>
            <w:r>
              <w:rPr>
                <w:rFonts w:hint="eastAsia" w:ascii="微软雅黑" w:hAnsi="微软雅黑" w:eastAsia="微软雅黑" w:cs="微软雅黑"/>
                <w:i w:val="0"/>
                <w:caps w:val="0"/>
                <w:color w:val="000000"/>
                <w:spacing w:val="0"/>
                <w:sz w:val="16"/>
                <w:szCs w:val="16"/>
              </w:rPr>
              <w:t>执法主体是否合法，执法人员是否具备执法资格；</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2.</w:t>
            </w:r>
            <w:r>
              <w:rPr>
                <w:rFonts w:hint="eastAsia" w:ascii="微软雅黑" w:hAnsi="微软雅黑" w:eastAsia="微软雅黑" w:cs="微软雅黑"/>
                <w:i w:val="0"/>
                <w:caps w:val="0"/>
                <w:color w:val="000000"/>
                <w:spacing w:val="0"/>
                <w:sz w:val="16"/>
                <w:szCs w:val="16"/>
              </w:rPr>
              <w:t>主要事实是否清楚，证据是否确凿、充分；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3.</w:t>
            </w:r>
            <w:r>
              <w:rPr>
                <w:rFonts w:hint="eastAsia" w:ascii="微软雅黑" w:hAnsi="微软雅黑" w:eastAsia="微软雅黑" w:cs="微软雅黑"/>
                <w:i w:val="0"/>
                <w:caps w:val="0"/>
                <w:color w:val="000000"/>
                <w:spacing w:val="0"/>
                <w:sz w:val="16"/>
                <w:szCs w:val="16"/>
              </w:rPr>
              <w:t>适用法律、法规、规章是否准确；执行裁量基准是否适当；</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4.</w:t>
            </w:r>
            <w:r>
              <w:rPr>
                <w:rFonts w:hint="eastAsia" w:ascii="微软雅黑" w:hAnsi="微软雅黑" w:eastAsia="微软雅黑" w:cs="微软雅黑"/>
                <w:i w:val="0"/>
                <w:caps w:val="0"/>
                <w:color w:val="000000"/>
                <w:spacing w:val="0"/>
                <w:sz w:val="16"/>
                <w:szCs w:val="16"/>
              </w:rPr>
              <w:t>程序是否合法，是否充分保障行政相对人权利。</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266" w:hRule="atLeast"/>
          <w:jc w:val="center"/>
        </w:trPr>
        <w:tc>
          <w:tcPr>
            <w:tcW w:w="72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行政处罚类决定</w:t>
            </w:r>
          </w:p>
        </w:tc>
        <w:tc>
          <w:tcPr>
            <w:tcW w:w="992"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对骗取社会保险待遇或者骗取社会保险基金支出的处罚</w:t>
            </w:r>
          </w:p>
        </w:tc>
        <w:tc>
          <w:tcPr>
            <w:tcW w:w="286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社会保险法》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八十八条以欺诈、伪造证明材料或者其他手段骗取社会保险待遇的，由社会保险行政部门责令退回骗取的社会保险金，处骗取金额二倍以上五倍以下的罚款；  《工伤保险条例》（国务院令第586号）第六十条用人单位、工伤职工或者其近亲属骗取工伤保险待遇，医疗机构、辅助器具配置机构骗取工伤保险基金支出的，由社会保险行政部门责令退还，处骗取金额2倍以上5倍以下的罚款；情节严重，构成犯罪的，依法追究刑事责任。</w:t>
            </w:r>
          </w:p>
        </w:tc>
        <w:tc>
          <w:tcPr>
            <w:tcW w:w="14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rPr>
              <w:t>劳动保障监察大队</w:t>
            </w:r>
          </w:p>
        </w:tc>
        <w:tc>
          <w:tcPr>
            <w:tcW w:w="1914"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8"/>
                <w:szCs w:val="18"/>
              </w:rPr>
              <w:t>《社会保险法》第八十七条、《工伤保险条例》（国务院令第</w:t>
            </w:r>
            <w:r>
              <w:rPr>
                <w:rFonts w:hint="eastAsia" w:ascii="微软雅黑" w:hAnsi="微软雅黑" w:eastAsia="微软雅黑" w:cs="微软雅黑"/>
                <w:i w:val="0"/>
                <w:caps w:val="0"/>
                <w:color w:val="000000"/>
                <w:spacing w:val="0"/>
                <w:sz w:val="18"/>
                <w:szCs w:val="18"/>
                <w:lang w:val="en-US"/>
              </w:rPr>
              <w:t>586</w:t>
            </w:r>
            <w:r>
              <w:rPr>
                <w:rFonts w:hint="eastAsia" w:ascii="微软雅黑" w:hAnsi="微软雅黑" w:eastAsia="微软雅黑" w:cs="微软雅黑"/>
                <w:i w:val="0"/>
                <w:caps w:val="0"/>
                <w:color w:val="000000"/>
                <w:spacing w:val="0"/>
                <w:sz w:val="18"/>
                <w:szCs w:val="18"/>
              </w:rPr>
              <w:t>号）第六十条</w:t>
            </w:r>
          </w:p>
        </w:tc>
        <w:tc>
          <w:tcPr>
            <w:tcW w:w="346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w:t>
            </w:r>
            <w:r>
              <w:rPr>
                <w:rFonts w:hint="eastAsia" w:ascii="微软雅黑" w:hAnsi="微软雅黑" w:eastAsia="微软雅黑" w:cs="微软雅黑"/>
                <w:i w:val="0"/>
                <w:caps w:val="0"/>
                <w:color w:val="000000"/>
                <w:spacing w:val="0"/>
                <w:sz w:val="16"/>
                <w:szCs w:val="16"/>
              </w:rPr>
              <w:t>劳动保障监察投诉登记表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2.</w:t>
            </w:r>
            <w:r>
              <w:rPr>
                <w:rFonts w:hint="eastAsia" w:ascii="微软雅黑" w:hAnsi="微软雅黑" w:eastAsia="微软雅黑" w:cs="微软雅黑"/>
                <w:i w:val="0"/>
                <w:caps w:val="0"/>
                <w:color w:val="000000"/>
                <w:spacing w:val="0"/>
                <w:sz w:val="16"/>
                <w:szCs w:val="16"/>
              </w:rPr>
              <w:t>劳动保障监察立案审批表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3.</w:t>
            </w:r>
            <w:r>
              <w:rPr>
                <w:rFonts w:hint="eastAsia" w:ascii="微软雅黑" w:hAnsi="微软雅黑" w:eastAsia="微软雅黑" w:cs="微软雅黑"/>
                <w:i w:val="0"/>
                <w:caps w:val="0"/>
                <w:color w:val="000000"/>
                <w:spacing w:val="0"/>
                <w:sz w:val="16"/>
                <w:szCs w:val="16"/>
              </w:rPr>
              <w:t>劳动保障监察询问通知书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4.</w:t>
            </w:r>
            <w:r>
              <w:rPr>
                <w:rFonts w:hint="eastAsia" w:ascii="微软雅黑" w:hAnsi="微软雅黑" w:eastAsia="微软雅黑" w:cs="微软雅黑"/>
                <w:i w:val="0"/>
                <w:caps w:val="0"/>
                <w:color w:val="000000"/>
                <w:spacing w:val="0"/>
                <w:sz w:val="16"/>
                <w:szCs w:val="16"/>
              </w:rPr>
              <w:t>劳动保障监察调查（询问）笔录</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5.</w:t>
            </w:r>
            <w:r>
              <w:rPr>
                <w:rFonts w:hint="eastAsia" w:ascii="微软雅黑" w:hAnsi="微软雅黑" w:eastAsia="微软雅黑" w:cs="微软雅黑"/>
                <w:i w:val="0"/>
                <w:caps w:val="0"/>
                <w:color w:val="000000"/>
                <w:spacing w:val="0"/>
                <w:sz w:val="16"/>
                <w:szCs w:val="16"/>
              </w:rPr>
              <w:t>劳动保障监察案件限期改正指令报批表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6.</w:t>
            </w:r>
            <w:r>
              <w:rPr>
                <w:rFonts w:hint="eastAsia" w:ascii="微软雅黑" w:hAnsi="微软雅黑" w:eastAsia="微软雅黑" w:cs="微软雅黑"/>
                <w:i w:val="0"/>
                <w:caps w:val="0"/>
                <w:color w:val="000000"/>
                <w:spacing w:val="0"/>
                <w:sz w:val="16"/>
                <w:szCs w:val="16"/>
              </w:rPr>
              <w:t>劳动保障监察限期改正指令书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7.</w:t>
            </w:r>
            <w:r>
              <w:rPr>
                <w:rFonts w:hint="eastAsia" w:ascii="微软雅黑" w:hAnsi="微软雅黑" w:eastAsia="微软雅黑" w:cs="微软雅黑"/>
                <w:i w:val="0"/>
                <w:caps w:val="0"/>
                <w:color w:val="000000"/>
                <w:spacing w:val="0"/>
                <w:sz w:val="16"/>
                <w:szCs w:val="16"/>
              </w:rPr>
              <w:t>劳动保障行政部门负责人对复杂、重大行政处罚（理）集体记录（劳动保障监察行政处罚（理）集体讨论记录）</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8.</w:t>
            </w:r>
            <w:r>
              <w:rPr>
                <w:rFonts w:hint="eastAsia" w:ascii="微软雅黑" w:hAnsi="微软雅黑" w:eastAsia="微软雅黑" w:cs="微软雅黑"/>
                <w:i w:val="0"/>
                <w:caps w:val="0"/>
                <w:color w:val="000000"/>
                <w:spacing w:val="0"/>
                <w:sz w:val="16"/>
                <w:szCs w:val="16"/>
              </w:rPr>
              <w:t>劳动保障监察案件行政处理（处罚）事先告知报批表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9.</w:t>
            </w:r>
            <w:r>
              <w:rPr>
                <w:rFonts w:hint="eastAsia" w:ascii="微软雅黑" w:hAnsi="微软雅黑" w:eastAsia="微软雅黑" w:cs="微软雅黑"/>
                <w:i w:val="0"/>
                <w:caps w:val="0"/>
                <w:color w:val="000000"/>
                <w:spacing w:val="0"/>
                <w:sz w:val="16"/>
                <w:szCs w:val="16"/>
              </w:rPr>
              <w:t>劳动保障监察行政处罚（行政处理）事先告知书</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10.</w:t>
            </w:r>
            <w:r>
              <w:rPr>
                <w:rFonts w:hint="eastAsia" w:ascii="微软雅黑" w:hAnsi="微软雅黑" w:eastAsia="微软雅黑" w:cs="微软雅黑"/>
                <w:i w:val="0"/>
                <w:caps w:val="0"/>
                <w:color w:val="000000"/>
                <w:spacing w:val="0"/>
                <w:sz w:val="16"/>
                <w:szCs w:val="16"/>
              </w:rPr>
              <w:t>劳动保障监察案件处理（处罚）决定报批表</w:t>
            </w:r>
            <w:r>
              <w:rPr>
                <w:rFonts w:hint="eastAsia" w:ascii="微软雅黑" w:hAnsi="微软雅黑" w:eastAsia="微软雅黑" w:cs="微软雅黑"/>
                <w:i w:val="0"/>
                <w:caps w:val="0"/>
                <w:color w:val="000000"/>
                <w:spacing w:val="0"/>
                <w:sz w:val="18"/>
                <w:szCs w:val="18"/>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11.</w:t>
            </w:r>
            <w:r>
              <w:rPr>
                <w:rFonts w:hint="eastAsia" w:ascii="微软雅黑" w:hAnsi="微软雅黑" w:eastAsia="微软雅黑" w:cs="微软雅黑"/>
                <w:i w:val="0"/>
                <w:caps w:val="0"/>
                <w:color w:val="000000"/>
                <w:spacing w:val="0"/>
                <w:sz w:val="16"/>
                <w:szCs w:val="16"/>
              </w:rPr>
              <w:t>劳动保障监察行政处理（处罚）决定书</w:t>
            </w:r>
            <w:r>
              <w:rPr>
                <w:rFonts w:hint="eastAsia" w:ascii="微软雅黑" w:hAnsi="微软雅黑" w:eastAsia="微软雅黑" w:cs="微软雅黑"/>
                <w:i w:val="0"/>
                <w:caps w:val="0"/>
                <w:color w:val="000000"/>
                <w:spacing w:val="0"/>
                <w:sz w:val="18"/>
                <w:szCs w:val="18"/>
                <w:lang w:val="en-US"/>
              </w:rPr>
              <w:t>(</w:t>
            </w:r>
            <w:r>
              <w:rPr>
                <w:rFonts w:hint="eastAsia" w:ascii="微软雅黑" w:hAnsi="微软雅黑" w:eastAsia="微软雅黑" w:cs="微软雅黑"/>
                <w:i w:val="0"/>
                <w:caps w:val="0"/>
                <w:color w:val="000000"/>
                <w:spacing w:val="0"/>
                <w:sz w:val="16"/>
                <w:szCs w:val="16"/>
              </w:rPr>
              <w:t>送审稿</w:t>
            </w:r>
            <w:r>
              <w:rPr>
                <w:rFonts w:hint="eastAsia" w:ascii="微软雅黑" w:hAnsi="微软雅黑" w:eastAsia="微软雅黑" w:cs="微软雅黑"/>
                <w:i w:val="0"/>
                <w:caps w:val="0"/>
                <w:color w:val="000000"/>
                <w:spacing w:val="0"/>
                <w:sz w:val="18"/>
                <w:szCs w:val="18"/>
                <w:lang w:val="en-US"/>
              </w:rPr>
              <w:t>)</w:t>
            </w:r>
            <w:r>
              <w:rPr>
                <w:rFonts w:hint="eastAsia" w:ascii="微软雅黑" w:hAnsi="微软雅黑" w:eastAsia="微软雅黑" w:cs="微软雅黑"/>
                <w:i w:val="0"/>
                <w:caps w:val="0"/>
                <w:color w:val="000000"/>
                <w:spacing w:val="0"/>
                <w:sz w:val="16"/>
                <w:szCs w:val="16"/>
              </w:rPr>
              <w:t>。</w:t>
            </w:r>
          </w:p>
        </w:tc>
        <w:tc>
          <w:tcPr>
            <w:tcW w:w="319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w:t>
            </w:r>
            <w:r>
              <w:rPr>
                <w:rFonts w:hint="eastAsia" w:ascii="微软雅黑" w:hAnsi="微软雅黑" w:eastAsia="微软雅黑" w:cs="微软雅黑"/>
                <w:i w:val="0"/>
                <w:caps w:val="0"/>
                <w:color w:val="000000"/>
                <w:spacing w:val="0"/>
                <w:sz w:val="16"/>
                <w:szCs w:val="16"/>
              </w:rPr>
              <w:t>执法主体是否合法，执法人员是否具备执法资格；</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2.</w:t>
            </w:r>
            <w:r>
              <w:rPr>
                <w:rFonts w:hint="eastAsia" w:ascii="微软雅黑" w:hAnsi="微软雅黑" w:eastAsia="微软雅黑" w:cs="微软雅黑"/>
                <w:i w:val="0"/>
                <w:caps w:val="0"/>
                <w:color w:val="000000"/>
                <w:spacing w:val="0"/>
                <w:sz w:val="16"/>
                <w:szCs w:val="16"/>
              </w:rPr>
              <w:t>主要事实是否清楚，证据是否确凿、充分；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3.</w:t>
            </w:r>
            <w:r>
              <w:rPr>
                <w:rFonts w:hint="eastAsia" w:ascii="微软雅黑" w:hAnsi="微软雅黑" w:eastAsia="微软雅黑" w:cs="微软雅黑"/>
                <w:i w:val="0"/>
                <w:caps w:val="0"/>
                <w:color w:val="000000"/>
                <w:spacing w:val="0"/>
                <w:sz w:val="16"/>
                <w:szCs w:val="16"/>
              </w:rPr>
              <w:t>适用法律、法规、规章是否准确；执行裁量基准是否适当；</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4.</w:t>
            </w:r>
            <w:r>
              <w:rPr>
                <w:rFonts w:hint="eastAsia" w:ascii="微软雅黑" w:hAnsi="微软雅黑" w:eastAsia="微软雅黑" w:cs="微软雅黑"/>
                <w:i w:val="0"/>
                <w:caps w:val="0"/>
                <w:color w:val="000000"/>
                <w:spacing w:val="0"/>
                <w:sz w:val="16"/>
                <w:szCs w:val="16"/>
              </w:rPr>
              <w:t>程序是否合法，是否充分保障行政相对人权利。</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jc w:val="center"/>
        </w:trPr>
        <w:tc>
          <w:tcPr>
            <w:tcW w:w="72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行政强制类决定</w:t>
            </w:r>
          </w:p>
        </w:tc>
        <w:tc>
          <w:tcPr>
            <w:tcW w:w="743"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社会保险费划拨决定</w:t>
            </w:r>
          </w:p>
        </w:tc>
        <w:tc>
          <w:tcPr>
            <w:tcW w:w="238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w:t>
            </w:r>
            <w:r>
              <w:rPr>
                <w:rFonts w:hint="eastAsia" w:ascii="微软雅黑" w:hAnsi="微软雅黑" w:eastAsia="微软雅黑" w:cs="微软雅黑"/>
                <w:i w:val="0"/>
                <w:caps w:val="0"/>
                <w:color w:val="000000"/>
                <w:spacing w:val="0"/>
                <w:kern w:val="0"/>
                <w:sz w:val="18"/>
                <w:szCs w:val="18"/>
                <w:lang w:val="en-US" w:eastAsia="zh-CN" w:bidi="ar"/>
              </w:rPr>
              <w:t>中华人民共和国社会保险法》第六十三条用人单位未按时足额缴纳社会保险费的，由社会保险费征收机构责令其限期缴纳或者补足。用人单位逾期仍未缴纳或者补足社会保险费的，社会保险费征收机构可以向银行和其他金融机构查询其存款账户；并可以申请县级以上有关行政部门作出划拨社会保险费的决定，书面通知其开户银行或者其他金融机构划拨社会保险费。用人单位未足额缴纳社会保险费且未提供担保的，社会保险费征收机构可以申请人民法院扣押、查封、拍卖其价值相当于应当缴纳社会保险费的财产，以拍卖所得抵缴社会保险费。</w:t>
            </w:r>
          </w:p>
        </w:tc>
        <w:tc>
          <w:tcPr>
            <w:tcW w:w="132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社会保险行政部门</w:t>
            </w:r>
            <w:r>
              <w:rPr>
                <w:rFonts w:hint="eastAsia" w:ascii="微软雅黑" w:hAnsi="微软雅黑" w:eastAsia="微软雅黑" w:cs="微软雅黑"/>
                <w:i w:val="0"/>
                <w:caps w:val="0"/>
                <w:color w:val="000000"/>
                <w:spacing w:val="0"/>
                <w:kern w:val="0"/>
                <w:sz w:val="18"/>
                <w:szCs w:val="18"/>
                <w:lang w:val="en-US" w:eastAsia="zh-CN" w:bidi="ar"/>
              </w:rPr>
              <w:t>     </w:t>
            </w:r>
          </w:p>
        </w:tc>
        <w:tc>
          <w:tcPr>
            <w:tcW w:w="174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《中华人民共和国社会保险法》第六十三条</w:t>
            </w:r>
          </w:p>
        </w:tc>
        <w:tc>
          <w:tcPr>
            <w:tcW w:w="4503"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1.</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用人单位欠缴社会保险费原始凭证；</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2.</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用人单位银行或其他金融机构存款账户查询证明；</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3.社会保险费催缴通知书或劳动保障监察决定书；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4.社会保险费强制划拨审批表（行政执法审批表）；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5.社会保险费强制划拨决定书（送审稿）。</w:t>
            </w:r>
          </w:p>
        </w:tc>
        <w:tc>
          <w:tcPr>
            <w:tcW w:w="3195"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1.执法主体是否合法；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2.执法人员是否具有执法资格；</w:t>
            </w:r>
            <w:r>
              <w:rPr>
                <w:rFonts w:hint="eastAsia" w:ascii="微软雅黑" w:hAnsi="微软雅黑" w:eastAsia="微软雅黑" w:cs="微软雅黑"/>
                <w:i w:val="0"/>
                <w:caps w:val="0"/>
                <w:color w:val="000000"/>
                <w:spacing w:val="0"/>
                <w:kern w:val="0"/>
                <w:sz w:val="18"/>
                <w:szCs w:val="18"/>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3.执法程序是否合法；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4.《行政执法审批表》手续是否齐全；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5.自由裁量权基准是否适当；</w:t>
            </w:r>
            <w:r>
              <w:rPr>
                <w:rFonts w:hint="eastAsia" w:ascii="微软雅黑" w:hAnsi="微软雅黑" w:eastAsia="微软雅黑" w:cs="微软雅黑"/>
                <w:i w:val="0"/>
                <w:caps w:val="0"/>
                <w:color w:val="000000"/>
                <w:spacing w:val="0"/>
                <w:kern w:val="0"/>
                <w:sz w:val="18"/>
                <w:szCs w:val="18"/>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6.执法决定是否合法；执法文书是否规范。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077" w:hRule="atLeast"/>
          <w:jc w:val="center"/>
        </w:trPr>
        <w:tc>
          <w:tcPr>
            <w:tcW w:w="72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8"/>
                <w:szCs w:val="18"/>
                <w:lang w:val="en-US" w:eastAsia="zh-CN" w:bidi="ar"/>
              </w:rPr>
              <w:t>行政检查类决定</w:t>
            </w:r>
          </w:p>
        </w:tc>
        <w:tc>
          <w:tcPr>
            <w:tcW w:w="743"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社会保险基金监督检查</w:t>
            </w:r>
          </w:p>
        </w:tc>
        <w:tc>
          <w:tcPr>
            <w:tcW w:w="238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《中华人民共和国社会保险法》第七十七条社会保险行政部门实施监督检查时，被检查的用人单位和个人应当如实提供与社会保险有关的资料，不得拒绝检查或者谎报、瞒报。第七十九条　社会保险行政部门对社会保险基金的收支、管理和投资运营情况进行监督检查，发现存在问题的，应当提出整改建议，依法作出处理决定或者向有关行政部门提出处理建议。</w:t>
            </w:r>
          </w:p>
        </w:tc>
        <w:tc>
          <w:tcPr>
            <w:tcW w:w="132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社会保险基金监督股</w:t>
            </w:r>
          </w:p>
        </w:tc>
        <w:tc>
          <w:tcPr>
            <w:tcW w:w="174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《中华人民共和国社会保险法》第七十七条、第七十九条</w:t>
            </w:r>
          </w:p>
        </w:tc>
        <w:tc>
          <w:tcPr>
            <w:tcW w:w="4503"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w:t>
            </w:r>
            <w:r>
              <w:rPr>
                <w:rFonts w:hint="eastAsia" w:ascii="微软雅黑" w:hAnsi="微软雅黑" w:eastAsia="微软雅黑" w:cs="微软雅黑"/>
                <w:i w:val="0"/>
                <w:caps w:val="0"/>
                <w:color w:val="000000"/>
                <w:spacing w:val="0"/>
                <w:sz w:val="16"/>
                <w:szCs w:val="16"/>
              </w:rPr>
              <w:t>检查报告；</w:t>
            </w:r>
            <w:r>
              <w:rPr>
                <w:rFonts w:hint="eastAsia" w:ascii="微软雅黑" w:hAnsi="微软雅黑" w:eastAsia="微软雅黑" w:cs="微软雅黑"/>
                <w:i w:val="0"/>
                <w:caps w:val="0"/>
                <w:color w:val="000000"/>
                <w:spacing w:val="0"/>
                <w:sz w:val="18"/>
                <w:szCs w:val="18"/>
                <w:lang w:val="en-US"/>
              </w:rPr>
              <w:t>2.</w:t>
            </w:r>
            <w:r>
              <w:rPr>
                <w:rFonts w:hint="eastAsia" w:ascii="微软雅黑" w:hAnsi="微软雅黑" w:eastAsia="微软雅黑" w:cs="微软雅黑"/>
                <w:i w:val="0"/>
                <w:caps w:val="0"/>
                <w:color w:val="000000"/>
                <w:spacing w:val="0"/>
                <w:sz w:val="16"/>
                <w:szCs w:val="16"/>
              </w:rPr>
              <w:t>相关证据资料；</w:t>
            </w:r>
            <w:r>
              <w:rPr>
                <w:rFonts w:hint="eastAsia" w:ascii="微软雅黑" w:hAnsi="微软雅黑" w:eastAsia="微软雅黑" w:cs="微软雅黑"/>
                <w:i w:val="0"/>
                <w:caps w:val="0"/>
                <w:color w:val="000000"/>
                <w:spacing w:val="0"/>
                <w:sz w:val="18"/>
                <w:szCs w:val="18"/>
                <w:lang w:val="en-US"/>
              </w:rPr>
              <w:t>3.</w:t>
            </w:r>
            <w:r>
              <w:rPr>
                <w:rFonts w:hint="eastAsia" w:ascii="微软雅黑" w:hAnsi="微软雅黑" w:eastAsia="微软雅黑" w:cs="微软雅黑"/>
                <w:i w:val="0"/>
                <w:caps w:val="0"/>
                <w:color w:val="000000"/>
                <w:spacing w:val="0"/>
                <w:sz w:val="16"/>
                <w:szCs w:val="16"/>
              </w:rPr>
              <w:t>检查建议或检查决定书（送审稿）。</w:t>
            </w:r>
          </w:p>
        </w:tc>
        <w:tc>
          <w:tcPr>
            <w:tcW w:w="3195"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1.执法主体是否合法；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2.执法人员是否具有执法资格；</w:t>
            </w:r>
            <w:r>
              <w:rPr>
                <w:rFonts w:hint="eastAsia" w:ascii="微软雅黑" w:hAnsi="微软雅黑" w:eastAsia="微软雅黑" w:cs="微软雅黑"/>
                <w:i w:val="0"/>
                <w:caps w:val="0"/>
                <w:color w:val="000000"/>
                <w:spacing w:val="0"/>
                <w:kern w:val="0"/>
                <w:sz w:val="18"/>
                <w:szCs w:val="18"/>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3.执法程序是否合法；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4.《行政执法审批表》手续是否齐全；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5.自由裁量权基准是否适当；</w:t>
            </w:r>
            <w:r>
              <w:rPr>
                <w:rFonts w:hint="eastAsia" w:ascii="微软雅黑" w:hAnsi="微软雅黑" w:eastAsia="微软雅黑" w:cs="微软雅黑"/>
                <w:i w:val="0"/>
                <w:caps w:val="0"/>
                <w:color w:val="000000"/>
                <w:spacing w:val="0"/>
                <w:kern w:val="0"/>
                <w:sz w:val="18"/>
                <w:szCs w:val="18"/>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6.执法决定是否合法；执法文书是否规范。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155" w:hRule="atLeast"/>
          <w:jc w:val="center"/>
        </w:trPr>
        <w:tc>
          <w:tcPr>
            <w:tcW w:w="72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8"/>
                <w:szCs w:val="18"/>
              </w:rPr>
              <w:t>行政检查类决定</w:t>
            </w:r>
          </w:p>
        </w:tc>
        <w:tc>
          <w:tcPr>
            <w:tcW w:w="992"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rPr>
              <w:t>社会保险稽核</w:t>
            </w:r>
          </w:p>
        </w:tc>
        <w:tc>
          <w:tcPr>
            <w:tcW w:w="286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rPr>
              <w:t>《中华人民共和国社会保险法》第七十七条；《社会保险稽核办法》（劳动和社会保障部第</w:t>
            </w:r>
            <w:r>
              <w:rPr>
                <w:rFonts w:hint="eastAsia" w:ascii="微软雅黑" w:hAnsi="微软雅黑" w:eastAsia="微软雅黑" w:cs="微软雅黑"/>
                <w:i w:val="0"/>
                <w:caps w:val="0"/>
                <w:color w:val="000000"/>
                <w:spacing w:val="0"/>
                <w:sz w:val="18"/>
                <w:szCs w:val="18"/>
                <w:lang w:val="en-US"/>
              </w:rPr>
              <w:t>16</w:t>
            </w:r>
            <w:r>
              <w:rPr>
                <w:rFonts w:hint="eastAsia" w:ascii="微软雅黑" w:hAnsi="微软雅黑" w:eastAsia="微软雅黑" w:cs="微软雅黑"/>
                <w:i w:val="0"/>
                <w:caps w:val="0"/>
                <w:color w:val="000000"/>
                <w:spacing w:val="0"/>
                <w:sz w:val="16"/>
                <w:szCs w:val="16"/>
              </w:rPr>
              <w:t>号令）</w:t>
            </w:r>
            <w:r>
              <w:rPr>
                <w:rFonts w:hint="eastAsia" w:ascii="微软雅黑" w:hAnsi="微软雅黑" w:eastAsia="微软雅黑" w:cs="微软雅黑"/>
                <w:i w:val="0"/>
                <w:caps w:val="0"/>
                <w:color w:val="000000"/>
                <w:spacing w:val="0"/>
                <w:sz w:val="16"/>
                <w:szCs w:val="16"/>
                <w:lang w:val="en-US"/>
              </w:rPr>
              <w:t> </w:t>
            </w:r>
            <w:r>
              <w:rPr>
                <w:rFonts w:hint="eastAsia" w:ascii="微软雅黑" w:hAnsi="微软雅黑" w:eastAsia="微软雅黑" w:cs="微软雅黑"/>
                <w:i w:val="0"/>
                <w:caps w:val="0"/>
                <w:color w:val="000000"/>
                <w:spacing w:val="0"/>
                <w:sz w:val="16"/>
                <w:szCs w:val="16"/>
              </w:rPr>
              <w:t>第三条　县级以上社会保险经办机构负责社会保险稽核工作。县级以上社会保险经办机构的稽核部门具体承办社会保险稽核工作。</w:t>
            </w:r>
          </w:p>
        </w:tc>
        <w:tc>
          <w:tcPr>
            <w:tcW w:w="5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rPr>
              <w:t>社会保险经办机构</w:t>
            </w:r>
          </w:p>
        </w:tc>
        <w:tc>
          <w:tcPr>
            <w:tcW w:w="174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rPr>
              <w:t>《中华人民共和国社会保险法》第七十七条、《社会保险稽核办法》（劳动和社会保障部第</w:t>
            </w:r>
            <w:r>
              <w:rPr>
                <w:rFonts w:hint="eastAsia" w:ascii="微软雅黑" w:hAnsi="微软雅黑" w:eastAsia="微软雅黑" w:cs="微软雅黑"/>
                <w:i w:val="0"/>
                <w:caps w:val="0"/>
                <w:color w:val="000000"/>
                <w:spacing w:val="0"/>
                <w:sz w:val="18"/>
                <w:szCs w:val="18"/>
                <w:lang w:val="en-US"/>
              </w:rPr>
              <w:t>16</w:t>
            </w:r>
            <w:r>
              <w:rPr>
                <w:rFonts w:hint="eastAsia" w:ascii="微软雅黑" w:hAnsi="微软雅黑" w:eastAsia="微软雅黑" w:cs="微软雅黑"/>
                <w:i w:val="0"/>
                <w:caps w:val="0"/>
                <w:color w:val="000000"/>
                <w:spacing w:val="0"/>
                <w:sz w:val="16"/>
                <w:szCs w:val="16"/>
              </w:rPr>
              <w:t>号令）</w:t>
            </w:r>
            <w:r>
              <w:rPr>
                <w:rFonts w:hint="eastAsia" w:ascii="微软雅黑" w:hAnsi="微软雅黑" w:eastAsia="微软雅黑" w:cs="微软雅黑"/>
                <w:i w:val="0"/>
                <w:caps w:val="0"/>
                <w:color w:val="000000"/>
                <w:spacing w:val="0"/>
                <w:sz w:val="16"/>
                <w:szCs w:val="16"/>
                <w:lang w:val="en-US"/>
              </w:rPr>
              <w:t> </w:t>
            </w:r>
            <w:r>
              <w:rPr>
                <w:rFonts w:hint="eastAsia" w:ascii="微软雅黑" w:hAnsi="微软雅黑" w:eastAsia="微软雅黑" w:cs="微软雅黑"/>
                <w:i w:val="0"/>
                <w:caps w:val="0"/>
                <w:color w:val="000000"/>
                <w:spacing w:val="0"/>
                <w:sz w:val="16"/>
                <w:szCs w:val="16"/>
              </w:rPr>
              <w:t>第三条</w:t>
            </w:r>
          </w:p>
        </w:tc>
        <w:tc>
          <w:tcPr>
            <w:tcW w:w="4503"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1.</w:t>
            </w:r>
            <w:r>
              <w:rPr>
                <w:rFonts w:hint="eastAsia" w:ascii="微软雅黑" w:hAnsi="微软雅黑" w:eastAsia="微软雅黑" w:cs="微软雅黑"/>
                <w:i w:val="0"/>
                <w:caps w:val="0"/>
                <w:color w:val="000000"/>
                <w:spacing w:val="0"/>
                <w:sz w:val="16"/>
                <w:szCs w:val="16"/>
              </w:rPr>
              <w:t>稽核报告；</w:t>
            </w:r>
            <w:r>
              <w:rPr>
                <w:rFonts w:hint="eastAsia" w:ascii="微软雅黑" w:hAnsi="微软雅黑" w:eastAsia="微软雅黑" w:cs="微软雅黑"/>
                <w:i w:val="0"/>
                <w:caps w:val="0"/>
                <w:color w:val="000000"/>
                <w:spacing w:val="0"/>
                <w:sz w:val="18"/>
                <w:szCs w:val="18"/>
                <w:lang w:val="en-US"/>
              </w:rPr>
              <w:t>2.</w:t>
            </w:r>
            <w:r>
              <w:rPr>
                <w:rFonts w:hint="eastAsia" w:ascii="微软雅黑" w:hAnsi="微软雅黑" w:eastAsia="微软雅黑" w:cs="微软雅黑"/>
                <w:i w:val="0"/>
                <w:caps w:val="0"/>
                <w:color w:val="000000"/>
                <w:spacing w:val="0"/>
                <w:sz w:val="16"/>
                <w:szCs w:val="16"/>
              </w:rPr>
              <w:t>相关证据资料；</w:t>
            </w:r>
            <w:r>
              <w:rPr>
                <w:rFonts w:hint="eastAsia" w:ascii="微软雅黑" w:hAnsi="微软雅黑" w:eastAsia="微软雅黑" w:cs="微软雅黑"/>
                <w:i w:val="0"/>
                <w:caps w:val="0"/>
                <w:color w:val="000000"/>
                <w:spacing w:val="0"/>
                <w:sz w:val="18"/>
                <w:szCs w:val="18"/>
                <w:lang w:val="en-US"/>
              </w:rPr>
              <w:t>3.</w:t>
            </w:r>
            <w:r>
              <w:rPr>
                <w:rFonts w:hint="eastAsia" w:ascii="微软雅黑" w:hAnsi="微软雅黑" w:eastAsia="微软雅黑" w:cs="微软雅黑"/>
                <w:i w:val="0"/>
                <w:caps w:val="0"/>
                <w:color w:val="000000"/>
                <w:spacing w:val="0"/>
                <w:sz w:val="16"/>
                <w:szCs w:val="16"/>
              </w:rPr>
              <w:t>稽核意见或稽核决定书（送审稿）</w:t>
            </w:r>
          </w:p>
        </w:tc>
        <w:tc>
          <w:tcPr>
            <w:tcW w:w="3195"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1.执法主体是否合法；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2.执法人员是否具有执法资格；</w:t>
            </w:r>
            <w:r>
              <w:rPr>
                <w:rFonts w:hint="eastAsia" w:ascii="微软雅黑" w:hAnsi="微软雅黑" w:eastAsia="微软雅黑" w:cs="微软雅黑"/>
                <w:i w:val="0"/>
                <w:caps w:val="0"/>
                <w:color w:val="000000"/>
                <w:spacing w:val="0"/>
                <w:kern w:val="0"/>
                <w:sz w:val="18"/>
                <w:szCs w:val="18"/>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3.执法程序是否合法；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4.执法手续是否齐全；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5.自由裁量权基准是否适当；</w:t>
            </w:r>
            <w:r>
              <w:rPr>
                <w:rFonts w:hint="eastAsia" w:ascii="微软雅黑" w:hAnsi="微软雅黑" w:eastAsia="微软雅黑" w:cs="微软雅黑"/>
                <w:i w:val="0"/>
                <w:caps w:val="0"/>
                <w:color w:val="000000"/>
                <w:spacing w:val="0"/>
                <w:kern w:val="0"/>
                <w:sz w:val="18"/>
                <w:szCs w:val="18"/>
                <w:lang w:val="en-US" w:eastAsia="zh-CN" w:bidi="ar"/>
              </w:rPr>
              <w: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sz w:val="16"/>
                <w:szCs w:val="16"/>
                <w:lang w:val="en-US"/>
              </w:rPr>
              <w:t>6.</w:t>
            </w:r>
            <w:r>
              <w:rPr>
                <w:rFonts w:hint="eastAsia" w:ascii="微软雅黑" w:hAnsi="微软雅黑" w:eastAsia="微软雅黑" w:cs="微软雅黑"/>
                <w:i w:val="0"/>
                <w:caps w:val="0"/>
                <w:color w:val="000000"/>
                <w:spacing w:val="0"/>
                <w:sz w:val="16"/>
                <w:szCs w:val="16"/>
              </w:rPr>
              <w:t>执法决定是否合法；执法文书是否规范。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823" w:hRule="atLeast"/>
          <w:jc w:val="center"/>
        </w:trPr>
        <w:tc>
          <w:tcPr>
            <w:tcW w:w="72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行政确认决定类</w:t>
            </w:r>
          </w:p>
        </w:tc>
        <w:tc>
          <w:tcPr>
            <w:tcW w:w="992"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企业职工因工死亡的工伤认定</w:t>
            </w:r>
          </w:p>
        </w:tc>
        <w:tc>
          <w:tcPr>
            <w:tcW w:w="286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《工伤保险条例》</w:t>
            </w:r>
            <w:r>
              <w:rPr>
                <w:rFonts w:hint="eastAsia" w:ascii="微软雅黑" w:hAnsi="微软雅黑" w:eastAsia="微软雅黑" w:cs="微软雅黑"/>
                <w:i w:val="0"/>
                <w:caps w:val="0"/>
                <w:color w:val="000000"/>
                <w:spacing w:val="0"/>
                <w:kern w:val="0"/>
                <w:sz w:val="18"/>
                <w:szCs w:val="18"/>
                <w:lang w:val="en-US" w:eastAsia="zh-CN" w:bidi="ar"/>
              </w:rPr>
              <w:t>(</w:t>
            </w:r>
            <w:r>
              <w:rPr>
                <w:rFonts w:hint="eastAsia" w:ascii="微软雅黑" w:hAnsi="微软雅黑" w:eastAsia="微软雅黑" w:cs="微软雅黑"/>
                <w:i w:val="0"/>
                <w:caps w:val="0"/>
                <w:color w:val="000000"/>
                <w:spacing w:val="0"/>
                <w:kern w:val="0"/>
                <w:sz w:val="16"/>
                <w:szCs w:val="16"/>
                <w:lang w:val="en-US" w:eastAsia="zh-CN" w:bidi="ar"/>
              </w:rPr>
              <w:t>国务院令第</w:t>
            </w:r>
            <w:r>
              <w:rPr>
                <w:rFonts w:hint="eastAsia" w:ascii="微软雅黑" w:hAnsi="微软雅黑" w:eastAsia="微软雅黑" w:cs="微软雅黑"/>
                <w:i w:val="0"/>
                <w:caps w:val="0"/>
                <w:color w:val="000000"/>
                <w:spacing w:val="0"/>
                <w:kern w:val="0"/>
                <w:sz w:val="18"/>
                <w:szCs w:val="18"/>
                <w:lang w:val="en-US" w:eastAsia="zh-CN" w:bidi="ar"/>
              </w:rPr>
              <w:t>375</w:t>
            </w:r>
            <w:r>
              <w:rPr>
                <w:rFonts w:hint="eastAsia" w:ascii="微软雅黑" w:hAnsi="微软雅黑" w:eastAsia="微软雅黑" w:cs="微软雅黑"/>
                <w:i w:val="0"/>
                <w:caps w:val="0"/>
                <w:color w:val="000000"/>
                <w:spacing w:val="0"/>
                <w:kern w:val="0"/>
                <w:sz w:val="16"/>
                <w:szCs w:val="16"/>
                <w:lang w:val="en-US" w:eastAsia="zh-CN" w:bidi="ar"/>
              </w:rPr>
              <w:t>号</w:t>
            </w:r>
            <w:r>
              <w:rPr>
                <w:rFonts w:hint="eastAsia" w:ascii="微软雅黑" w:hAnsi="微软雅黑" w:eastAsia="微软雅黑" w:cs="微软雅黑"/>
                <w:i w:val="0"/>
                <w:caps w:val="0"/>
                <w:color w:val="000000"/>
                <w:spacing w:val="0"/>
                <w:kern w:val="0"/>
                <w:sz w:val="18"/>
                <w:szCs w:val="18"/>
                <w:lang w:val="en-US" w:eastAsia="zh-CN" w:bidi="ar"/>
              </w:rPr>
              <w:t>)</w:t>
            </w:r>
            <w:r>
              <w:rPr>
                <w:rFonts w:hint="eastAsia" w:ascii="微软雅黑" w:hAnsi="微软雅黑" w:eastAsia="微软雅黑" w:cs="微软雅黑"/>
                <w:i w:val="0"/>
                <w:caps w:val="0"/>
                <w:color w:val="000000"/>
                <w:spacing w:val="0"/>
                <w:kern w:val="0"/>
                <w:sz w:val="16"/>
                <w:szCs w:val="16"/>
                <w:lang w:val="en-US" w:eastAsia="zh-CN" w:bidi="ar"/>
              </w:rPr>
              <w:t>第十七条职工发生事故伤害或按照职业病防治法规定被诊断鉴定为职业病，所在单位应自伤害发生之日</w:t>
            </w:r>
            <w:r>
              <w:rPr>
                <w:rFonts w:hint="eastAsia" w:ascii="微软雅黑" w:hAnsi="微软雅黑" w:eastAsia="微软雅黑" w:cs="微软雅黑"/>
                <w:i w:val="0"/>
                <w:caps w:val="0"/>
                <w:color w:val="000000"/>
                <w:spacing w:val="0"/>
                <w:kern w:val="0"/>
                <w:sz w:val="18"/>
                <w:szCs w:val="18"/>
                <w:lang w:val="en-US" w:eastAsia="zh-CN" w:bidi="ar"/>
              </w:rPr>
              <w:t>30</w:t>
            </w:r>
            <w:r>
              <w:rPr>
                <w:rFonts w:hint="eastAsia" w:ascii="微软雅黑" w:hAnsi="微软雅黑" w:eastAsia="微软雅黑" w:cs="微软雅黑"/>
                <w:i w:val="0"/>
                <w:caps w:val="0"/>
                <w:color w:val="000000"/>
                <w:spacing w:val="0"/>
                <w:kern w:val="0"/>
                <w:sz w:val="16"/>
                <w:szCs w:val="16"/>
                <w:lang w:val="en-US" w:eastAsia="zh-CN" w:bidi="ar"/>
              </w:rPr>
              <w:t>内向社会保险行政部门提出工伤认定申请；《湖南省实施</w:t>
            </w:r>
            <w:r>
              <w:rPr>
                <w:rFonts w:hint="eastAsia" w:ascii="微软雅黑" w:hAnsi="微软雅黑" w:eastAsia="微软雅黑" w:cs="微软雅黑"/>
                <w:i w:val="0"/>
                <w:caps w:val="0"/>
                <w:color w:val="000000"/>
                <w:spacing w:val="0"/>
                <w:kern w:val="0"/>
                <w:sz w:val="18"/>
                <w:szCs w:val="18"/>
                <w:lang w:val="en-US" w:eastAsia="zh-CN" w:bidi="ar"/>
              </w:rPr>
              <w:t>&lt;</w:t>
            </w:r>
            <w:r>
              <w:rPr>
                <w:rFonts w:hint="eastAsia" w:ascii="微软雅黑" w:hAnsi="微软雅黑" w:eastAsia="微软雅黑" w:cs="微软雅黑"/>
                <w:i w:val="0"/>
                <w:caps w:val="0"/>
                <w:color w:val="000000"/>
                <w:spacing w:val="0"/>
                <w:kern w:val="0"/>
                <w:sz w:val="16"/>
                <w:szCs w:val="16"/>
                <w:lang w:val="en-US" w:eastAsia="zh-CN" w:bidi="ar"/>
              </w:rPr>
              <w:t>工伤保险条例</w:t>
            </w:r>
            <w:r>
              <w:rPr>
                <w:rFonts w:hint="eastAsia" w:ascii="微软雅黑" w:hAnsi="微软雅黑" w:eastAsia="微软雅黑" w:cs="微软雅黑"/>
                <w:i w:val="0"/>
                <w:caps w:val="0"/>
                <w:color w:val="000000"/>
                <w:spacing w:val="0"/>
                <w:kern w:val="0"/>
                <w:sz w:val="18"/>
                <w:szCs w:val="18"/>
                <w:lang w:val="en-US" w:eastAsia="zh-CN" w:bidi="ar"/>
              </w:rPr>
              <w:t>&gt;</w:t>
            </w:r>
            <w:r>
              <w:rPr>
                <w:rFonts w:hint="eastAsia" w:ascii="微软雅黑" w:hAnsi="微软雅黑" w:eastAsia="微软雅黑" w:cs="微软雅黑"/>
                <w:i w:val="0"/>
                <w:caps w:val="0"/>
                <w:color w:val="000000"/>
                <w:spacing w:val="0"/>
                <w:kern w:val="0"/>
                <w:sz w:val="16"/>
                <w:szCs w:val="16"/>
                <w:lang w:val="en-US" w:eastAsia="zh-CN" w:bidi="ar"/>
              </w:rPr>
              <w:t>办法》（省政府令</w:t>
            </w:r>
            <w:r>
              <w:rPr>
                <w:rFonts w:hint="eastAsia" w:ascii="微软雅黑" w:hAnsi="微软雅黑" w:eastAsia="微软雅黑" w:cs="微软雅黑"/>
                <w:i w:val="0"/>
                <w:caps w:val="0"/>
                <w:color w:val="000000"/>
                <w:spacing w:val="0"/>
                <w:kern w:val="0"/>
                <w:sz w:val="18"/>
                <w:szCs w:val="18"/>
                <w:lang w:val="en-US" w:eastAsia="zh-CN" w:bidi="ar"/>
              </w:rPr>
              <w:t>267</w:t>
            </w:r>
            <w:r>
              <w:rPr>
                <w:rFonts w:hint="eastAsia" w:ascii="微软雅黑" w:hAnsi="微软雅黑" w:eastAsia="微软雅黑" w:cs="微软雅黑"/>
                <w:i w:val="0"/>
                <w:caps w:val="0"/>
                <w:color w:val="000000"/>
                <w:spacing w:val="0"/>
                <w:kern w:val="0"/>
                <w:sz w:val="16"/>
                <w:szCs w:val="16"/>
                <w:lang w:val="en-US" w:eastAsia="zh-CN" w:bidi="ar"/>
              </w:rPr>
              <w:t>号）第十三条用人单位、工伤职工或近亲属、工会组织申请工伤认定的，应在《条例》第十七条规定期限内向社会保险行政部门提出。</w:t>
            </w:r>
          </w:p>
        </w:tc>
        <w:tc>
          <w:tcPr>
            <w:tcW w:w="596"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工伤保险股</w:t>
            </w:r>
          </w:p>
        </w:tc>
        <w:tc>
          <w:tcPr>
            <w:tcW w:w="174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《工伤保险条例》</w:t>
            </w:r>
            <w:r>
              <w:rPr>
                <w:rFonts w:hint="eastAsia" w:ascii="微软雅黑" w:hAnsi="微软雅黑" w:eastAsia="微软雅黑" w:cs="微软雅黑"/>
                <w:i w:val="0"/>
                <w:caps w:val="0"/>
                <w:color w:val="000000"/>
                <w:spacing w:val="0"/>
                <w:kern w:val="0"/>
                <w:sz w:val="18"/>
                <w:szCs w:val="18"/>
                <w:lang w:val="en-US" w:eastAsia="zh-CN" w:bidi="ar"/>
              </w:rPr>
              <w:t>(</w:t>
            </w:r>
            <w:r>
              <w:rPr>
                <w:rFonts w:hint="eastAsia" w:ascii="微软雅黑" w:hAnsi="微软雅黑" w:eastAsia="微软雅黑" w:cs="微软雅黑"/>
                <w:i w:val="0"/>
                <w:caps w:val="0"/>
                <w:color w:val="000000"/>
                <w:spacing w:val="0"/>
                <w:kern w:val="0"/>
                <w:sz w:val="16"/>
                <w:szCs w:val="16"/>
                <w:lang w:val="en-US" w:eastAsia="zh-CN" w:bidi="ar"/>
              </w:rPr>
              <w:t>国务院令第</w:t>
            </w:r>
            <w:r>
              <w:rPr>
                <w:rFonts w:hint="eastAsia" w:ascii="微软雅黑" w:hAnsi="微软雅黑" w:eastAsia="微软雅黑" w:cs="微软雅黑"/>
                <w:i w:val="0"/>
                <w:caps w:val="0"/>
                <w:color w:val="000000"/>
                <w:spacing w:val="0"/>
                <w:kern w:val="0"/>
                <w:sz w:val="18"/>
                <w:szCs w:val="18"/>
                <w:lang w:val="en-US" w:eastAsia="zh-CN" w:bidi="ar"/>
              </w:rPr>
              <w:t>375</w:t>
            </w:r>
            <w:r>
              <w:rPr>
                <w:rFonts w:hint="eastAsia" w:ascii="微软雅黑" w:hAnsi="微软雅黑" w:eastAsia="微软雅黑" w:cs="微软雅黑"/>
                <w:i w:val="0"/>
                <w:caps w:val="0"/>
                <w:color w:val="000000"/>
                <w:spacing w:val="0"/>
                <w:kern w:val="0"/>
                <w:sz w:val="16"/>
                <w:szCs w:val="16"/>
                <w:lang w:val="en-US" w:eastAsia="zh-CN" w:bidi="ar"/>
              </w:rPr>
              <w:t>号</w:t>
            </w:r>
            <w:r>
              <w:rPr>
                <w:rFonts w:hint="eastAsia" w:ascii="微软雅黑" w:hAnsi="微软雅黑" w:eastAsia="微软雅黑" w:cs="微软雅黑"/>
                <w:i w:val="0"/>
                <w:caps w:val="0"/>
                <w:color w:val="000000"/>
                <w:spacing w:val="0"/>
                <w:kern w:val="0"/>
                <w:sz w:val="18"/>
                <w:szCs w:val="18"/>
                <w:lang w:val="en-US" w:eastAsia="zh-CN" w:bidi="ar"/>
              </w:rPr>
              <w:t>)</w:t>
            </w:r>
            <w:r>
              <w:rPr>
                <w:rFonts w:hint="eastAsia" w:ascii="微软雅黑" w:hAnsi="微软雅黑" w:eastAsia="微软雅黑" w:cs="微软雅黑"/>
                <w:i w:val="0"/>
                <w:caps w:val="0"/>
                <w:color w:val="000000"/>
                <w:spacing w:val="0"/>
                <w:kern w:val="0"/>
                <w:sz w:val="16"/>
                <w:szCs w:val="16"/>
                <w:lang w:val="en-US" w:eastAsia="zh-CN" w:bidi="ar"/>
              </w:rPr>
              <w:t>第十七条、《湖南省实施</w:t>
            </w:r>
            <w:r>
              <w:rPr>
                <w:rFonts w:hint="eastAsia" w:ascii="微软雅黑" w:hAnsi="微软雅黑" w:eastAsia="微软雅黑" w:cs="微软雅黑"/>
                <w:i w:val="0"/>
                <w:caps w:val="0"/>
                <w:color w:val="000000"/>
                <w:spacing w:val="0"/>
                <w:kern w:val="0"/>
                <w:sz w:val="18"/>
                <w:szCs w:val="18"/>
                <w:lang w:val="en-US" w:eastAsia="zh-CN" w:bidi="ar"/>
              </w:rPr>
              <w:t>&lt;</w:t>
            </w:r>
            <w:r>
              <w:rPr>
                <w:rFonts w:hint="eastAsia" w:ascii="微软雅黑" w:hAnsi="微软雅黑" w:eastAsia="微软雅黑" w:cs="微软雅黑"/>
                <w:i w:val="0"/>
                <w:caps w:val="0"/>
                <w:color w:val="000000"/>
                <w:spacing w:val="0"/>
                <w:kern w:val="0"/>
                <w:sz w:val="16"/>
                <w:szCs w:val="16"/>
                <w:lang w:val="en-US" w:eastAsia="zh-CN" w:bidi="ar"/>
              </w:rPr>
              <w:t>工伤保险条例</w:t>
            </w:r>
            <w:r>
              <w:rPr>
                <w:rFonts w:hint="eastAsia" w:ascii="微软雅黑" w:hAnsi="微软雅黑" w:eastAsia="微软雅黑" w:cs="微软雅黑"/>
                <w:i w:val="0"/>
                <w:caps w:val="0"/>
                <w:color w:val="000000"/>
                <w:spacing w:val="0"/>
                <w:kern w:val="0"/>
                <w:sz w:val="18"/>
                <w:szCs w:val="18"/>
                <w:lang w:val="en-US" w:eastAsia="zh-CN" w:bidi="ar"/>
              </w:rPr>
              <w:t>&gt;</w:t>
            </w:r>
            <w:r>
              <w:rPr>
                <w:rFonts w:hint="eastAsia" w:ascii="微软雅黑" w:hAnsi="微软雅黑" w:eastAsia="微软雅黑" w:cs="微软雅黑"/>
                <w:i w:val="0"/>
                <w:caps w:val="0"/>
                <w:color w:val="000000"/>
                <w:spacing w:val="0"/>
                <w:kern w:val="0"/>
                <w:sz w:val="16"/>
                <w:szCs w:val="16"/>
                <w:lang w:val="en-US" w:eastAsia="zh-CN" w:bidi="ar"/>
              </w:rPr>
              <w:t>办法》（省政府令</w:t>
            </w:r>
            <w:r>
              <w:rPr>
                <w:rFonts w:hint="eastAsia" w:ascii="微软雅黑" w:hAnsi="微软雅黑" w:eastAsia="微软雅黑" w:cs="微软雅黑"/>
                <w:i w:val="0"/>
                <w:caps w:val="0"/>
                <w:color w:val="000000"/>
                <w:spacing w:val="0"/>
                <w:kern w:val="0"/>
                <w:sz w:val="18"/>
                <w:szCs w:val="18"/>
                <w:lang w:val="en-US" w:eastAsia="zh-CN" w:bidi="ar"/>
              </w:rPr>
              <w:t>267</w:t>
            </w:r>
            <w:r>
              <w:rPr>
                <w:rFonts w:hint="eastAsia" w:ascii="微软雅黑" w:hAnsi="微软雅黑" w:eastAsia="微软雅黑" w:cs="微软雅黑"/>
                <w:i w:val="0"/>
                <w:caps w:val="0"/>
                <w:color w:val="000000"/>
                <w:spacing w:val="0"/>
                <w:kern w:val="0"/>
                <w:sz w:val="16"/>
                <w:szCs w:val="16"/>
                <w:lang w:val="en-US" w:eastAsia="zh-CN" w:bidi="ar"/>
              </w:rPr>
              <w:t>号）第十三条</w:t>
            </w:r>
          </w:p>
        </w:tc>
        <w:tc>
          <w:tcPr>
            <w:tcW w:w="4503"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1.</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工伤（亡）认定申请表；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2.</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工亡调查报告；</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3.</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劳动合同书或劳动关系确认仲裁裁决书；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4.</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相关证据资料；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5.</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工伤（亡）认定决定书（送审稿）</w:t>
            </w:r>
          </w:p>
        </w:tc>
        <w:tc>
          <w:tcPr>
            <w:tcW w:w="3195"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1.</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认定程序是否合法；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2.</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认定的依据是否充分；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3.</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调查证据是否齐全；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4.</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自由裁量权基准是否适当；</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left"/>
              <w:rPr>
                <w:rFonts w:hint="eastAsia" w:ascii="微软雅黑" w:hAnsi="微软雅黑" w:eastAsia="微软雅黑" w:cs="微软雅黑"/>
                <w:sz w:val="18"/>
                <w:szCs w:val="18"/>
              </w:rPr>
            </w:pPr>
            <w:r>
              <w:rPr>
                <w:rFonts w:hint="eastAsia" w:ascii="微软雅黑" w:hAnsi="微软雅黑" w:eastAsia="微软雅黑" w:cs="微软雅黑"/>
                <w:i w:val="0"/>
                <w:caps w:val="0"/>
                <w:color w:val="000000"/>
                <w:spacing w:val="0"/>
                <w:kern w:val="0"/>
                <w:sz w:val="16"/>
                <w:szCs w:val="16"/>
                <w:lang w:val="en-US" w:eastAsia="zh-CN" w:bidi="ar"/>
              </w:rPr>
              <w:t>5.</w:t>
            </w:r>
            <w:r>
              <w:rPr>
                <w:rFonts w:hint="eastAsia" w:ascii="微软雅黑" w:hAnsi="微软雅黑" w:eastAsia="微软雅黑" w:cs="微软雅黑"/>
                <w:i w:val="0"/>
                <w:caps w:val="0"/>
                <w:color w:val="000000"/>
                <w:spacing w:val="0"/>
                <w:kern w:val="0"/>
                <w:sz w:val="18"/>
                <w:szCs w:val="18"/>
                <w:lang w:val="en-US" w:eastAsia="zh-CN" w:bidi="ar"/>
              </w:rPr>
              <w:t> </w:t>
            </w:r>
            <w:r>
              <w:rPr>
                <w:rFonts w:hint="eastAsia" w:ascii="微软雅黑" w:hAnsi="微软雅黑" w:eastAsia="微软雅黑" w:cs="微软雅黑"/>
                <w:i w:val="0"/>
                <w:caps w:val="0"/>
                <w:color w:val="000000"/>
                <w:spacing w:val="0"/>
                <w:kern w:val="0"/>
                <w:sz w:val="16"/>
                <w:szCs w:val="16"/>
                <w:lang w:val="en-US" w:eastAsia="zh-CN" w:bidi="ar"/>
              </w:rPr>
              <w:t>认定决定是否合法；认定文书是否规范。</w:t>
            </w:r>
          </w:p>
        </w:tc>
      </w:tr>
    </w:tbl>
    <w:p>
      <w:pPr>
        <w:autoSpaceDN w:val="0"/>
        <w:spacing w:line="576" w:lineRule="exact"/>
        <w:rPr>
          <w:rFonts w:hint="eastAsia" w:ascii="仿宋_GB2312" w:eastAsia="仿宋_GB2312"/>
          <w:sz w:val="32"/>
          <w:szCs w:val="32"/>
          <w:lang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五、剑阁县人社局行政执法（监督信息）救济渠道、行政执法责任制</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当事人依法享有的权利、救济途径、方式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剑阁县人民政府    </w:t>
      </w: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val="en-US" w:eastAsia="zh-CN"/>
        </w:rPr>
        <w:t xml:space="preserve">剑阁县下寺镇剑门关大道北段389号   </w:t>
      </w: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0839-6666670</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   地址：广元市利州区利州东路二段2号劳动大厦   电话：0839-3307543</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w:t>
      </w:r>
      <w:r>
        <w:rPr>
          <w:rFonts w:hint="eastAsia" w:ascii="仿宋_GB2312" w:hAnsi="仿宋_GB2312" w:eastAsia="仿宋_GB2312" w:cs="仿宋_GB2312"/>
          <w:sz w:val="32"/>
          <w:szCs w:val="32"/>
        </w:rPr>
        <w:t>人民法院 </w:t>
      </w:r>
      <w:r>
        <w:rPr>
          <w:rFonts w:hint="eastAsia" w:ascii="仿宋_GB2312" w:hAnsi="仿宋_GB2312" w:eastAsia="仿宋_GB2312" w:cs="仿宋_GB2312"/>
          <w:sz w:val="32"/>
          <w:szCs w:val="32"/>
          <w:lang w:val="en-US" w:eastAsia="zh-CN"/>
        </w:rPr>
        <w:t xml:space="preserve">  地址：：剑阁县下寺镇剑阁县剑门关大道北段502号   电话：0839-5208429  </w:t>
      </w:r>
    </w:p>
    <w:p>
      <w:pPr>
        <w:numPr>
          <w:ilvl w:val="0"/>
          <w:numId w:val="1"/>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对行政执法的监督投诉举报的方式、途径</w:t>
      </w:r>
    </w:p>
    <w:p>
      <w:pPr>
        <w:numPr>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1、剑阁县司法局行政执法协调监督股，地址：剑阁县下寺镇修城坝隆庆街2号，电话：0839-5208080</w:t>
      </w:r>
    </w:p>
    <w:p>
      <w:pPr>
        <w:ind w:firstLine="640"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剑阁县人社局政策法规股</w:t>
      </w:r>
    </w:p>
    <w:p>
      <w:pPr>
        <w:ind w:firstLine="626" w:firstLineChars="200"/>
        <w:rPr>
          <w:rFonts w:hint="eastAsia" w:ascii="仿宋_GB2312" w:hAnsi="仿宋_GB2312" w:eastAsia="仿宋_GB2312" w:cs="仿宋_GB2312"/>
          <w:w w:val="98"/>
          <w:sz w:val="32"/>
          <w:szCs w:val="32"/>
        </w:rPr>
      </w:pPr>
      <w:bookmarkStart w:id="0" w:name="_GoBack"/>
      <w:bookmarkEnd w:id="0"/>
      <w:r>
        <w:rPr>
          <w:rFonts w:hint="eastAsia" w:ascii="仿宋_GB2312" w:hAnsi="仿宋_GB2312" w:eastAsia="仿宋_GB2312" w:cs="仿宋_GB2312"/>
          <w:w w:val="98"/>
          <w:sz w:val="32"/>
          <w:szCs w:val="32"/>
          <w:lang w:val="en-US" w:eastAsia="zh-CN"/>
        </w:rPr>
        <w:t>剑阁县人社局附楼3楼</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839-6624046</w:t>
      </w:r>
    </w:p>
    <w:p>
      <w:pPr>
        <w:keepNext w:val="0"/>
        <w:keepLines w:val="0"/>
        <w:widowControl w:val="0"/>
        <w:suppressLineNumbers w:val="0"/>
        <w:spacing w:before="0" w:beforeAutospacing="0" w:after="0" w:afterAutospacing="0"/>
        <w:ind w:left="0" w:right="0"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《国务院办公厅关于推行行政执法责任制的若干意见》（国办发[2005]37号）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《四川省人民政府办公厅关于深化行政执法责任制的实施意见》(川办发[2005]36号)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《四川省落实行政执法责任制全面推进依法行政考核办法》(川府法[2005]24号)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事业单位工作人员处分暂行规定</w:t>
      </w:r>
    </w:p>
    <w:p>
      <w:pPr>
        <w:rPr>
          <w:rFonts w:hint="eastAsia"/>
          <w:lang w:val="en-US" w:eastAsia="zh-CN"/>
        </w:rPr>
      </w:pP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六、剑阁县人社局行政执法自由裁量标准</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《四川省人力资源社会保障行政处罚裁量标准》川人社发〔</w:t>
      </w:r>
      <w:r>
        <w:rPr>
          <w:rFonts w:hint="default" w:ascii="仿宋_GB2312" w:hAnsi="宋体" w:eastAsia="仿宋_GB2312" w:cs="仿宋_GB2312"/>
          <w:kern w:val="0"/>
          <w:sz w:val="32"/>
          <w:szCs w:val="32"/>
          <w:lang w:val="en-US" w:eastAsia="zh-CN"/>
        </w:rPr>
        <w:t>2014〕48号</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七、剑阁县人社局随机抽查事项清单、市场主体库（检查对象名录库）、2020年抽查计划</w:t>
      </w:r>
    </w:p>
    <w:tbl>
      <w:tblPr>
        <w:tblStyle w:val="7"/>
        <w:tblW w:w="10772" w:type="dxa"/>
        <w:jc w:val="center"/>
        <w:shd w:val="clear" w:color="auto" w:fill="auto"/>
        <w:tblLayout w:type="fixed"/>
        <w:tblCellMar>
          <w:top w:w="0" w:type="dxa"/>
          <w:left w:w="0" w:type="dxa"/>
          <w:bottom w:w="0" w:type="dxa"/>
          <w:right w:w="0" w:type="dxa"/>
        </w:tblCellMar>
      </w:tblPr>
      <w:tblGrid>
        <w:gridCol w:w="349"/>
        <w:gridCol w:w="401"/>
        <w:gridCol w:w="4525"/>
        <w:gridCol w:w="6414"/>
        <w:gridCol w:w="90"/>
      </w:tblGrid>
      <w:tr>
        <w:tblPrEx>
          <w:shd w:val="clear" w:color="auto" w:fill="auto"/>
          <w:tblCellMar>
            <w:top w:w="0" w:type="dxa"/>
            <w:left w:w="0" w:type="dxa"/>
            <w:bottom w:w="0" w:type="dxa"/>
            <w:right w:w="0" w:type="dxa"/>
          </w:tblCellMar>
        </w:tblPrEx>
        <w:trPr>
          <w:gridAfter w:val="1"/>
          <w:wAfter w:w="90" w:type="dxa"/>
          <w:trHeight w:val="920" w:hRule="atLeast"/>
          <w:jc w:val="center"/>
        </w:trPr>
        <w:tc>
          <w:tcPr>
            <w:tcW w:w="11689" w:type="dxa"/>
            <w:gridSpan w:val="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32"/>
                <w:szCs w:val="32"/>
                <w:u w:val="none"/>
              </w:rPr>
            </w:pPr>
            <w:r>
              <w:rPr>
                <w:rFonts w:hint="eastAsia" w:ascii="黑体" w:hAnsi="宋体" w:eastAsia="黑体" w:cs="黑体"/>
                <w:i w:val="0"/>
                <w:color w:val="000000"/>
                <w:kern w:val="0"/>
                <w:sz w:val="32"/>
                <w:szCs w:val="32"/>
                <w:u w:val="none"/>
                <w:lang w:val="en-US" w:eastAsia="zh-CN" w:bidi="ar"/>
              </w:rPr>
              <w:t>人力资源和社会保障领域随机抽查事项清单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一、执法依据</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1.劳动法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劳动合同法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就业促进法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社会保险法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工会法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民办教育促进法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劳动保障监察条例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社会保险费征缴暂行条例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失业保险条例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工伤保险条例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劳动合同法实施条例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关于职工工作时间的规定</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职工带薪年休假条例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禁止使用童工规定</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15.女职工劳动保护特别规定</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娱乐场所管理条例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民办教育促进法实施条例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中外合作办学条例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人力资源市场暂行条例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中华人民共和国船员条例</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社会保险费征缴监督检查办法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就业服务与就业管理规定</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人才市场管理规定</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外国人在中国就业管理规定</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未成年工特殊保护规定</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防暑降温措施管理办法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实施《中华人民共和国社会保险法》若干规定</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劳务派遣行政许可实施办法</w:t>
            </w:r>
          </w:p>
        </w:tc>
      </w:tr>
      <w:tr>
        <w:tblPrEx>
          <w:tblCellMar>
            <w:top w:w="0" w:type="dxa"/>
            <w:left w:w="0" w:type="dxa"/>
            <w:bottom w:w="0" w:type="dxa"/>
            <w:right w:w="0" w:type="dxa"/>
          </w:tblCellMar>
        </w:tblPrEx>
        <w:trPr>
          <w:gridAfter w:val="1"/>
          <w:wAfter w:w="90" w:type="dxa"/>
          <w:trHeight w:val="700" w:hRule="atLeast"/>
          <w:jc w:val="center"/>
        </w:trPr>
        <w:tc>
          <w:tcPr>
            <w:tcW w:w="1168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w:t>
            </w:r>
            <w:r>
              <w:rPr>
                <w:rStyle w:val="17"/>
                <w:sz w:val="22"/>
                <w:szCs w:val="22"/>
                <w:lang w:val="en-US" w:eastAsia="zh-CN" w:bidi="ar"/>
              </w:rPr>
              <w:t>.</w:t>
            </w:r>
            <w:r>
              <w:rPr>
                <w:rFonts w:hint="eastAsia" w:ascii="仿宋" w:hAnsi="仿宋" w:eastAsia="仿宋" w:cs="仿宋"/>
                <w:i w:val="0"/>
                <w:color w:val="000000"/>
                <w:kern w:val="0"/>
                <w:sz w:val="22"/>
                <w:szCs w:val="22"/>
                <w:u w:val="none"/>
                <w:lang w:val="en-US" w:eastAsia="zh-CN" w:bidi="ar"/>
              </w:rPr>
              <w:t>劳务派遣暂行规定</w:t>
            </w:r>
          </w:p>
        </w:tc>
      </w:tr>
      <w:tr>
        <w:tblPrEx>
          <w:tblCellMar>
            <w:top w:w="0" w:type="dxa"/>
            <w:left w:w="0" w:type="dxa"/>
            <w:bottom w:w="0" w:type="dxa"/>
            <w:right w:w="0" w:type="dxa"/>
          </w:tblCellMar>
        </w:tblPrEx>
        <w:trPr>
          <w:trHeight w:val="285" w:hRule="atLeast"/>
          <w:jc w:val="center"/>
        </w:trPr>
        <w:tc>
          <w:tcPr>
            <w:tcW w:w="349"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01"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52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504"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85" w:hRule="atLeast"/>
          <w:jc w:val="center"/>
        </w:trPr>
        <w:tc>
          <w:tcPr>
            <w:tcW w:w="349"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01"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52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504"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85" w:hRule="atLeast"/>
          <w:jc w:val="center"/>
        </w:trPr>
        <w:tc>
          <w:tcPr>
            <w:tcW w:w="349"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01"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52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504"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gridAfter w:val="1"/>
          <w:wAfter w:w="90" w:type="dxa"/>
          <w:trHeight w:val="940" w:hRule="atLeast"/>
          <w:jc w:val="center"/>
        </w:trPr>
        <w:tc>
          <w:tcPr>
            <w:tcW w:w="11689" w:type="dxa"/>
            <w:gridSpan w:val="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二、事项清单</w:t>
            </w:r>
          </w:p>
        </w:tc>
      </w:tr>
      <w:tr>
        <w:tblPrEx>
          <w:tblCellMar>
            <w:top w:w="0" w:type="dxa"/>
            <w:left w:w="0" w:type="dxa"/>
            <w:bottom w:w="0" w:type="dxa"/>
            <w:right w:w="0" w:type="dxa"/>
          </w:tblCellMar>
        </w:tblPrEx>
        <w:trPr>
          <w:trHeight w:val="520" w:hRule="atLeast"/>
          <w:jc w:val="center"/>
        </w:trPr>
        <w:tc>
          <w:tcPr>
            <w:tcW w:w="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类型</w:t>
            </w:r>
          </w:p>
        </w:tc>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序号</w:t>
            </w:r>
          </w:p>
        </w:tc>
        <w:tc>
          <w:tcPr>
            <w:tcW w:w="4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随机抽查事项</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法律依据</w:t>
            </w:r>
          </w:p>
        </w:tc>
      </w:tr>
      <w:tr>
        <w:tblPrEx>
          <w:tblCellMar>
            <w:top w:w="0" w:type="dxa"/>
            <w:left w:w="0" w:type="dxa"/>
            <w:bottom w:w="0" w:type="dxa"/>
            <w:right w:w="0" w:type="dxa"/>
          </w:tblCellMar>
        </w:tblPrEx>
        <w:trPr>
          <w:trHeight w:val="70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规章制度</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用人单位制定的劳动规章制度是否违反法律、法规</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劳动法第89条</w:t>
            </w:r>
          </w:p>
        </w:tc>
      </w:tr>
      <w:tr>
        <w:tblPrEx>
          <w:tblCellMar>
            <w:top w:w="0" w:type="dxa"/>
            <w:left w:w="0" w:type="dxa"/>
            <w:bottom w:w="0" w:type="dxa"/>
            <w:right w:w="0" w:type="dxa"/>
          </w:tblCellMar>
        </w:tblPrEx>
        <w:trPr>
          <w:trHeight w:val="7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用人单位直接涉及劳动者切身利益的规章制度是否违反法律、法规</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劳动合同法第80条</w:t>
            </w:r>
          </w:p>
        </w:tc>
      </w:tr>
      <w:tr>
        <w:tblPrEx>
          <w:tblCellMar>
            <w:top w:w="0" w:type="dxa"/>
            <w:left w:w="0" w:type="dxa"/>
            <w:bottom w:w="0" w:type="dxa"/>
            <w:right w:w="0" w:type="dxa"/>
          </w:tblCellMar>
        </w:tblPrEx>
        <w:trPr>
          <w:trHeight w:val="76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劳动合同及招用工管理</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用人单位提供的劳动合同文本是否载明劳动合同法规定的劳动合同必备条款</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劳动合同法第81条</w:t>
            </w:r>
          </w:p>
        </w:tc>
      </w:tr>
      <w:tr>
        <w:tblPrEx>
          <w:tblCellMar>
            <w:top w:w="0" w:type="dxa"/>
            <w:left w:w="0" w:type="dxa"/>
            <w:bottom w:w="0" w:type="dxa"/>
            <w:right w:w="0" w:type="dxa"/>
          </w:tblCellMar>
        </w:tblPrEx>
        <w:trPr>
          <w:trHeight w:val="5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用人单位是否将劳动合同文本交付劳动者</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劳动合同法第81条</w:t>
            </w:r>
          </w:p>
        </w:tc>
      </w:tr>
      <w:tr>
        <w:tblPrEx>
          <w:tblCellMar>
            <w:top w:w="0" w:type="dxa"/>
            <w:left w:w="0" w:type="dxa"/>
            <w:bottom w:w="0" w:type="dxa"/>
            <w:right w:w="0" w:type="dxa"/>
          </w:tblCellMar>
        </w:tblPrEx>
        <w:trPr>
          <w:trHeight w:val="10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用人单位是否违反劳动合同法规定约定试用期</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劳动合同法第83条（《劳务派遣暂行规定》第6、23条）</w:t>
            </w:r>
          </w:p>
        </w:tc>
      </w:tr>
      <w:tr>
        <w:tblPrEx>
          <w:tblCellMar>
            <w:top w:w="0" w:type="dxa"/>
            <w:left w:w="0" w:type="dxa"/>
            <w:bottom w:w="0" w:type="dxa"/>
            <w:right w:w="0" w:type="dxa"/>
          </w:tblCellMar>
        </w:tblPrEx>
        <w:trPr>
          <w:trHeight w:val="7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用人单位是否违反劳动合同法规定，扣押劳动者居民身份证等证件</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劳动合同法第84条第1款</w:t>
            </w:r>
          </w:p>
        </w:tc>
      </w:tr>
      <w:tr>
        <w:tblPrEx>
          <w:tblCellMar>
            <w:top w:w="0" w:type="dxa"/>
            <w:left w:w="0" w:type="dxa"/>
            <w:bottom w:w="0" w:type="dxa"/>
            <w:right w:w="0" w:type="dxa"/>
          </w:tblCellMar>
        </w:tblPrEx>
        <w:trPr>
          <w:trHeight w:val="7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用人单位是否违反劳动合同法规定，以担保或者其他名义向劳动者收取财物</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劳动合同法第84条第2款</w:t>
            </w:r>
          </w:p>
        </w:tc>
      </w:tr>
      <w:tr>
        <w:tblPrEx>
          <w:tblCellMar>
            <w:top w:w="0" w:type="dxa"/>
            <w:left w:w="0" w:type="dxa"/>
            <w:bottom w:w="0" w:type="dxa"/>
            <w:right w:w="0" w:type="dxa"/>
          </w:tblCellMar>
        </w:tblPrEx>
        <w:trPr>
          <w:trHeight w:val="7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劳动者依法解除或者终止劳动合同，用人单位是否扣押劳动者档案或者其他物品</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劳动合同法第84条第3款</w:t>
            </w:r>
          </w:p>
        </w:tc>
      </w:tr>
      <w:tr>
        <w:tblPrEx>
          <w:tblCellMar>
            <w:top w:w="0" w:type="dxa"/>
            <w:left w:w="0" w:type="dxa"/>
            <w:bottom w:w="0" w:type="dxa"/>
            <w:right w:w="0" w:type="dxa"/>
          </w:tblCellMar>
        </w:tblPrEx>
        <w:trPr>
          <w:trHeight w:val="9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用人单位解除或者终止劳动合同，是否依照劳动合同法规定向劳动者支付经济补偿</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劳动合同法第85条、《劳动保障监察条例》第26条</w:t>
            </w:r>
          </w:p>
        </w:tc>
      </w:tr>
      <w:tr>
        <w:tblPrEx>
          <w:tblCellMar>
            <w:top w:w="0" w:type="dxa"/>
            <w:left w:w="0" w:type="dxa"/>
            <w:bottom w:w="0" w:type="dxa"/>
            <w:right w:w="0" w:type="dxa"/>
          </w:tblCellMar>
        </w:tblPrEx>
        <w:trPr>
          <w:trHeight w:val="7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p>
        </w:tc>
        <w:tc>
          <w:tcPr>
            <w:tcW w:w="4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用人单位是否按照劳动合同法规定向劳动者出具解除或者终止劳动合同的书面证明</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劳动合同法第89条</w:t>
            </w:r>
          </w:p>
        </w:tc>
      </w:tr>
      <w:tr>
        <w:tblPrEx>
          <w:tblCellMar>
            <w:top w:w="0" w:type="dxa"/>
            <w:left w:w="0" w:type="dxa"/>
            <w:bottom w:w="0" w:type="dxa"/>
            <w:right w:w="0" w:type="dxa"/>
          </w:tblCellMar>
        </w:tblPrEx>
        <w:trPr>
          <w:trHeight w:val="9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用人单位是否按照劳动法规定的条件解除劳动合同或者故意拖延不订立劳动合同</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劳动法第98条、《劳动保障监察条例》第24条</w:t>
            </w:r>
          </w:p>
        </w:tc>
      </w:tr>
      <w:tr>
        <w:tblPrEx>
          <w:tblCellMar>
            <w:top w:w="0" w:type="dxa"/>
            <w:left w:w="0" w:type="dxa"/>
            <w:bottom w:w="0" w:type="dxa"/>
            <w:right w:w="0" w:type="dxa"/>
          </w:tblCellMar>
        </w:tblPrEx>
        <w:trPr>
          <w:trHeight w:val="6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用人单位是否违反劳动合同法有关建立职工名册规定</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《劳动合同法实施条例》第33条</w:t>
            </w:r>
          </w:p>
        </w:tc>
      </w:tr>
      <w:tr>
        <w:tblPrEx>
          <w:tblCellMar>
            <w:top w:w="0" w:type="dxa"/>
            <w:left w:w="0" w:type="dxa"/>
            <w:bottom w:w="0" w:type="dxa"/>
            <w:right w:w="0" w:type="dxa"/>
          </w:tblCellMar>
        </w:tblPrEx>
        <w:trPr>
          <w:trHeight w:val="8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船员服务机构和船员用人单位是否将其招用或者管理的船员的有关情况定期向劳动保障行政部门备案</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《中华人民共和国船员条例》第62条</w:t>
            </w:r>
          </w:p>
        </w:tc>
      </w:tr>
      <w:tr>
        <w:tblPrEx>
          <w:tblCellMar>
            <w:top w:w="0" w:type="dxa"/>
            <w:left w:w="0" w:type="dxa"/>
            <w:bottom w:w="0" w:type="dxa"/>
            <w:right w:w="0" w:type="dxa"/>
          </w:tblCellMar>
        </w:tblPrEx>
        <w:trPr>
          <w:trHeight w:val="7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企业是否按照国家规定提取职工教育经费或者挪用职工教育经费</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就业促进法第67条</w:t>
            </w:r>
          </w:p>
        </w:tc>
      </w:tr>
      <w:tr>
        <w:tblPrEx>
          <w:tblCellMar>
            <w:top w:w="0" w:type="dxa"/>
            <w:left w:w="0" w:type="dxa"/>
            <w:bottom w:w="0" w:type="dxa"/>
            <w:right w:w="0" w:type="dxa"/>
          </w:tblCellMar>
        </w:tblPrEx>
        <w:trPr>
          <w:trHeight w:val="11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用人单位在招用人员过程中是否提供虚假招聘信息、发布虚假招聘广告、招用无合法身份证件的人员或者以招用人员为名牟取不正当利益或进行其他违法活动</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《就业服务与就业管理规定》第14、67条</w:t>
            </w:r>
          </w:p>
        </w:tc>
      </w:tr>
      <w:tr>
        <w:tblPrEx>
          <w:tblCellMar>
            <w:top w:w="0" w:type="dxa"/>
            <w:left w:w="0" w:type="dxa"/>
            <w:bottom w:w="0" w:type="dxa"/>
            <w:right w:w="0" w:type="dxa"/>
          </w:tblCellMar>
        </w:tblPrEx>
        <w:trPr>
          <w:trHeight w:val="10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用人单位是否在国家法律、行政法规和国务院卫生行政部门规定禁止乙肝病原携带者从事的工作岗位以外招用人员时，将乙肝病毒血清学指标作为体检标准</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《就业服务与就业管理规定》第68条</w:t>
            </w:r>
          </w:p>
        </w:tc>
      </w:tr>
      <w:tr>
        <w:tblPrEx>
          <w:tblCellMar>
            <w:top w:w="0" w:type="dxa"/>
            <w:left w:w="0" w:type="dxa"/>
            <w:bottom w:w="0" w:type="dxa"/>
            <w:right w:w="0" w:type="dxa"/>
          </w:tblCellMar>
        </w:tblPrEx>
        <w:trPr>
          <w:trHeight w:val="7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用人单位是否及时为劳动者办理就业登记手续</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《就业服务与就业管理规定》第75条</w:t>
            </w:r>
          </w:p>
        </w:tc>
      </w:tr>
      <w:tr>
        <w:tblPrEx>
          <w:tblCellMar>
            <w:top w:w="0" w:type="dxa"/>
            <w:left w:w="0" w:type="dxa"/>
            <w:bottom w:w="0" w:type="dxa"/>
            <w:right w:w="0" w:type="dxa"/>
          </w:tblCellMar>
        </w:tblPrEx>
        <w:trPr>
          <w:trHeight w:val="9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用人单位是否阻挠职工依法参加和组织工会或者阻挠上级工会帮助、指导职工筹建工会</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工会法第50条、《劳动保障监察条例》第29条</w:t>
            </w:r>
          </w:p>
        </w:tc>
      </w:tr>
      <w:tr>
        <w:tblPrEx>
          <w:tblCellMar>
            <w:top w:w="0" w:type="dxa"/>
            <w:left w:w="0" w:type="dxa"/>
            <w:bottom w:w="0" w:type="dxa"/>
            <w:right w:w="0" w:type="dxa"/>
          </w:tblCellMar>
        </w:tblPrEx>
        <w:trPr>
          <w:trHeight w:val="102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劳动合同及招用工管理</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用人单位是否对依法履行职责的工会工作人员无正当理由调动工作岗位，进行打击报复</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工会法第51条、《劳动保障监察条例》第29条第2项</w:t>
            </w:r>
          </w:p>
        </w:tc>
      </w:tr>
      <w:tr>
        <w:tblPrEx>
          <w:tblCellMar>
            <w:top w:w="0" w:type="dxa"/>
            <w:left w:w="0" w:type="dxa"/>
            <w:bottom w:w="0" w:type="dxa"/>
            <w:right w:w="0" w:type="dxa"/>
          </w:tblCellMar>
        </w:tblPrEx>
        <w:trPr>
          <w:trHeight w:val="10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职工是否因参加工会活动而被解除劳动合同或工会工作人员因履行工会法规定的职责而被解除劳动合同</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工会法第52条、《劳动保障监察条例》第29条第3和第4项</w:t>
            </w:r>
          </w:p>
        </w:tc>
      </w:tr>
      <w:tr>
        <w:tblPrEx>
          <w:tblCellMar>
            <w:top w:w="0" w:type="dxa"/>
            <w:left w:w="0" w:type="dxa"/>
            <w:bottom w:w="0" w:type="dxa"/>
            <w:right w:w="0" w:type="dxa"/>
          </w:tblCellMar>
        </w:tblPrEx>
        <w:trPr>
          <w:trHeight w:val="9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用人单位是否妥善保存录用人员的录用登记材料或者伪造录用登记材料</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《禁止使用童工规定》第8条</w:t>
            </w:r>
          </w:p>
        </w:tc>
      </w:tr>
      <w:tr>
        <w:tblPrEx>
          <w:tblCellMar>
            <w:top w:w="0" w:type="dxa"/>
            <w:left w:w="0" w:type="dxa"/>
            <w:bottom w:w="0" w:type="dxa"/>
            <w:right w:w="0" w:type="dxa"/>
          </w:tblCellMar>
        </w:tblPrEx>
        <w:trPr>
          <w:trHeight w:val="90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工作时间和休息休假</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用人单位是否违反劳动保障法律、法规或者规章延长劳动者工作时间</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《劳动保障监察条例》第25条</w:t>
            </w:r>
          </w:p>
        </w:tc>
      </w:tr>
      <w:tr>
        <w:tblPrEx>
          <w:tblCellMar>
            <w:top w:w="0" w:type="dxa"/>
            <w:left w:w="0" w:type="dxa"/>
            <w:bottom w:w="0" w:type="dxa"/>
            <w:right w:w="0" w:type="dxa"/>
          </w:tblCellMar>
        </w:tblPrEx>
        <w:trPr>
          <w:trHeight w:val="9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用人单位是否依法安排职工休年休假或对不休假职工支付年休假工资报酬、赔偿金</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《职工带薪年休假条例》第7条</w:t>
            </w:r>
          </w:p>
        </w:tc>
      </w:tr>
      <w:tr>
        <w:tblPrEx>
          <w:tblCellMar>
            <w:top w:w="0" w:type="dxa"/>
            <w:left w:w="0" w:type="dxa"/>
            <w:bottom w:w="0" w:type="dxa"/>
            <w:right w:w="0" w:type="dxa"/>
          </w:tblCellMar>
        </w:tblPrEx>
        <w:trPr>
          <w:trHeight w:val="98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单位或个人是否为不满16周岁的未成年人介绍就业</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《禁止使用童工规定》第7条</w:t>
            </w:r>
          </w:p>
        </w:tc>
      </w:tr>
      <w:tr>
        <w:tblPrEx>
          <w:tblCellMar>
            <w:top w:w="0" w:type="dxa"/>
            <w:left w:w="0" w:type="dxa"/>
            <w:bottom w:w="0" w:type="dxa"/>
            <w:right w:w="0" w:type="dxa"/>
          </w:tblCellMar>
        </w:tblPrEx>
        <w:trPr>
          <w:trHeight w:val="9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职业中介机构是否为不满16周岁的未成年人介绍就业</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《禁止使用童工规定》第7条</w:t>
            </w:r>
          </w:p>
        </w:tc>
      </w:tr>
      <w:tr>
        <w:tblPrEx>
          <w:tblCellMar>
            <w:top w:w="0" w:type="dxa"/>
            <w:left w:w="0" w:type="dxa"/>
            <w:bottom w:w="0" w:type="dxa"/>
            <w:right w:w="0" w:type="dxa"/>
          </w:tblCellMar>
        </w:tblPrEx>
        <w:trPr>
          <w:trHeight w:val="11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无营业执照、被依法吊销营业执照的单位以及未依法登记、备案的单位是否为不满16周岁未成年人介绍就业</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《禁止使用童工规定》第9条</w:t>
            </w:r>
          </w:p>
        </w:tc>
      </w:tr>
      <w:tr>
        <w:tblPrEx>
          <w:tblCellMar>
            <w:top w:w="0" w:type="dxa"/>
            <w:left w:w="0" w:type="dxa"/>
            <w:bottom w:w="0" w:type="dxa"/>
            <w:right w:w="0" w:type="dxa"/>
          </w:tblCellMar>
        </w:tblPrEx>
        <w:trPr>
          <w:trHeight w:val="8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用人单位是否在有毒物品作业场所使用童工</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《禁止使用童工规定》第6条</w:t>
            </w:r>
          </w:p>
        </w:tc>
      </w:tr>
      <w:tr>
        <w:tblPrEx>
          <w:tblCellMar>
            <w:top w:w="0" w:type="dxa"/>
            <w:left w:w="0" w:type="dxa"/>
            <w:bottom w:w="0" w:type="dxa"/>
            <w:right w:w="0" w:type="dxa"/>
          </w:tblCellMar>
        </w:tblPrEx>
        <w:trPr>
          <w:trHeight w:val="9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用人单位是否存在使用童工情形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《禁止使用童工规定》第6条</w:t>
            </w:r>
          </w:p>
        </w:tc>
      </w:tr>
      <w:tr>
        <w:tblPrEx>
          <w:tblCellMar>
            <w:top w:w="0" w:type="dxa"/>
            <w:left w:w="0" w:type="dxa"/>
            <w:bottom w:w="0" w:type="dxa"/>
            <w:right w:w="0" w:type="dxa"/>
          </w:tblCellMar>
        </w:tblPrEx>
        <w:trPr>
          <w:trHeight w:val="13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用人单位是否存在使用童工经劳动保障部门责令限期改正后，逾期不将童工送交其父母或者其他监护人的情形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《禁止使用童工规定》第6条</w:t>
            </w:r>
          </w:p>
        </w:tc>
      </w:tr>
      <w:tr>
        <w:tblPrEx>
          <w:tblCellMar>
            <w:top w:w="0" w:type="dxa"/>
            <w:left w:w="0" w:type="dxa"/>
            <w:bottom w:w="0" w:type="dxa"/>
            <w:right w:w="0" w:type="dxa"/>
          </w:tblCellMar>
        </w:tblPrEx>
        <w:trPr>
          <w:trHeight w:val="10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无营业执照、被依法吊销营业执照的单位以及未依法登记、备案的单位是否使用童工</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《禁止使用童工规定》第9条</w:t>
            </w:r>
          </w:p>
        </w:tc>
      </w:tr>
      <w:tr>
        <w:tblPrEx>
          <w:tblCellMar>
            <w:top w:w="0" w:type="dxa"/>
            <w:left w:w="0" w:type="dxa"/>
            <w:bottom w:w="0" w:type="dxa"/>
            <w:right w:w="0" w:type="dxa"/>
          </w:tblCellMar>
        </w:tblPrEx>
        <w:trPr>
          <w:trHeight w:val="82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女职工和未成年工特殊劳动保护</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娱乐场所是否招用未满18周岁未成年人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《娱乐场所管理条例》第52条</w:t>
            </w:r>
          </w:p>
        </w:tc>
      </w:tr>
      <w:tr>
        <w:tblPrEx>
          <w:tblCellMar>
            <w:top w:w="0" w:type="dxa"/>
            <w:left w:w="0" w:type="dxa"/>
            <w:bottom w:w="0" w:type="dxa"/>
            <w:right w:w="0" w:type="dxa"/>
          </w:tblCellMar>
        </w:tblPrEx>
        <w:trPr>
          <w:trHeight w:val="3198"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有下列行为之一：对怀孕7个月以上的女职工延长劳动时间或安排夜班劳动；女职工产假不满法定天数；安排哺乳未满1周岁婴儿的女职工延长劳动时间或者安排夜班劳动；安排未成年工从事矿山井下、有毒有害、国家规定的第四级体力劳动强度的劳动或者其他禁忌从事的劳动；未对未成年工定期进行健康检查</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《劳动保障监察条例》第23条、《女职工劳动特殊保护规定》第6条第2款、第7条、第9条第1款、第13条、《未成年工特殊劳动保护规定》第6条</w:t>
            </w:r>
          </w:p>
        </w:tc>
      </w:tr>
      <w:tr>
        <w:tblPrEx>
          <w:tblCellMar>
            <w:top w:w="0" w:type="dxa"/>
            <w:left w:w="0" w:type="dxa"/>
            <w:bottom w:w="0" w:type="dxa"/>
            <w:right w:w="0" w:type="dxa"/>
          </w:tblCellMar>
        </w:tblPrEx>
        <w:trPr>
          <w:trHeight w:val="108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工资支付和最低工资标准</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用人单位是否有下列行为之一：未按照劳动合同的约定或者国家规定及时足额支付劳动报酬；低于当地最低工资标准支付劳动者工资；安排加班不支付加班费</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劳动合同法第85条、《劳动保障监察条例》第26条</w:t>
            </w:r>
          </w:p>
        </w:tc>
      </w:tr>
      <w:tr>
        <w:tblPrEx>
          <w:tblCellMar>
            <w:top w:w="0" w:type="dxa"/>
            <w:left w:w="0" w:type="dxa"/>
            <w:bottom w:w="0" w:type="dxa"/>
            <w:right w:w="0" w:type="dxa"/>
          </w:tblCellMar>
        </w:tblPrEx>
        <w:trPr>
          <w:trHeight w:val="1909"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用人单位是否依照劳动合同法的规定向劳动者每月支付两倍的工资或者赔偿金</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劳动合同法第82、87条、《劳动合同法实施条例》第34条</w:t>
            </w:r>
          </w:p>
        </w:tc>
      </w:tr>
      <w:tr>
        <w:tblPrEx>
          <w:tblCellMar>
            <w:top w:w="0" w:type="dxa"/>
            <w:left w:w="0" w:type="dxa"/>
            <w:bottom w:w="0" w:type="dxa"/>
            <w:right w:w="0" w:type="dxa"/>
          </w:tblCellMar>
        </w:tblPrEx>
        <w:trPr>
          <w:trHeight w:val="136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社会保险</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用人单位（包括有缴纳社保义务的劳务派遣单位和用工单位）是否办理社会保险登记</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社会保险法第77、84条、《劳务派遣暂行规定》第8、18、19条</w:t>
            </w:r>
          </w:p>
        </w:tc>
      </w:tr>
      <w:tr>
        <w:tblPrEx>
          <w:tblCellMar>
            <w:top w:w="0" w:type="dxa"/>
            <w:left w:w="0" w:type="dxa"/>
            <w:bottom w:w="0" w:type="dxa"/>
            <w:right w:w="0" w:type="dxa"/>
          </w:tblCellMar>
        </w:tblPrEx>
        <w:trPr>
          <w:trHeight w:val="213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用人单位（包括有缴纳社保义务的劳务派遣单位和用工单位）是否按时足额缴纳社会保险费</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社会保险法第77、86条、《劳动保障监察条例》第11条、《社会保险费征缴暂行条例》第5、18条、《劳务派遣暂行规定》第8、18、19条（《社会保险费征缴监督检查办法》第3条）</w:t>
            </w:r>
          </w:p>
        </w:tc>
      </w:tr>
      <w:tr>
        <w:tblPrEx>
          <w:tblCellMar>
            <w:top w:w="0" w:type="dxa"/>
            <w:left w:w="0" w:type="dxa"/>
            <w:bottom w:w="0" w:type="dxa"/>
            <w:right w:w="0" w:type="dxa"/>
          </w:tblCellMar>
        </w:tblPrEx>
        <w:trPr>
          <w:trHeight w:val="11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用人单位是否存在因伪造、变造、故意毁灭有关账册、材料等致使无法确定社会保险费缴费基数，经核定征收后是否存在延迟缴纳的情形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《社会保险费征缴暂行条例》第24条</w:t>
            </w:r>
          </w:p>
        </w:tc>
      </w:tr>
      <w:tr>
        <w:tblPrEx>
          <w:tblCellMar>
            <w:top w:w="0" w:type="dxa"/>
            <w:left w:w="0" w:type="dxa"/>
            <w:bottom w:w="0" w:type="dxa"/>
            <w:right w:w="0" w:type="dxa"/>
          </w:tblCellMar>
        </w:tblPrEx>
        <w:trPr>
          <w:trHeight w:val="7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用人单位是否存在向社会保险经办机构申报应缴纳的社会保险费数额时，瞒报工资总额或者职工人数</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《劳动保障监察条例》第27条第1款</w:t>
            </w:r>
          </w:p>
        </w:tc>
      </w:tr>
      <w:tr>
        <w:tblPrEx>
          <w:tblCellMar>
            <w:top w:w="0" w:type="dxa"/>
            <w:left w:w="0" w:type="dxa"/>
            <w:bottom w:w="0" w:type="dxa"/>
            <w:right w:w="0" w:type="dxa"/>
          </w:tblCellMar>
        </w:tblPrEx>
        <w:trPr>
          <w:trHeight w:val="18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缴费单位是否按规定公布本单位社会保险费缴纳情况，将缴费明细告知劳动者本人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《实施&lt;中华人民共和国社会保险法&gt;若干规定》第24条、《社会保险费征缴暂行条例》第17条（《社会保险费征缴监督检查办法》第14条）</w:t>
            </w:r>
          </w:p>
        </w:tc>
      </w:tr>
      <w:tr>
        <w:tblPrEx>
          <w:tblCellMar>
            <w:top w:w="0" w:type="dxa"/>
            <w:left w:w="0" w:type="dxa"/>
            <w:bottom w:w="0" w:type="dxa"/>
            <w:right w:w="0" w:type="dxa"/>
          </w:tblCellMar>
        </w:tblPrEx>
        <w:trPr>
          <w:trHeight w:val="9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从事劳动能力鉴定的组织或者个人是否存在以下情形之一：提供虚假鉴定意见、提供虚假诊断证明、收受当事人财物</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《工伤保险条例》第61条</w:t>
            </w:r>
          </w:p>
        </w:tc>
      </w:tr>
      <w:tr>
        <w:tblPrEx>
          <w:tblCellMar>
            <w:top w:w="0" w:type="dxa"/>
            <w:left w:w="0" w:type="dxa"/>
            <w:bottom w:w="0" w:type="dxa"/>
            <w:right w:w="0" w:type="dxa"/>
          </w:tblCellMar>
        </w:tblPrEx>
        <w:trPr>
          <w:trHeight w:val="10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单位或个人是否存在以欺诈、伪造证明材料或者其他手段骗取社会保险待遇</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社会保险法第88条、《劳动保障监察条例》第27条第2款</w:t>
            </w:r>
          </w:p>
        </w:tc>
      </w:tr>
      <w:tr>
        <w:tblPrEx>
          <w:tblCellMar>
            <w:top w:w="0" w:type="dxa"/>
            <w:left w:w="0" w:type="dxa"/>
            <w:bottom w:w="0" w:type="dxa"/>
            <w:right w:w="0" w:type="dxa"/>
          </w:tblCellMar>
        </w:tblPrEx>
        <w:trPr>
          <w:trHeight w:val="8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用人单位、工伤职工或者其近亲属是否存在骗取工伤保险待遇的行为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《工伤保险条例》第60条</w:t>
            </w:r>
          </w:p>
        </w:tc>
      </w:tr>
      <w:tr>
        <w:tblPrEx>
          <w:tblCellMar>
            <w:top w:w="0" w:type="dxa"/>
            <w:left w:w="0" w:type="dxa"/>
            <w:bottom w:w="0" w:type="dxa"/>
            <w:right w:w="0" w:type="dxa"/>
          </w:tblCellMar>
        </w:tblPrEx>
        <w:trPr>
          <w:trHeight w:val="8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医疗机构、辅助器具配置机构是否存在骗取工伤保险基金支出的行为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《工伤保险条例》第60条</w:t>
            </w:r>
          </w:p>
        </w:tc>
      </w:tr>
      <w:tr>
        <w:tblPrEx>
          <w:tblCellMar>
            <w:top w:w="0" w:type="dxa"/>
            <w:left w:w="0" w:type="dxa"/>
            <w:bottom w:w="0" w:type="dxa"/>
            <w:right w:w="0" w:type="dxa"/>
          </w:tblCellMar>
        </w:tblPrEx>
        <w:trPr>
          <w:trHeight w:val="11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社保经办机构、社保服务机构、用人单位或个人是否存在骗取社会保险基金支出的行为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社会保险法第87条、《劳动保障监察条例》第27条第2款</w:t>
            </w:r>
          </w:p>
        </w:tc>
      </w:tr>
      <w:tr>
        <w:tblPrEx>
          <w:tblCellMar>
            <w:top w:w="0" w:type="dxa"/>
            <w:left w:w="0" w:type="dxa"/>
            <w:bottom w:w="0" w:type="dxa"/>
            <w:right w:w="0" w:type="dxa"/>
          </w:tblCellMar>
        </w:tblPrEx>
        <w:trPr>
          <w:trHeight w:val="172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人力资源服务</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单位或个人是否存在未经许可擅自从事职业中介活动的情形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就业促进法第64条、《人力资源市场暂行条例》第42条第1款（《就业服务与就业管理规定》第70条）</w:t>
            </w:r>
          </w:p>
        </w:tc>
      </w:tr>
      <w:tr>
        <w:tblPrEx>
          <w:tblCellMar>
            <w:top w:w="0" w:type="dxa"/>
            <w:left w:w="0" w:type="dxa"/>
            <w:bottom w:w="0" w:type="dxa"/>
            <w:right w:w="0" w:type="dxa"/>
          </w:tblCellMar>
        </w:tblPrEx>
        <w:trPr>
          <w:trHeight w:val="8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经营性人力资源服务机构开展人力资源服务外包等人力资源服务业务是否履行备案义务</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《人力资源市场暂行条例》第42条第2款</w:t>
            </w:r>
          </w:p>
        </w:tc>
      </w:tr>
      <w:tr>
        <w:tblPrEx>
          <w:tblCellMar>
            <w:top w:w="0" w:type="dxa"/>
            <w:left w:w="0" w:type="dxa"/>
            <w:bottom w:w="0" w:type="dxa"/>
            <w:right w:w="0" w:type="dxa"/>
          </w:tblCellMar>
        </w:tblPrEx>
        <w:trPr>
          <w:trHeight w:val="8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经营性人力资源服务机构设立分支机构、办理变更或注销登记是否按规定提交书面报告</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《人力资源市场暂行条例》第42条第2款</w:t>
            </w:r>
          </w:p>
        </w:tc>
      </w:tr>
      <w:tr>
        <w:tblPrEx>
          <w:tblCellMar>
            <w:top w:w="0" w:type="dxa"/>
            <w:left w:w="0" w:type="dxa"/>
            <w:bottom w:w="0" w:type="dxa"/>
            <w:right w:w="0" w:type="dxa"/>
          </w:tblCellMar>
        </w:tblPrEx>
        <w:trPr>
          <w:trHeight w:val="10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经营性人力资源服务机构是否存在发布不真实、不合法招聘就业信息的情形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就业促进法第65条、《人力资源市场暂行条例》第43条</w:t>
            </w:r>
          </w:p>
        </w:tc>
      </w:tr>
      <w:tr>
        <w:tblPrEx>
          <w:tblCellMar>
            <w:top w:w="0" w:type="dxa"/>
            <w:left w:w="0" w:type="dxa"/>
            <w:bottom w:w="0" w:type="dxa"/>
            <w:right w:w="0" w:type="dxa"/>
          </w:tblCellMar>
        </w:tblPrEx>
        <w:trPr>
          <w:trHeight w:val="8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经营性人力资源服务机构是否建立健全内部制度、保存服务台账、按规定提交经营情况年度报告</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《人力资源市场暂行条例》第44条</w:t>
            </w:r>
          </w:p>
        </w:tc>
      </w:tr>
      <w:tr>
        <w:tblPrEx>
          <w:tblCellMar>
            <w:top w:w="0" w:type="dxa"/>
            <w:left w:w="0" w:type="dxa"/>
            <w:bottom w:w="0" w:type="dxa"/>
            <w:right w:w="0" w:type="dxa"/>
          </w:tblCellMar>
        </w:tblPrEx>
        <w:trPr>
          <w:trHeight w:val="13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人力资源服务机构是否存在未明示营业执照、服务项目、收费标准、人力资源服务许可证、监督机关及监督电话等情形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《人力资源市场暂行条例》第32、44条（《就业服务与就业管理规定》第71条）</w:t>
            </w:r>
          </w:p>
        </w:tc>
      </w:tr>
      <w:tr>
        <w:tblPrEx>
          <w:tblCellMar>
            <w:top w:w="0" w:type="dxa"/>
            <w:left w:w="0" w:type="dxa"/>
            <w:bottom w:w="0" w:type="dxa"/>
            <w:right w:w="0" w:type="dxa"/>
          </w:tblCellMar>
        </w:tblPrEx>
        <w:trPr>
          <w:trHeight w:val="10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职业中介机构是否存在为无合法证照用人单位提供职业中介服务和伪造、涂改、转让职业中介许可证行为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就业促进法第65条（《就业服务与就业管理规定》第74条）</w:t>
            </w:r>
          </w:p>
        </w:tc>
      </w:tr>
      <w:tr>
        <w:tblPrEx>
          <w:tblCellMar>
            <w:top w:w="0" w:type="dxa"/>
            <w:left w:w="0" w:type="dxa"/>
            <w:bottom w:w="0" w:type="dxa"/>
            <w:right w:w="0" w:type="dxa"/>
          </w:tblCellMar>
        </w:tblPrEx>
        <w:trPr>
          <w:trHeight w:val="13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职业中介机构是否存在扣押劳动者居民身份证等证件的行为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就业促进法第66条第1款（《就业服务与就业管理规定》第74条）</w:t>
            </w:r>
          </w:p>
        </w:tc>
      </w:tr>
      <w:tr>
        <w:tblPrEx>
          <w:tblCellMar>
            <w:top w:w="0" w:type="dxa"/>
            <w:left w:w="0" w:type="dxa"/>
            <w:bottom w:w="0" w:type="dxa"/>
            <w:right w:w="0" w:type="dxa"/>
          </w:tblCellMar>
        </w:tblPrEx>
        <w:trPr>
          <w:trHeight w:val="12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职业中介机构是否存在向劳动者收取押金的行为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就业促进法第66条第2款（《就业服务与就业管理规定》第74条）</w:t>
            </w:r>
          </w:p>
        </w:tc>
      </w:tr>
      <w:tr>
        <w:tblPrEx>
          <w:tblCellMar>
            <w:top w:w="0" w:type="dxa"/>
            <w:left w:w="0" w:type="dxa"/>
            <w:bottom w:w="0" w:type="dxa"/>
            <w:right w:w="0" w:type="dxa"/>
          </w:tblCellMar>
        </w:tblPrEx>
        <w:trPr>
          <w:trHeight w:val="7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船员服务机构在提供船员服务时，是否存在提供虚假信息，欺诈船员的情形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《中华人民共和国船员条例》第63条</w:t>
            </w:r>
          </w:p>
        </w:tc>
      </w:tr>
      <w:tr>
        <w:tblPrEx>
          <w:tblCellMar>
            <w:top w:w="0" w:type="dxa"/>
            <w:left w:w="0" w:type="dxa"/>
            <w:bottom w:w="0" w:type="dxa"/>
            <w:right w:w="0" w:type="dxa"/>
          </w:tblCellMar>
        </w:tblPrEx>
        <w:trPr>
          <w:trHeight w:val="10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职业中介机构是否存在未建立服务台帐，或虽建立服务台帐但未记录服务对象、服务过程、服务结果和收费情况的情形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《就业服务与就业管理规定》第72条</w:t>
            </w:r>
          </w:p>
        </w:tc>
      </w:tr>
      <w:tr>
        <w:tblPrEx>
          <w:tblCellMar>
            <w:top w:w="0" w:type="dxa"/>
            <w:left w:w="0" w:type="dxa"/>
            <w:bottom w:w="0" w:type="dxa"/>
            <w:right w:w="0" w:type="dxa"/>
          </w:tblCellMar>
        </w:tblPrEx>
        <w:trPr>
          <w:trHeight w:val="7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职业中介机构在职业中介服务不成功后是否存在未向劳动者退还所收取的中介服务费等行为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《就业服务与就业管理规定》第73条</w:t>
            </w:r>
          </w:p>
        </w:tc>
      </w:tr>
      <w:tr>
        <w:tblPrEx>
          <w:tblCellMar>
            <w:top w:w="0" w:type="dxa"/>
            <w:left w:w="0" w:type="dxa"/>
            <w:bottom w:w="0" w:type="dxa"/>
            <w:right w:w="0" w:type="dxa"/>
          </w:tblCellMar>
        </w:tblPrEx>
        <w:trPr>
          <w:trHeight w:val="19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中介机构是否有下列行为之一：发布的就业信息中包含歧视性内容；为无合法身份证件的劳动者提供职业中介服务；介绍劳动者从事法律法规禁止从事的职业；以暴力胁迫欺诈等方式进行职业中介活动；超出核准的业务范围经营；其他违反法律法规规定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《人力资源市场暂行条例》第43条、《劳动保障监察条例》第28条（《就业服务与就业管理规定》第58、74条）</w:t>
            </w:r>
          </w:p>
        </w:tc>
      </w:tr>
      <w:tr>
        <w:tblPrEx>
          <w:tblCellMar>
            <w:top w:w="0" w:type="dxa"/>
            <w:left w:w="0" w:type="dxa"/>
            <w:bottom w:w="0" w:type="dxa"/>
            <w:right w:w="0" w:type="dxa"/>
          </w:tblCellMar>
        </w:tblPrEx>
        <w:trPr>
          <w:trHeight w:val="9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人才中介服务机构是否存在不依法接受检查或者提供虚假材料、不按规定办理许可证变更手续的行为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《人才市场管理规定》第34条</w:t>
            </w:r>
          </w:p>
        </w:tc>
      </w:tr>
      <w:tr>
        <w:tblPrEx>
          <w:tblCellMar>
            <w:top w:w="0" w:type="dxa"/>
            <w:left w:w="0" w:type="dxa"/>
            <w:bottom w:w="0" w:type="dxa"/>
            <w:right w:w="0" w:type="dxa"/>
          </w:tblCellMar>
        </w:tblPrEx>
        <w:trPr>
          <w:trHeight w:val="98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人力资源服务</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单位或个人是否存在未经依法授权从事人事代理业务的行为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《人才市场管理规定》第35条</w:t>
            </w:r>
          </w:p>
        </w:tc>
      </w:tr>
      <w:tr>
        <w:tblPrEx>
          <w:tblCellMar>
            <w:top w:w="0" w:type="dxa"/>
            <w:left w:w="0" w:type="dxa"/>
            <w:bottom w:w="0" w:type="dxa"/>
            <w:right w:w="0" w:type="dxa"/>
          </w:tblCellMar>
        </w:tblPrEx>
        <w:trPr>
          <w:trHeight w:val="9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60</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人才中介服务机构是否存在超出许可业务范围接受代理业务的行为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《人才市场管理规定》第36条</w:t>
            </w:r>
          </w:p>
        </w:tc>
      </w:tr>
      <w:tr>
        <w:tblPrEx>
          <w:tblCellMar>
            <w:top w:w="0" w:type="dxa"/>
            <w:left w:w="0" w:type="dxa"/>
            <w:bottom w:w="0" w:type="dxa"/>
            <w:right w:w="0" w:type="dxa"/>
          </w:tblCellMar>
        </w:tblPrEx>
        <w:trPr>
          <w:trHeight w:val="13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用人单位是否存在以民族、性别、宗教信仰为由拒绝聘用或者提高聘用标准的行为、招聘不得招聘人员、向应聘者收取费用或者采取欺诈等手段谋取非法利益的行为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《人才市场管理规定》第37条</w:t>
            </w:r>
          </w:p>
        </w:tc>
      </w:tr>
      <w:tr>
        <w:tblPrEx>
          <w:tblCellMar>
            <w:top w:w="0" w:type="dxa"/>
            <w:left w:w="0" w:type="dxa"/>
            <w:bottom w:w="0" w:type="dxa"/>
            <w:right w:w="0" w:type="dxa"/>
          </w:tblCellMar>
        </w:tblPrEx>
        <w:trPr>
          <w:trHeight w:val="70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职业技能培训和职业技能考核鉴定</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民办学校是否有民办教育促进法第62条的情形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民办教育促进法第62条</w:t>
            </w:r>
          </w:p>
        </w:tc>
      </w:tr>
      <w:tr>
        <w:tblPrEx>
          <w:tblCellMar>
            <w:top w:w="0" w:type="dxa"/>
            <w:left w:w="0" w:type="dxa"/>
            <w:bottom w:w="0" w:type="dxa"/>
            <w:right w:w="0" w:type="dxa"/>
          </w:tblCellMar>
        </w:tblPrEx>
        <w:trPr>
          <w:trHeight w:val="7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社会组织或个人是否擅自举办实施职业技能培训的民办学校</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民办教育促进法第64条</w:t>
            </w:r>
          </w:p>
        </w:tc>
      </w:tr>
      <w:tr>
        <w:tblPrEx>
          <w:tblCellMar>
            <w:top w:w="0" w:type="dxa"/>
            <w:left w:w="0" w:type="dxa"/>
            <w:bottom w:w="0" w:type="dxa"/>
            <w:right w:w="0" w:type="dxa"/>
          </w:tblCellMar>
        </w:tblPrEx>
        <w:trPr>
          <w:trHeight w:val="11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职业技能培训机构或者职业技能考核鉴定机构是否存在违反国家有关职业技能培训或者职业技能考核鉴定规定的行为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《劳动保障监察条例》第28条</w:t>
            </w:r>
          </w:p>
        </w:tc>
      </w:tr>
      <w:tr>
        <w:tblPrEx>
          <w:tblCellMar>
            <w:top w:w="0" w:type="dxa"/>
            <w:left w:w="0" w:type="dxa"/>
            <w:bottom w:w="0" w:type="dxa"/>
            <w:right w:w="0" w:type="dxa"/>
          </w:tblCellMar>
        </w:tblPrEx>
        <w:trPr>
          <w:trHeight w:val="8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实施职业技能培训的民办学校是否有《民办教育促进法实施条例》第47、49条的情形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《民办教育促进法实施条例》第47、49条</w:t>
            </w:r>
          </w:p>
        </w:tc>
      </w:tr>
      <w:tr>
        <w:tblPrEx>
          <w:tblCellMar>
            <w:top w:w="0" w:type="dxa"/>
            <w:left w:w="0" w:type="dxa"/>
            <w:bottom w:w="0" w:type="dxa"/>
            <w:right w:w="0" w:type="dxa"/>
          </w:tblCellMar>
        </w:tblPrEx>
        <w:trPr>
          <w:trHeight w:val="14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实施职业技能培训的民办学校是否存在将出资人取得回报比例的决定和向社会公布的有关办学水平和教育质量等材料、财务状况报审批机关备案，或者备案材料不真实的情形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《民办教育促进法实施条例》第50条</w:t>
            </w:r>
          </w:p>
        </w:tc>
      </w:tr>
      <w:tr>
        <w:tblPrEx>
          <w:tblCellMar>
            <w:top w:w="0" w:type="dxa"/>
            <w:left w:w="0" w:type="dxa"/>
            <w:bottom w:w="0" w:type="dxa"/>
            <w:right w:w="0" w:type="dxa"/>
          </w:tblCellMar>
        </w:tblPrEx>
        <w:trPr>
          <w:trHeight w:val="11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实施职业技能培训的民办学校是否存在管理混乱严重影响教育教学，有《民办教育促进法实施条例》第51条的情形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《民办教育促进法实施条例》第51条</w:t>
            </w:r>
          </w:p>
        </w:tc>
      </w:tr>
      <w:tr>
        <w:tblPrEx>
          <w:tblCellMar>
            <w:top w:w="0" w:type="dxa"/>
            <w:left w:w="0" w:type="dxa"/>
            <w:bottom w:w="0" w:type="dxa"/>
            <w:right w:w="0" w:type="dxa"/>
          </w:tblCellMar>
        </w:tblPrEx>
        <w:trPr>
          <w:trHeight w:val="11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单位或个人是否存在未经批准擅自设立实施职业技能培训的中外合作办学机构或者以不正当手段骗取中外合作办学许可证的情形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《中外合作办学条例》第51条</w:t>
            </w:r>
          </w:p>
        </w:tc>
      </w:tr>
      <w:tr>
        <w:tblPrEx>
          <w:tblCellMar>
            <w:top w:w="0" w:type="dxa"/>
            <w:left w:w="0" w:type="dxa"/>
            <w:bottom w:w="0" w:type="dxa"/>
            <w:right w:w="0" w:type="dxa"/>
          </w:tblCellMar>
        </w:tblPrEx>
        <w:trPr>
          <w:trHeight w:val="8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实施职业技能培训的中外合作办学机构是否存在筹备设立期间招收学生的情形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《中外合作办学条例》第52条</w:t>
            </w:r>
          </w:p>
        </w:tc>
      </w:tr>
      <w:tr>
        <w:tblPrEx>
          <w:tblCellMar>
            <w:top w:w="0" w:type="dxa"/>
            <w:left w:w="0" w:type="dxa"/>
            <w:bottom w:w="0" w:type="dxa"/>
            <w:right w:w="0" w:type="dxa"/>
          </w:tblCellMar>
        </w:tblPrEx>
        <w:trPr>
          <w:trHeight w:val="9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70</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中外合作办学者是否存在虚假出资或者在中外合作办学机构成立后抽逃出资的情形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《中外合作办学条例》第53条</w:t>
            </w:r>
          </w:p>
        </w:tc>
      </w:tr>
      <w:tr>
        <w:tblPrEx>
          <w:tblCellMar>
            <w:top w:w="0" w:type="dxa"/>
            <w:left w:w="0" w:type="dxa"/>
            <w:bottom w:w="0" w:type="dxa"/>
            <w:right w:w="0" w:type="dxa"/>
          </w:tblCellMar>
        </w:tblPrEx>
        <w:trPr>
          <w:trHeight w:val="8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实施职业技能培训的中外合作办学机构是否存在未经批准增加收费项目或者提高收费标准的情形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《中外合作办学条例》第55条</w:t>
            </w:r>
          </w:p>
        </w:tc>
      </w:tr>
      <w:tr>
        <w:tblPrEx>
          <w:tblCellMar>
            <w:top w:w="0" w:type="dxa"/>
            <w:left w:w="0" w:type="dxa"/>
            <w:bottom w:w="0" w:type="dxa"/>
            <w:right w:w="0" w:type="dxa"/>
          </w:tblCellMar>
        </w:tblPrEx>
        <w:trPr>
          <w:trHeight w:val="11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实施职业技能培训的中外合作办学机构是否存在管理混乱、教育教学质量低下，造成恶劣影响的情形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《中外合作办学条例》第56条</w:t>
            </w:r>
          </w:p>
        </w:tc>
      </w:tr>
      <w:tr>
        <w:tblPrEx>
          <w:tblCellMar>
            <w:top w:w="0" w:type="dxa"/>
            <w:left w:w="0" w:type="dxa"/>
            <w:bottom w:w="0" w:type="dxa"/>
            <w:right w:w="0" w:type="dxa"/>
          </w:tblCellMar>
        </w:tblPrEx>
        <w:trPr>
          <w:trHeight w:val="8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实施职业技能培训的中外合作办学机构是否存在发布虚假招生简章，骗取钱财的情形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《中外合作办学条例》第57条</w:t>
            </w:r>
          </w:p>
        </w:tc>
      </w:tr>
      <w:tr>
        <w:tblPrEx>
          <w:tblCellMar>
            <w:top w:w="0" w:type="dxa"/>
            <w:left w:w="0" w:type="dxa"/>
            <w:bottom w:w="0" w:type="dxa"/>
            <w:right w:w="0" w:type="dxa"/>
          </w:tblCellMar>
        </w:tblPrEx>
        <w:trPr>
          <w:trHeight w:val="132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劳务派遣单位与被派遣劳动者订立的劳动合同是否载明劳动合同必备条款</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劳动合同法第58、92条（《劳务派遣行政许可实施办法》第32条）</w:t>
            </w:r>
          </w:p>
        </w:tc>
      </w:tr>
      <w:tr>
        <w:tblPrEx>
          <w:tblCellMar>
            <w:top w:w="0" w:type="dxa"/>
            <w:left w:w="0" w:type="dxa"/>
            <w:bottom w:w="0" w:type="dxa"/>
            <w:right w:w="0" w:type="dxa"/>
          </w:tblCellMar>
        </w:tblPrEx>
        <w:trPr>
          <w:trHeight w:val="13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劳务派遣单位是否存在没有与劳动者签订二年以上固定期限劳动合同的情形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劳动合同法第58条第2款、第92条（《劳务派遣行政许可实施办法》第32条）</w:t>
            </w:r>
          </w:p>
        </w:tc>
      </w:tr>
      <w:tr>
        <w:tblPrEx>
          <w:tblCellMar>
            <w:top w:w="0" w:type="dxa"/>
            <w:left w:w="0" w:type="dxa"/>
            <w:bottom w:w="0" w:type="dxa"/>
            <w:right w:w="0" w:type="dxa"/>
          </w:tblCellMar>
        </w:tblPrEx>
        <w:trPr>
          <w:trHeight w:val="14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被派遣劳动者在无工作期间，劳务派遣单位是否存在未按照所在地人民政府规定的最低工资标准，向其按月支付报酬的情形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劳动合同法第58条第2款、第92条（《劳务派遣行政许可实施办法》第32条）</w:t>
            </w:r>
          </w:p>
        </w:tc>
      </w:tr>
      <w:tr>
        <w:tblPrEx>
          <w:tblCellMar>
            <w:top w:w="0" w:type="dxa"/>
            <w:left w:w="0" w:type="dxa"/>
            <w:bottom w:w="0" w:type="dxa"/>
            <w:right w:w="0" w:type="dxa"/>
          </w:tblCellMar>
        </w:tblPrEx>
        <w:trPr>
          <w:trHeight w:val="14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劳务派遣单位派遣劳动者，是否存在未与用工单位签订劳务派遣协议，或者协议内容未约定派遣岗位和人员数量、派遣期限、劳动报酬和社保费用的数额与支付方式以及违反协议责任的情形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劳动合同法第59条、第92条（《劳务派遣行政许可实施办法》第32条）</w:t>
            </w:r>
          </w:p>
        </w:tc>
      </w:tr>
      <w:tr>
        <w:tblPrEx>
          <w:tblCellMar>
            <w:top w:w="0" w:type="dxa"/>
            <w:left w:w="0" w:type="dxa"/>
            <w:bottom w:w="0" w:type="dxa"/>
            <w:right w:w="0" w:type="dxa"/>
          </w:tblCellMar>
        </w:tblPrEx>
        <w:trPr>
          <w:trHeight w:val="16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劳务派遣单位是否存在未将劳务派遣协议的内容告知被派遣劳动者的情形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劳动合同法第60条第1款、第92条（《劳务派遣行政许可实施办法》第32条）</w:t>
            </w:r>
          </w:p>
        </w:tc>
      </w:tr>
      <w:tr>
        <w:tblPrEx>
          <w:tblCellMar>
            <w:top w:w="0" w:type="dxa"/>
            <w:left w:w="0" w:type="dxa"/>
            <w:bottom w:w="0" w:type="dxa"/>
            <w:right w:w="0" w:type="dxa"/>
          </w:tblCellMar>
        </w:tblPrEx>
        <w:trPr>
          <w:trHeight w:val="16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劳务派遣单位是否存在克扣用工单位按照劳务派遣协议支付给被派遣劳动者的劳动报酬的情形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劳动合同法第60条第2款、92条（《劳务派遣行政许可实施办法》第32条）</w:t>
            </w:r>
          </w:p>
        </w:tc>
      </w:tr>
      <w:tr>
        <w:tblPrEx>
          <w:tblCellMar>
            <w:top w:w="0" w:type="dxa"/>
            <w:left w:w="0" w:type="dxa"/>
            <w:bottom w:w="0" w:type="dxa"/>
            <w:right w:w="0" w:type="dxa"/>
          </w:tblCellMar>
        </w:tblPrEx>
        <w:trPr>
          <w:trHeight w:val="14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80</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劳务派遣单位是否存在向被派遣劳动者收取费用的情形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劳动合同法第60条第3款、第92条（《劳务派遣行政许可实施办法》第32条）</w:t>
            </w:r>
          </w:p>
        </w:tc>
      </w:tr>
      <w:tr>
        <w:tblPrEx>
          <w:tblCellMar>
            <w:top w:w="0" w:type="dxa"/>
            <w:left w:w="0" w:type="dxa"/>
            <w:bottom w:w="0" w:type="dxa"/>
            <w:right w:w="0" w:type="dxa"/>
          </w:tblCellMar>
        </w:tblPrEx>
        <w:trPr>
          <w:trHeight w:val="13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劳务派遣单位是否存在向设立该单位的用人单位或者其所属单位派遣劳动者的情形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劳动合同法第67、92条（《劳务派遣行政许可实施办法》第32条）</w:t>
            </w:r>
          </w:p>
        </w:tc>
      </w:tr>
      <w:tr>
        <w:tblPrEx>
          <w:tblCellMar>
            <w:top w:w="0" w:type="dxa"/>
            <w:left w:w="0" w:type="dxa"/>
            <w:bottom w:w="0" w:type="dxa"/>
            <w:right w:w="0" w:type="dxa"/>
          </w:tblCellMar>
        </w:tblPrEx>
        <w:trPr>
          <w:trHeight w:val="13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用工单位是否存在未根据工作岗位的实际需要与劳务派遣单位确定派遣期限，或者将连续用工期限分割订立数个短期劳务派遣协议的情形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劳动合同法第59条第2款、92条</w:t>
            </w:r>
          </w:p>
        </w:tc>
      </w:tr>
      <w:tr>
        <w:tblPrEx>
          <w:tblCellMar>
            <w:top w:w="0" w:type="dxa"/>
            <w:left w:w="0" w:type="dxa"/>
            <w:bottom w:w="0" w:type="dxa"/>
            <w:right w:w="0" w:type="dxa"/>
          </w:tblCellMar>
        </w:tblPrEx>
        <w:trPr>
          <w:trHeight w:val="13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用工单位是否存在向被派遣劳动者收取费用的情形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劳动合同法第60条第3款、92条</w:t>
            </w:r>
          </w:p>
        </w:tc>
      </w:tr>
      <w:tr>
        <w:tblPrEx>
          <w:tblCellMar>
            <w:top w:w="0" w:type="dxa"/>
            <w:left w:w="0" w:type="dxa"/>
            <w:bottom w:w="0" w:type="dxa"/>
            <w:right w:w="0" w:type="dxa"/>
          </w:tblCellMar>
        </w:tblPrEx>
        <w:trPr>
          <w:trHeight w:val="138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用工单位是否存在未依法履行劳动合同法第62条第1款规定义务的情形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劳动合同法第62条第1款、92条</w:t>
            </w:r>
          </w:p>
        </w:tc>
      </w:tr>
      <w:tr>
        <w:tblPrEx>
          <w:tblCellMar>
            <w:top w:w="0" w:type="dxa"/>
            <w:left w:w="0" w:type="dxa"/>
            <w:bottom w:w="0" w:type="dxa"/>
            <w:right w:w="0" w:type="dxa"/>
          </w:tblCellMar>
        </w:tblPrEx>
        <w:trPr>
          <w:trHeight w:val="138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用工单位是否存在将被派遣劳动者再派遣到其他用人单位的情形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劳动合同法第62条第2款、92条</w:t>
            </w:r>
          </w:p>
        </w:tc>
      </w:tr>
      <w:tr>
        <w:tblPrEx>
          <w:tblCellMar>
            <w:top w:w="0" w:type="dxa"/>
            <w:left w:w="0" w:type="dxa"/>
            <w:bottom w:w="0" w:type="dxa"/>
            <w:right w:w="0" w:type="dxa"/>
          </w:tblCellMar>
        </w:tblPrEx>
        <w:trPr>
          <w:trHeight w:val="13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用工单位是否存在设立劳务派遣单位向本单位或所属单位派遣劳动者的情形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劳动合同法第67、92条</w:t>
            </w:r>
          </w:p>
        </w:tc>
      </w:tr>
      <w:tr>
        <w:tblPrEx>
          <w:tblCellMar>
            <w:top w:w="0" w:type="dxa"/>
            <w:left w:w="0" w:type="dxa"/>
            <w:bottom w:w="0" w:type="dxa"/>
            <w:right w:w="0" w:type="dxa"/>
          </w:tblCellMar>
        </w:tblPrEx>
        <w:trPr>
          <w:trHeight w:val="13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单位或个人是否存在未经许可，擅自经营劳务派遣业务的情形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劳动合同法第57条第2款、92条（《劳务派遣行政许可实施办法》第31条）</w:t>
            </w:r>
          </w:p>
        </w:tc>
      </w:tr>
      <w:tr>
        <w:tblPrEx>
          <w:tblCellMar>
            <w:top w:w="0" w:type="dxa"/>
            <w:left w:w="0" w:type="dxa"/>
            <w:bottom w:w="0" w:type="dxa"/>
            <w:right w:w="0" w:type="dxa"/>
          </w:tblCellMar>
        </w:tblPrEx>
        <w:trPr>
          <w:trHeight w:val="92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劳务派遣单位是否存在《劳务派遣行政许可实施办法》第33条第1、2、3项的行为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《劳务派遣行政许可实施办法》第33条</w:t>
            </w:r>
          </w:p>
        </w:tc>
      </w:tr>
      <w:tr>
        <w:tblPrEx>
          <w:tblCellMar>
            <w:top w:w="0" w:type="dxa"/>
            <w:left w:w="0" w:type="dxa"/>
            <w:bottom w:w="0" w:type="dxa"/>
            <w:right w:w="0" w:type="dxa"/>
          </w:tblCellMar>
        </w:tblPrEx>
        <w:trPr>
          <w:trHeight w:val="84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89</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用工单位是否存在在临时性、辅助性或者替代性岗位以外的岗位上使用被派遣劳动者的情形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劳动合同法第66、92条</w:t>
            </w:r>
          </w:p>
        </w:tc>
      </w:tr>
      <w:tr>
        <w:tblPrEx>
          <w:tblCellMar>
            <w:top w:w="0" w:type="dxa"/>
            <w:left w:w="0" w:type="dxa"/>
            <w:bottom w:w="0" w:type="dxa"/>
            <w:right w:w="0" w:type="dxa"/>
          </w:tblCellMar>
        </w:tblPrEx>
        <w:trPr>
          <w:trHeight w:val="13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90</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劳务派遣用工数量是否超过规定比例</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劳动合同法第66条第3款、92条、《劳务派遣暂行规定》第4条</w:t>
            </w:r>
          </w:p>
        </w:tc>
      </w:tr>
      <w:tr>
        <w:tblPrEx>
          <w:tblCellMar>
            <w:top w:w="0" w:type="dxa"/>
            <w:left w:w="0" w:type="dxa"/>
            <w:bottom w:w="0" w:type="dxa"/>
            <w:right w:w="0" w:type="dxa"/>
          </w:tblCellMar>
        </w:tblPrEx>
        <w:trPr>
          <w:trHeight w:val="10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91</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用工单位决定使用被派遣劳动者的辅助性岗位是否履行了《劳务派遣暂行规定》第3条第3款的法定程序</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《劳务派遣暂行规定》第3条第3款、22条</w:t>
            </w:r>
          </w:p>
        </w:tc>
      </w:tr>
      <w:tr>
        <w:tblPrEx>
          <w:tblCellMar>
            <w:top w:w="0" w:type="dxa"/>
            <w:left w:w="0" w:type="dxa"/>
            <w:bottom w:w="0" w:type="dxa"/>
            <w:right w:w="0" w:type="dxa"/>
          </w:tblCellMar>
        </w:tblPrEx>
        <w:trPr>
          <w:trHeight w:val="110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92</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用工单位是否存在违法退回被派遣劳动者的情形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劳动合同法第92条、《劳务派遣暂行规定》第12、13、24条</w:t>
            </w:r>
          </w:p>
        </w:tc>
      </w:tr>
      <w:tr>
        <w:tblPrEx>
          <w:tblCellMar>
            <w:top w:w="0" w:type="dxa"/>
            <w:left w:w="0" w:type="dxa"/>
            <w:bottom w:w="0" w:type="dxa"/>
            <w:right w:w="0" w:type="dxa"/>
          </w:tblCellMar>
        </w:tblPrEx>
        <w:trPr>
          <w:trHeight w:val="104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高温劳动保护</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93</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用人单位是否存在高温条件下违反规定安排劳动者作业的情形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《防暑降温措施管理办法》第8条、21条</w:t>
            </w:r>
          </w:p>
        </w:tc>
      </w:tr>
      <w:tr>
        <w:tblPrEx>
          <w:tblCellMar>
            <w:top w:w="0" w:type="dxa"/>
            <w:left w:w="0" w:type="dxa"/>
            <w:bottom w:w="0" w:type="dxa"/>
            <w:right w:w="0" w:type="dxa"/>
          </w:tblCellMar>
        </w:tblPrEx>
        <w:trPr>
          <w:trHeight w:val="10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94</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用人单位是否存在未按规定支付高温津贴的情形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《防暑降温措施管理办法》第17、21条</w:t>
            </w:r>
          </w:p>
        </w:tc>
      </w:tr>
      <w:tr>
        <w:tblPrEx>
          <w:tblCellMar>
            <w:top w:w="0" w:type="dxa"/>
            <w:left w:w="0" w:type="dxa"/>
            <w:bottom w:w="0" w:type="dxa"/>
            <w:right w:w="0" w:type="dxa"/>
          </w:tblCellMar>
        </w:tblPrEx>
        <w:trPr>
          <w:trHeight w:val="106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外国人就业</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95</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外国人是否存在拒绝检查就业证、擅自变更用人单位、擅自更换职业、擅自延长就业期限的情形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《外国人在中国就业管理规定》第29条</w:t>
            </w:r>
          </w:p>
        </w:tc>
      </w:tr>
      <w:tr>
        <w:tblPrEx>
          <w:tblCellMar>
            <w:top w:w="0" w:type="dxa"/>
            <w:left w:w="0" w:type="dxa"/>
            <w:bottom w:w="0" w:type="dxa"/>
            <w:right w:w="0" w:type="dxa"/>
          </w:tblCellMar>
        </w:tblPrEx>
        <w:trPr>
          <w:trHeight w:val="10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96</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外国人和用人单位是否存在伪造、涂改、冒用、转让、买卖就业证和许可证书的行为</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《外国人在中国就业管理规定》第30条</w:t>
            </w:r>
          </w:p>
        </w:tc>
      </w:tr>
      <w:tr>
        <w:tblPrEx>
          <w:tblCellMar>
            <w:top w:w="0" w:type="dxa"/>
            <w:left w:w="0" w:type="dxa"/>
            <w:bottom w:w="0" w:type="dxa"/>
            <w:right w:w="0" w:type="dxa"/>
          </w:tblCellMar>
        </w:tblPrEx>
        <w:trPr>
          <w:trHeight w:val="1120" w:hRule="atLeast"/>
          <w:jc w:val="center"/>
        </w:trPr>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妨碍行政执法</w:t>
            </w: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97</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用人单位是否存在《劳动保障监察条例》第30条规定的阻挠检查的情形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《劳动保障监察条例》第30条</w:t>
            </w:r>
          </w:p>
        </w:tc>
      </w:tr>
      <w:tr>
        <w:tblPrEx>
          <w:tblCellMar>
            <w:top w:w="0" w:type="dxa"/>
            <w:left w:w="0" w:type="dxa"/>
            <w:bottom w:w="0" w:type="dxa"/>
            <w:right w:w="0" w:type="dxa"/>
          </w:tblCellMar>
        </w:tblPrEx>
        <w:trPr>
          <w:trHeight w:val="1660"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4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98</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用人单位是否存在违反《工伤保险条例》第19条拒不协助对事故进行调查核实的情形</w:t>
            </w:r>
          </w:p>
        </w:tc>
        <w:tc>
          <w:tcPr>
            <w:tcW w:w="650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《工伤保险条例》第63条</w:t>
            </w:r>
          </w:p>
        </w:tc>
      </w:tr>
    </w:tbl>
    <w:p>
      <w:pPr>
        <w:numPr>
          <w:ilvl w:val="0"/>
          <w:numId w:val="2"/>
        </w:numPr>
        <w:ind w:firstLine="321" w:firstLineChars="100"/>
        <w:rPr>
          <w:rFonts w:hint="eastAsia" w:ascii="仿宋_GB2312" w:hAnsi="宋体" w:eastAsia="仿宋_GB2312" w:cs="仿宋_GB2312"/>
          <w:b/>
          <w:bCs/>
          <w:kern w:val="0"/>
          <w:sz w:val="32"/>
          <w:szCs w:val="32"/>
          <w:lang w:val="en-US" w:eastAsia="zh-CN"/>
        </w:rPr>
      </w:pPr>
      <w:r>
        <w:rPr>
          <w:rFonts w:hint="eastAsia" w:ascii="仿宋_GB2312" w:hAnsi="宋体" w:eastAsia="仿宋_GB2312" w:cs="仿宋_GB2312"/>
          <w:b/>
          <w:bCs/>
          <w:kern w:val="0"/>
          <w:sz w:val="32"/>
          <w:szCs w:val="32"/>
          <w:lang w:val="en-US" w:eastAsia="zh-CN"/>
        </w:rPr>
        <w:t>检查对象名录库</w:t>
      </w:r>
    </w:p>
    <w:p>
      <w:pPr>
        <w:widowControl w:val="0"/>
        <w:numPr>
          <w:ilvl w:val="0"/>
          <w:numId w:val="0"/>
        </w:numPr>
        <w:ind w:firstLine="643"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b/>
          <w:bCs/>
          <w:kern w:val="0"/>
          <w:sz w:val="32"/>
          <w:szCs w:val="32"/>
          <w:lang w:val="en-US" w:eastAsia="zh-CN"/>
        </w:rPr>
        <w:t xml:space="preserve">   </w:t>
      </w:r>
      <w:r>
        <w:rPr>
          <w:rFonts w:hint="eastAsia" w:ascii="仿宋_GB2312" w:hAnsi="宋体" w:eastAsia="仿宋_GB2312" w:cs="仿宋_GB2312"/>
          <w:kern w:val="0"/>
          <w:sz w:val="32"/>
          <w:szCs w:val="32"/>
          <w:lang w:val="en-US" w:eastAsia="zh-CN"/>
        </w:rPr>
        <w:t xml:space="preserve"> 所有在剑阁县市场监管局注册登记的企业、个体工商户，或存在用工的其他社会组织。</w:t>
      </w:r>
    </w:p>
    <w:p>
      <w:pPr>
        <w:keepNext w:val="0"/>
        <w:keepLines w:val="0"/>
        <w:pageBreakBefore w:val="0"/>
        <w:widowControl/>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color w:val="auto"/>
          <w:kern w:val="0"/>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3" w:firstLineChars="200"/>
        <w:textAlignment w:val="auto"/>
        <w:rPr>
          <w:rFonts w:hint="eastAsia" w:eastAsia="仿宋_GB2312"/>
          <w:b/>
          <w:color w:val="FFFFFF"/>
          <w:sz w:val="24"/>
          <w:szCs w:val="24"/>
          <w:lang w:val="en-US" w:eastAsia="zh-CN"/>
        </w:rPr>
      </w:pPr>
      <w:r>
        <w:rPr>
          <w:rFonts w:hint="eastAsia" w:ascii="仿宋_GB2312" w:hAnsi="仿宋_GB2312" w:eastAsia="仿宋_GB2312" w:cs="仿宋_GB2312"/>
          <w:b/>
          <w:bCs/>
          <w:sz w:val="32"/>
          <w:szCs w:val="32"/>
          <w:lang w:val="en-US" w:eastAsia="zh-CN"/>
        </w:rPr>
        <w:t>八、剑阁县人社局行政执法文书样式、行政执法案卷评查制度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76" w:lineRule="exact"/>
        <w:ind w:right="0" w:firstLine="700" w:firstLineChars="200"/>
        <w:textAlignment w:val="auto"/>
        <w:rPr>
          <w:rFonts w:hint="eastAsia" w:ascii="仿宋_GB2312" w:hAnsi="仿宋_GB2312" w:eastAsia="仿宋_GB2312" w:cs="仿宋_GB2312"/>
          <w:b w:val="0"/>
          <w:bCs/>
          <w:i w:val="0"/>
          <w:caps w:val="0"/>
          <w:color w:val="464445"/>
          <w:spacing w:val="0"/>
          <w:sz w:val="32"/>
          <w:szCs w:val="32"/>
          <w:shd w:val="clear" w:color="auto" w:fill="FFFFFF"/>
          <w:lang w:eastAsia="zh-CN"/>
        </w:rPr>
      </w:pPr>
      <w:r>
        <w:rPr>
          <w:rFonts w:hint="eastAsia" w:ascii="仿宋_GB2312" w:hAnsi="仿宋_GB2312" w:eastAsia="仿宋_GB2312" w:cs="仿宋_GB2312"/>
          <w:b w:val="0"/>
          <w:bCs/>
          <w:i w:val="0"/>
          <w:caps w:val="0"/>
          <w:color w:val="404040"/>
          <w:spacing w:val="15"/>
          <w:sz w:val="32"/>
          <w:szCs w:val="32"/>
          <w:shd w:val="clear" w:color="auto" w:fill="FFFFFF"/>
          <w:lang w:eastAsia="zh-CN"/>
        </w:rPr>
        <w:t>（一）</w:t>
      </w:r>
      <w:r>
        <w:rPr>
          <w:rFonts w:hint="eastAsia" w:ascii="仿宋_GB2312" w:hAnsi="仿宋_GB2312" w:eastAsia="仿宋_GB2312" w:cs="仿宋_GB2312"/>
          <w:b w:val="0"/>
          <w:bCs/>
          <w:i w:val="0"/>
          <w:caps w:val="0"/>
          <w:color w:val="404040"/>
          <w:spacing w:val="15"/>
          <w:sz w:val="32"/>
          <w:szCs w:val="32"/>
          <w:shd w:val="clear" w:color="auto" w:fill="FFFFFF"/>
          <w:lang w:val="en-US" w:eastAsia="zh-CN"/>
        </w:rPr>
        <w:t>人社</w:t>
      </w:r>
      <w:r>
        <w:rPr>
          <w:rFonts w:hint="eastAsia" w:ascii="仿宋_GB2312" w:hAnsi="仿宋_GB2312" w:eastAsia="仿宋_GB2312" w:cs="仿宋_GB2312"/>
          <w:b w:val="0"/>
          <w:bCs/>
          <w:i w:val="0"/>
          <w:caps w:val="0"/>
          <w:color w:val="404040"/>
          <w:spacing w:val="15"/>
          <w:sz w:val="32"/>
          <w:szCs w:val="32"/>
          <w:shd w:val="clear" w:color="auto" w:fill="FFFFFF"/>
        </w:rPr>
        <w:t>部关于印发《</w:t>
      </w:r>
      <w:r>
        <w:rPr>
          <w:rFonts w:hint="eastAsia" w:ascii="仿宋_GB2312" w:hAnsi="仿宋_GB2312" w:eastAsia="仿宋_GB2312" w:cs="仿宋_GB2312"/>
          <w:b w:val="0"/>
          <w:bCs/>
          <w:i w:val="0"/>
          <w:caps w:val="0"/>
          <w:color w:val="404040"/>
          <w:spacing w:val="15"/>
          <w:sz w:val="32"/>
          <w:szCs w:val="32"/>
          <w:shd w:val="clear" w:color="auto" w:fill="FFFFFF"/>
          <w:lang w:val="en-US" w:eastAsia="zh-CN"/>
        </w:rPr>
        <w:t>人社</w:t>
      </w:r>
      <w:r>
        <w:rPr>
          <w:rFonts w:hint="eastAsia" w:ascii="仿宋_GB2312" w:hAnsi="仿宋_GB2312" w:eastAsia="仿宋_GB2312" w:cs="仿宋_GB2312"/>
          <w:b w:val="0"/>
          <w:bCs/>
          <w:i w:val="0"/>
          <w:caps w:val="0"/>
          <w:color w:val="404040"/>
          <w:spacing w:val="15"/>
          <w:sz w:val="32"/>
          <w:szCs w:val="32"/>
          <w:shd w:val="clear" w:color="auto" w:fill="FFFFFF"/>
        </w:rPr>
        <w:t>行政机关行政许可文书格式文本》的通知</w:t>
      </w:r>
      <w:r>
        <w:rPr>
          <w:rFonts w:hint="eastAsia" w:ascii="仿宋_GB2312" w:hAnsi="仿宋_GB2312" w:eastAsia="仿宋_GB2312" w:cs="仿宋_GB2312"/>
          <w:b w:val="0"/>
          <w:bCs/>
          <w:i w:val="0"/>
          <w:caps w:val="0"/>
          <w:color w:val="464445"/>
          <w:spacing w:val="0"/>
          <w:sz w:val="32"/>
          <w:szCs w:val="32"/>
          <w:shd w:val="clear" w:color="auto" w:fill="FFFFFF"/>
          <w:lang w:eastAsia="zh-CN"/>
        </w:rPr>
        <w:t>。</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i w:val="0"/>
          <w:caps w:val="0"/>
          <w:color w:val="000000"/>
          <w:spacing w:val="0"/>
          <w:sz w:val="32"/>
          <w:szCs w:val="32"/>
          <w:shd w:val="clear" w:color="auto" w:fill="FFFFFF"/>
          <w:lang w:val="en-US" w:eastAsia="zh-CN"/>
        </w:rPr>
      </w:pPr>
      <w:r>
        <w:rPr>
          <w:rFonts w:hint="eastAsia" w:ascii="仿宋_GB2312" w:hAnsi="仿宋_GB2312" w:eastAsia="仿宋_GB2312" w:cs="仿宋_GB2312"/>
          <w:b w:val="0"/>
          <w:bCs/>
          <w:i w:val="0"/>
          <w:caps w:val="0"/>
          <w:color w:val="333333"/>
          <w:spacing w:val="0"/>
          <w:sz w:val="32"/>
          <w:szCs w:val="32"/>
          <w:lang w:val="en-US" w:eastAsia="zh-CN"/>
        </w:rPr>
        <w:t>（二）人社部</w:t>
      </w:r>
      <w:r>
        <w:rPr>
          <w:rFonts w:hint="eastAsia" w:ascii="仿宋_GB2312" w:hAnsi="仿宋_GB2312" w:eastAsia="仿宋_GB2312" w:cs="仿宋_GB2312"/>
          <w:b w:val="0"/>
          <w:bCs/>
          <w:i w:val="0"/>
          <w:caps w:val="0"/>
          <w:color w:val="333333"/>
          <w:spacing w:val="0"/>
          <w:sz w:val="32"/>
          <w:szCs w:val="32"/>
        </w:rPr>
        <w:t>关于印发</w:t>
      </w:r>
      <w:r>
        <w:rPr>
          <w:rFonts w:hint="eastAsia" w:ascii="仿宋_GB2312" w:hAnsi="仿宋_GB2312" w:eastAsia="仿宋_GB2312" w:cs="仿宋_GB2312"/>
          <w:b w:val="0"/>
          <w:bCs/>
          <w:i w:val="0"/>
          <w:caps w:val="0"/>
          <w:color w:val="404040"/>
          <w:spacing w:val="15"/>
          <w:sz w:val="32"/>
          <w:szCs w:val="32"/>
          <w:shd w:val="clear" w:color="auto" w:fill="FFFFFF"/>
        </w:rPr>
        <w:t>《</w:t>
      </w:r>
      <w:r>
        <w:rPr>
          <w:rFonts w:hint="eastAsia" w:ascii="仿宋_GB2312" w:hAnsi="仿宋_GB2312" w:eastAsia="仿宋_GB2312" w:cs="仿宋_GB2312"/>
          <w:b w:val="0"/>
          <w:bCs/>
          <w:i w:val="0"/>
          <w:caps w:val="0"/>
          <w:color w:val="333333"/>
          <w:spacing w:val="0"/>
          <w:sz w:val="32"/>
          <w:szCs w:val="32"/>
          <w:lang w:val="en-US" w:eastAsia="zh-CN"/>
        </w:rPr>
        <w:t>人社</w:t>
      </w:r>
      <w:r>
        <w:rPr>
          <w:rFonts w:hint="eastAsia" w:ascii="仿宋_GB2312" w:hAnsi="仿宋_GB2312" w:eastAsia="仿宋_GB2312" w:cs="仿宋_GB2312"/>
          <w:b w:val="0"/>
          <w:bCs/>
          <w:i w:val="0"/>
          <w:caps w:val="0"/>
          <w:color w:val="333333"/>
          <w:spacing w:val="0"/>
          <w:sz w:val="32"/>
          <w:szCs w:val="32"/>
        </w:rPr>
        <w:t>行政机关行政执法文书格式的通知</w:t>
      </w:r>
      <w:r>
        <w:rPr>
          <w:rFonts w:hint="eastAsia" w:ascii="仿宋_GB2312" w:hAnsi="仿宋_GB2312" w:eastAsia="仿宋_GB2312" w:cs="仿宋_GB2312"/>
          <w:b w:val="0"/>
          <w:bCs/>
          <w:i w:val="0"/>
          <w:caps w:val="0"/>
          <w:color w:val="000000"/>
          <w:spacing w:val="0"/>
          <w:sz w:val="32"/>
          <w:szCs w:val="32"/>
          <w:shd w:val="clear" w:color="auto" w:fill="FFFFFF"/>
        </w:rPr>
        <w:t> </w:t>
      </w:r>
      <w:r>
        <w:rPr>
          <w:rFonts w:hint="eastAsia" w:ascii="仿宋_GB2312" w:hAnsi="仿宋_GB2312" w:eastAsia="仿宋_GB2312" w:cs="仿宋_GB2312"/>
          <w:b w:val="0"/>
          <w:bCs/>
          <w:i w:val="0"/>
          <w:caps w:val="0"/>
          <w:color w:val="404040"/>
          <w:spacing w:val="15"/>
          <w:sz w:val="32"/>
          <w:szCs w:val="32"/>
          <w:shd w:val="clear" w:color="auto" w:fill="FFFFFF"/>
        </w:rPr>
        <w:t>》</w:t>
      </w:r>
      <w:r>
        <w:rPr>
          <w:rFonts w:hint="eastAsia" w:ascii="仿宋_GB2312" w:hAnsi="仿宋_GB2312" w:eastAsia="仿宋_GB2312" w:cs="仿宋_GB2312"/>
          <w:b w:val="0"/>
          <w:bCs/>
          <w:i w:val="0"/>
          <w:caps w:val="0"/>
          <w:color w:val="404040"/>
          <w:spacing w:val="15"/>
          <w:sz w:val="32"/>
          <w:szCs w:val="32"/>
          <w:shd w:val="clear" w:color="auto" w:fill="FFFFFF"/>
          <w:lang w:eastAsia="zh-CN"/>
        </w:rPr>
        <w:t>。</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宋体" w:hAnsi="宋体" w:eastAsia="仿宋_GB2312" w:cs="宋体"/>
          <w:i w:val="0"/>
          <w:caps w:val="0"/>
          <w:color w:val="464445"/>
          <w:spacing w:val="0"/>
          <w:sz w:val="21"/>
          <w:szCs w:val="21"/>
          <w:shd w:val="clear" w:color="auto" w:fill="FFFFFF"/>
          <w:lang w:val="en-US" w:eastAsia="zh-CN"/>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广元市</w:t>
      </w:r>
      <w:r>
        <w:rPr>
          <w:rFonts w:hint="eastAsia" w:ascii="仿宋_GB2312" w:hAnsi="仿宋_GB2312" w:eastAsia="仿宋_GB2312" w:cs="仿宋_GB2312"/>
          <w:sz w:val="32"/>
          <w:szCs w:val="32"/>
          <w:lang w:val="en-US" w:eastAsia="zh-CN"/>
        </w:rPr>
        <w:t>人社</w:t>
      </w:r>
      <w:r>
        <w:rPr>
          <w:rFonts w:hint="eastAsia" w:ascii="仿宋_GB2312" w:hAnsi="仿宋_GB2312" w:eastAsia="仿宋_GB2312" w:cs="仿宋_GB2312"/>
          <w:sz w:val="32"/>
          <w:szCs w:val="32"/>
        </w:rPr>
        <w:t>局关于印发《广元市</w:t>
      </w:r>
      <w:r>
        <w:rPr>
          <w:rFonts w:hint="eastAsia" w:ascii="仿宋_GB2312" w:hAnsi="仿宋_GB2312" w:eastAsia="仿宋_GB2312" w:cs="仿宋_GB2312"/>
          <w:sz w:val="32"/>
          <w:szCs w:val="32"/>
          <w:lang w:val="en-US" w:eastAsia="zh-CN"/>
        </w:rPr>
        <w:t>人社</w:t>
      </w:r>
      <w:r>
        <w:rPr>
          <w:rFonts w:hint="eastAsia" w:ascii="仿宋_GB2312" w:hAnsi="仿宋_GB2312" w:eastAsia="仿宋_GB2312" w:cs="仿宋_GB2312"/>
          <w:sz w:val="32"/>
          <w:szCs w:val="32"/>
        </w:rPr>
        <w:t>行政机关行政执法案卷评查办法》及相关配套规定的通知</w:t>
      </w:r>
      <w:r>
        <w:rPr>
          <w:rFonts w:hint="eastAsia" w:ascii="仿宋_GB2312" w:hAnsi="仿宋_GB2312" w:eastAsia="仿宋_GB2312" w:cs="仿宋_GB2312"/>
          <w:sz w:val="32"/>
          <w:szCs w:val="32"/>
          <w:lang w:eastAsia="zh-CN"/>
        </w:rPr>
        <w:t>。</w:t>
      </w:r>
    </w:p>
    <w:p>
      <w:pPr>
        <w:keepNext w:val="0"/>
        <w:keepLines w:val="0"/>
        <w:pageBreakBefore w:val="0"/>
        <w:numPr>
          <w:ilvl w:val="0"/>
          <w:numId w:val="3"/>
        </w:numP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剑阁县人社局上年度双随机抽查结果、行政许可和处罚决定、上年度本机关行政执法数据总体情况</w:t>
      </w:r>
    </w:p>
    <w:p>
      <w:pPr>
        <w:keepNext w:val="0"/>
        <w:keepLines w:val="0"/>
        <w:pageBreakBefore w:val="0"/>
        <w:numPr>
          <w:ilvl w:val="0"/>
          <w:numId w:val="4"/>
        </w:numPr>
        <w:kinsoku/>
        <w:wordWrap/>
        <w:overflowPunct/>
        <w:topLinePunct w:val="0"/>
        <w:autoSpaceDE/>
        <w:autoSpaceDN/>
        <w:bidi w:val="0"/>
        <w:adjustRightInd/>
        <w:snapToGrid/>
        <w:spacing w:line="576" w:lineRule="exact"/>
        <w:ind w:left="63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ind w:left="630" w:leftChars="0"/>
        <w:textAlignment w:val="auto"/>
        <w:rPr>
          <w:rStyle w:val="11"/>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u w:val="none"/>
          <w:lang w:val="en-US" w:eastAsia="zh-CN"/>
        </w:rPr>
        <w:fldChar w:fldCharType="begin"/>
      </w:r>
      <w:r>
        <w:rPr>
          <w:rFonts w:hint="eastAsia" w:ascii="仿宋_GB2312" w:hAnsi="仿宋_GB2312" w:eastAsia="仿宋_GB2312" w:cs="仿宋_GB2312"/>
          <w:b w:val="0"/>
          <w:bCs w:val="0"/>
          <w:color w:val="auto"/>
          <w:sz w:val="32"/>
          <w:szCs w:val="32"/>
          <w:u w:val="none"/>
          <w:lang w:val="en-US" w:eastAsia="zh-CN"/>
        </w:rPr>
        <w:instrText xml:space="preserve"> HYPERLINK "http://sfj.cngy.gov.cn/New/Detail/4f8a7075-8a5c-4aed-a049-ebe933c07473" \o "超链接" </w:instrText>
      </w:r>
      <w:r>
        <w:rPr>
          <w:rFonts w:hint="eastAsia" w:ascii="仿宋_GB2312" w:hAnsi="仿宋_GB2312" w:eastAsia="仿宋_GB2312" w:cs="仿宋_GB2312"/>
          <w:b w:val="0"/>
          <w:bCs w:val="0"/>
          <w:color w:val="auto"/>
          <w:sz w:val="32"/>
          <w:szCs w:val="32"/>
          <w:u w:val="none"/>
          <w:lang w:val="en-US" w:eastAsia="zh-CN"/>
        </w:rPr>
        <w:fldChar w:fldCharType="separate"/>
      </w:r>
      <w:r>
        <w:rPr>
          <w:rStyle w:val="11"/>
          <w:rFonts w:hint="eastAsia" w:ascii="仿宋_GB2312" w:hAnsi="仿宋_GB2312" w:eastAsia="仿宋_GB2312" w:cs="仿宋_GB2312"/>
          <w:b w:val="0"/>
          <w:bCs w:val="0"/>
          <w:color w:val="auto"/>
          <w:sz w:val="32"/>
          <w:szCs w:val="32"/>
          <w:lang w:val="en-US" w:eastAsia="zh-CN"/>
        </w:rPr>
        <w:t>http://sfj.cngy.gov.cn/New/Detail/4f8a7075-8a5c-4aed-a049-ebe933c07473</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fldChar w:fldCharType="end"/>
      </w:r>
      <w:r>
        <w:rPr>
          <w:rFonts w:hint="eastAsia" w:ascii="仿宋_GB2312" w:hAnsi="仿宋_GB2312" w:eastAsia="仿宋_GB2312" w:cs="仿宋_GB2312"/>
          <w:b w:val="0"/>
          <w:bCs w:val="0"/>
          <w:color w:val="auto"/>
          <w:sz w:val="32"/>
          <w:szCs w:val="32"/>
          <w:u w:val="none"/>
          <w:lang w:val="en-US" w:eastAsia="zh-CN"/>
        </w:rPr>
        <w:t xml:space="preserve">    （二）行政许可和行政处罚决定公示</w:t>
      </w:r>
    </w:p>
    <w:p>
      <w:pPr>
        <w:keepNext w:val="0"/>
        <w:keepLines w:val="0"/>
        <w:pageBreakBefore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color w:val="auto"/>
          <w:sz w:val="32"/>
          <w:szCs w:val="32"/>
          <w:u w:val="none"/>
          <w:lang w:val="en-US" w:eastAsia="zh-CN"/>
        </w:rPr>
      </w:pPr>
      <w:r>
        <w:rPr>
          <w:rFonts w:hint="default" w:ascii="仿宋_GB2312" w:hAnsi="仿宋_GB2312" w:eastAsia="仿宋_GB2312" w:cs="仿宋_GB2312"/>
          <w:b w:val="0"/>
          <w:bCs w:val="0"/>
          <w:color w:val="auto"/>
          <w:sz w:val="32"/>
          <w:szCs w:val="32"/>
          <w:u w:val="none"/>
          <w:lang w:val="en-US" w:eastAsia="zh-CN"/>
        </w:rPr>
        <w:fldChar w:fldCharType="begin"/>
      </w:r>
      <w:r>
        <w:rPr>
          <w:rFonts w:hint="default" w:ascii="仿宋_GB2312" w:hAnsi="仿宋_GB2312" w:eastAsia="仿宋_GB2312" w:cs="仿宋_GB2312"/>
          <w:b w:val="0"/>
          <w:bCs w:val="0"/>
          <w:color w:val="auto"/>
          <w:sz w:val="32"/>
          <w:szCs w:val="32"/>
          <w:u w:val="none"/>
          <w:lang w:val="en-US" w:eastAsia="zh-CN"/>
        </w:rPr>
        <w:instrText xml:space="preserve"> HYPERLINK "http://credit.cngy.gov.cn/xygs/sgsList.do?messageid=F25EE51695B84829B4F6E063DA3DF4FA&amp;domainid=016" </w:instrText>
      </w:r>
      <w:r>
        <w:rPr>
          <w:rFonts w:hint="default" w:ascii="仿宋_GB2312" w:hAnsi="仿宋_GB2312" w:eastAsia="仿宋_GB2312" w:cs="仿宋_GB2312"/>
          <w:b w:val="0"/>
          <w:bCs w:val="0"/>
          <w:color w:val="auto"/>
          <w:sz w:val="32"/>
          <w:szCs w:val="32"/>
          <w:u w:val="none"/>
          <w:lang w:val="en-US" w:eastAsia="zh-CN"/>
        </w:rPr>
        <w:fldChar w:fldCharType="separate"/>
      </w:r>
      <w:r>
        <w:rPr>
          <w:rStyle w:val="11"/>
          <w:rFonts w:hint="default" w:ascii="仿宋_GB2312" w:hAnsi="仿宋_GB2312" w:eastAsia="仿宋_GB2312" w:cs="仿宋_GB2312"/>
          <w:b w:val="0"/>
          <w:bCs w:val="0"/>
          <w:color w:val="auto"/>
          <w:sz w:val="32"/>
          <w:szCs w:val="32"/>
          <w:lang w:val="en-US" w:eastAsia="zh-CN"/>
        </w:rPr>
        <w:t>http://credit.cngy.gov.cn/xygs/sgsList.do?messageid=F25EE51695B84829B4F6E063DA3DF4FA&amp;domainid=016</w:t>
      </w:r>
      <w:r>
        <w:rPr>
          <w:rFonts w:hint="default" w:ascii="仿宋_GB2312" w:hAnsi="仿宋_GB2312" w:eastAsia="仿宋_GB2312" w:cs="仿宋_GB2312"/>
          <w:b w:val="0"/>
          <w:bCs w:val="0"/>
          <w:color w:val="auto"/>
          <w:sz w:val="32"/>
          <w:szCs w:val="32"/>
          <w:u w:val="none"/>
          <w:lang w:val="en-US" w:eastAsia="zh-CN"/>
        </w:rPr>
        <w:fldChar w:fldCharType="end"/>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val="0"/>
          <w:bCs w:val="0"/>
          <w:color w:val="auto"/>
          <w:sz w:val="32"/>
          <w:szCs w:val="32"/>
          <w:u w:val="none"/>
          <w:lang w:val="en-US" w:eastAsia="zh-CN"/>
        </w:rPr>
        <w:fldChar w:fldCharType="begin"/>
      </w:r>
      <w:r>
        <w:rPr>
          <w:rFonts w:hint="default" w:ascii="仿宋_GB2312" w:hAnsi="仿宋_GB2312" w:eastAsia="仿宋_GB2312" w:cs="仿宋_GB2312"/>
          <w:b w:val="0"/>
          <w:bCs w:val="0"/>
          <w:color w:val="auto"/>
          <w:sz w:val="32"/>
          <w:szCs w:val="32"/>
          <w:u w:val="none"/>
          <w:lang w:val="en-US" w:eastAsia="zh-CN"/>
        </w:rPr>
        <w:instrText xml:space="preserve"> HYPERLINK "http://sfj.cngy.gov.cn/New/List/20171024122928568" </w:instrText>
      </w:r>
      <w:r>
        <w:rPr>
          <w:rFonts w:hint="default" w:ascii="仿宋_GB2312" w:hAnsi="仿宋_GB2312" w:eastAsia="仿宋_GB2312" w:cs="仿宋_GB2312"/>
          <w:b w:val="0"/>
          <w:bCs w:val="0"/>
          <w:color w:val="auto"/>
          <w:sz w:val="32"/>
          <w:szCs w:val="32"/>
          <w:u w:val="none"/>
          <w:lang w:val="en-US" w:eastAsia="zh-CN"/>
        </w:rPr>
        <w:fldChar w:fldCharType="separate"/>
      </w:r>
      <w:r>
        <w:rPr>
          <w:rStyle w:val="11"/>
          <w:rFonts w:hint="default" w:ascii="仿宋_GB2312" w:hAnsi="仿宋_GB2312" w:eastAsia="仿宋_GB2312" w:cs="仿宋_GB2312"/>
          <w:b w:val="0"/>
          <w:bCs w:val="0"/>
          <w:color w:val="auto"/>
          <w:sz w:val="32"/>
          <w:szCs w:val="32"/>
          <w:lang w:val="en-US" w:eastAsia="zh-CN"/>
        </w:rPr>
        <w:t>http://sfj.cngy.gov.cn/New/List/20171024122928568</w:t>
      </w:r>
      <w:r>
        <w:rPr>
          <w:rFonts w:hint="default" w:ascii="仿宋_GB2312" w:hAnsi="仿宋_GB2312" w:eastAsia="仿宋_GB2312" w:cs="仿宋_GB2312"/>
          <w:b w:val="0"/>
          <w:bCs w:val="0"/>
          <w:color w:val="auto"/>
          <w:sz w:val="32"/>
          <w:szCs w:val="32"/>
          <w:u w:val="none"/>
          <w:lang w:val="en-US" w:eastAsia="zh-CN"/>
        </w:rPr>
        <w:fldChar w:fldCharType="end"/>
      </w:r>
    </w:p>
    <w:p>
      <w:pPr>
        <w:keepNext w:val="0"/>
        <w:keepLines w:val="0"/>
        <w:pageBreakBefore w:val="0"/>
        <w:numPr>
          <w:ilvl w:val="0"/>
          <w:numId w:val="3"/>
        </w:numPr>
        <w:kinsoku/>
        <w:wordWrap/>
        <w:overflowPunct/>
        <w:topLinePunct w:val="0"/>
        <w:autoSpaceDE/>
        <w:autoSpaceDN/>
        <w:bidi w:val="0"/>
        <w:adjustRightInd/>
        <w:snapToGrid/>
        <w:spacing w:line="576" w:lineRule="exact"/>
        <w:ind w:left="0" w:leftChars="0"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剑阁县人社局实行行政执法三项制度方案</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比照县三项制度关于印发《剑阁县人社局全面推行行政执法公示制度执法全过程记录制度重大执法决定法制审核制度实施办法》的通知</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-445770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- 1 -</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5.1pt;height:144pt;width:144pt;mso-position-horizontal:outside;mso-position-horizontal-relative:margin;mso-wrap-style:none;z-index:251659264;mso-width-relative:page;mso-height-relative:page;" filled="f" stroked="f" coordsize="21600,21600" o:gfxdata="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T8RDo1gAAAAgBAAAP&#10;AAAAAAAAAAEAIAAAACIAAABkcnMvZG93bnJldi54bWxQSwECFAAUAAAACACHTuJAyMZ+WxoCAAAh&#10;BAAADgAAAAAAAAABACAAAAAlAQAAZHJzL2Uyb0RvYy54bWxQSwUGAAAAAAYABgBZAQAAsQU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- 1 -</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0B313C5F"/>
    <w:multiLevelType w:val="singleLevel"/>
    <w:tmpl w:val="0B313C5F"/>
    <w:lvl w:ilvl="0" w:tentative="0">
      <w:start w:val="3"/>
      <w:numFmt w:val="chineseCounting"/>
      <w:suff w:val="nothing"/>
      <w:lvlText w:val="（%1）"/>
      <w:lvlJc w:val="left"/>
      <w:rPr>
        <w:rFonts w:hint="eastAsia"/>
      </w:rPr>
    </w:lvl>
  </w:abstractNum>
  <w:abstractNum w:abstractNumId="2">
    <w:nsid w:val="0FA86279"/>
    <w:multiLevelType w:val="singleLevel"/>
    <w:tmpl w:val="0FA86279"/>
    <w:lvl w:ilvl="0" w:tentative="0">
      <w:start w:val="2"/>
      <w:numFmt w:val="chineseCounting"/>
      <w:suff w:val="nothing"/>
      <w:lvlText w:val="（%1）"/>
      <w:lvlJc w:val="left"/>
      <w:rPr>
        <w:rFonts w:hint="eastAsia"/>
      </w:rPr>
    </w:lvl>
  </w:abstractNum>
  <w:abstractNum w:abstractNumId="3">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E5B9D"/>
    <w:rsid w:val="02494EB5"/>
    <w:rsid w:val="06360107"/>
    <w:rsid w:val="0D2F78B8"/>
    <w:rsid w:val="111F6B01"/>
    <w:rsid w:val="11E61AEB"/>
    <w:rsid w:val="133225F1"/>
    <w:rsid w:val="138B72B0"/>
    <w:rsid w:val="13A00D16"/>
    <w:rsid w:val="14B47E8D"/>
    <w:rsid w:val="173F095D"/>
    <w:rsid w:val="1A903C7E"/>
    <w:rsid w:val="1C271295"/>
    <w:rsid w:val="1D913DD0"/>
    <w:rsid w:val="1E8C3E91"/>
    <w:rsid w:val="20A466C5"/>
    <w:rsid w:val="21C138D2"/>
    <w:rsid w:val="21E86A45"/>
    <w:rsid w:val="22491DE9"/>
    <w:rsid w:val="22C31712"/>
    <w:rsid w:val="29640135"/>
    <w:rsid w:val="2DA441B0"/>
    <w:rsid w:val="2DC0631F"/>
    <w:rsid w:val="315F6E13"/>
    <w:rsid w:val="32CA4D10"/>
    <w:rsid w:val="362615C2"/>
    <w:rsid w:val="3BB93377"/>
    <w:rsid w:val="3EE42EC1"/>
    <w:rsid w:val="3FA04246"/>
    <w:rsid w:val="42441D4E"/>
    <w:rsid w:val="47E87B24"/>
    <w:rsid w:val="4C3D6C57"/>
    <w:rsid w:val="4E9A06FF"/>
    <w:rsid w:val="4F885978"/>
    <w:rsid w:val="58827868"/>
    <w:rsid w:val="5A862780"/>
    <w:rsid w:val="5DB149FE"/>
    <w:rsid w:val="5EA77C0B"/>
    <w:rsid w:val="613943E6"/>
    <w:rsid w:val="616C26B8"/>
    <w:rsid w:val="63E917BB"/>
    <w:rsid w:val="65811510"/>
    <w:rsid w:val="66EC1285"/>
    <w:rsid w:val="67304B97"/>
    <w:rsid w:val="690D7C66"/>
    <w:rsid w:val="6D31023E"/>
    <w:rsid w:val="6FE63772"/>
    <w:rsid w:val="708B263C"/>
    <w:rsid w:val="74CD1E77"/>
    <w:rsid w:val="74F854FE"/>
    <w:rsid w:val="78C60014"/>
    <w:rsid w:val="79B51065"/>
    <w:rsid w:val="79B55E8A"/>
    <w:rsid w:val="7BA557C5"/>
    <w:rsid w:val="7D6C15D8"/>
    <w:rsid w:val="7FFB1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unhideWhenUsed/>
    <w:qFormat/>
    <w:uiPriority w:val="0"/>
    <w:pPr>
      <w:spacing w:before="100" w:beforeAutospacing="1" w:after="100" w:afterAutospacing="1"/>
      <w:jc w:val="left"/>
    </w:pPr>
    <w:rPr>
      <w:rFonts w:hint="eastAsia" w:ascii="宋体" w:hAnsi="宋体" w:eastAsia="宋体" w:cs="宋体"/>
      <w:b/>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none"/>
    </w:rPr>
  </w:style>
  <w:style w:type="character" w:styleId="11">
    <w:name w:val="Hyperlink"/>
    <w:basedOn w:val="9"/>
    <w:qFormat/>
    <w:uiPriority w:val="0"/>
    <w:rPr>
      <w:color w:val="0000FF"/>
      <w:u w:val="none"/>
    </w:rPr>
  </w:style>
  <w:style w:type="paragraph" w:customStyle="1" w:styleId="12">
    <w:name w:val="_Style 18"/>
    <w:basedOn w:val="1"/>
    <w:next w:val="1"/>
    <w:qFormat/>
    <w:uiPriority w:val="0"/>
    <w:pPr>
      <w:pBdr>
        <w:bottom w:val="single" w:color="auto" w:sz="6" w:space="1"/>
      </w:pBdr>
      <w:jc w:val="center"/>
    </w:pPr>
    <w:rPr>
      <w:rFonts w:ascii="Arial" w:eastAsia="宋体"/>
      <w:vanish/>
      <w:sz w:val="16"/>
    </w:rPr>
  </w:style>
  <w:style w:type="paragraph" w:customStyle="1" w:styleId="13">
    <w:name w:val="_Style 19"/>
    <w:basedOn w:val="1"/>
    <w:next w:val="1"/>
    <w:qFormat/>
    <w:uiPriority w:val="0"/>
    <w:pPr>
      <w:pBdr>
        <w:top w:val="single" w:color="auto" w:sz="6" w:space="1"/>
      </w:pBdr>
      <w:jc w:val="center"/>
    </w:pPr>
    <w:rPr>
      <w:rFonts w:ascii="Arial" w:eastAsia="宋体"/>
      <w:vanish/>
      <w:sz w:val="16"/>
    </w:rPr>
  </w:style>
  <w:style w:type="character" w:customStyle="1" w:styleId="14">
    <w:name w:val="17"/>
    <w:basedOn w:val="9"/>
    <w:qFormat/>
    <w:uiPriority w:val="0"/>
    <w:rPr>
      <w:rFonts w:hint="default" w:ascii="Times New Roman" w:hAnsi="Times New Roman" w:eastAsia="楷体_GB2312" w:cs="Times New Roman"/>
      <w:sz w:val="28"/>
      <w:szCs w:val="28"/>
    </w:rPr>
  </w:style>
  <w:style w:type="character" w:customStyle="1" w:styleId="15">
    <w:name w:val="font11"/>
    <w:basedOn w:val="9"/>
    <w:qFormat/>
    <w:uiPriority w:val="0"/>
    <w:rPr>
      <w:rFonts w:ascii="Arial" w:hAnsi="Arial" w:cs="Arial"/>
      <w:color w:val="000000"/>
      <w:sz w:val="20"/>
      <w:szCs w:val="20"/>
      <w:u w:val="none"/>
    </w:rPr>
  </w:style>
  <w:style w:type="character" w:customStyle="1" w:styleId="16">
    <w:name w:val="15"/>
    <w:basedOn w:val="9"/>
    <w:qFormat/>
    <w:uiPriority w:val="99"/>
    <w:rPr>
      <w:rFonts w:ascii="Calibri" w:hAnsi="Calibri" w:cs="Calibri"/>
      <w:color w:val="0000FF"/>
    </w:rPr>
  </w:style>
  <w:style w:type="character" w:customStyle="1" w:styleId="17">
    <w:name w:val="font4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2020-05-21T02:35:00Z</dcterms:created>
  <dc:creator>Administrator</dc:creator>
  <cp:lastModifiedBy>沉淀</cp:lastModifiedBy>
  <cp:lastPrinted>2020-06-04T01:56:00Z</cp:lastPrinted>
  <dcterms:modified xsi:type="dcterms:W3CDTF">2020-06-05T01:48:00Z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