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方正小标宋简体"/>
          <w:b/>
          <w:bCs/>
          <w:sz w:val="44"/>
          <w:szCs w:val="44"/>
        </w:rPr>
      </w:pPr>
      <w:bookmarkStart w:id="0" w:name="_GoBack"/>
      <w:bookmarkEnd w:id="0"/>
    </w:p>
    <w:p>
      <w:pPr>
        <w:jc w:val="center"/>
        <w:rPr>
          <w:rFonts w:ascii="黑体" w:hAnsi="黑体" w:eastAsia="黑体" w:cs="Times New Roman"/>
          <w:b/>
          <w:bCs/>
          <w:sz w:val="44"/>
          <w:szCs w:val="44"/>
        </w:rPr>
      </w:pPr>
      <w:r>
        <w:rPr>
          <w:rFonts w:hint="eastAsia" w:ascii="黑体" w:hAnsi="黑体" w:eastAsia="黑体" w:cs="方正小标宋简体"/>
          <w:b/>
          <w:bCs/>
          <w:sz w:val="44"/>
          <w:szCs w:val="44"/>
        </w:rPr>
        <w:t>县人民防空办公室行政执法集中内容公示</w:t>
      </w:r>
    </w:p>
    <w:p>
      <w:pPr>
        <w:ind w:firstLine="640" w:firstLineChars="200"/>
        <w:rPr>
          <w:rFonts w:ascii="黑体" w:hAnsi="黑体" w:eastAsia="黑体" w:cs="Times New Roman"/>
          <w:sz w:val="32"/>
          <w:szCs w:val="32"/>
        </w:rPr>
      </w:pPr>
    </w:p>
    <w:p>
      <w:pPr>
        <w:spacing w:line="600" w:lineRule="exact"/>
        <w:ind w:firstLine="640" w:firstLineChars="200"/>
        <w:rPr>
          <w:rFonts w:ascii="黑体" w:hAnsi="黑体" w:eastAsia="黑体" w:cs="Times New Roman"/>
          <w:sz w:val="32"/>
          <w:szCs w:val="32"/>
        </w:rPr>
      </w:pPr>
      <w:r>
        <w:rPr>
          <w:rFonts w:hint="eastAsia" w:ascii="黑体" w:hAnsi="黑体" w:eastAsia="黑体" w:cs="黑体"/>
          <w:sz w:val="32"/>
          <w:szCs w:val="32"/>
        </w:rPr>
        <w:t>一、剑阁县人民防空办公室行政执法主体</w:t>
      </w:r>
    </w:p>
    <w:p>
      <w:pPr>
        <w:pStyle w:val="16"/>
        <w:spacing w:line="600" w:lineRule="exact"/>
        <w:ind w:firstLine="640" w:firstLineChars="200"/>
        <w:jc w:val="both"/>
        <w:rPr>
          <w:rFonts w:cs="Times New Roman"/>
        </w:rPr>
      </w:pPr>
      <w:r>
        <w:rPr>
          <w:rFonts w:hint="eastAsia" w:ascii="??_GB2312" w:hAnsi="??_GB2312" w:cs="宋体"/>
          <w:sz w:val="32"/>
          <w:szCs w:val="32"/>
        </w:rPr>
        <w:t>剑阁县经济信息化和科学技术局</w:t>
      </w:r>
    </w:p>
    <w:p>
      <w:pPr>
        <w:spacing w:line="600" w:lineRule="exact"/>
        <w:ind w:firstLine="643" w:firstLineChars="200"/>
        <w:rPr>
          <w:rFonts w:ascii="仿宋" w:hAnsi="仿宋" w:eastAsia="仿宋" w:cs="??_GB2312"/>
          <w:sz w:val="32"/>
          <w:szCs w:val="32"/>
        </w:rPr>
      </w:pPr>
      <w:r>
        <w:rPr>
          <w:rFonts w:hint="eastAsia" w:ascii="??_GB2312" w:hAnsi="??_GB2312" w:cs="宋体"/>
          <w:b/>
          <w:bCs/>
          <w:sz w:val="32"/>
          <w:szCs w:val="32"/>
        </w:rPr>
        <w:t>行政执法主体</w:t>
      </w:r>
      <w:r>
        <w:rPr>
          <w:rFonts w:ascii="??_GB2312" w:hAnsi="??_GB2312" w:cs="??_GB2312"/>
          <w:b/>
          <w:bCs/>
          <w:sz w:val="32"/>
          <w:szCs w:val="32"/>
        </w:rPr>
        <w:t>1</w:t>
      </w:r>
      <w:r>
        <w:rPr>
          <w:rFonts w:hint="eastAsia" w:ascii="??_GB2312" w:hAnsi="??_GB2312" w:cs="宋体"/>
          <w:b/>
          <w:bCs/>
          <w:sz w:val="32"/>
          <w:szCs w:val="32"/>
        </w:rPr>
        <w:t>个</w:t>
      </w:r>
      <w:r>
        <w:rPr>
          <w:rFonts w:hint="eastAsia" w:ascii="??_GB2312" w:hAnsi="??_GB2312" w:cs="宋体"/>
          <w:sz w:val="32"/>
          <w:szCs w:val="32"/>
        </w:rPr>
        <w:t>：</w:t>
      </w:r>
      <w:r>
        <w:rPr>
          <w:rFonts w:hint="eastAsia" w:ascii="仿宋" w:hAnsi="仿宋" w:eastAsia="仿宋" w:cs="宋体"/>
          <w:sz w:val="32"/>
          <w:szCs w:val="32"/>
        </w:rPr>
        <w:t>剑阁县人民防空办公室</w:t>
      </w:r>
      <w:r>
        <w:rPr>
          <w:rFonts w:ascii="仿宋" w:hAnsi="仿宋" w:eastAsia="仿宋" w:cs="??_GB2312"/>
          <w:sz w:val="32"/>
          <w:szCs w:val="32"/>
        </w:rPr>
        <w:t xml:space="preserve">    </w:t>
      </w:r>
      <w:r>
        <w:rPr>
          <w:rFonts w:hint="eastAsia" w:ascii="仿宋" w:hAnsi="仿宋" w:eastAsia="仿宋" w:cs="宋体"/>
          <w:sz w:val="32"/>
          <w:szCs w:val="32"/>
        </w:rPr>
        <w:t>地址</w:t>
      </w:r>
      <w:r>
        <w:rPr>
          <w:rFonts w:ascii="仿宋" w:hAnsi="仿宋" w:eastAsia="仿宋" w:cs="??_GB2312"/>
          <w:sz w:val="32"/>
          <w:szCs w:val="32"/>
        </w:rPr>
        <w:t>:</w:t>
      </w:r>
      <w:r>
        <w:rPr>
          <w:rFonts w:hint="eastAsia" w:ascii="仿宋" w:hAnsi="仿宋" w:eastAsia="仿宋" w:cs="宋体"/>
          <w:sz w:val="32"/>
          <w:szCs w:val="32"/>
        </w:rPr>
        <w:t>四川省广元市剑阁县下寺镇修城坝</w:t>
      </w:r>
      <w:r>
        <w:rPr>
          <w:rFonts w:ascii="仿宋" w:hAnsi="仿宋" w:eastAsia="仿宋" w:cs="??_GB2312"/>
          <w:sz w:val="32"/>
          <w:szCs w:val="32"/>
        </w:rPr>
        <w:t xml:space="preserve">  </w:t>
      </w:r>
      <w:r>
        <w:rPr>
          <w:rFonts w:hint="eastAsia" w:ascii="仿宋" w:hAnsi="仿宋" w:eastAsia="仿宋" w:cs="宋体"/>
          <w:sz w:val="32"/>
          <w:szCs w:val="32"/>
        </w:rPr>
        <w:t>邮编</w:t>
      </w:r>
      <w:r>
        <w:rPr>
          <w:rFonts w:ascii="仿宋" w:hAnsi="仿宋" w:eastAsia="仿宋" w:cs="??_GB2312"/>
          <w:sz w:val="32"/>
          <w:szCs w:val="32"/>
        </w:rPr>
        <w:t xml:space="preserve">:628317   </w:t>
      </w:r>
      <w:r>
        <w:rPr>
          <w:rFonts w:hint="eastAsia" w:ascii="仿宋" w:hAnsi="仿宋" w:eastAsia="仿宋" w:cs="宋体"/>
          <w:sz w:val="32"/>
          <w:szCs w:val="32"/>
        </w:rPr>
        <w:t>电话</w:t>
      </w:r>
      <w:r>
        <w:rPr>
          <w:rFonts w:ascii="仿宋" w:hAnsi="仿宋" w:eastAsia="仿宋" w:cs="??_GB2312"/>
          <w:sz w:val="32"/>
          <w:szCs w:val="32"/>
        </w:rPr>
        <w:t>0839-660</w:t>
      </w:r>
      <w:r>
        <w:rPr>
          <w:rFonts w:hint="eastAsia" w:ascii="仿宋" w:hAnsi="仿宋" w:eastAsia="仿宋" w:cs="??_GB2312"/>
          <w:sz w:val="32"/>
          <w:szCs w:val="32"/>
        </w:rPr>
        <w:t>1613</w:t>
      </w:r>
      <w:r>
        <w:rPr>
          <w:rFonts w:ascii="仿宋" w:hAnsi="仿宋" w:eastAsia="仿宋" w:cs="??_GB2312"/>
          <w:sz w:val="32"/>
          <w:szCs w:val="32"/>
        </w:rPr>
        <w:t xml:space="preserve">    </w:t>
      </w:r>
      <w:r>
        <w:rPr>
          <w:rFonts w:hint="eastAsia" w:ascii="仿宋" w:hAnsi="仿宋" w:eastAsia="仿宋" w:cs="宋体"/>
          <w:sz w:val="32"/>
          <w:szCs w:val="32"/>
        </w:rPr>
        <w:t>传真</w:t>
      </w:r>
      <w:r>
        <w:rPr>
          <w:rFonts w:ascii="仿宋" w:hAnsi="仿宋" w:eastAsia="仿宋" w:cs="??_GB2312"/>
          <w:sz w:val="32"/>
          <w:szCs w:val="32"/>
        </w:rPr>
        <w:t>:0839-660</w:t>
      </w:r>
      <w:r>
        <w:rPr>
          <w:rFonts w:hint="eastAsia" w:ascii="仿宋" w:hAnsi="仿宋" w:eastAsia="仿宋" w:cs="??_GB2312"/>
          <w:sz w:val="32"/>
          <w:szCs w:val="32"/>
        </w:rPr>
        <w:t>1613</w:t>
      </w:r>
    </w:p>
    <w:p>
      <w:pPr>
        <w:spacing w:line="600" w:lineRule="exact"/>
        <w:ind w:firstLine="640" w:firstLineChars="200"/>
        <w:rPr>
          <w:rFonts w:ascii="??_GB2312" w:hAnsi="??_GB2312" w:cs="??_GB2312"/>
          <w:sz w:val="32"/>
          <w:szCs w:val="32"/>
        </w:rPr>
      </w:pPr>
    </w:p>
    <w:p>
      <w:pPr>
        <w:spacing w:line="600" w:lineRule="exact"/>
        <w:ind w:firstLine="643" w:firstLineChars="200"/>
        <w:rPr>
          <w:rFonts w:ascii="??_GB2312" w:hAnsi="??_GB2312" w:cs="??_GB2312"/>
          <w:sz w:val="32"/>
          <w:szCs w:val="32"/>
        </w:rPr>
      </w:pPr>
      <w:r>
        <w:rPr>
          <w:rFonts w:hint="eastAsia" w:ascii="??_GB2312" w:hAnsi="??_GB2312" w:cs="宋体"/>
          <w:b/>
          <w:bCs/>
          <w:sz w:val="32"/>
          <w:szCs w:val="32"/>
        </w:rPr>
        <w:t>行政执法机构设置</w:t>
      </w:r>
      <w:r>
        <w:rPr>
          <w:rFonts w:ascii="??_GB2312" w:hAnsi="??_GB2312" w:cs="??_GB2312"/>
          <w:b/>
          <w:bCs/>
          <w:sz w:val="32"/>
          <w:szCs w:val="32"/>
        </w:rPr>
        <w:t>1</w:t>
      </w:r>
      <w:r>
        <w:rPr>
          <w:rFonts w:hint="eastAsia" w:ascii="??_GB2312" w:hAnsi="??_GB2312" w:cs="宋体"/>
          <w:b/>
          <w:bCs/>
          <w:sz w:val="32"/>
          <w:szCs w:val="32"/>
        </w:rPr>
        <w:t>个</w:t>
      </w:r>
      <w:r>
        <w:rPr>
          <w:rFonts w:hint="eastAsia" w:ascii="??_GB2312" w:hAnsi="??_GB2312" w:cs="宋体"/>
          <w:sz w:val="32"/>
          <w:szCs w:val="32"/>
        </w:rPr>
        <w:t>：</w:t>
      </w:r>
    </w:p>
    <w:p>
      <w:pPr>
        <w:spacing w:line="600" w:lineRule="exact"/>
        <w:ind w:firstLine="640" w:firstLineChars="200"/>
        <w:rPr>
          <w:rFonts w:ascii="仿宋" w:hAnsi="仿宋" w:eastAsia="仿宋" w:cs="??_GB2312"/>
          <w:sz w:val="32"/>
          <w:szCs w:val="32"/>
        </w:rPr>
      </w:pPr>
      <w:r>
        <w:rPr>
          <w:rFonts w:hint="eastAsia" w:ascii="仿宋" w:hAnsi="仿宋" w:eastAsia="仿宋" w:cs="宋体"/>
          <w:sz w:val="32"/>
          <w:szCs w:val="32"/>
        </w:rPr>
        <w:t>行政执法股室：业务股</w:t>
      </w:r>
    </w:p>
    <w:p>
      <w:pPr>
        <w:spacing w:line="600" w:lineRule="exact"/>
        <w:ind w:firstLine="640" w:firstLineChars="200"/>
        <w:rPr>
          <w:rFonts w:ascii="仿宋" w:hAnsi="仿宋" w:eastAsia="仿宋" w:cs="宋体"/>
          <w:sz w:val="32"/>
          <w:szCs w:val="32"/>
        </w:rPr>
      </w:pPr>
      <w:r>
        <w:rPr>
          <w:rFonts w:hint="eastAsia" w:ascii="仿宋" w:hAnsi="仿宋" w:eastAsia="仿宋" w:cs="宋体"/>
          <w:sz w:val="32"/>
          <w:szCs w:val="32"/>
        </w:rPr>
        <w:t>主要职责：</w:t>
      </w:r>
      <w:r>
        <w:rPr>
          <w:rFonts w:ascii="仿宋" w:hAnsi="仿宋" w:eastAsia="仿宋" w:cs="宋体"/>
          <w:sz w:val="32"/>
          <w:szCs w:val="32"/>
        </w:rPr>
        <w:t>编制全县人民防空工程建设总体规划；承担人民防空工程的维护管理工作；指导城市建设、基本建设和城市开发利用地下空间贯彻人民防空要求并对执行情况进行监督检查；负责人防工程建设、管理和开发利用，承办报废人防工程的审核手续；负责贯彻人防工程的战术技术标准；组织修建人民防空指挥工程、公用的人员掩蔽工程和疏散干道工程；会同有关部门抓好人防工程计划、设计、施工、质量、竣工验收等工作；负责人防工程专业技术人员的培训和科研成果的交流、推广、应用以及专用防护设备的技术管理；拟订平战结合的政策、规章；承办有关行政审批事项。</w:t>
      </w:r>
    </w:p>
    <w:p>
      <w:pPr>
        <w:ind w:firstLine="707" w:firstLineChars="221"/>
        <w:rPr>
          <w:rFonts w:ascii="黑体" w:hAnsi="黑体" w:eastAsia="黑体" w:cs="Times New Roman"/>
          <w:sz w:val="32"/>
          <w:szCs w:val="32"/>
        </w:rPr>
      </w:pPr>
      <w:r>
        <w:rPr>
          <w:rFonts w:hint="eastAsia" w:ascii="黑体" w:hAnsi="黑体" w:eastAsia="黑体" w:cs="黑体"/>
          <w:sz w:val="32"/>
          <w:szCs w:val="32"/>
        </w:rPr>
        <w:t>二、剑阁县人民防空办公室政执法人员清单</w:t>
      </w:r>
    </w:p>
    <w:tbl>
      <w:tblPr>
        <w:tblStyle w:val="7"/>
        <w:tblW w:w="9896" w:type="dxa"/>
        <w:tblInd w:w="-106" w:type="dxa"/>
        <w:tblLayout w:type="fixed"/>
        <w:tblCellMar>
          <w:top w:w="0" w:type="dxa"/>
          <w:left w:w="108" w:type="dxa"/>
          <w:bottom w:w="0" w:type="dxa"/>
          <w:right w:w="108" w:type="dxa"/>
        </w:tblCellMar>
      </w:tblPr>
      <w:tblGrid>
        <w:gridCol w:w="722"/>
        <w:gridCol w:w="1089"/>
        <w:gridCol w:w="671"/>
        <w:gridCol w:w="1559"/>
        <w:gridCol w:w="1185"/>
        <w:gridCol w:w="1748"/>
        <w:gridCol w:w="1178"/>
        <w:gridCol w:w="1241"/>
        <w:gridCol w:w="503"/>
      </w:tblGrid>
      <w:tr>
        <w:tblPrEx>
          <w:tblCellMar>
            <w:top w:w="0" w:type="dxa"/>
            <w:left w:w="108" w:type="dxa"/>
            <w:bottom w:w="0" w:type="dxa"/>
            <w:right w:w="108" w:type="dxa"/>
          </w:tblCellMar>
        </w:tblPrEx>
        <w:trPr>
          <w:trHeight w:val="298" w:hRule="atLeast"/>
          <w:tblHeader/>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仿宋" w:hAnsi="仿宋" w:eastAsia="仿宋" w:cs="宋体"/>
              </w:rPr>
            </w:pPr>
            <w:r>
              <w:rPr>
                <w:rFonts w:hint="eastAsia" w:ascii="仿宋" w:hAnsi="仿宋" w:eastAsia="仿宋" w:cs="宋体"/>
              </w:rPr>
              <w:t>序号</w:t>
            </w:r>
          </w:p>
        </w:tc>
        <w:tc>
          <w:tcPr>
            <w:tcW w:w="1089" w:type="dxa"/>
            <w:tcBorders>
              <w:top w:val="single" w:color="auto" w:sz="4" w:space="0"/>
              <w:left w:val="nil"/>
              <w:bottom w:val="single" w:color="auto" w:sz="4" w:space="0"/>
              <w:right w:val="single" w:color="auto" w:sz="4" w:space="0"/>
            </w:tcBorders>
            <w:vAlign w:val="center"/>
          </w:tcPr>
          <w:p>
            <w:pPr>
              <w:spacing w:line="240" w:lineRule="atLeast"/>
              <w:jc w:val="center"/>
              <w:rPr>
                <w:rFonts w:ascii="仿宋" w:hAnsi="仿宋" w:eastAsia="仿宋" w:cs="宋体"/>
              </w:rPr>
            </w:pPr>
            <w:r>
              <w:rPr>
                <w:rFonts w:hint="eastAsia" w:ascii="仿宋" w:hAnsi="仿宋" w:eastAsia="仿宋" w:cs="宋体"/>
              </w:rPr>
              <w:t>姓名</w:t>
            </w:r>
          </w:p>
        </w:tc>
        <w:tc>
          <w:tcPr>
            <w:tcW w:w="671" w:type="dxa"/>
            <w:tcBorders>
              <w:top w:val="single" w:color="auto" w:sz="4" w:space="0"/>
              <w:left w:val="nil"/>
              <w:bottom w:val="single" w:color="auto" w:sz="4" w:space="0"/>
              <w:right w:val="single" w:color="auto" w:sz="4" w:space="0"/>
            </w:tcBorders>
            <w:vAlign w:val="center"/>
          </w:tcPr>
          <w:p>
            <w:pPr>
              <w:spacing w:line="240" w:lineRule="atLeast"/>
              <w:jc w:val="center"/>
              <w:rPr>
                <w:rFonts w:ascii="仿宋" w:hAnsi="仿宋" w:eastAsia="仿宋" w:cs="宋体"/>
              </w:rPr>
            </w:pPr>
            <w:r>
              <w:rPr>
                <w:rFonts w:hint="eastAsia" w:ascii="仿宋" w:hAnsi="仿宋" w:eastAsia="仿宋" w:cs="宋体"/>
              </w:rPr>
              <w:t>性别</w:t>
            </w:r>
          </w:p>
        </w:tc>
        <w:tc>
          <w:tcPr>
            <w:tcW w:w="1559" w:type="dxa"/>
            <w:tcBorders>
              <w:top w:val="single" w:color="auto" w:sz="4" w:space="0"/>
              <w:left w:val="nil"/>
              <w:bottom w:val="single" w:color="auto" w:sz="4" w:space="0"/>
              <w:right w:val="single" w:color="auto" w:sz="4" w:space="0"/>
            </w:tcBorders>
            <w:vAlign w:val="center"/>
          </w:tcPr>
          <w:p>
            <w:pPr>
              <w:spacing w:line="240" w:lineRule="atLeast"/>
              <w:jc w:val="center"/>
              <w:rPr>
                <w:rFonts w:ascii="仿宋" w:hAnsi="仿宋" w:eastAsia="仿宋" w:cs="宋体"/>
              </w:rPr>
            </w:pPr>
            <w:r>
              <w:rPr>
                <w:rFonts w:hint="eastAsia" w:ascii="仿宋" w:hAnsi="仿宋" w:eastAsia="仿宋" w:cs="宋体"/>
              </w:rPr>
              <w:t>工作单位</w:t>
            </w:r>
          </w:p>
        </w:tc>
        <w:tc>
          <w:tcPr>
            <w:tcW w:w="1185" w:type="dxa"/>
            <w:tcBorders>
              <w:top w:val="single" w:color="auto" w:sz="4" w:space="0"/>
              <w:left w:val="nil"/>
              <w:bottom w:val="single" w:color="auto" w:sz="4" w:space="0"/>
              <w:right w:val="single" w:color="auto" w:sz="4" w:space="0"/>
            </w:tcBorders>
            <w:vAlign w:val="center"/>
          </w:tcPr>
          <w:p>
            <w:pPr>
              <w:spacing w:line="240" w:lineRule="atLeast"/>
              <w:jc w:val="center"/>
              <w:rPr>
                <w:rFonts w:ascii="仿宋" w:hAnsi="仿宋" w:eastAsia="仿宋" w:cs="宋体"/>
              </w:rPr>
            </w:pPr>
            <w:r>
              <w:rPr>
                <w:rFonts w:hint="eastAsia" w:ascii="仿宋" w:hAnsi="仿宋" w:eastAsia="仿宋" w:cs="宋体"/>
              </w:rPr>
              <w:t>编制情况</w:t>
            </w:r>
          </w:p>
        </w:tc>
        <w:tc>
          <w:tcPr>
            <w:tcW w:w="1748" w:type="dxa"/>
            <w:tcBorders>
              <w:top w:val="single" w:color="auto" w:sz="4" w:space="0"/>
              <w:left w:val="nil"/>
              <w:bottom w:val="single" w:color="auto" w:sz="4" w:space="0"/>
              <w:right w:val="single" w:color="auto" w:sz="4" w:space="0"/>
            </w:tcBorders>
            <w:vAlign w:val="center"/>
          </w:tcPr>
          <w:p>
            <w:pPr>
              <w:spacing w:line="240" w:lineRule="atLeast"/>
              <w:jc w:val="center"/>
              <w:rPr>
                <w:rFonts w:ascii="仿宋" w:hAnsi="仿宋" w:eastAsia="仿宋" w:cs="宋体"/>
              </w:rPr>
            </w:pPr>
            <w:r>
              <w:rPr>
                <w:rFonts w:hint="eastAsia" w:ascii="仿宋" w:hAnsi="仿宋" w:eastAsia="仿宋" w:cs="宋体"/>
              </w:rPr>
              <w:t>证件编号</w:t>
            </w:r>
          </w:p>
        </w:tc>
        <w:tc>
          <w:tcPr>
            <w:tcW w:w="1178" w:type="dxa"/>
            <w:tcBorders>
              <w:top w:val="single" w:color="auto" w:sz="4" w:space="0"/>
              <w:left w:val="nil"/>
              <w:bottom w:val="single" w:color="auto" w:sz="4" w:space="0"/>
              <w:right w:val="single" w:color="auto" w:sz="4" w:space="0"/>
            </w:tcBorders>
            <w:vAlign w:val="center"/>
          </w:tcPr>
          <w:p>
            <w:pPr>
              <w:spacing w:line="240" w:lineRule="atLeast"/>
              <w:jc w:val="center"/>
              <w:rPr>
                <w:rFonts w:ascii="仿宋" w:hAnsi="仿宋" w:eastAsia="仿宋" w:cs="宋体"/>
              </w:rPr>
            </w:pPr>
            <w:r>
              <w:rPr>
                <w:rFonts w:hint="eastAsia" w:ascii="仿宋" w:hAnsi="仿宋" w:eastAsia="仿宋" w:cs="宋体"/>
              </w:rPr>
              <w:t>执法类别</w:t>
            </w:r>
          </w:p>
        </w:tc>
        <w:tc>
          <w:tcPr>
            <w:tcW w:w="1241" w:type="dxa"/>
            <w:tcBorders>
              <w:top w:val="single" w:color="auto" w:sz="4" w:space="0"/>
              <w:left w:val="nil"/>
              <w:bottom w:val="single" w:color="auto" w:sz="4" w:space="0"/>
              <w:right w:val="single" w:color="auto" w:sz="4" w:space="0"/>
            </w:tcBorders>
            <w:vAlign w:val="center"/>
          </w:tcPr>
          <w:p>
            <w:pPr>
              <w:spacing w:line="240" w:lineRule="atLeast"/>
              <w:jc w:val="center"/>
              <w:rPr>
                <w:rFonts w:ascii="仿宋" w:hAnsi="仿宋" w:eastAsia="仿宋" w:cs="宋体"/>
              </w:rPr>
            </w:pPr>
            <w:r>
              <w:rPr>
                <w:rFonts w:hint="eastAsia" w:ascii="仿宋" w:hAnsi="仿宋" w:eastAsia="仿宋" w:cs="宋体"/>
              </w:rPr>
              <w:t>执法区域</w:t>
            </w:r>
          </w:p>
        </w:tc>
        <w:tc>
          <w:tcPr>
            <w:tcW w:w="503" w:type="dxa"/>
            <w:tcBorders>
              <w:top w:val="single" w:color="auto" w:sz="4" w:space="0"/>
              <w:left w:val="nil"/>
              <w:bottom w:val="single" w:color="auto" w:sz="4" w:space="0"/>
              <w:right w:val="single" w:color="auto" w:sz="4" w:space="0"/>
            </w:tcBorders>
            <w:vAlign w:val="center"/>
          </w:tcPr>
          <w:p>
            <w:pPr>
              <w:spacing w:line="240" w:lineRule="atLeast"/>
              <w:jc w:val="center"/>
              <w:rPr>
                <w:rFonts w:ascii="仿宋" w:hAnsi="仿宋" w:eastAsia="仿宋" w:cs="宋体"/>
              </w:rPr>
            </w:pPr>
            <w:r>
              <w:rPr>
                <w:rFonts w:hint="eastAsia" w:ascii="仿宋" w:hAnsi="仿宋" w:eastAsia="仿宋" w:cs="宋体"/>
              </w:rPr>
              <w:t>备注</w:t>
            </w:r>
          </w:p>
        </w:tc>
      </w:tr>
      <w:tr>
        <w:tblPrEx>
          <w:tblCellMar>
            <w:top w:w="0" w:type="dxa"/>
            <w:left w:w="108" w:type="dxa"/>
            <w:bottom w:w="0" w:type="dxa"/>
            <w:right w:w="108" w:type="dxa"/>
          </w:tblCellMar>
        </w:tblPrEx>
        <w:trPr>
          <w:trHeight w:val="86"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仿宋" w:hAnsi="仿宋" w:eastAsia="仿宋" w:cs="宋体"/>
              </w:rPr>
            </w:pPr>
            <w:r>
              <w:rPr>
                <w:rFonts w:ascii="仿宋" w:hAnsi="仿宋" w:eastAsia="仿宋" w:cs="宋体"/>
              </w:rPr>
              <w:t>1</w:t>
            </w:r>
          </w:p>
        </w:tc>
        <w:tc>
          <w:tcPr>
            <w:tcW w:w="1089" w:type="dxa"/>
            <w:tcBorders>
              <w:top w:val="single" w:color="auto" w:sz="4" w:space="0"/>
              <w:left w:val="nil"/>
              <w:bottom w:val="single" w:color="auto" w:sz="4" w:space="0"/>
              <w:right w:val="single" w:color="auto" w:sz="4" w:space="0"/>
            </w:tcBorders>
            <w:vAlign w:val="center"/>
          </w:tcPr>
          <w:p>
            <w:pPr>
              <w:jc w:val="center"/>
              <w:rPr>
                <w:rFonts w:ascii="仿宋" w:hAnsi="仿宋" w:eastAsia="仿宋"/>
              </w:rPr>
            </w:pPr>
            <w:r>
              <w:rPr>
                <w:rFonts w:hint="eastAsia" w:ascii="仿宋" w:hAnsi="仿宋" w:eastAsia="仿宋"/>
              </w:rPr>
              <w:t>祁学强</w:t>
            </w:r>
          </w:p>
        </w:tc>
        <w:tc>
          <w:tcPr>
            <w:tcW w:w="671" w:type="dxa"/>
            <w:tcBorders>
              <w:top w:val="single" w:color="auto" w:sz="4" w:space="0"/>
              <w:left w:val="nil"/>
              <w:bottom w:val="single" w:color="auto" w:sz="4" w:space="0"/>
              <w:right w:val="single" w:color="auto" w:sz="4" w:space="0"/>
            </w:tcBorders>
            <w:vAlign w:val="center"/>
          </w:tcPr>
          <w:p>
            <w:pPr>
              <w:jc w:val="center"/>
              <w:rPr>
                <w:rFonts w:ascii="仿宋" w:hAnsi="仿宋" w:eastAsia="仿宋"/>
              </w:rPr>
            </w:pPr>
            <w:r>
              <w:rPr>
                <w:rFonts w:hint="eastAsia" w:ascii="仿宋" w:hAnsi="仿宋" w:eastAsia="仿宋"/>
              </w:rPr>
              <w:t>男</w:t>
            </w:r>
          </w:p>
        </w:tc>
        <w:tc>
          <w:tcPr>
            <w:tcW w:w="1559" w:type="dxa"/>
            <w:tcBorders>
              <w:top w:val="single" w:color="auto" w:sz="4" w:space="0"/>
              <w:left w:val="nil"/>
              <w:bottom w:val="single" w:color="auto" w:sz="4" w:space="0"/>
              <w:right w:val="single" w:color="auto" w:sz="4" w:space="0"/>
            </w:tcBorders>
            <w:vAlign w:val="center"/>
          </w:tcPr>
          <w:p>
            <w:pPr>
              <w:jc w:val="center"/>
              <w:rPr>
                <w:rFonts w:ascii="仿宋" w:hAnsi="仿宋" w:eastAsia="仿宋"/>
                <w:b/>
                <w:bCs/>
                <w:kern w:val="0"/>
              </w:rPr>
            </w:pPr>
            <w:r>
              <w:rPr>
                <w:rFonts w:hint="eastAsia" w:ascii="仿宋" w:hAnsi="仿宋" w:eastAsia="仿宋"/>
                <w:b/>
                <w:bCs/>
                <w:kern w:val="0"/>
              </w:rPr>
              <w:t>县人防办</w:t>
            </w:r>
          </w:p>
        </w:tc>
        <w:tc>
          <w:tcPr>
            <w:tcW w:w="1185" w:type="dxa"/>
            <w:tcBorders>
              <w:top w:val="single" w:color="auto" w:sz="4" w:space="0"/>
              <w:left w:val="nil"/>
              <w:bottom w:val="single" w:color="auto" w:sz="4" w:space="0"/>
              <w:right w:val="single" w:color="auto" w:sz="4" w:space="0"/>
            </w:tcBorders>
            <w:vAlign w:val="center"/>
          </w:tcPr>
          <w:p>
            <w:pPr>
              <w:jc w:val="center"/>
              <w:rPr>
                <w:rFonts w:ascii="仿宋" w:hAnsi="仿宋" w:eastAsia="仿宋"/>
                <w:b/>
                <w:bCs/>
                <w:kern w:val="0"/>
              </w:rPr>
            </w:pPr>
            <w:r>
              <w:rPr>
                <w:rFonts w:hint="eastAsia" w:ascii="仿宋" w:hAnsi="仿宋" w:eastAsia="仿宋"/>
                <w:b/>
                <w:bCs/>
                <w:kern w:val="0"/>
              </w:rPr>
              <w:t>行政</w:t>
            </w:r>
          </w:p>
        </w:tc>
        <w:tc>
          <w:tcPr>
            <w:tcW w:w="1748" w:type="dxa"/>
            <w:tcBorders>
              <w:top w:val="single" w:color="auto" w:sz="4" w:space="0"/>
              <w:left w:val="nil"/>
              <w:bottom w:val="single" w:color="auto" w:sz="4" w:space="0"/>
              <w:right w:val="single" w:color="auto" w:sz="4" w:space="0"/>
            </w:tcBorders>
            <w:vAlign w:val="center"/>
          </w:tcPr>
          <w:p>
            <w:pPr>
              <w:jc w:val="center"/>
              <w:rPr>
                <w:rFonts w:ascii="仿宋" w:hAnsi="仿宋" w:eastAsia="仿宋"/>
                <w:b/>
                <w:bCs/>
                <w:kern w:val="0"/>
              </w:rPr>
            </w:pPr>
            <w:r>
              <w:rPr>
                <w:rFonts w:hint="eastAsia" w:ascii="仿宋" w:hAnsi="仿宋" w:eastAsia="仿宋"/>
                <w:b/>
                <w:bCs/>
                <w:kern w:val="0"/>
              </w:rPr>
              <w:t>川H08270001</w:t>
            </w:r>
          </w:p>
        </w:tc>
        <w:tc>
          <w:tcPr>
            <w:tcW w:w="1178" w:type="dxa"/>
            <w:tcBorders>
              <w:top w:val="single" w:color="auto" w:sz="4" w:space="0"/>
              <w:left w:val="nil"/>
              <w:bottom w:val="single" w:color="auto" w:sz="4" w:space="0"/>
              <w:right w:val="single" w:color="auto" w:sz="4" w:space="0"/>
            </w:tcBorders>
            <w:vAlign w:val="center"/>
          </w:tcPr>
          <w:p>
            <w:pPr>
              <w:jc w:val="center"/>
              <w:rPr>
                <w:rFonts w:ascii="仿宋" w:hAnsi="仿宋" w:eastAsia="仿宋"/>
                <w:b/>
                <w:bCs/>
                <w:kern w:val="0"/>
              </w:rPr>
            </w:pPr>
            <w:r>
              <w:rPr>
                <w:rFonts w:hint="eastAsia" w:ascii="仿宋" w:hAnsi="仿宋" w:eastAsia="仿宋"/>
                <w:b/>
                <w:bCs/>
                <w:kern w:val="0"/>
              </w:rPr>
              <w:t>人防</w:t>
            </w:r>
          </w:p>
        </w:tc>
        <w:tc>
          <w:tcPr>
            <w:tcW w:w="1241" w:type="dxa"/>
            <w:tcBorders>
              <w:top w:val="single" w:color="auto" w:sz="4" w:space="0"/>
              <w:left w:val="nil"/>
              <w:bottom w:val="single" w:color="auto" w:sz="4" w:space="0"/>
              <w:right w:val="single" w:color="auto" w:sz="4" w:space="0"/>
            </w:tcBorders>
            <w:vAlign w:val="center"/>
          </w:tcPr>
          <w:p>
            <w:pPr>
              <w:jc w:val="center"/>
              <w:rPr>
                <w:rFonts w:ascii="仿宋" w:hAnsi="仿宋" w:eastAsia="仿宋"/>
              </w:rPr>
            </w:pPr>
            <w:r>
              <w:rPr>
                <w:rFonts w:hint="eastAsia" w:ascii="仿宋" w:hAnsi="仿宋" w:eastAsia="仿宋"/>
              </w:rPr>
              <w:t>县城规划区</w:t>
            </w:r>
          </w:p>
        </w:tc>
        <w:tc>
          <w:tcPr>
            <w:tcW w:w="503" w:type="dxa"/>
            <w:tcBorders>
              <w:top w:val="single" w:color="auto" w:sz="4" w:space="0"/>
              <w:left w:val="nil"/>
              <w:bottom w:val="single" w:color="auto" w:sz="4" w:space="0"/>
              <w:right w:val="single" w:color="auto" w:sz="4" w:space="0"/>
            </w:tcBorders>
            <w:vAlign w:val="center"/>
          </w:tcPr>
          <w:p>
            <w:pPr>
              <w:spacing w:line="240" w:lineRule="atLeast"/>
              <w:jc w:val="center"/>
              <w:rPr>
                <w:rFonts w:ascii="仿宋" w:hAnsi="仿宋" w:eastAsia="仿宋" w:cs="宋体"/>
              </w:rPr>
            </w:pPr>
          </w:p>
        </w:tc>
      </w:tr>
      <w:tr>
        <w:tblPrEx>
          <w:tblCellMar>
            <w:top w:w="0" w:type="dxa"/>
            <w:left w:w="108" w:type="dxa"/>
            <w:bottom w:w="0" w:type="dxa"/>
            <w:right w:w="108" w:type="dxa"/>
          </w:tblCellMar>
        </w:tblPrEx>
        <w:trPr>
          <w:trHeight w:val="95"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仿宋" w:hAnsi="仿宋" w:eastAsia="仿宋" w:cs="宋体"/>
              </w:rPr>
            </w:pPr>
            <w:r>
              <w:rPr>
                <w:rFonts w:ascii="仿宋" w:hAnsi="仿宋" w:eastAsia="仿宋" w:cs="宋体"/>
              </w:rPr>
              <w:t>2</w:t>
            </w:r>
          </w:p>
        </w:tc>
        <w:tc>
          <w:tcPr>
            <w:tcW w:w="1089" w:type="dxa"/>
            <w:tcBorders>
              <w:top w:val="single" w:color="auto" w:sz="4" w:space="0"/>
              <w:left w:val="nil"/>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杨洪鑫</w:t>
            </w:r>
          </w:p>
        </w:tc>
        <w:tc>
          <w:tcPr>
            <w:tcW w:w="671" w:type="dxa"/>
            <w:tcBorders>
              <w:top w:val="single" w:color="auto" w:sz="4" w:space="0"/>
              <w:left w:val="nil"/>
              <w:bottom w:val="single" w:color="auto" w:sz="4" w:space="0"/>
              <w:right w:val="single" w:color="auto" w:sz="4" w:space="0"/>
            </w:tcBorders>
            <w:vAlign w:val="center"/>
          </w:tcPr>
          <w:p>
            <w:pPr>
              <w:jc w:val="center"/>
              <w:rPr>
                <w:rFonts w:ascii="仿宋" w:hAnsi="仿宋" w:eastAsia="仿宋"/>
              </w:rPr>
            </w:pPr>
            <w:r>
              <w:rPr>
                <w:rFonts w:hint="eastAsia" w:ascii="仿宋" w:hAnsi="仿宋" w:eastAsia="仿宋"/>
              </w:rPr>
              <w:t>男</w:t>
            </w:r>
          </w:p>
        </w:tc>
        <w:tc>
          <w:tcPr>
            <w:tcW w:w="1559" w:type="dxa"/>
            <w:tcBorders>
              <w:top w:val="single" w:color="auto" w:sz="4" w:space="0"/>
              <w:left w:val="nil"/>
              <w:bottom w:val="single" w:color="auto" w:sz="4" w:space="0"/>
              <w:right w:val="single" w:color="auto" w:sz="4" w:space="0"/>
            </w:tcBorders>
            <w:vAlign w:val="center"/>
          </w:tcPr>
          <w:p>
            <w:pPr>
              <w:jc w:val="center"/>
              <w:rPr>
                <w:rFonts w:ascii="仿宋" w:hAnsi="仿宋" w:eastAsia="仿宋"/>
                <w:b/>
                <w:bCs/>
                <w:kern w:val="0"/>
              </w:rPr>
            </w:pPr>
            <w:r>
              <w:rPr>
                <w:rFonts w:hint="eastAsia" w:ascii="仿宋" w:hAnsi="仿宋" w:eastAsia="仿宋"/>
                <w:b/>
                <w:bCs/>
                <w:kern w:val="0"/>
              </w:rPr>
              <w:t>县人防办</w:t>
            </w:r>
          </w:p>
        </w:tc>
        <w:tc>
          <w:tcPr>
            <w:tcW w:w="1185" w:type="dxa"/>
            <w:tcBorders>
              <w:top w:val="single" w:color="auto" w:sz="4" w:space="0"/>
              <w:left w:val="nil"/>
              <w:bottom w:val="single" w:color="auto" w:sz="4" w:space="0"/>
              <w:right w:val="single" w:color="auto" w:sz="4" w:space="0"/>
            </w:tcBorders>
            <w:vAlign w:val="center"/>
          </w:tcPr>
          <w:p>
            <w:pPr>
              <w:jc w:val="center"/>
              <w:rPr>
                <w:rFonts w:ascii="仿宋" w:hAnsi="仿宋" w:eastAsia="仿宋"/>
                <w:b/>
                <w:bCs/>
                <w:sz w:val="24"/>
              </w:rPr>
            </w:pPr>
            <w:r>
              <w:rPr>
                <w:rFonts w:hint="eastAsia" w:ascii="仿宋" w:hAnsi="仿宋" w:eastAsia="仿宋"/>
                <w:b/>
                <w:bCs/>
                <w:sz w:val="24"/>
              </w:rPr>
              <w:t>行政</w:t>
            </w:r>
          </w:p>
        </w:tc>
        <w:tc>
          <w:tcPr>
            <w:tcW w:w="1748" w:type="dxa"/>
            <w:tcBorders>
              <w:top w:val="single" w:color="auto" w:sz="4" w:space="0"/>
              <w:left w:val="nil"/>
              <w:bottom w:val="single" w:color="auto" w:sz="4" w:space="0"/>
              <w:right w:val="single" w:color="auto" w:sz="4" w:space="0"/>
            </w:tcBorders>
            <w:vAlign w:val="center"/>
          </w:tcPr>
          <w:p>
            <w:pPr>
              <w:jc w:val="center"/>
              <w:rPr>
                <w:rFonts w:ascii="仿宋" w:hAnsi="仿宋" w:eastAsia="仿宋"/>
                <w:b/>
                <w:bCs/>
                <w:sz w:val="24"/>
              </w:rPr>
            </w:pPr>
            <w:r>
              <w:rPr>
                <w:rFonts w:hint="eastAsia" w:ascii="仿宋" w:hAnsi="仿宋" w:eastAsia="仿宋"/>
                <w:b/>
                <w:bCs/>
                <w:kern w:val="0"/>
              </w:rPr>
              <w:t>川H08270003</w:t>
            </w:r>
          </w:p>
        </w:tc>
        <w:tc>
          <w:tcPr>
            <w:tcW w:w="1178" w:type="dxa"/>
            <w:tcBorders>
              <w:top w:val="single" w:color="auto" w:sz="4" w:space="0"/>
              <w:left w:val="nil"/>
              <w:bottom w:val="single" w:color="auto" w:sz="4" w:space="0"/>
              <w:right w:val="single" w:color="auto" w:sz="4" w:space="0"/>
            </w:tcBorders>
            <w:vAlign w:val="center"/>
          </w:tcPr>
          <w:p>
            <w:pPr>
              <w:jc w:val="center"/>
              <w:rPr>
                <w:rFonts w:ascii="仿宋" w:hAnsi="仿宋" w:eastAsia="仿宋"/>
              </w:rPr>
            </w:pPr>
            <w:r>
              <w:rPr>
                <w:rFonts w:hint="eastAsia" w:ascii="仿宋" w:hAnsi="仿宋" w:eastAsia="仿宋"/>
                <w:b/>
                <w:bCs/>
                <w:kern w:val="0"/>
              </w:rPr>
              <w:t>人防</w:t>
            </w:r>
          </w:p>
        </w:tc>
        <w:tc>
          <w:tcPr>
            <w:tcW w:w="1241" w:type="dxa"/>
            <w:tcBorders>
              <w:top w:val="single" w:color="auto" w:sz="4" w:space="0"/>
              <w:left w:val="nil"/>
              <w:bottom w:val="single" w:color="auto" w:sz="4" w:space="0"/>
              <w:right w:val="single" w:color="auto" w:sz="4" w:space="0"/>
            </w:tcBorders>
          </w:tcPr>
          <w:p>
            <w:pPr>
              <w:jc w:val="center"/>
              <w:rPr>
                <w:rFonts w:ascii="仿宋" w:hAnsi="仿宋" w:eastAsia="仿宋"/>
              </w:rPr>
            </w:pPr>
            <w:r>
              <w:rPr>
                <w:rFonts w:hint="eastAsia" w:ascii="仿宋" w:hAnsi="仿宋" w:eastAsia="仿宋"/>
              </w:rPr>
              <w:t>县城规划区</w:t>
            </w:r>
          </w:p>
        </w:tc>
        <w:tc>
          <w:tcPr>
            <w:tcW w:w="503" w:type="dxa"/>
            <w:tcBorders>
              <w:top w:val="single" w:color="auto" w:sz="4" w:space="0"/>
              <w:left w:val="nil"/>
              <w:bottom w:val="single" w:color="auto" w:sz="4" w:space="0"/>
              <w:right w:val="single" w:color="auto" w:sz="4" w:space="0"/>
            </w:tcBorders>
            <w:vAlign w:val="center"/>
          </w:tcPr>
          <w:p>
            <w:pPr>
              <w:spacing w:line="240" w:lineRule="atLeast"/>
              <w:jc w:val="center"/>
              <w:rPr>
                <w:rFonts w:ascii="仿宋" w:hAnsi="仿宋" w:eastAsia="仿宋" w:cs="宋体"/>
              </w:rPr>
            </w:pPr>
          </w:p>
        </w:tc>
      </w:tr>
      <w:tr>
        <w:tblPrEx>
          <w:tblCellMar>
            <w:top w:w="0" w:type="dxa"/>
            <w:left w:w="108" w:type="dxa"/>
            <w:bottom w:w="0" w:type="dxa"/>
            <w:right w:w="108" w:type="dxa"/>
          </w:tblCellMar>
        </w:tblPrEx>
        <w:trPr>
          <w:trHeight w:val="342"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仿宋" w:hAnsi="仿宋" w:eastAsia="仿宋" w:cs="宋体"/>
              </w:rPr>
            </w:pPr>
            <w:r>
              <w:rPr>
                <w:rFonts w:ascii="仿宋" w:hAnsi="仿宋" w:eastAsia="仿宋" w:cs="宋体"/>
              </w:rPr>
              <w:t>3</w:t>
            </w:r>
          </w:p>
        </w:tc>
        <w:tc>
          <w:tcPr>
            <w:tcW w:w="1089" w:type="dxa"/>
            <w:tcBorders>
              <w:top w:val="single" w:color="auto" w:sz="4" w:space="0"/>
              <w:left w:val="nil"/>
              <w:bottom w:val="single" w:color="auto" w:sz="4" w:space="0"/>
              <w:right w:val="single" w:color="auto" w:sz="4" w:space="0"/>
            </w:tcBorders>
            <w:vAlign w:val="center"/>
          </w:tcPr>
          <w:p>
            <w:pPr>
              <w:jc w:val="center"/>
              <w:rPr>
                <w:rFonts w:ascii="仿宋" w:hAnsi="仿宋" w:eastAsia="仿宋"/>
                <w:sz w:val="24"/>
              </w:rPr>
            </w:pPr>
            <w:r>
              <w:rPr>
                <w:rFonts w:hint="eastAsia" w:ascii="仿宋" w:hAnsi="仿宋" w:eastAsia="仿宋"/>
                <w:sz w:val="24"/>
              </w:rPr>
              <w:t>梁术民</w:t>
            </w:r>
          </w:p>
        </w:tc>
        <w:tc>
          <w:tcPr>
            <w:tcW w:w="671" w:type="dxa"/>
            <w:tcBorders>
              <w:top w:val="single" w:color="auto" w:sz="4" w:space="0"/>
              <w:left w:val="nil"/>
              <w:bottom w:val="single" w:color="auto" w:sz="4" w:space="0"/>
              <w:right w:val="single" w:color="auto" w:sz="4" w:space="0"/>
            </w:tcBorders>
            <w:vAlign w:val="center"/>
          </w:tcPr>
          <w:p>
            <w:pPr>
              <w:jc w:val="center"/>
              <w:rPr>
                <w:rFonts w:ascii="仿宋" w:hAnsi="仿宋" w:eastAsia="仿宋"/>
              </w:rPr>
            </w:pPr>
            <w:r>
              <w:rPr>
                <w:rFonts w:hint="eastAsia" w:ascii="仿宋" w:hAnsi="仿宋" w:eastAsia="仿宋"/>
              </w:rPr>
              <w:t>男</w:t>
            </w:r>
          </w:p>
        </w:tc>
        <w:tc>
          <w:tcPr>
            <w:tcW w:w="1559" w:type="dxa"/>
            <w:tcBorders>
              <w:top w:val="single" w:color="auto" w:sz="4" w:space="0"/>
              <w:left w:val="nil"/>
              <w:bottom w:val="single" w:color="auto" w:sz="4" w:space="0"/>
              <w:right w:val="single" w:color="auto" w:sz="4" w:space="0"/>
            </w:tcBorders>
            <w:vAlign w:val="center"/>
          </w:tcPr>
          <w:p>
            <w:pPr>
              <w:jc w:val="center"/>
              <w:rPr>
                <w:rFonts w:ascii="仿宋" w:hAnsi="仿宋" w:eastAsia="仿宋"/>
                <w:b/>
                <w:bCs/>
                <w:kern w:val="0"/>
              </w:rPr>
            </w:pPr>
            <w:r>
              <w:rPr>
                <w:rFonts w:hint="eastAsia" w:ascii="仿宋" w:hAnsi="仿宋" w:eastAsia="仿宋"/>
                <w:b/>
                <w:bCs/>
                <w:kern w:val="0"/>
              </w:rPr>
              <w:t>县人防办</w:t>
            </w:r>
          </w:p>
        </w:tc>
        <w:tc>
          <w:tcPr>
            <w:tcW w:w="1185" w:type="dxa"/>
            <w:tcBorders>
              <w:top w:val="single" w:color="auto" w:sz="4" w:space="0"/>
              <w:left w:val="nil"/>
              <w:bottom w:val="single" w:color="auto" w:sz="4" w:space="0"/>
              <w:right w:val="single" w:color="auto" w:sz="4" w:space="0"/>
            </w:tcBorders>
            <w:vAlign w:val="center"/>
          </w:tcPr>
          <w:p>
            <w:pPr>
              <w:jc w:val="center"/>
              <w:rPr>
                <w:rFonts w:ascii="仿宋" w:hAnsi="仿宋" w:eastAsia="仿宋"/>
                <w:b/>
                <w:bCs/>
                <w:sz w:val="24"/>
              </w:rPr>
            </w:pPr>
            <w:r>
              <w:rPr>
                <w:rFonts w:hint="eastAsia" w:ascii="仿宋" w:hAnsi="仿宋" w:eastAsia="仿宋"/>
                <w:b/>
                <w:bCs/>
                <w:sz w:val="24"/>
              </w:rPr>
              <w:t>事业</w:t>
            </w:r>
          </w:p>
        </w:tc>
        <w:tc>
          <w:tcPr>
            <w:tcW w:w="1748" w:type="dxa"/>
            <w:tcBorders>
              <w:top w:val="single" w:color="auto" w:sz="4" w:space="0"/>
              <w:left w:val="nil"/>
              <w:bottom w:val="single" w:color="auto" w:sz="4" w:space="0"/>
              <w:right w:val="single" w:color="auto" w:sz="4" w:space="0"/>
            </w:tcBorders>
            <w:vAlign w:val="center"/>
          </w:tcPr>
          <w:p>
            <w:pPr>
              <w:jc w:val="center"/>
              <w:rPr>
                <w:rFonts w:ascii="仿宋" w:hAnsi="仿宋" w:eastAsia="仿宋"/>
                <w:b/>
                <w:bCs/>
                <w:sz w:val="24"/>
              </w:rPr>
            </w:pPr>
            <w:r>
              <w:rPr>
                <w:rFonts w:hint="eastAsia" w:ascii="仿宋" w:hAnsi="仿宋" w:eastAsia="仿宋"/>
                <w:b/>
                <w:bCs/>
                <w:kern w:val="0"/>
              </w:rPr>
              <w:t>川H08270002</w:t>
            </w:r>
          </w:p>
        </w:tc>
        <w:tc>
          <w:tcPr>
            <w:tcW w:w="1178" w:type="dxa"/>
            <w:tcBorders>
              <w:top w:val="single" w:color="auto" w:sz="4" w:space="0"/>
              <w:left w:val="nil"/>
              <w:bottom w:val="single" w:color="auto" w:sz="4" w:space="0"/>
              <w:right w:val="single" w:color="auto" w:sz="4" w:space="0"/>
            </w:tcBorders>
            <w:vAlign w:val="center"/>
          </w:tcPr>
          <w:p>
            <w:pPr>
              <w:jc w:val="center"/>
              <w:rPr>
                <w:rFonts w:ascii="仿宋" w:hAnsi="仿宋" w:eastAsia="仿宋"/>
              </w:rPr>
            </w:pPr>
            <w:r>
              <w:rPr>
                <w:rFonts w:hint="eastAsia" w:ascii="仿宋" w:hAnsi="仿宋" w:eastAsia="仿宋"/>
                <w:b/>
                <w:bCs/>
                <w:kern w:val="0"/>
              </w:rPr>
              <w:t>人防</w:t>
            </w:r>
          </w:p>
        </w:tc>
        <w:tc>
          <w:tcPr>
            <w:tcW w:w="1241" w:type="dxa"/>
            <w:tcBorders>
              <w:top w:val="single" w:color="auto" w:sz="4" w:space="0"/>
              <w:left w:val="nil"/>
              <w:bottom w:val="single" w:color="auto" w:sz="4" w:space="0"/>
              <w:right w:val="single" w:color="auto" w:sz="4" w:space="0"/>
            </w:tcBorders>
          </w:tcPr>
          <w:p>
            <w:pPr>
              <w:jc w:val="center"/>
              <w:rPr>
                <w:rFonts w:ascii="仿宋" w:hAnsi="仿宋" w:eastAsia="仿宋"/>
              </w:rPr>
            </w:pPr>
            <w:r>
              <w:rPr>
                <w:rFonts w:hint="eastAsia" w:ascii="仿宋" w:hAnsi="仿宋" w:eastAsia="仿宋"/>
              </w:rPr>
              <w:t>县城规划区</w:t>
            </w:r>
          </w:p>
        </w:tc>
        <w:tc>
          <w:tcPr>
            <w:tcW w:w="503" w:type="dxa"/>
            <w:tcBorders>
              <w:top w:val="single" w:color="auto" w:sz="4" w:space="0"/>
              <w:left w:val="nil"/>
              <w:bottom w:val="single" w:color="auto" w:sz="4" w:space="0"/>
              <w:right w:val="single" w:color="auto" w:sz="4" w:space="0"/>
            </w:tcBorders>
            <w:vAlign w:val="center"/>
          </w:tcPr>
          <w:p>
            <w:pPr>
              <w:spacing w:line="240" w:lineRule="atLeast"/>
              <w:jc w:val="center"/>
              <w:rPr>
                <w:rFonts w:ascii="仿宋" w:hAnsi="仿宋" w:eastAsia="仿宋" w:cs="宋体"/>
              </w:rPr>
            </w:pPr>
          </w:p>
        </w:tc>
      </w:tr>
      <w:tr>
        <w:tblPrEx>
          <w:tblCellMar>
            <w:top w:w="0" w:type="dxa"/>
            <w:left w:w="108" w:type="dxa"/>
            <w:bottom w:w="0" w:type="dxa"/>
            <w:right w:w="108" w:type="dxa"/>
          </w:tblCellMar>
        </w:tblPrEx>
        <w:trPr>
          <w:trHeight w:val="342"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仿宋" w:hAnsi="仿宋" w:eastAsia="仿宋" w:cs="宋体"/>
              </w:rPr>
            </w:pPr>
          </w:p>
        </w:tc>
        <w:tc>
          <w:tcPr>
            <w:tcW w:w="1089" w:type="dxa"/>
            <w:tcBorders>
              <w:top w:val="single" w:color="auto" w:sz="4" w:space="0"/>
              <w:left w:val="nil"/>
              <w:bottom w:val="single" w:color="auto" w:sz="4" w:space="0"/>
              <w:right w:val="single" w:color="auto" w:sz="4" w:space="0"/>
            </w:tcBorders>
            <w:vAlign w:val="center"/>
          </w:tcPr>
          <w:p>
            <w:pPr>
              <w:jc w:val="center"/>
              <w:rPr>
                <w:rFonts w:ascii="仿宋" w:hAnsi="仿宋" w:eastAsia="仿宋"/>
                <w:sz w:val="24"/>
              </w:rPr>
            </w:pPr>
          </w:p>
        </w:tc>
        <w:tc>
          <w:tcPr>
            <w:tcW w:w="671" w:type="dxa"/>
            <w:tcBorders>
              <w:top w:val="single" w:color="auto" w:sz="4" w:space="0"/>
              <w:left w:val="nil"/>
              <w:bottom w:val="single" w:color="auto" w:sz="4" w:space="0"/>
              <w:right w:val="single" w:color="auto" w:sz="4" w:space="0"/>
            </w:tcBorders>
            <w:vAlign w:val="center"/>
          </w:tcPr>
          <w:p>
            <w:pPr>
              <w:jc w:val="center"/>
              <w:rPr>
                <w:rFonts w:ascii="仿宋" w:hAnsi="仿宋" w:eastAsia="仿宋"/>
                <w:sz w:val="24"/>
              </w:rPr>
            </w:pPr>
          </w:p>
        </w:tc>
        <w:tc>
          <w:tcPr>
            <w:tcW w:w="1559" w:type="dxa"/>
            <w:tcBorders>
              <w:top w:val="single" w:color="auto" w:sz="4" w:space="0"/>
              <w:left w:val="nil"/>
              <w:bottom w:val="single" w:color="auto" w:sz="4" w:space="0"/>
              <w:right w:val="single" w:color="auto" w:sz="4" w:space="0"/>
            </w:tcBorders>
            <w:vAlign w:val="center"/>
          </w:tcPr>
          <w:p>
            <w:pPr>
              <w:jc w:val="center"/>
              <w:rPr>
                <w:rFonts w:ascii="仿宋" w:hAnsi="仿宋" w:eastAsia="仿宋"/>
                <w:b/>
                <w:bCs/>
                <w:sz w:val="24"/>
              </w:rPr>
            </w:pPr>
          </w:p>
        </w:tc>
        <w:tc>
          <w:tcPr>
            <w:tcW w:w="1185" w:type="dxa"/>
            <w:tcBorders>
              <w:top w:val="single" w:color="auto" w:sz="4" w:space="0"/>
              <w:left w:val="nil"/>
              <w:bottom w:val="single" w:color="auto" w:sz="4" w:space="0"/>
              <w:right w:val="single" w:color="auto" w:sz="4" w:space="0"/>
            </w:tcBorders>
            <w:vAlign w:val="center"/>
          </w:tcPr>
          <w:p>
            <w:pPr>
              <w:jc w:val="center"/>
              <w:rPr>
                <w:rFonts w:ascii="仿宋" w:hAnsi="仿宋" w:eastAsia="仿宋"/>
                <w:b/>
                <w:bCs/>
                <w:sz w:val="24"/>
              </w:rPr>
            </w:pPr>
          </w:p>
        </w:tc>
        <w:tc>
          <w:tcPr>
            <w:tcW w:w="1748" w:type="dxa"/>
            <w:tcBorders>
              <w:top w:val="single" w:color="auto" w:sz="4" w:space="0"/>
              <w:left w:val="nil"/>
              <w:bottom w:val="single" w:color="auto" w:sz="4" w:space="0"/>
              <w:right w:val="single" w:color="auto" w:sz="4" w:space="0"/>
            </w:tcBorders>
            <w:vAlign w:val="center"/>
          </w:tcPr>
          <w:p>
            <w:pPr>
              <w:jc w:val="center"/>
              <w:rPr>
                <w:rFonts w:ascii="仿宋" w:hAnsi="仿宋" w:eastAsia="仿宋"/>
                <w:b/>
                <w:bCs/>
                <w:kern w:val="0"/>
              </w:rPr>
            </w:pPr>
          </w:p>
        </w:tc>
        <w:tc>
          <w:tcPr>
            <w:tcW w:w="1178" w:type="dxa"/>
            <w:tcBorders>
              <w:top w:val="single" w:color="auto" w:sz="4" w:space="0"/>
              <w:left w:val="nil"/>
              <w:bottom w:val="single" w:color="auto" w:sz="4" w:space="0"/>
              <w:right w:val="single" w:color="auto" w:sz="4" w:space="0"/>
            </w:tcBorders>
            <w:vAlign w:val="center"/>
          </w:tcPr>
          <w:p>
            <w:pPr>
              <w:jc w:val="center"/>
              <w:rPr>
                <w:rFonts w:ascii="仿宋" w:hAnsi="仿宋" w:eastAsia="仿宋"/>
                <w:b/>
                <w:bCs/>
                <w:sz w:val="24"/>
              </w:rPr>
            </w:pPr>
          </w:p>
        </w:tc>
        <w:tc>
          <w:tcPr>
            <w:tcW w:w="1241" w:type="dxa"/>
            <w:tcBorders>
              <w:top w:val="single" w:color="auto" w:sz="4" w:space="0"/>
              <w:left w:val="nil"/>
              <w:bottom w:val="single" w:color="auto" w:sz="4" w:space="0"/>
              <w:right w:val="single" w:color="auto" w:sz="4" w:space="0"/>
            </w:tcBorders>
            <w:vAlign w:val="center"/>
          </w:tcPr>
          <w:p>
            <w:pPr>
              <w:jc w:val="center"/>
              <w:rPr>
                <w:rFonts w:ascii="仿宋" w:hAnsi="仿宋" w:eastAsia="仿宋"/>
                <w:sz w:val="24"/>
              </w:rPr>
            </w:pPr>
          </w:p>
        </w:tc>
        <w:tc>
          <w:tcPr>
            <w:tcW w:w="503" w:type="dxa"/>
            <w:tcBorders>
              <w:top w:val="single" w:color="auto" w:sz="4" w:space="0"/>
              <w:left w:val="nil"/>
              <w:bottom w:val="single" w:color="auto" w:sz="4" w:space="0"/>
              <w:right w:val="single" w:color="auto" w:sz="4" w:space="0"/>
            </w:tcBorders>
            <w:vAlign w:val="center"/>
          </w:tcPr>
          <w:p>
            <w:pPr>
              <w:spacing w:line="240" w:lineRule="atLeast"/>
              <w:jc w:val="center"/>
              <w:rPr>
                <w:rFonts w:ascii="仿宋" w:hAnsi="仿宋" w:eastAsia="仿宋" w:cs="宋体"/>
              </w:rPr>
            </w:pPr>
          </w:p>
        </w:tc>
      </w:tr>
      <w:tr>
        <w:tblPrEx>
          <w:tblCellMar>
            <w:top w:w="0" w:type="dxa"/>
            <w:left w:w="108" w:type="dxa"/>
            <w:bottom w:w="0" w:type="dxa"/>
            <w:right w:w="108" w:type="dxa"/>
          </w:tblCellMar>
        </w:tblPrEx>
        <w:trPr>
          <w:trHeight w:val="342" w:hRule="atLeast"/>
        </w:trPr>
        <w:tc>
          <w:tcPr>
            <w:tcW w:w="722"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仿宋" w:hAnsi="仿宋" w:eastAsia="仿宋" w:cs="宋体"/>
              </w:rPr>
            </w:pPr>
          </w:p>
        </w:tc>
        <w:tc>
          <w:tcPr>
            <w:tcW w:w="1089" w:type="dxa"/>
            <w:tcBorders>
              <w:top w:val="single" w:color="auto" w:sz="4" w:space="0"/>
              <w:left w:val="nil"/>
              <w:bottom w:val="single" w:color="auto" w:sz="4" w:space="0"/>
              <w:right w:val="single" w:color="auto" w:sz="4" w:space="0"/>
            </w:tcBorders>
            <w:vAlign w:val="center"/>
          </w:tcPr>
          <w:p>
            <w:pPr>
              <w:jc w:val="center"/>
              <w:rPr>
                <w:rFonts w:ascii="仿宋" w:hAnsi="仿宋" w:eastAsia="仿宋"/>
                <w:sz w:val="24"/>
              </w:rPr>
            </w:pPr>
          </w:p>
        </w:tc>
        <w:tc>
          <w:tcPr>
            <w:tcW w:w="671" w:type="dxa"/>
            <w:tcBorders>
              <w:top w:val="single" w:color="auto" w:sz="4" w:space="0"/>
              <w:left w:val="nil"/>
              <w:bottom w:val="single" w:color="auto" w:sz="4" w:space="0"/>
              <w:right w:val="single" w:color="auto" w:sz="4" w:space="0"/>
            </w:tcBorders>
            <w:vAlign w:val="center"/>
          </w:tcPr>
          <w:p>
            <w:pPr>
              <w:jc w:val="center"/>
              <w:rPr>
                <w:rFonts w:ascii="仿宋" w:hAnsi="仿宋" w:eastAsia="仿宋"/>
                <w:sz w:val="24"/>
              </w:rPr>
            </w:pPr>
          </w:p>
        </w:tc>
        <w:tc>
          <w:tcPr>
            <w:tcW w:w="1559" w:type="dxa"/>
            <w:tcBorders>
              <w:top w:val="single" w:color="auto" w:sz="4" w:space="0"/>
              <w:left w:val="nil"/>
              <w:bottom w:val="single" w:color="auto" w:sz="4" w:space="0"/>
              <w:right w:val="single" w:color="auto" w:sz="4" w:space="0"/>
            </w:tcBorders>
            <w:vAlign w:val="center"/>
          </w:tcPr>
          <w:p>
            <w:pPr>
              <w:jc w:val="center"/>
              <w:rPr>
                <w:rFonts w:ascii="仿宋" w:hAnsi="仿宋" w:eastAsia="仿宋"/>
                <w:b/>
                <w:bCs/>
                <w:sz w:val="24"/>
              </w:rPr>
            </w:pPr>
          </w:p>
        </w:tc>
        <w:tc>
          <w:tcPr>
            <w:tcW w:w="1185" w:type="dxa"/>
            <w:tcBorders>
              <w:top w:val="single" w:color="auto" w:sz="4" w:space="0"/>
              <w:left w:val="nil"/>
              <w:bottom w:val="single" w:color="auto" w:sz="4" w:space="0"/>
              <w:right w:val="single" w:color="auto" w:sz="4" w:space="0"/>
            </w:tcBorders>
            <w:vAlign w:val="center"/>
          </w:tcPr>
          <w:p>
            <w:pPr>
              <w:jc w:val="center"/>
              <w:rPr>
                <w:rFonts w:ascii="仿宋" w:hAnsi="仿宋" w:eastAsia="仿宋"/>
                <w:b/>
                <w:bCs/>
                <w:sz w:val="24"/>
              </w:rPr>
            </w:pPr>
          </w:p>
        </w:tc>
        <w:tc>
          <w:tcPr>
            <w:tcW w:w="1748" w:type="dxa"/>
            <w:tcBorders>
              <w:top w:val="single" w:color="auto" w:sz="4" w:space="0"/>
              <w:left w:val="nil"/>
              <w:bottom w:val="single" w:color="auto" w:sz="4" w:space="0"/>
              <w:right w:val="single" w:color="auto" w:sz="4" w:space="0"/>
            </w:tcBorders>
            <w:vAlign w:val="center"/>
          </w:tcPr>
          <w:p>
            <w:pPr>
              <w:jc w:val="center"/>
              <w:rPr>
                <w:rFonts w:ascii="仿宋" w:hAnsi="仿宋" w:eastAsia="仿宋"/>
                <w:b/>
                <w:bCs/>
                <w:kern w:val="0"/>
              </w:rPr>
            </w:pPr>
          </w:p>
        </w:tc>
        <w:tc>
          <w:tcPr>
            <w:tcW w:w="1178" w:type="dxa"/>
            <w:tcBorders>
              <w:top w:val="single" w:color="auto" w:sz="4" w:space="0"/>
              <w:left w:val="nil"/>
              <w:bottom w:val="single" w:color="auto" w:sz="4" w:space="0"/>
              <w:right w:val="single" w:color="auto" w:sz="4" w:space="0"/>
            </w:tcBorders>
            <w:vAlign w:val="center"/>
          </w:tcPr>
          <w:p>
            <w:pPr>
              <w:jc w:val="center"/>
              <w:rPr>
                <w:rFonts w:ascii="仿宋" w:hAnsi="仿宋" w:eastAsia="仿宋"/>
                <w:b/>
                <w:bCs/>
                <w:sz w:val="24"/>
              </w:rPr>
            </w:pPr>
          </w:p>
        </w:tc>
        <w:tc>
          <w:tcPr>
            <w:tcW w:w="1241" w:type="dxa"/>
            <w:tcBorders>
              <w:top w:val="single" w:color="auto" w:sz="4" w:space="0"/>
              <w:left w:val="nil"/>
              <w:bottom w:val="single" w:color="auto" w:sz="4" w:space="0"/>
              <w:right w:val="single" w:color="auto" w:sz="4" w:space="0"/>
            </w:tcBorders>
            <w:vAlign w:val="center"/>
          </w:tcPr>
          <w:p>
            <w:pPr>
              <w:jc w:val="center"/>
              <w:rPr>
                <w:rFonts w:ascii="仿宋" w:hAnsi="仿宋" w:eastAsia="仿宋"/>
                <w:sz w:val="24"/>
              </w:rPr>
            </w:pPr>
          </w:p>
        </w:tc>
        <w:tc>
          <w:tcPr>
            <w:tcW w:w="503" w:type="dxa"/>
            <w:tcBorders>
              <w:top w:val="single" w:color="auto" w:sz="4" w:space="0"/>
              <w:left w:val="nil"/>
              <w:bottom w:val="single" w:color="auto" w:sz="4" w:space="0"/>
              <w:right w:val="single" w:color="auto" w:sz="4" w:space="0"/>
            </w:tcBorders>
            <w:vAlign w:val="center"/>
          </w:tcPr>
          <w:p>
            <w:pPr>
              <w:spacing w:line="240" w:lineRule="atLeast"/>
              <w:jc w:val="center"/>
              <w:rPr>
                <w:rFonts w:ascii="仿宋" w:hAnsi="仿宋" w:eastAsia="仿宋" w:cs="宋体"/>
              </w:rPr>
            </w:pPr>
          </w:p>
        </w:tc>
      </w:tr>
    </w:tbl>
    <w:p>
      <w:pPr>
        <w:spacing w:line="540" w:lineRule="exact"/>
        <w:rPr>
          <w:rFonts w:ascii="Times New Roman" w:hAnsi="Times New Roman" w:cs="Times New Roman"/>
        </w:rPr>
      </w:pPr>
      <w:r>
        <w:rPr>
          <w:rFonts w:ascii="宋体" w:hAnsi="宋体" w:cs="宋体"/>
          <w:sz w:val="24"/>
          <w:szCs w:val="24"/>
        </w:rPr>
        <w:t xml:space="preserve">            </w:t>
      </w:r>
    </w:p>
    <w:p>
      <w:pPr>
        <w:rPr>
          <w:rFonts w:cs="Times New Roman"/>
        </w:rPr>
      </w:pPr>
    </w:p>
    <w:p>
      <w:pPr>
        <w:ind w:firstLine="640" w:firstLineChars="200"/>
        <w:rPr>
          <w:rFonts w:ascii="黑体" w:hAnsi="黑体" w:eastAsia="黑体" w:cs="Times New Roman"/>
          <w:sz w:val="32"/>
          <w:szCs w:val="32"/>
        </w:rPr>
      </w:pPr>
      <w:r>
        <w:rPr>
          <w:rFonts w:hint="eastAsia" w:ascii="黑体" w:hAnsi="黑体" w:eastAsia="黑体" w:cs="黑体"/>
          <w:sz w:val="32"/>
          <w:szCs w:val="32"/>
        </w:rPr>
        <w:t>三、剑阁县人民防空办公室行政执法权力、责任清单</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四川政务服务网、剑阁县人民政府网（含行政执法权力及责任事项的权限、职责、服务指南、法定依据、流程图、程序）</w:t>
      </w:r>
      <w:r>
        <w:rPr>
          <w:rFonts w:ascii="仿宋_GB2312" w:eastAsia="仿宋_GB2312"/>
          <w:sz w:val="32"/>
          <w:szCs w:val="32"/>
        </w:rPr>
        <w:t xml:space="preserve"> </w:t>
      </w:r>
    </w:p>
    <w:p>
      <w:pPr>
        <w:spacing w:line="576" w:lineRule="exact"/>
        <w:ind w:firstLine="420" w:firstLineChars="200"/>
        <w:rPr>
          <w:rFonts w:ascii="仿宋_GB2312" w:eastAsia="仿宋_GB2312"/>
          <w:sz w:val="32"/>
          <w:szCs w:val="32"/>
        </w:rPr>
      </w:pPr>
      <w:r>
        <w:fldChar w:fldCharType="begin"/>
      </w:r>
      <w:r>
        <w:instrText xml:space="preserve"> HYPERLINK "http://gysjgx.sczwfw.gov.cn/app/qixianShop/11100?areaId=1985&amp;areaCode=510823000000" </w:instrText>
      </w:r>
      <w:r>
        <w:fldChar w:fldCharType="separate"/>
      </w:r>
      <w:r>
        <w:rPr>
          <w:rFonts w:ascii="仿宋_GB2312" w:eastAsia="仿宋_GB2312"/>
          <w:sz w:val="32"/>
          <w:szCs w:val="32"/>
        </w:rPr>
        <w:t>http://gysjgx.sczwfw.gov.cn/app/qixianShop/11100?areaId=1985&amp;areaCode=510823000000</w:t>
      </w:r>
      <w:r>
        <w:rPr>
          <w:rFonts w:ascii="仿宋_GB2312" w:eastAsia="仿宋_GB2312"/>
          <w:sz w:val="32"/>
          <w:szCs w:val="32"/>
        </w:rPr>
        <w:fldChar w:fldCharType="end"/>
      </w:r>
    </w:p>
    <w:p>
      <w:pPr>
        <w:spacing w:line="576" w:lineRule="exact"/>
        <w:ind w:firstLine="420" w:firstLineChars="200"/>
        <w:rPr>
          <w:rFonts w:ascii="仿宋_GB2312" w:eastAsia="仿宋_GB2312"/>
          <w:sz w:val="32"/>
          <w:szCs w:val="32"/>
        </w:rPr>
        <w:sectPr>
          <w:footerReference r:id="rId3" w:type="default"/>
          <w:pgSz w:w="11906" w:h="16838"/>
          <w:pgMar w:top="2098" w:right="1474" w:bottom="1814" w:left="1588" w:header="851" w:footer="1588" w:gutter="0"/>
          <w:cols w:space="425" w:num="1"/>
          <w:docGrid w:type="lines" w:linePitch="312" w:charSpace="0"/>
        </w:sectPr>
      </w:pPr>
      <w:r>
        <w:fldChar w:fldCharType="begin"/>
      </w:r>
      <w:r>
        <w:instrText xml:space="preserve"> HYPERLINK "http://www.cnjg.gov.cn/" </w:instrText>
      </w:r>
      <w:r>
        <w:fldChar w:fldCharType="separate"/>
      </w:r>
      <w:r>
        <w:rPr>
          <w:rFonts w:ascii="仿宋_GB2312" w:eastAsia="仿宋_GB2312"/>
          <w:sz w:val="32"/>
          <w:szCs w:val="32"/>
        </w:rPr>
        <w:t>http://www.cnjg.gov.cn/</w:t>
      </w:r>
      <w:r>
        <w:rPr>
          <w:rFonts w:ascii="仿宋_GB2312" w:eastAsia="仿宋_GB2312"/>
          <w:sz w:val="32"/>
          <w:szCs w:val="32"/>
        </w:rPr>
        <w:fldChar w:fldCharType="end"/>
      </w:r>
      <w:r>
        <w:rPr>
          <w:rFonts w:hint="eastAsia" w:ascii="仿宋_GB2312" w:eastAsia="仿宋_GB2312"/>
          <w:sz w:val="32"/>
          <w:szCs w:val="32"/>
        </w:rPr>
        <w:t xml:space="preserve">  </w:t>
      </w:r>
    </w:p>
    <w:p>
      <w:pPr>
        <w:pStyle w:val="6"/>
        <w:ind w:firstLine="640" w:firstLineChars="200"/>
        <w:jc w:val="both"/>
      </w:pPr>
      <w:r>
        <w:rPr>
          <w:rFonts w:hint="eastAsia"/>
        </w:rPr>
        <w:t>四、剑阁县人民防空办公室重大行政执法责任清单（共2项）</w:t>
      </w:r>
    </w:p>
    <w:p>
      <w:pPr>
        <w:spacing w:line="576" w:lineRule="exact"/>
        <w:ind w:firstLine="640" w:firstLineChars="200"/>
        <w:rPr>
          <w:rFonts w:ascii="仿宋_GB2312" w:eastAsia="仿宋_GB2312"/>
          <w:sz w:val="32"/>
          <w:szCs w:val="32"/>
        </w:rPr>
      </w:pPr>
      <w:r>
        <w:rPr>
          <w:rFonts w:hint="eastAsia" w:ascii="仿宋_GB2312" w:hAnsi="仿宋_GB2312" w:eastAsia="仿宋_GB2312" w:cs="仿宋_GB2312"/>
          <w:b/>
          <w:bCs/>
          <w:sz w:val="32"/>
          <w:szCs w:val="32"/>
        </w:rPr>
        <w:t>1.</w:t>
      </w:r>
      <w:r>
        <w:rPr>
          <w:rFonts w:hint="eastAsia" w:ascii="仿宋_GB2312" w:eastAsia="仿宋_GB2312"/>
          <w:b/>
          <w:bCs/>
          <w:sz w:val="32"/>
          <w:szCs w:val="32"/>
        </w:rPr>
        <w:t>重大行政许可：</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（一）应建防空地下室的民用建筑项目报建；</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（二）拆除、报废人防工程；</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（三）核实建设项目落实人民防空要求；</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（四）法律法规规章和规范性文件规定以及行政机关认定的其他重大行政许可事项。</w:t>
      </w:r>
    </w:p>
    <w:p>
      <w:pPr>
        <w:spacing w:line="576" w:lineRule="exact"/>
        <w:ind w:firstLine="800" w:firstLineChars="250"/>
        <w:rPr>
          <w:rFonts w:ascii="仿宋_GB2312" w:eastAsia="仿宋_GB2312"/>
          <w:b/>
          <w:bCs/>
          <w:sz w:val="32"/>
          <w:szCs w:val="32"/>
        </w:rPr>
      </w:pPr>
      <w:r>
        <w:rPr>
          <w:rFonts w:hint="eastAsia" w:ascii="仿宋_GB2312" w:eastAsia="仿宋_GB2312"/>
          <w:b/>
          <w:bCs/>
          <w:sz w:val="32"/>
          <w:szCs w:val="32"/>
        </w:rPr>
        <w:t>2.</w:t>
      </w:r>
      <w:r>
        <w:rPr>
          <w:rFonts w:ascii="仿宋_GB2312" w:eastAsia="仿宋_GB2312"/>
          <w:b/>
          <w:bCs/>
          <w:sz w:val="32"/>
          <w:szCs w:val="32"/>
        </w:rPr>
        <w:t>重大行政处罚：</w:t>
      </w:r>
    </w:p>
    <w:p>
      <w:pPr>
        <w:autoSpaceDN w:val="0"/>
        <w:spacing w:line="576" w:lineRule="exact"/>
        <w:ind w:firstLine="640" w:firstLineChars="200"/>
        <w:rPr>
          <w:rFonts w:ascii="仿宋_GB2312" w:eastAsia="仿宋_GB2312"/>
          <w:sz w:val="32"/>
          <w:szCs w:val="32"/>
        </w:rPr>
      </w:pPr>
      <w:r>
        <w:rPr>
          <w:rFonts w:hint="eastAsia" w:ascii="仿宋_GB2312" w:eastAsia="仿宋_GB2312"/>
          <w:sz w:val="32"/>
          <w:szCs w:val="32"/>
        </w:rPr>
        <w:t>(一) 对城市新建民用建筑不修建防空地下室的处罚；</w:t>
      </w:r>
    </w:p>
    <w:p>
      <w:pPr>
        <w:autoSpaceDN w:val="0"/>
        <w:spacing w:line="576" w:lineRule="exact"/>
        <w:ind w:firstLine="640" w:firstLineChars="200"/>
        <w:rPr>
          <w:rFonts w:ascii="仿宋_GB2312" w:eastAsia="仿宋_GB2312"/>
          <w:sz w:val="32"/>
          <w:szCs w:val="32"/>
        </w:rPr>
      </w:pPr>
      <w:r>
        <w:rPr>
          <w:rFonts w:hint="eastAsia" w:ascii="仿宋_GB2312" w:eastAsia="仿宋_GB2312"/>
          <w:sz w:val="32"/>
          <w:szCs w:val="32"/>
        </w:rPr>
        <w:t>(二)</w:t>
      </w:r>
      <w:r>
        <w:rPr>
          <w:rFonts w:ascii="仿宋_GB2312" w:eastAsia="仿宋_GB2312"/>
          <w:sz w:val="32"/>
          <w:szCs w:val="32"/>
        </w:rPr>
        <w:t xml:space="preserve"> </w:t>
      </w:r>
      <w:r>
        <w:rPr>
          <w:rFonts w:ascii="仿宋_GB2312" w:eastAsia="仿宋_GB2312"/>
          <w:bCs/>
          <w:sz w:val="32"/>
          <w:szCs w:val="32"/>
        </w:rPr>
        <w:t>对危害人民防空安全行为的处罚</w:t>
      </w:r>
      <w:r>
        <w:rPr>
          <w:rFonts w:hint="eastAsia" w:ascii="仿宋_GB2312" w:eastAsia="仿宋_GB2312"/>
          <w:sz w:val="32"/>
          <w:szCs w:val="32"/>
        </w:rPr>
        <w:t>。</w:t>
      </w:r>
    </w:p>
    <w:p>
      <w:pPr>
        <w:spacing w:line="576" w:lineRule="exact"/>
        <w:jc w:val="left"/>
        <w:rPr>
          <w:rFonts w:ascii="??_GB2312" w:hAnsi="??_GB2312" w:cs="??_GB2312"/>
          <w:b/>
          <w:bCs/>
          <w:sz w:val="32"/>
          <w:szCs w:val="32"/>
        </w:rPr>
        <w:sectPr>
          <w:pgSz w:w="11906" w:h="16838"/>
          <w:pgMar w:top="1247" w:right="1701" w:bottom="1247" w:left="1418" w:header="851" w:footer="1134" w:gutter="0"/>
          <w:cols w:space="425" w:num="1"/>
          <w:docGrid w:type="linesAndChars" w:linePitch="312" w:charSpace="0"/>
        </w:sectPr>
      </w:pPr>
    </w:p>
    <w:p>
      <w:pPr>
        <w:ind w:firstLine="707" w:firstLineChars="221"/>
        <w:rPr>
          <w:rFonts w:ascii="黑体" w:hAnsi="黑体" w:eastAsia="黑体" w:cs="Times New Roman"/>
          <w:sz w:val="32"/>
          <w:szCs w:val="32"/>
        </w:rPr>
      </w:pPr>
      <w:r>
        <w:rPr>
          <w:rFonts w:hint="eastAsia" w:ascii="黑体" w:hAnsi="黑体" w:eastAsia="黑体" w:cs="黑体"/>
          <w:sz w:val="32"/>
          <w:szCs w:val="32"/>
        </w:rPr>
        <w:t>五、剑阁县人民防空办公室行政执法（监督信息）救济渠道、行政执法责任制</w:t>
      </w:r>
    </w:p>
    <w:p>
      <w:pPr>
        <w:ind w:firstLine="630" w:firstLineChars="196"/>
        <w:rPr>
          <w:rFonts w:ascii="仿宋" w:hAnsi="仿宋" w:eastAsia="仿宋" w:cs="Times New Roman"/>
          <w:sz w:val="32"/>
          <w:szCs w:val="32"/>
        </w:rPr>
      </w:pPr>
      <w:r>
        <w:rPr>
          <w:rFonts w:hint="eastAsia" w:ascii="仿宋" w:hAnsi="仿宋" w:eastAsia="仿宋" w:cs="宋体"/>
          <w:b/>
          <w:bCs/>
          <w:sz w:val="32"/>
          <w:szCs w:val="32"/>
        </w:rPr>
        <w:t>当事人依法享有的权利、救济途径、方式</w:t>
      </w:r>
    </w:p>
    <w:p>
      <w:pPr>
        <w:ind w:firstLine="640" w:firstLineChars="200"/>
        <w:rPr>
          <w:rFonts w:ascii="仿宋" w:hAnsi="仿宋" w:eastAsia="仿宋" w:cs="Times New Roman"/>
          <w:sz w:val="32"/>
          <w:szCs w:val="32"/>
        </w:rPr>
      </w:pPr>
      <w:r>
        <w:rPr>
          <w:rFonts w:hint="eastAsia" w:ascii="仿宋" w:hAnsi="仿宋" w:eastAsia="仿宋" w:cs="宋体"/>
          <w:sz w:val="32"/>
          <w:szCs w:val="32"/>
        </w:rPr>
        <w:t>（一）依法享有的权利</w:t>
      </w:r>
      <w:r>
        <w:rPr>
          <w:rFonts w:ascii="??_GB2312" w:hAnsi="??_GB2312" w:eastAsia="仿宋" w:cs="Times New Roman"/>
          <w:sz w:val="32"/>
          <w:szCs w:val="32"/>
        </w:rPr>
        <w:t> </w:t>
      </w:r>
    </w:p>
    <w:p>
      <w:pPr>
        <w:ind w:firstLine="640" w:firstLineChars="200"/>
        <w:rPr>
          <w:rFonts w:ascii="仿宋" w:hAnsi="仿宋" w:eastAsia="仿宋" w:cs="Times New Roman"/>
          <w:sz w:val="32"/>
          <w:szCs w:val="32"/>
        </w:rPr>
      </w:pPr>
      <w:r>
        <w:rPr>
          <w:rFonts w:hint="eastAsia" w:ascii="仿宋" w:hAnsi="仿宋" w:eastAsia="仿宋" w:cs="宋体"/>
          <w:sz w:val="32"/>
          <w:szCs w:val="32"/>
        </w:rPr>
        <w:t>当事人依法享有申请回避、陈述、申辩、复议、诉讼等权利，详见相应法律法规。</w:t>
      </w:r>
      <w:r>
        <w:rPr>
          <w:rFonts w:ascii="??_GB2312" w:hAnsi="??_GB2312" w:eastAsia="仿宋" w:cs="Times New Roman"/>
          <w:sz w:val="32"/>
          <w:szCs w:val="32"/>
        </w:rPr>
        <w:t> </w:t>
      </w:r>
    </w:p>
    <w:p>
      <w:pPr>
        <w:ind w:firstLine="640" w:firstLineChars="200"/>
        <w:rPr>
          <w:rFonts w:ascii="仿宋" w:hAnsi="仿宋" w:eastAsia="仿宋" w:cs="Times New Roman"/>
          <w:sz w:val="32"/>
          <w:szCs w:val="32"/>
        </w:rPr>
      </w:pPr>
      <w:r>
        <w:rPr>
          <w:rFonts w:hint="eastAsia" w:ascii="仿宋" w:hAnsi="仿宋" w:eastAsia="仿宋" w:cs="宋体"/>
          <w:sz w:val="32"/>
          <w:szCs w:val="32"/>
        </w:rPr>
        <w:t>（二）救济途径</w:t>
      </w:r>
      <w:r>
        <w:rPr>
          <w:rFonts w:ascii="??_GB2312" w:hAnsi="??_GB2312" w:eastAsia="仿宋" w:cs="Times New Roman"/>
          <w:sz w:val="32"/>
          <w:szCs w:val="32"/>
        </w:rPr>
        <w:t> </w:t>
      </w:r>
    </w:p>
    <w:p>
      <w:pPr>
        <w:ind w:firstLine="640" w:firstLineChars="200"/>
        <w:rPr>
          <w:rFonts w:ascii="仿宋" w:hAnsi="仿宋" w:eastAsia="仿宋" w:cs="宋体"/>
          <w:sz w:val="32"/>
          <w:szCs w:val="32"/>
        </w:rPr>
      </w:pPr>
      <w:r>
        <w:rPr>
          <w:rFonts w:ascii="仿宋" w:hAnsi="仿宋" w:eastAsia="仿宋" w:cs="Times New Roman"/>
          <w:sz w:val="32"/>
          <w:szCs w:val="32"/>
        </w:rPr>
        <w:t>1</w:t>
      </w:r>
      <w:r>
        <w:rPr>
          <w:rFonts w:hint="eastAsia" w:ascii="仿宋" w:hAnsi="仿宋" w:eastAsia="仿宋" w:cs="宋体"/>
          <w:sz w:val="32"/>
          <w:szCs w:val="32"/>
        </w:rPr>
        <w:t>、行政复议</w:t>
      </w:r>
    </w:p>
    <w:p>
      <w:pPr>
        <w:ind w:firstLine="640" w:firstLineChars="200"/>
        <w:rPr>
          <w:rFonts w:ascii="仿宋" w:hAnsi="仿宋" w:eastAsia="仿宋" w:cs="宋体"/>
          <w:sz w:val="32"/>
          <w:szCs w:val="32"/>
        </w:rPr>
      </w:pPr>
      <w:r>
        <w:rPr>
          <w:rFonts w:ascii="仿宋" w:hAnsi="仿宋" w:eastAsia="仿宋" w:cs="宋体"/>
          <w:sz w:val="32"/>
          <w:szCs w:val="32"/>
        </w:rPr>
        <w:t>部门：1、剑阁县司法局行政复议与应诉股</w:t>
      </w:r>
      <w:r>
        <w:rPr>
          <w:rFonts w:hint="eastAsia" w:ascii="仿宋" w:hAnsi="仿宋" w:eastAsia="仿宋" w:cs="宋体"/>
          <w:sz w:val="32"/>
          <w:szCs w:val="32"/>
        </w:rPr>
        <w:t xml:space="preserve">    </w:t>
      </w:r>
      <w:r>
        <w:rPr>
          <w:rFonts w:ascii="仿宋" w:hAnsi="仿宋" w:eastAsia="仿宋" w:cs="宋体"/>
          <w:sz w:val="32"/>
          <w:szCs w:val="32"/>
        </w:rPr>
        <w:t>地址：剑阁县下寺镇隆庆街2号（剑阁县司法局二楼）电话：0839-5208080</w:t>
      </w:r>
    </w:p>
    <w:p>
      <w:pPr>
        <w:ind w:firstLine="640" w:firstLineChars="200"/>
        <w:rPr>
          <w:rFonts w:ascii="仿宋" w:hAnsi="仿宋" w:eastAsia="仿宋" w:cs="宋体"/>
          <w:sz w:val="32"/>
          <w:szCs w:val="32"/>
        </w:rPr>
      </w:pPr>
      <w:r>
        <w:rPr>
          <w:rFonts w:hint="eastAsia" w:ascii="仿宋" w:hAnsi="仿宋" w:eastAsia="仿宋" w:cs="宋体"/>
          <w:sz w:val="32"/>
          <w:szCs w:val="32"/>
        </w:rPr>
        <w:t xml:space="preserve">      2、广元市人民防空办公室工程科     地址：广元市万缘新区15路公交车终点站    电话：0839－3367127</w:t>
      </w:r>
    </w:p>
    <w:p>
      <w:pPr>
        <w:ind w:firstLine="640" w:firstLineChars="200"/>
        <w:rPr>
          <w:rFonts w:ascii="仿宋" w:hAnsi="仿宋" w:eastAsia="仿宋" w:cs="Times New Roman"/>
          <w:sz w:val="32"/>
          <w:szCs w:val="32"/>
        </w:rPr>
      </w:pPr>
      <w:r>
        <w:rPr>
          <w:rFonts w:ascii="仿宋" w:hAnsi="仿宋" w:eastAsia="仿宋" w:cs="Times New Roman"/>
          <w:sz w:val="32"/>
          <w:szCs w:val="32"/>
        </w:rPr>
        <w:t>2</w:t>
      </w:r>
      <w:r>
        <w:rPr>
          <w:rFonts w:hint="eastAsia" w:ascii="仿宋" w:hAnsi="仿宋" w:eastAsia="仿宋" w:cs="宋体"/>
          <w:sz w:val="32"/>
          <w:szCs w:val="32"/>
        </w:rPr>
        <w:t>、行政诉讼</w:t>
      </w:r>
      <w:r>
        <w:rPr>
          <w:rFonts w:ascii="??_GB2312" w:hAnsi="??_GB2312" w:eastAsia="仿宋" w:cs="Times New Roman"/>
          <w:sz w:val="32"/>
          <w:szCs w:val="32"/>
        </w:rPr>
        <w:t> </w:t>
      </w:r>
    </w:p>
    <w:p>
      <w:pPr>
        <w:ind w:firstLine="640" w:firstLineChars="200"/>
        <w:rPr>
          <w:rFonts w:ascii="仿宋" w:hAnsi="仿宋" w:eastAsia="仿宋" w:cs="Times New Roman"/>
          <w:sz w:val="32"/>
          <w:szCs w:val="32"/>
        </w:rPr>
      </w:pPr>
      <w:r>
        <w:rPr>
          <w:rFonts w:hint="eastAsia" w:ascii="仿宋" w:hAnsi="仿宋" w:eastAsia="仿宋" w:cs="宋体"/>
          <w:sz w:val="32"/>
          <w:szCs w:val="32"/>
        </w:rPr>
        <w:t xml:space="preserve">单位： </w:t>
      </w:r>
      <w:r>
        <w:rPr>
          <w:rFonts w:ascii="仿宋" w:hAnsi="仿宋" w:eastAsia="仿宋" w:cs="宋体"/>
          <w:sz w:val="32"/>
          <w:szCs w:val="32"/>
        </w:rPr>
        <w:t>剑阁县人民法院</w:t>
      </w:r>
      <w:r>
        <w:rPr>
          <w:rFonts w:hint="eastAsia" w:ascii="仿宋" w:hAnsi="仿宋" w:eastAsia="仿宋" w:cs="宋体"/>
          <w:sz w:val="32"/>
          <w:szCs w:val="32"/>
        </w:rPr>
        <w:t xml:space="preserve">  地址：</w:t>
      </w:r>
      <w:r>
        <w:rPr>
          <w:rFonts w:ascii="仿宋" w:hAnsi="仿宋" w:eastAsia="仿宋" w:cs="宋体"/>
          <w:sz w:val="32"/>
          <w:szCs w:val="32"/>
        </w:rPr>
        <w:t>剑阁县下寺镇剑阁县剑门关大道北段502号</w:t>
      </w:r>
      <w:r>
        <w:rPr>
          <w:rFonts w:ascii="仿宋" w:hAnsi="仿宋" w:eastAsia="仿宋" w:cs="Times New Roman"/>
          <w:sz w:val="32"/>
          <w:szCs w:val="32"/>
        </w:rPr>
        <w:t xml:space="preserve">   </w:t>
      </w:r>
      <w:r>
        <w:rPr>
          <w:rFonts w:hint="eastAsia" w:ascii="仿宋" w:hAnsi="仿宋" w:eastAsia="仿宋" w:cs="宋体"/>
          <w:sz w:val="32"/>
          <w:szCs w:val="32"/>
        </w:rPr>
        <w:t>电话：</w:t>
      </w:r>
      <w:r>
        <w:rPr>
          <w:rFonts w:ascii="仿宋" w:hAnsi="仿宋" w:eastAsia="仿宋" w:cs="Times New Roman"/>
          <w:sz w:val="32"/>
          <w:szCs w:val="32"/>
        </w:rPr>
        <w:t>0839-</w:t>
      </w:r>
      <w:r>
        <w:rPr>
          <w:rFonts w:ascii="仿宋" w:hAnsi="仿宋" w:eastAsia="仿宋" w:cs="宋体"/>
          <w:sz w:val="32"/>
          <w:szCs w:val="32"/>
        </w:rPr>
        <w:t>5208429</w:t>
      </w:r>
      <w:r>
        <w:rPr>
          <w:rFonts w:hint="eastAsia" w:ascii="仿宋" w:hAnsi="仿宋" w:eastAsia="仿宋" w:cs="宋体"/>
          <w:sz w:val="32"/>
          <w:szCs w:val="32"/>
        </w:rPr>
        <w:t xml:space="preserve">  </w:t>
      </w:r>
      <w:r>
        <w:rPr>
          <w:rFonts w:ascii="仿宋" w:hAnsi="仿宋" w:eastAsia="仿宋" w:cs="宋体"/>
          <w:sz w:val="32"/>
          <w:szCs w:val="32"/>
        </w:rPr>
        <w:t>电话：0839-5208080</w:t>
      </w:r>
    </w:p>
    <w:p>
      <w:pPr>
        <w:ind w:firstLine="320" w:firstLineChars="100"/>
        <w:rPr>
          <w:rFonts w:ascii="仿宋" w:hAnsi="仿宋" w:eastAsia="仿宋" w:cs="Times New Roman"/>
          <w:sz w:val="32"/>
          <w:szCs w:val="32"/>
        </w:rPr>
      </w:pPr>
      <w:r>
        <w:rPr>
          <w:rFonts w:hint="eastAsia" w:ascii="仿宋" w:hAnsi="仿宋" w:eastAsia="仿宋" w:cs="宋体"/>
          <w:sz w:val="32"/>
          <w:szCs w:val="32"/>
        </w:rPr>
        <w:t>（三）对行政执法的监督投诉举报的方式、途径</w:t>
      </w:r>
    </w:p>
    <w:p>
      <w:pPr>
        <w:ind w:firstLine="640" w:firstLineChars="200"/>
        <w:rPr>
          <w:rFonts w:ascii="仿宋" w:hAnsi="仿宋" w:eastAsia="仿宋" w:cs="Times New Roman"/>
          <w:sz w:val="32"/>
          <w:szCs w:val="32"/>
        </w:rPr>
      </w:pPr>
      <w:r>
        <w:rPr>
          <w:rFonts w:hint="eastAsia" w:ascii="仿宋" w:hAnsi="仿宋" w:eastAsia="仿宋" w:cs="宋体"/>
          <w:sz w:val="32"/>
          <w:szCs w:val="32"/>
        </w:rPr>
        <w:t>单位：剑阁县司法局   地址：剑阁县司法局</w:t>
      </w:r>
      <w:r>
        <w:rPr>
          <w:rFonts w:ascii="仿宋" w:hAnsi="仿宋" w:eastAsia="仿宋" w:cs="宋体"/>
          <w:sz w:val="32"/>
          <w:szCs w:val="32"/>
        </w:rPr>
        <w:t>行政执法协调监督股</w:t>
      </w:r>
      <w:r>
        <w:rPr>
          <w:rFonts w:hint="eastAsia" w:ascii="仿宋" w:hAnsi="仿宋" w:eastAsia="仿宋" w:cs="宋体"/>
          <w:sz w:val="32"/>
          <w:szCs w:val="32"/>
        </w:rPr>
        <w:t>（</w:t>
      </w:r>
      <w:r>
        <w:rPr>
          <w:rFonts w:ascii="仿宋" w:hAnsi="仿宋" w:eastAsia="仿宋" w:cs="宋体"/>
          <w:sz w:val="32"/>
          <w:szCs w:val="32"/>
        </w:rPr>
        <w:t>司法局二楼</w:t>
      </w:r>
      <w:r>
        <w:rPr>
          <w:rFonts w:hint="eastAsia" w:ascii="仿宋" w:hAnsi="仿宋" w:eastAsia="仿宋" w:cs="宋体"/>
          <w:sz w:val="32"/>
          <w:szCs w:val="32"/>
        </w:rPr>
        <w:t xml:space="preserve">） </w:t>
      </w:r>
      <w:r>
        <w:rPr>
          <w:rFonts w:ascii="仿宋" w:hAnsi="仿宋" w:eastAsia="仿宋" w:cs="宋体"/>
          <w:sz w:val="32"/>
          <w:szCs w:val="32"/>
        </w:rPr>
        <w:t>电话：0839-5208080</w:t>
      </w:r>
    </w:p>
    <w:p>
      <w:pPr>
        <w:ind w:firstLine="643" w:firstLineChars="200"/>
        <w:rPr>
          <w:rFonts w:ascii="仿宋" w:hAnsi="仿宋" w:eastAsia="仿宋" w:cs="Times New Roman"/>
          <w:b/>
          <w:bCs/>
          <w:sz w:val="32"/>
          <w:szCs w:val="32"/>
        </w:rPr>
      </w:pPr>
      <w:r>
        <w:rPr>
          <w:rFonts w:hint="eastAsia" w:ascii="仿宋" w:hAnsi="仿宋" w:eastAsia="仿宋" w:cs="宋体"/>
          <w:b/>
          <w:bCs/>
          <w:sz w:val="32"/>
          <w:szCs w:val="32"/>
        </w:rPr>
        <w:t>行政执法责任制</w:t>
      </w:r>
    </w:p>
    <w:p>
      <w:pPr>
        <w:ind w:firstLine="640" w:firstLineChars="200"/>
        <w:rPr>
          <w:rFonts w:ascii="仿宋" w:hAnsi="仿宋" w:eastAsia="仿宋" w:cs="Times New Roman"/>
          <w:sz w:val="32"/>
          <w:szCs w:val="32"/>
        </w:rPr>
      </w:pPr>
      <w:r>
        <w:rPr>
          <w:rFonts w:hint="eastAsia" w:ascii="仿宋" w:hAnsi="仿宋" w:eastAsia="仿宋" w:cs="宋体"/>
          <w:sz w:val="32"/>
          <w:szCs w:val="32"/>
        </w:rPr>
        <w:t>《国务院办公厅关于推行行政执法责任制的若干意见》（国办发</w:t>
      </w:r>
      <w:r>
        <w:rPr>
          <w:rFonts w:ascii="仿宋" w:hAnsi="仿宋" w:eastAsia="仿宋" w:cs="Times New Roman"/>
          <w:sz w:val="32"/>
          <w:szCs w:val="32"/>
        </w:rPr>
        <w:t>[2005]37</w:t>
      </w:r>
      <w:r>
        <w:rPr>
          <w:rFonts w:hint="eastAsia" w:ascii="仿宋" w:hAnsi="仿宋" w:eastAsia="仿宋" w:cs="宋体"/>
          <w:sz w:val="32"/>
          <w:szCs w:val="32"/>
        </w:rPr>
        <w:t>号）</w:t>
      </w:r>
    </w:p>
    <w:p>
      <w:pPr>
        <w:ind w:firstLine="640" w:firstLineChars="200"/>
        <w:rPr>
          <w:rFonts w:ascii="仿宋" w:hAnsi="仿宋" w:eastAsia="仿宋" w:cs="Times New Roman"/>
          <w:sz w:val="32"/>
          <w:szCs w:val="32"/>
        </w:rPr>
      </w:pPr>
      <w:r>
        <w:rPr>
          <w:rFonts w:hint="eastAsia" w:ascii="仿宋" w:hAnsi="仿宋" w:eastAsia="仿宋" w:cs="宋体"/>
          <w:sz w:val="32"/>
          <w:szCs w:val="32"/>
        </w:rPr>
        <w:t>《四川省人民政府办公厅关于深化行政执法责任制的实施意见》</w:t>
      </w:r>
      <w:r>
        <w:rPr>
          <w:rFonts w:ascii="仿宋" w:hAnsi="仿宋" w:eastAsia="仿宋" w:cs="Times New Roman"/>
          <w:sz w:val="32"/>
          <w:szCs w:val="32"/>
        </w:rPr>
        <w:t>(</w:t>
      </w:r>
      <w:r>
        <w:rPr>
          <w:rFonts w:hint="eastAsia" w:ascii="仿宋" w:hAnsi="仿宋" w:eastAsia="仿宋" w:cs="宋体"/>
          <w:sz w:val="32"/>
          <w:szCs w:val="32"/>
        </w:rPr>
        <w:t>川办发</w:t>
      </w:r>
      <w:r>
        <w:rPr>
          <w:rFonts w:ascii="仿宋" w:hAnsi="仿宋" w:eastAsia="仿宋" w:cs="Times New Roman"/>
          <w:sz w:val="32"/>
          <w:szCs w:val="32"/>
        </w:rPr>
        <w:t>[2005]36</w:t>
      </w:r>
      <w:r>
        <w:rPr>
          <w:rFonts w:hint="eastAsia" w:ascii="仿宋" w:hAnsi="仿宋" w:eastAsia="仿宋" w:cs="宋体"/>
          <w:sz w:val="32"/>
          <w:szCs w:val="32"/>
        </w:rPr>
        <w:t>号</w:t>
      </w:r>
      <w:r>
        <w:rPr>
          <w:rFonts w:ascii="仿宋" w:hAnsi="仿宋" w:eastAsia="仿宋" w:cs="Times New Roman"/>
          <w:sz w:val="32"/>
          <w:szCs w:val="32"/>
        </w:rPr>
        <w:t>)</w:t>
      </w:r>
    </w:p>
    <w:p>
      <w:pPr>
        <w:ind w:firstLine="640" w:firstLineChars="200"/>
        <w:rPr>
          <w:rFonts w:ascii="仿宋" w:hAnsi="仿宋" w:eastAsia="仿宋" w:cs="Times New Roman"/>
          <w:sz w:val="32"/>
          <w:szCs w:val="32"/>
        </w:rPr>
      </w:pPr>
      <w:r>
        <w:rPr>
          <w:rFonts w:hint="eastAsia" w:ascii="仿宋" w:hAnsi="仿宋" w:eastAsia="仿宋" w:cs="宋体"/>
          <w:sz w:val="32"/>
          <w:szCs w:val="32"/>
        </w:rPr>
        <w:t>《四川省落实行政执法责任制全面推进依法行政考核办法》</w:t>
      </w:r>
      <w:r>
        <w:rPr>
          <w:rFonts w:ascii="仿宋" w:hAnsi="仿宋" w:eastAsia="仿宋" w:cs="Times New Roman"/>
          <w:sz w:val="32"/>
          <w:szCs w:val="32"/>
        </w:rPr>
        <w:t>(</w:t>
      </w:r>
      <w:r>
        <w:rPr>
          <w:rFonts w:hint="eastAsia" w:ascii="仿宋" w:hAnsi="仿宋" w:eastAsia="仿宋" w:cs="宋体"/>
          <w:sz w:val="32"/>
          <w:szCs w:val="32"/>
        </w:rPr>
        <w:t>川府法</w:t>
      </w:r>
      <w:r>
        <w:rPr>
          <w:rFonts w:ascii="仿宋" w:hAnsi="仿宋" w:eastAsia="仿宋" w:cs="Times New Roman"/>
          <w:sz w:val="32"/>
          <w:szCs w:val="32"/>
        </w:rPr>
        <w:t>[2005]24</w:t>
      </w:r>
      <w:r>
        <w:rPr>
          <w:rFonts w:hint="eastAsia" w:ascii="仿宋" w:hAnsi="仿宋" w:eastAsia="仿宋" w:cs="宋体"/>
          <w:sz w:val="32"/>
          <w:szCs w:val="32"/>
        </w:rPr>
        <w:t>号</w:t>
      </w:r>
      <w:r>
        <w:rPr>
          <w:rFonts w:ascii="仿宋" w:hAnsi="仿宋" w:eastAsia="仿宋" w:cs="Times New Roman"/>
          <w:sz w:val="32"/>
          <w:szCs w:val="32"/>
        </w:rPr>
        <w:t>)</w:t>
      </w:r>
    </w:p>
    <w:p>
      <w:pPr>
        <w:ind w:firstLine="640" w:firstLineChars="200"/>
        <w:rPr>
          <w:rFonts w:ascii="仿宋" w:hAnsi="仿宋" w:eastAsia="仿宋" w:cs="Times New Roman"/>
          <w:sz w:val="32"/>
          <w:szCs w:val="32"/>
        </w:rPr>
      </w:pPr>
      <w:r>
        <w:rPr>
          <w:rFonts w:hint="eastAsia" w:ascii="仿宋" w:hAnsi="仿宋" w:eastAsia="仿宋" w:cs="宋体"/>
          <w:sz w:val="32"/>
          <w:szCs w:val="32"/>
        </w:rPr>
        <w:t>四川省行政执法监督条例</w:t>
      </w:r>
    </w:p>
    <w:p>
      <w:pPr>
        <w:ind w:firstLine="640" w:firstLineChars="200"/>
        <w:rPr>
          <w:rFonts w:ascii="仿宋" w:hAnsi="仿宋" w:eastAsia="仿宋" w:cs="Times New Roman"/>
          <w:sz w:val="32"/>
          <w:szCs w:val="32"/>
        </w:rPr>
      </w:pPr>
      <w:r>
        <w:rPr>
          <w:rFonts w:hint="eastAsia" w:ascii="仿宋" w:hAnsi="仿宋" w:eastAsia="仿宋" w:cs="宋体"/>
          <w:sz w:val="32"/>
          <w:szCs w:val="32"/>
        </w:rPr>
        <w:t>行政机关公务员处分条例</w:t>
      </w:r>
    </w:p>
    <w:p>
      <w:pPr>
        <w:ind w:firstLine="640" w:firstLineChars="200"/>
        <w:rPr>
          <w:rFonts w:ascii="仿宋" w:hAnsi="仿宋" w:eastAsia="仿宋" w:cs="Times New Roman"/>
          <w:sz w:val="32"/>
          <w:szCs w:val="32"/>
        </w:rPr>
      </w:pPr>
      <w:r>
        <w:rPr>
          <w:rFonts w:hint="eastAsia" w:ascii="仿宋" w:hAnsi="仿宋" w:eastAsia="仿宋" w:cs="宋体"/>
          <w:sz w:val="32"/>
          <w:szCs w:val="32"/>
        </w:rPr>
        <w:t>事业单位工作人员处分暂行规定</w:t>
      </w:r>
    </w:p>
    <w:p>
      <w:pPr>
        <w:spacing w:line="576" w:lineRule="exact"/>
        <w:ind w:firstLine="643" w:firstLineChars="200"/>
        <w:jc w:val="left"/>
        <w:rPr>
          <w:rFonts w:ascii="??_GB2312" w:hAnsi="??_GB2312" w:cs="??_GB2312"/>
          <w:b/>
          <w:bCs/>
          <w:sz w:val="32"/>
          <w:szCs w:val="32"/>
        </w:rPr>
        <w:sectPr>
          <w:pgSz w:w="11906" w:h="16838"/>
          <w:pgMar w:top="2098" w:right="1474" w:bottom="1814" w:left="1588" w:header="851" w:footer="1588" w:gutter="0"/>
          <w:cols w:space="425" w:num="1"/>
          <w:docGrid w:type="lines" w:linePitch="312" w:charSpace="0"/>
        </w:sectPr>
      </w:pPr>
    </w:p>
    <w:p>
      <w:pPr>
        <w:ind w:firstLine="640" w:firstLineChars="200"/>
        <w:rPr>
          <w:rFonts w:ascii="黑体" w:hAnsi="黑体" w:eastAsia="黑体" w:cs="Times New Roman"/>
          <w:sz w:val="32"/>
          <w:szCs w:val="32"/>
        </w:rPr>
      </w:pPr>
      <w:r>
        <w:rPr>
          <w:rFonts w:hint="eastAsia" w:ascii="黑体" w:hAnsi="黑体" w:eastAsia="黑体" w:cs="黑体"/>
          <w:sz w:val="32"/>
          <w:szCs w:val="32"/>
        </w:rPr>
        <w:t>六、剑阁县人民防空办公室行政执法自由裁量标准</w:t>
      </w:r>
    </w:p>
    <w:p>
      <w:pPr>
        <w:widowControl/>
        <w:shd w:val="clear" w:color="auto" w:fill="FFFFFF"/>
        <w:spacing w:line="400" w:lineRule="exact"/>
        <w:jc w:val="center"/>
        <w:rPr>
          <w:rFonts w:ascii="宋体" w:hAnsi="宋体" w:cs="宋体"/>
          <w:kern w:val="0"/>
        </w:rPr>
      </w:pPr>
      <w:r>
        <w:rPr>
          <w:rFonts w:hint="eastAsia" w:ascii="黑体" w:hAnsi="宋体" w:eastAsia="黑体" w:cs="宋体"/>
          <w:kern w:val="0"/>
        </w:rPr>
        <w:t>四川省人民防空行政处罚自由裁量权的实施标准（一）</w:t>
      </w:r>
    </w:p>
    <w:tbl>
      <w:tblPr>
        <w:tblStyle w:val="7"/>
        <w:tblW w:w="0" w:type="auto"/>
        <w:tblInd w:w="0" w:type="dxa"/>
        <w:tblLayout w:type="autofit"/>
        <w:tblCellMar>
          <w:top w:w="0" w:type="dxa"/>
          <w:left w:w="0" w:type="dxa"/>
          <w:bottom w:w="0" w:type="dxa"/>
          <w:right w:w="0" w:type="dxa"/>
        </w:tblCellMar>
      </w:tblPr>
      <w:tblGrid>
        <w:gridCol w:w="426"/>
        <w:gridCol w:w="727"/>
        <w:gridCol w:w="3013"/>
        <w:gridCol w:w="3153"/>
        <w:gridCol w:w="2991"/>
        <w:gridCol w:w="2830"/>
        <w:gridCol w:w="1078"/>
      </w:tblGrid>
      <w:tr>
        <w:tblPrEx>
          <w:tblCellMar>
            <w:top w:w="0" w:type="dxa"/>
            <w:left w:w="0" w:type="dxa"/>
            <w:bottom w:w="0" w:type="dxa"/>
            <w:right w:w="0" w:type="dxa"/>
          </w:tblCellMar>
        </w:tblPrEx>
        <w:trPr>
          <w:trHeight w:val="605" w:hRule="atLeast"/>
        </w:trPr>
        <w:tc>
          <w:tcPr>
            <w:tcW w:w="426"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序</w:t>
            </w:r>
          </w:p>
          <w:p>
            <w:pPr>
              <w:widowControl/>
              <w:spacing w:line="400" w:lineRule="exact"/>
              <w:jc w:val="center"/>
              <w:rPr>
                <w:rFonts w:ascii="宋体" w:hAnsi="宋体" w:cs="宋体"/>
                <w:kern w:val="0"/>
              </w:rPr>
            </w:pPr>
            <w:r>
              <w:rPr>
                <w:rFonts w:hint="eastAsia" w:ascii="黑体" w:hAnsi="宋体" w:eastAsia="黑体" w:cs="宋体"/>
                <w:kern w:val="0"/>
              </w:rPr>
              <w:t>号</w:t>
            </w:r>
          </w:p>
        </w:tc>
        <w:tc>
          <w:tcPr>
            <w:tcW w:w="762" w:type="dxa"/>
            <w:tcBorders>
              <w:top w:val="single" w:color="auto" w:sz="8"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违法</w:t>
            </w:r>
          </w:p>
          <w:p>
            <w:pPr>
              <w:widowControl/>
              <w:spacing w:line="400" w:lineRule="exact"/>
              <w:jc w:val="center"/>
              <w:rPr>
                <w:rFonts w:ascii="宋体" w:hAnsi="宋体" w:cs="宋体"/>
                <w:kern w:val="0"/>
              </w:rPr>
            </w:pPr>
            <w:r>
              <w:rPr>
                <w:rFonts w:hint="eastAsia" w:ascii="黑体" w:hAnsi="宋体" w:eastAsia="黑体" w:cs="宋体"/>
                <w:kern w:val="0"/>
              </w:rPr>
              <w:t>行为</w:t>
            </w:r>
          </w:p>
        </w:tc>
        <w:tc>
          <w:tcPr>
            <w:tcW w:w="3240" w:type="dxa"/>
            <w:tcBorders>
              <w:top w:val="single" w:color="auto" w:sz="8"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处罚依据</w:t>
            </w:r>
          </w:p>
        </w:tc>
        <w:tc>
          <w:tcPr>
            <w:tcW w:w="3420" w:type="dxa"/>
            <w:tcBorders>
              <w:top w:val="single" w:color="auto" w:sz="8"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适用条件</w:t>
            </w:r>
          </w:p>
          <w:p>
            <w:pPr>
              <w:widowControl/>
              <w:spacing w:line="400" w:lineRule="exact"/>
              <w:jc w:val="center"/>
              <w:rPr>
                <w:rFonts w:ascii="宋体" w:hAnsi="宋体" w:cs="宋体"/>
                <w:kern w:val="0"/>
              </w:rPr>
            </w:pPr>
            <w:r>
              <w:rPr>
                <w:rFonts w:hint="eastAsia" w:ascii="黑体" w:hAnsi="宋体" w:eastAsia="黑体" w:cs="宋体"/>
                <w:kern w:val="0"/>
              </w:rPr>
              <w:t>（处罚层级分类）</w:t>
            </w:r>
          </w:p>
        </w:tc>
        <w:tc>
          <w:tcPr>
            <w:tcW w:w="3240" w:type="dxa"/>
            <w:tcBorders>
              <w:top w:val="single" w:color="auto" w:sz="8"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裁量幅度</w:t>
            </w:r>
          </w:p>
        </w:tc>
        <w:tc>
          <w:tcPr>
            <w:tcW w:w="3060" w:type="dxa"/>
            <w:tcBorders>
              <w:top w:val="single" w:color="auto" w:sz="8"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行政处罚权限</w:t>
            </w:r>
          </w:p>
          <w:p>
            <w:pPr>
              <w:widowControl/>
              <w:spacing w:line="400" w:lineRule="exact"/>
              <w:jc w:val="center"/>
              <w:rPr>
                <w:rFonts w:ascii="宋体" w:hAnsi="宋体" w:cs="宋体"/>
                <w:kern w:val="0"/>
              </w:rPr>
            </w:pPr>
            <w:r>
              <w:rPr>
                <w:rFonts w:hint="eastAsia" w:ascii="黑体" w:hAnsi="宋体" w:eastAsia="黑体" w:cs="宋体"/>
                <w:kern w:val="0"/>
              </w:rPr>
              <w:t>（执法单位、程序）</w:t>
            </w:r>
          </w:p>
        </w:tc>
        <w:tc>
          <w:tcPr>
            <w:tcW w:w="1080" w:type="dxa"/>
            <w:tcBorders>
              <w:top w:val="single" w:color="auto" w:sz="8"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备  注</w:t>
            </w:r>
          </w:p>
        </w:tc>
      </w:tr>
      <w:tr>
        <w:tblPrEx>
          <w:tblCellMar>
            <w:top w:w="0" w:type="dxa"/>
            <w:left w:w="0" w:type="dxa"/>
            <w:bottom w:w="0" w:type="dxa"/>
            <w:right w:w="0" w:type="dxa"/>
          </w:tblCellMar>
        </w:tblPrEx>
        <w:trPr>
          <w:trHeight w:val="557" w:hRule="atLeast"/>
        </w:trPr>
        <w:tc>
          <w:tcPr>
            <w:tcW w:w="426" w:type="dxa"/>
            <w:vMerge w:val="restart"/>
            <w:tcBorders>
              <w:top w:val="outset" w:color="ECE9D8" w:sz="6"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仿宋_GB2312" w:hAnsi="宋体" w:eastAsia="仿宋_GB2312" w:cs="宋体"/>
                <w:kern w:val="0"/>
              </w:rPr>
              <w:t>1</w:t>
            </w:r>
          </w:p>
        </w:tc>
        <w:tc>
          <w:tcPr>
            <w:tcW w:w="762" w:type="dxa"/>
            <w:vMerge w:val="restart"/>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left"/>
              <w:rPr>
                <w:rFonts w:ascii="宋体" w:hAnsi="宋体" w:cs="宋体"/>
                <w:kern w:val="0"/>
              </w:rPr>
            </w:pPr>
            <w:r>
              <w:rPr>
                <w:rFonts w:hint="eastAsia" w:ascii="仿宋_GB2312" w:hAnsi="宋体" w:eastAsia="仿宋_GB2312" w:cs="宋体"/>
                <w:kern w:val="0"/>
              </w:rPr>
              <w:t>违反国家规定不修建战时可用于防空的地下 室</w:t>
            </w:r>
          </w:p>
        </w:tc>
        <w:tc>
          <w:tcPr>
            <w:tcW w:w="3240" w:type="dxa"/>
            <w:vMerge w:val="restart"/>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一、《中华人民共和国人民防空法》</w:t>
            </w:r>
            <w:r>
              <w:rPr>
                <w:rFonts w:hint="eastAsia" w:ascii="黑体" w:hAnsi="宋体" w:eastAsia="黑体" w:cs="宋体"/>
                <w:kern w:val="0"/>
              </w:rPr>
              <w:t>第48条，</w:t>
            </w:r>
            <w:r>
              <w:rPr>
                <w:rFonts w:hint="eastAsia" w:ascii="仿宋_GB2312" w:hAnsi="宋体" w:eastAsia="仿宋_GB2312" w:cs="宋体"/>
                <w:kern w:val="0"/>
              </w:rPr>
              <w:t>城市新建民用建筑，违反国家有关规定不修建战时可用于防空的地下室的，由县级以上人民政府人民防空主管部门对当事人给予警告，并责令限期修建，可以并处十万元以下的罚款。</w:t>
            </w:r>
          </w:p>
          <w:p>
            <w:pPr>
              <w:widowControl/>
              <w:spacing w:line="400" w:lineRule="exact"/>
              <w:ind w:firstLine="420"/>
              <w:jc w:val="left"/>
              <w:rPr>
                <w:rFonts w:ascii="宋体" w:hAnsi="宋体" w:cs="宋体"/>
                <w:kern w:val="0"/>
              </w:rPr>
            </w:pPr>
            <w:r>
              <w:rPr>
                <w:rFonts w:hint="eastAsia" w:ascii="仿宋_GB2312" w:hAnsi="宋体" w:eastAsia="仿宋_GB2312" w:cs="宋体"/>
                <w:kern w:val="0"/>
              </w:rPr>
              <w:t>二、《四川省&lt;中华人民共和国人民防空法&gt;实施办法》</w:t>
            </w:r>
            <w:r>
              <w:rPr>
                <w:rFonts w:hint="eastAsia" w:ascii="黑体" w:hAnsi="宋体" w:eastAsia="黑体" w:cs="宋体"/>
                <w:kern w:val="0"/>
              </w:rPr>
              <w:t>第35条，</w:t>
            </w:r>
            <w:r>
              <w:rPr>
                <w:rFonts w:hint="eastAsia" w:ascii="仿宋_GB2312" w:hAnsi="宋体" w:eastAsia="仿宋_GB2312" w:cs="宋体"/>
                <w:kern w:val="0"/>
              </w:rPr>
              <w:t>城市新建民用建筑，违反国家有关规定不修建战时可用于防空的地下室的，依照《中华人民共和国人民防空法》第48条处罚。责令限期修建的，当事人应当在限期内依法修建。无法修建的，当事人应当按照本实施办法第15条的规定申请缴纳易地建设费。逾期不申请、不修建又不缴纳易地建设费的，由县级以上人民防空主管部门作出追缴易地建设费的决定。当事人拒不缴纳的，由人民防空主管部门申请人民法院强制执行。</w:t>
            </w:r>
          </w:p>
        </w:tc>
        <w:tc>
          <w:tcPr>
            <w:tcW w:w="342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城市规划区内（含新区、开发区、工业园区、保税区、重要经济目标区和旧城区改造）新建民用建筑应当按照规定修建防空地下室，应建地下室100（按建筑面积计算，以下相同）平方米以下未修建的。警告、责令限期修建。</w:t>
            </w:r>
          </w:p>
        </w:tc>
        <w:tc>
          <w:tcPr>
            <w:tcW w:w="324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未按建设规定限期修建防空地下室，责令在限期内依法修建，给予警告，并处1万元以上2万元以下的罚款。</w:t>
            </w:r>
          </w:p>
        </w:tc>
        <w:tc>
          <w:tcPr>
            <w:tcW w:w="306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由所在县（市、区）人防执法人员及相关部门提出处罚意见，报所在县（市、区）人防办主管领导批准后，作出行政处罚决定，并报市（州）人防主管部门备案。</w:t>
            </w:r>
          </w:p>
        </w:tc>
        <w:tc>
          <w:tcPr>
            <w:tcW w:w="1080" w:type="dxa"/>
            <w:vMerge w:val="restart"/>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从作出行政处罚决定之日起，15日内将处罚决定书和必要的说明材料，抄报本级政府法制部门和上一级人民防空主管部门备案。</w:t>
            </w:r>
          </w:p>
        </w:tc>
      </w:tr>
      <w:tr>
        <w:tblPrEx>
          <w:tblCellMar>
            <w:top w:w="0" w:type="dxa"/>
            <w:left w:w="0" w:type="dxa"/>
            <w:bottom w:w="0" w:type="dxa"/>
            <w:right w:w="0" w:type="dxa"/>
          </w:tblCellMar>
        </w:tblPrEx>
        <w:trPr>
          <w:trHeight w:val="968" w:hRule="atLeast"/>
        </w:trPr>
        <w:tc>
          <w:tcPr>
            <w:tcW w:w="0" w:type="auto"/>
            <w:vMerge w:val="continue"/>
            <w:tcBorders>
              <w:top w:val="outset" w:color="ECE9D8" w:sz="6" w:space="0"/>
              <w:left w:val="single" w:color="auto" w:sz="8"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342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应建地下室100～500平方米未修建的。</w:t>
            </w:r>
          </w:p>
        </w:tc>
        <w:tc>
          <w:tcPr>
            <w:tcW w:w="324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未按建设规定限期修建防空地下室，责令在限期内依法修建，给予严重警告，并处2万元以上4万元以下的罚款。</w:t>
            </w:r>
          </w:p>
        </w:tc>
        <w:tc>
          <w:tcPr>
            <w:tcW w:w="306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由所在市、州（含县、市、区）人防执法人员及相关部门提出处罚意见，报所在市（州）人防办主管领导批准后，作出行政处罚决定，并报省人防主管部门备案。</w:t>
            </w: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r>
      <w:tr>
        <w:tblPrEx>
          <w:tblCellMar>
            <w:top w:w="0" w:type="dxa"/>
            <w:left w:w="0" w:type="dxa"/>
            <w:bottom w:w="0" w:type="dxa"/>
            <w:right w:w="0" w:type="dxa"/>
          </w:tblCellMar>
        </w:tblPrEx>
        <w:trPr>
          <w:trHeight w:val="1506" w:hRule="atLeast"/>
        </w:trPr>
        <w:tc>
          <w:tcPr>
            <w:tcW w:w="0" w:type="auto"/>
            <w:vMerge w:val="continue"/>
            <w:tcBorders>
              <w:top w:val="outset" w:color="ECE9D8" w:sz="6" w:space="0"/>
              <w:left w:val="single" w:color="auto" w:sz="8"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342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应建地下室500～1000平方米未修建的。</w:t>
            </w:r>
          </w:p>
        </w:tc>
        <w:tc>
          <w:tcPr>
            <w:tcW w:w="324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未按建设规定限期修建防空地下室，责令在限期内依法修建，并处4万元以上6万元以下的罚款（5万元以上的处罚案件，由市级人防办提出处罚意见，报省人防办审批，以下相同）。</w:t>
            </w:r>
          </w:p>
        </w:tc>
        <w:tc>
          <w:tcPr>
            <w:tcW w:w="306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由所在市（州）人防执法人员及相关部门提出处罚意见，报所在市（州）人防办主管领导批准后，作出行政处罚决定，并报省人防主管部门备案。</w:t>
            </w: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r>
      <w:tr>
        <w:tblPrEx>
          <w:tblCellMar>
            <w:top w:w="0" w:type="dxa"/>
            <w:left w:w="0" w:type="dxa"/>
            <w:bottom w:w="0" w:type="dxa"/>
            <w:right w:w="0" w:type="dxa"/>
          </w:tblCellMar>
        </w:tblPrEx>
        <w:trPr>
          <w:trHeight w:val="850" w:hRule="atLeast"/>
        </w:trPr>
        <w:tc>
          <w:tcPr>
            <w:tcW w:w="0" w:type="auto"/>
            <w:vMerge w:val="continue"/>
            <w:tcBorders>
              <w:top w:val="outset" w:color="ECE9D8" w:sz="6" w:space="0"/>
              <w:left w:val="single" w:color="auto" w:sz="8"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342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应建地下室1000～1500平方米未修建的。</w:t>
            </w:r>
          </w:p>
        </w:tc>
        <w:tc>
          <w:tcPr>
            <w:tcW w:w="324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未按建设规定限期修建防空地下室，责令在限期依法修建，并处6万元以上8万元以下的罚款。</w:t>
            </w:r>
          </w:p>
        </w:tc>
        <w:tc>
          <w:tcPr>
            <w:tcW w:w="3060" w:type="dxa"/>
            <w:vMerge w:val="restart"/>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由所在市（州）人防执法人员及相关部门提出处罚意见，经省人防主管部门审查后，报省人防办主任办公会议研究，作出行政处罚决定。</w:t>
            </w: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r>
      <w:tr>
        <w:tblPrEx>
          <w:tblCellMar>
            <w:top w:w="0" w:type="dxa"/>
            <w:left w:w="0" w:type="dxa"/>
            <w:bottom w:w="0" w:type="dxa"/>
            <w:right w:w="0" w:type="dxa"/>
          </w:tblCellMar>
        </w:tblPrEx>
        <w:trPr>
          <w:trHeight w:val="769" w:hRule="atLeast"/>
        </w:trPr>
        <w:tc>
          <w:tcPr>
            <w:tcW w:w="0" w:type="auto"/>
            <w:vMerge w:val="continue"/>
            <w:tcBorders>
              <w:top w:val="outset" w:color="ECE9D8" w:sz="6" w:space="0"/>
              <w:left w:val="single" w:color="auto" w:sz="8"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342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应建地下室1500～2000平方米未修建的。</w:t>
            </w:r>
          </w:p>
        </w:tc>
        <w:tc>
          <w:tcPr>
            <w:tcW w:w="324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未按建设规定限期修建防空地下室，责令在限期内依法修建，并处8万元以上10万元以下的罚款。</w:t>
            </w: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r>
      <w:tr>
        <w:tblPrEx>
          <w:tblCellMar>
            <w:top w:w="0" w:type="dxa"/>
            <w:left w:w="0" w:type="dxa"/>
            <w:bottom w:w="0" w:type="dxa"/>
            <w:right w:w="0" w:type="dxa"/>
          </w:tblCellMar>
        </w:tblPrEx>
        <w:trPr>
          <w:trHeight w:val="1045" w:hRule="atLeast"/>
        </w:trPr>
        <w:tc>
          <w:tcPr>
            <w:tcW w:w="0" w:type="auto"/>
            <w:vMerge w:val="continue"/>
            <w:tcBorders>
              <w:top w:val="outset" w:color="ECE9D8" w:sz="6" w:space="0"/>
              <w:left w:val="single" w:color="auto" w:sz="8"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342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应建地下室2000平方米以上未修建的。</w:t>
            </w:r>
          </w:p>
        </w:tc>
        <w:tc>
          <w:tcPr>
            <w:tcW w:w="324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未按建设规定限期修建防空地下室，责令在限期内依法修建，并处10万元的罚款。</w:t>
            </w: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r>
    </w:tbl>
    <w:p>
      <w:pPr>
        <w:widowControl/>
        <w:shd w:val="clear" w:color="auto" w:fill="FFFFFF"/>
        <w:spacing w:line="400" w:lineRule="exact"/>
        <w:jc w:val="center"/>
        <w:rPr>
          <w:rFonts w:hint="eastAsia" w:ascii="黑体" w:hAnsi="宋体" w:eastAsia="黑体" w:cs="宋体"/>
          <w:kern w:val="0"/>
        </w:rPr>
      </w:pPr>
    </w:p>
    <w:p>
      <w:pPr>
        <w:widowControl/>
        <w:shd w:val="clear" w:color="auto" w:fill="FFFFFF"/>
        <w:spacing w:line="400" w:lineRule="exact"/>
        <w:jc w:val="center"/>
        <w:rPr>
          <w:rFonts w:hint="eastAsia" w:ascii="黑体" w:hAnsi="宋体" w:eastAsia="黑体" w:cs="宋体"/>
          <w:kern w:val="0"/>
        </w:rPr>
      </w:pPr>
    </w:p>
    <w:p>
      <w:pPr>
        <w:widowControl/>
        <w:shd w:val="clear" w:color="auto" w:fill="FFFFFF"/>
        <w:spacing w:line="400" w:lineRule="exact"/>
        <w:jc w:val="center"/>
        <w:rPr>
          <w:rFonts w:hint="eastAsia" w:ascii="黑体" w:hAnsi="宋体" w:eastAsia="黑体" w:cs="宋体"/>
          <w:kern w:val="0"/>
        </w:rPr>
      </w:pPr>
    </w:p>
    <w:p>
      <w:pPr>
        <w:widowControl/>
        <w:shd w:val="clear" w:color="auto" w:fill="FFFFFF"/>
        <w:spacing w:line="400" w:lineRule="exact"/>
        <w:jc w:val="center"/>
        <w:rPr>
          <w:rFonts w:hint="eastAsia" w:ascii="黑体" w:hAnsi="宋体" w:eastAsia="黑体" w:cs="宋体"/>
          <w:kern w:val="0"/>
        </w:rPr>
      </w:pPr>
      <w:r>
        <w:rPr>
          <w:rFonts w:ascii="黑体" w:hAnsi="宋体" w:eastAsia="黑体" w:cs="宋体"/>
          <w:kern w:val="0"/>
        </w:rPr>
        <w:br w:type="page"/>
      </w:r>
    </w:p>
    <w:p>
      <w:pPr>
        <w:widowControl/>
        <w:shd w:val="clear" w:color="auto" w:fill="FFFFFF"/>
        <w:spacing w:line="400" w:lineRule="exact"/>
        <w:jc w:val="center"/>
        <w:rPr>
          <w:rFonts w:hint="eastAsia" w:ascii="宋体" w:hAnsi="宋体" w:cs="宋体"/>
          <w:kern w:val="0"/>
        </w:rPr>
      </w:pPr>
      <w:r>
        <w:rPr>
          <w:rFonts w:hint="eastAsia" w:ascii="黑体" w:hAnsi="宋体" w:eastAsia="黑体" w:cs="宋体"/>
          <w:kern w:val="0"/>
        </w:rPr>
        <w:t>四川省人民防空行政处罚自由裁量权的实施标准（二）</w:t>
      </w:r>
    </w:p>
    <w:tbl>
      <w:tblPr>
        <w:tblStyle w:val="7"/>
        <w:tblW w:w="0" w:type="auto"/>
        <w:tblInd w:w="0" w:type="dxa"/>
        <w:tblLayout w:type="autofit"/>
        <w:tblCellMar>
          <w:top w:w="0" w:type="dxa"/>
          <w:left w:w="0" w:type="dxa"/>
          <w:bottom w:w="0" w:type="dxa"/>
          <w:right w:w="0" w:type="dxa"/>
        </w:tblCellMar>
      </w:tblPr>
      <w:tblGrid>
        <w:gridCol w:w="426"/>
        <w:gridCol w:w="1116"/>
        <w:gridCol w:w="3213"/>
        <w:gridCol w:w="2478"/>
        <w:gridCol w:w="3112"/>
        <w:gridCol w:w="2795"/>
        <w:gridCol w:w="1078"/>
      </w:tblGrid>
      <w:tr>
        <w:tblPrEx>
          <w:tblCellMar>
            <w:top w:w="0" w:type="dxa"/>
            <w:left w:w="0" w:type="dxa"/>
            <w:bottom w:w="0" w:type="dxa"/>
            <w:right w:w="0" w:type="dxa"/>
          </w:tblCellMar>
        </w:tblPrEx>
        <w:tc>
          <w:tcPr>
            <w:tcW w:w="426"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序</w:t>
            </w:r>
          </w:p>
          <w:p>
            <w:pPr>
              <w:widowControl/>
              <w:spacing w:line="400" w:lineRule="exact"/>
              <w:jc w:val="center"/>
              <w:rPr>
                <w:rFonts w:ascii="宋体" w:hAnsi="宋体" w:cs="宋体"/>
                <w:kern w:val="0"/>
              </w:rPr>
            </w:pPr>
            <w:r>
              <w:rPr>
                <w:rFonts w:hint="eastAsia" w:ascii="黑体" w:hAnsi="宋体" w:eastAsia="黑体" w:cs="宋体"/>
                <w:kern w:val="0"/>
              </w:rPr>
              <w:t>号</w:t>
            </w:r>
          </w:p>
        </w:tc>
        <w:tc>
          <w:tcPr>
            <w:tcW w:w="1122" w:type="dxa"/>
            <w:tcBorders>
              <w:top w:val="single" w:color="auto" w:sz="8"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违法行为</w:t>
            </w:r>
          </w:p>
        </w:tc>
        <w:tc>
          <w:tcPr>
            <w:tcW w:w="3420" w:type="dxa"/>
            <w:tcBorders>
              <w:top w:val="single" w:color="auto" w:sz="8"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处罚依据</w:t>
            </w:r>
          </w:p>
        </w:tc>
        <w:tc>
          <w:tcPr>
            <w:tcW w:w="2700" w:type="dxa"/>
            <w:tcBorders>
              <w:top w:val="single" w:color="auto" w:sz="8"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适用条件</w:t>
            </w:r>
          </w:p>
          <w:p>
            <w:pPr>
              <w:widowControl/>
              <w:spacing w:line="400" w:lineRule="exact"/>
              <w:jc w:val="center"/>
              <w:rPr>
                <w:rFonts w:ascii="宋体" w:hAnsi="宋体" w:cs="宋体"/>
                <w:kern w:val="0"/>
              </w:rPr>
            </w:pPr>
            <w:r>
              <w:rPr>
                <w:rFonts w:hint="eastAsia" w:ascii="黑体" w:hAnsi="宋体" w:eastAsia="黑体" w:cs="宋体"/>
                <w:kern w:val="0"/>
              </w:rPr>
              <w:t>（处罚层级分类）</w:t>
            </w:r>
          </w:p>
        </w:tc>
        <w:tc>
          <w:tcPr>
            <w:tcW w:w="3420" w:type="dxa"/>
            <w:tcBorders>
              <w:top w:val="single" w:color="auto" w:sz="8"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裁量幅度</w:t>
            </w:r>
          </w:p>
        </w:tc>
        <w:tc>
          <w:tcPr>
            <w:tcW w:w="3060" w:type="dxa"/>
            <w:tcBorders>
              <w:top w:val="single" w:color="auto" w:sz="8"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行政处罚权限</w:t>
            </w:r>
          </w:p>
          <w:p>
            <w:pPr>
              <w:widowControl/>
              <w:spacing w:line="400" w:lineRule="exact"/>
              <w:jc w:val="center"/>
              <w:rPr>
                <w:rFonts w:ascii="宋体" w:hAnsi="宋体" w:cs="宋体"/>
                <w:kern w:val="0"/>
              </w:rPr>
            </w:pPr>
            <w:r>
              <w:rPr>
                <w:rFonts w:hint="eastAsia" w:ascii="黑体" w:hAnsi="宋体" w:eastAsia="黑体" w:cs="宋体"/>
                <w:kern w:val="0"/>
              </w:rPr>
              <w:t>（执法单位、程序）</w:t>
            </w:r>
          </w:p>
        </w:tc>
        <w:tc>
          <w:tcPr>
            <w:tcW w:w="1080" w:type="dxa"/>
            <w:tcBorders>
              <w:top w:val="single" w:color="auto" w:sz="8"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备  注</w:t>
            </w:r>
          </w:p>
        </w:tc>
      </w:tr>
      <w:tr>
        <w:tblPrEx>
          <w:tblCellMar>
            <w:top w:w="0" w:type="dxa"/>
            <w:left w:w="0" w:type="dxa"/>
            <w:bottom w:w="0" w:type="dxa"/>
            <w:right w:w="0" w:type="dxa"/>
          </w:tblCellMar>
        </w:tblPrEx>
        <w:trPr>
          <w:trHeight w:val="465" w:hRule="atLeast"/>
        </w:trPr>
        <w:tc>
          <w:tcPr>
            <w:tcW w:w="426" w:type="dxa"/>
            <w:vMerge w:val="restart"/>
            <w:tcBorders>
              <w:top w:val="outset" w:color="ECE9D8" w:sz="6"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仿宋_GB2312" w:hAnsi="宋体" w:eastAsia="仿宋_GB2312" w:cs="宋体"/>
                <w:kern w:val="0"/>
              </w:rPr>
              <w:t>2</w:t>
            </w:r>
          </w:p>
        </w:tc>
        <w:tc>
          <w:tcPr>
            <w:tcW w:w="1122" w:type="dxa"/>
            <w:vMerge w:val="restart"/>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侵占人民防空工 程</w:t>
            </w:r>
          </w:p>
        </w:tc>
        <w:tc>
          <w:tcPr>
            <w:tcW w:w="3420" w:type="dxa"/>
            <w:vMerge w:val="restart"/>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一、《中华人民共和国人民防空法》</w:t>
            </w:r>
            <w:r>
              <w:rPr>
                <w:rFonts w:hint="eastAsia" w:ascii="黑体" w:hAnsi="宋体" w:eastAsia="黑体" w:cs="宋体"/>
                <w:kern w:val="0"/>
              </w:rPr>
              <w:t>第49条，</w:t>
            </w:r>
            <w:r>
              <w:rPr>
                <w:rFonts w:hint="eastAsia" w:ascii="仿宋_GB2312" w:hAnsi="宋体" w:eastAsia="仿宋_GB2312" w:cs="宋体"/>
                <w:kern w:val="0"/>
              </w:rPr>
              <w:t>有下列行为之一的，由县级以上人民政府人民防空主管部门对当事人给予警告，并责令限期改正违法行为，可以对个人并处五千元以下的罚款、对单位并处一万元至五万元的罚款；造成损失的，应当依法赔偿损失：</w:t>
            </w:r>
          </w:p>
          <w:p>
            <w:pPr>
              <w:widowControl/>
              <w:spacing w:line="400" w:lineRule="exact"/>
              <w:ind w:firstLine="420"/>
              <w:jc w:val="left"/>
              <w:rPr>
                <w:rFonts w:hint="eastAsia" w:ascii="宋体" w:hAnsi="宋体" w:cs="宋体"/>
                <w:kern w:val="0"/>
              </w:rPr>
            </w:pPr>
            <w:r>
              <w:rPr>
                <w:rFonts w:hint="eastAsia" w:ascii="仿宋_GB2312" w:hAnsi="宋体" w:eastAsia="仿宋_GB2312" w:cs="宋体"/>
                <w:kern w:val="0"/>
              </w:rPr>
              <w:t>（一）侵占人民防空工程的；</w:t>
            </w:r>
          </w:p>
          <w:p>
            <w:pPr>
              <w:widowControl/>
              <w:spacing w:line="400" w:lineRule="exact"/>
              <w:jc w:val="left"/>
              <w:rPr>
                <w:rFonts w:hint="eastAsia" w:ascii="宋体" w:hAnsi="宋体" w:cs="宋体"/>
                <w:kern w:val="0"/>
              </w:rPr>
            </w:pPr>
            <w:r>
              <w:rPr>
                <w:rFonts w:hint="eastAsia" w:ascii="仿宋_GB2312" w:hAnsi="宋体" w:eastAsia="仿宋_GB2312" w:cs="宋体"/>
                <w:kern w:val="0"/>
              </w:rPr>
              <w:t>    （二）不按照国家规定的防护标准和质量标准修建人民防空工程的；</w:t>
            </w:r>
          </w:p>
          <w:p>
            <w:pPr>
              <w:widowControl/>
              <w:spacing w:line="400" w:lineRule="exact"/>
              <w:ind w:firstLine="420"/>
              <w:jc w:val="left"/>
              <w:rPr>
                <w:rFonts w:hint="eastAsia" w:ascii="宋体" w:hAnsi="宋体" w:cs="宋体"/>
                <w:kern w:val="0"/>
              </w:rPr>
            </w:pPr>
            <w:r>
              <w:rPr>
                <w:rFonts w:hint="eastAsia" w:ascii="仿宋_GB2312" w:hAnsi="宋体" w:eastAsia="仿宋_GB2312" w:cs="宋体"/>
                <w:kern w:val="0"/>
              </w:rPr>
              <w:t>（三）违反国家有关规定，改变人民防空工程主体结构、拆除人民防空工程设施设备或采用其他方法危害人民防空工程的安全和使用效能的；</w:t>
            </w:r>
          </w:p>
          <w:p>
            <w:pPr>
              <w:widowControl/>
              <w:spacing w:line="400" w:lineRule="exact"/>
              <w:ind w:firstLine="420"/>
              <w:jc w:val="left"/>
              <w:rPr>
                <w:rFonts w:ascii="宋体" w:hAnsi="宋体" w:cs="宋体"/>
                <w:kern w:val="0"/>
              </w:rPr>
            </w:pPr>
            <w:r>
              <w:rPr>
                <w:rFonts w:hint="eastAsia" w:ascii="仿宋_GB2312" w:hAnsi="宋体" w:eastAsia="仿宋_GB2312" w:cs="宋体"/>
                <w:kern w:val="0"/>
              </w:rPr>
              <w:t>（四）拆除人民防空工程后拒不补建的；</w:t>
            </w:r>
          </w:p>
        </w:tc>
        <w:tc>
          <w:tcPr>
            <w:tcW w:w="270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侵占人民防空工程建筑面积1平方米以下的。</w:t>
            </w:r>
          </w:p>
        </w:tc>
        <w:tc>
          <w:tcPr>
            <w:tcW w:w="342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责令限期改正，依法赔偿损失，给予警告，对个人并处200元以上500元以下、单位并处500元以上1万元以下的罚款。</w:t>
            </w:r>
          </w:p>
        </w:tc>
        <w:tc>
          <w:tcPr>
            <w:tcW w:w="3060" w:type="dxa"/>
            <w:vMerge w:val="restart"/>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由所在县（市、区）人防执法人员及相关部门提出处罚意见，报所在县（市、区）人防办主管领导批准后，作出行政处罚决定，并报市（州）人防主管部门备案。</w:t>
            </w:r>
          </w:p>
        </w:tc>
        <w:tc>
          <w:tcPr>
            <w:tcW w:w="1080" w:type="dxa"/>
            <w:vMerge w:val="restart"/>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从作出行政处罚决定之日起，15日内将处罚决定书和必要的说明材料，抄报本级政府法制部门和上一级人民防空主管部门备案。</w:t>
            </w:r>
          </w:p>
        </w:tc>
      </w:tr>
      <w:tr>
        <w:tblPrEx>
          <w:tblCellMar>
            <w:top w:w="0" w:type="dxa"/>
            <w:left w:w="0" w:type="dxa"/>
            <w:bottom w:w="0" w:type="dxa"/>
            <w:right w:w="0" w:type="dxa"/>
          </w:tblCellMar>
        </w:tblPrEx>
        <w:trPr>
          <w:trHeight w:val="956" w:hRule="atLeast"/>
        </w:trPr>
        <w:tc>
          <w:tcPr>
            <w:tcW w:w="0" w:type="auto"/>
            <w:vMerge w:val="continue"/>
            <w:tcBorders>
              <w:top w:val="outset" w:color="ECE9D8" w:sz="6" w:space="0"/>
              <w:left w:val="single" w:color="auto" w:sz="8"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270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侵占人民防空工程建筑面积1～100平方米的。</w:t>
            </w:r>
          </w:p>
        </w:tc>
        <w:tc>
          <w:tcPr>
            <w:tcW w:w="342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责令限期改正，依法赔偿损失或择地补建，给予严重警告，对个人并处500元以上3千元以下、单</w:t>
            </w:r>
            <w:r>
              <w:rPr>
                <w:rFonts w:hint="eastAsia" w:ascii="仿宋_GB2312" w:hAnsi="宋体" w:eastAsia="仿宋_GB2312" w:cs="宋体"/>
                <w:spacing w:val="-20"/>
                <w:kern w:val="0"/>
              </w:rPr>
              <w:t>位并处1万元以上3万元以下的罚款。</w:t>
            </w: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r>
      <w:tr>
        <w:tblPrEx>
          <w:tblCellMar>
            <w:top w:w="0" w:type="dxa"/>
            <w:left w:w="0" w:type="dxa"/>
            <w:bottom w:w="0" w:type="dxa"/>
            <w:right w:w="0" w:type="dxa"/>
          </w:tblCellMar>
        </w:tblPrEx>
        <w:trPr>
          <w:trHeight w:val="1068" w:hRule="atLeast"/>
        </w:trPr>
        <w:tc>
          <w:tcPr>
            <w:tcW w:w="0" w:type="auto"/>
            <w:vMerge w:val="continue"/>
            <w:tcBorders>
              <w:top w:val="outset" w:color="ECE9D8" w:sz="6" w:space="0"/>
              <w:left w:val="single" w:color="auto" w:sz="8"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270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侵占人民防空工程建筑面积100～200平方米的。</w:t>
            </w:r>
          </w:p>
        </w:tc>
        <w:tc>
          <w:tcPr>
            <w:tcW w:w="342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责令限期改正，依法赔偿损失或择地补建，对个人并处3千元以上5千元以下、单位并处3万元以上5万元以下的罚款。</w:t>
            </w:r>
          </w:p>
        </w:tc>
        <w:tc>
          <w:tcPr>
            <w:tcW w:w="306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由所在市（州）人防执法人员及相关部门提出处罚意见，报所在市（州）人防办主管领导批准后，作出行政处罚决定，并报省人防主管部门备案。</w:t>
            </w: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r>
      <w:tr>
        <w:tblPrEx>
          <w:tblCellMar>
            <w:top w:w="0" w:type="dxa"/>
            <w:left w:w="0" w:type="dxa"/>
            <w:bottom w:w="0" w:type="dxa"/>
            <w:right w:w="0" w:type="dxa"/>
          </w:tblCellMar>
        </w:tblPrEx>
        <w:trPr>
          <w:trHeight w:val="1097" w:hRule="atLeast"/>
        </w:trPr>
        <w:tc>
          <w:tcPr>
            <w:tcW w:w="0" w:type="auto"/>
            <w:vMerge w:val="continue"/>
            <w:tcBorders>
              <w:top w:val="outset" w:color="ECE9D8" w:sz="6" w:space="0"/>
              <w:left w:val="single" w:color="auto" w:sz="8"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270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侵占人民防空工程建筑面积200平方米以上的。</w:t>
            </w:r>
          </w:p>
        </w:tc>
        <w:tc>
          <w:tcPr>
            <w:tcW w:w="342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责令限期改正，依法赔偿损失或择地补建，对个人并处5千元、单位并处5万元的罚款。</w:t>
            </w:r>
          </w:p>
        </w:tc>
        <w:tc>
          <w:tcPr>
            <w:tcW w:w="306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由所在市（州）人防执法人员及相关部门提出处罚意见，经省人防主管部门审查后，报省人防办主任办公会议研究，作出行政处罚决定。</w:t>
            </w: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r>
      <w:tr>
        <w:tblPrEx>
          <w:tblCellMar>
            <w:top w:w="0" w:type="dxa"/>
            <w:left w:w="0" w:type="dxa"/>
            <w:bottom w:w="0" w:type="dxa"/>
            <w:right w:w="0" w:type="dxa"/>
          </w:tblCellMar>
        </w:tblPrEx>
        <w:trPr>
          <w:trHeight w:val="405" w:hRule="atLeast"/>
        </w:trPr>
        <w:tc>
          <w:tcPr>
            <w:tcW w:w="426" w:type="dxa"/>
            <w:vMerge w:val="restart"/>
            <w:tcBorders>
              <w:top w:val="outset" w:color="ECE9D8" w:sz="6" w:space="0"/>
              <w:left w:val="single" w:color="auto" w:sz="8" w:space="0"/>
              <w:bottom w:val="single" w:color="auto" w:sz="8" w:space="0"/>
              <w:right w:val="single" w:color="auto" w:sz="8" w:space="0"/>
            </w:tcBorders>
            <w:shd w:val="clear" w:color="auto" w:fill="auto"/>
            <w:vAlign w:val="center"/>
          </w:tcPr>
          <w:p>
            <w:pPr>
              <w:widowControl/>
              <w:spacing w:line="400" w:lineRule="exact"/>
              <w:jc w:val="center"/>
              <w:rPr>
                <w:rFonts w:ascii="宋体" w:hAnsi="宋体" w:cs="宋体"/>
                <w:kern w:val="0"/>
              </w:rPr>
            </w:pPr>
            <w:r>
              <w:rPr>
                <w:rFonts w:hint="eastAsia" w:ascii="仿宋_GB2312" w:hAnsi="宋体" w:eastAsia="仿宋_GB2312" w:cs="宋体"/>
                <w:kern w:val="0"/>
              </w:rPr>
              <w:t>3</w:t>
            </w:r>
          </w:p>
        </w:tc>
        <w:tc>
          <w:tcPr>
            <w:tcW w:w="1122" w:type="dxa"/>
            <w:vMerge w:val="restart"/>
            <w:tcBorders>
              <w:top w:val="outset" w:color="ECE9D8" w:sz="6" w:space="0"/>
              <w:left w:val="outset" w:color="ECE9D8" w:sz="6" w:space="0"/>
              <w:bottom w:val="single" w:color="auto" w:sz="8" w:space="0"/>
              <w:right w:val="single" w:color="auto" w:sz="8" w:space="0"/>
            </w:tcBorders>
            <w:shd w:val="clear" w:color="auto" w:fill="auto"/>
            <w:vAlign w:val="center"/>
          </w:tcPr>
          <w:p>
            <w:pPr>
              <w:widowControl/>
              <w:spacing w:line="400" w:lineRule="exact"/>
              <w:jc w:val="left"/>
              <w:rPr>
                <w:rFonts w:ascii="宋体" w:hAnsi="宋体" w:cs="宋体"/>
                <w:kern w:val="0"/>
              </w:rPr>
            </w:pPr>
            <w:r>
              <w:rPr>
                <w:rFonts w:hint="eastAsia" w:ascii="仿宋_GB2312" w:hAnsi="宋体" w:eastAsia="仿宋_GB2312" w:cs="宋体"/>
                <w:kern w:val="0"/>
              </w:rPr>
              <w:t>    不按照国家规定的防护标准和质量标准修建人防工程</w:t>
            </w: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270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不按照国家规定的防护标准和质量标准修建人民防空工程情节较轻的。</w:t>
            </w:r>
          </w:p>
        </w:tc>
        <w:tc>
          <w:tcPr>
            <w:tcW w:w="342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责令限期改正，依法赔偿损失或择地补建，给予警告，对个人并处1千元以上3千元以下、单位并处1万元以上3万元以下的罚款。</w:t>
            </w:r>
          </w:p>
        </w:tc>
        <w:tc>
          <w:tcPr>
            <w:tcW w:w="306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由所在县（市、区）人防执法人员及相关部门提出处罚意见，报所在县（市、区）人防办主管领导批准后，作出行政处罚决定，并报市（州）人防主管部门备案。</w:t>
            </w: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r>
      <w:tr>
        <w:tblPrEx>
          <w:tblCellMar>
            <w:top w:w="0" w:type="dxa"/>
            <w:left w:w="0" w:type="dxa"/>
            <w:bottom w:w="0" w:type="dxa"/>
            <w:right w:w="0" w:type="dxa"/>
          </w:tblCellMar>
        </w:tblPrEx>
        <w:trPr>
          <w:trHeight w:val="450" w:hRule="atLeast"/>
        </w:trPr>
        <w:tc>
          <w:tcPr>
            <w:tcW w:w="0" w:type="auto"/>
            <w:vMerge w:val="continue"/>
            <w:tcBorders>
              <w:top w:val="outset" w:color="ECE9D8" w:sz="6" w:space="0"/>
              <w:left w:val="single" w:color="auto" w:sz="8"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270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不按照国家规定的防护标准和质量标准修建人民防空工程情节较重的。</w:t>
            </w:r>
          </w:p>
        </w:tc>
        <w:tc>
          <w:tcPr>
            <w:tcW w:w="342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责令限期改正，依法赔偿损失或择地补建，给予严重警告，对个人并处3千元以上5千元以下、单位并处3万元以上5万元以下的罚款。</w:t>
            </w:r>
          </w:p>
        </w:tc>
        <w:tc>
          <w:tcPr>
            <w:tcW w:w="306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由所在市（州）人防执法人员及相关部门提出处罚意见，报所在市（州）人防办主管领导批准后，作出行政处罚决定，并报省人防主管部门备案。</w:t>
            </w: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r>
      <w:tr>
        <w:tblPrEx>
          <w:tblCellMar>
            <w:top w:w="0" w:type="dxa"/>
            <w:left w:w="0" w:type="dxa"/>
            <w:bottom w:w="0" w:type="dxa"/>
            <w:right w:w="0" w:type="dxa"/>
          </w:tblCellMar>
        </w:tblPrEx>
        <w:trPr>
          <w:trHeight w:val="765" w:hRule="atLeast"/>
        </w:trPr>
        <w:tc>
          <w:tcPr>
            <w:tcW w:w="0" w:type="auto"/>
            <w:vMerge w:val="continue"/>
            <w:tcBorders>
              <w:top w:val="outset" w:color="ECE9D8" w:sz="6" w:space="0"/>
              <w:left w:val="single" w:color="auto" w:sz="8"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270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不按照国家规定的防护标准和质量标准修建人民防空工程情节特别严重的。</w:t>
            </w:r>
          </w:p>
        </w:tc>
        <w:tc>
          <w:tcPr>
            <w:tcW w:w="342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责令限期改正，依法赔偿损失或择地补建，对个人并处5千元、单位并处5万元的罚款。</w:t>
            </w:r>
          </w:p>
        </w:tc>
        <w:tc>
          <w:tcPr>
            <w:tcW w:w="306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由所在市（州）人防执法人员及相关部门提出处罚意见，经省人防主管部门审查后，报省人防办主任办公会议研究，作出行政处罚决定。</w:t>
            </w: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r>
    </w:tbl>
    <w:p>
      <w:pPr>
        <w:widowControl/>
        <w:shd w:val="clear" w:color="auto" w:fill="FFFFFF"/>
        <w:spacing w:line="400" w:lineRule="exact"/>
        <w:jc w:val="center"/>
        <w:rPr>
          <w:rFonts w:ascii="黑体" w:hAnsi="宋体" w:eastAsia="黑体" w:cs="宋体"/>
          <w:kern w:val="0"/>
        </w:rPr>
      </w:pPr>
    </w:p>
    <w:p>
      <w:pPr>
        <w:widowControl/>
        <w:shd w:val="clear" w:color="auto" w:fill="FFFFFF"/>
        <w:spacing w:line="400" w:lineRule="exact"/>
        <w:jc w:val="center"/>
        <w:rPr>
          <w:rFonts w:hint="eastAsia" w:ascii="黑体" w:hAnsi="宋体" w:eastAsia="黑体" w:cs="宋体"/>
          <w:kern w:val="0"/>
        </w:rPr>
      </w:pPr>
      <w:r>
        <w:rPr>
          <w:rFonts w:ascii="黑体" w:hAnsi="宋体" w:eastAsia="黑体" w:cs="宋体"/>
          <w:kern w:val="0"/>
        </w:rPr>
        <w:br w:type="page"/>
      </w:r>
    </w:p>
    <w:p>
      <w:pPr>
        <w:widowControl/>
        <w:shd w:val="clear" w:color="auto" w:fill="FFFFFF"/>
        <w:spacing w:line="400" w:lineRule="exact"/>
        <w:jc w:val="center"/>
        <w:rPr>
          <w:rFonts w:hint="eastAsia" w:ascii="宋体" w:hAnsi="宋体" w:cs="宋体"/>
          <w:kern w:val="0"/>
        </w:rPr>
      </w:pPr>
      <w:r>
        <w:rPr>
          <w:rFonts w:hint="eastAsia" w:ascii="黑体" w:hAnsi="宋体" w:eastAsia="黑体" w:cs="宋体"/>
          <w:kern w:val="0"/>
        </w:rPr>
        <w:t>四川省人民防空行政处罚自由裁量权的实施标准（二）</w:t>
      </w:r>
    </w:p>
    <w:tbl>
      <w:tblPr>
        <w:tblStyle w:val="7"/>
        <w:tblW w:w="0" w:type="auto"/>
        <w:tblInd w:w="0" w:type="dxa"/>
        <w:tblLayout w:type="autofit"/>
        <w:tblCellMar>
          <w:top w:w="0" w:type="dxa"/>
          <w:left w:w="0" w:type="dxa"/>
          <w:bottom w:w="0" w:type="dxa"/>
          <w:right w:w="0" w:type="dxa"/>
        </w:tblCellMar>
      </w:tblPr>
      <w:tblGrid>
        <w:gridCol w:w="426"/>
        <w:gridCol w:w="1089"/>
        <w:gridCol w:w="2846"/>
        <w:gridCol w:w="3163"/>
        <w:gridCol w:w="2796"/>
        <w:gridCol w:w="2846"/>
        <w:gridCol w:w="1052"/>
      </w:tblGrid>
      <w:tr>
        <w:tblPrEx>
          <w:tblCellMar>
            <w:top w:w="0" w:type="dxa"/>
            <w:left w:w="0" w:type="dxa"/>
            <w:bottom w:w="0" w:type="dxa"/>
            <w:right w:w="0" w:type="dxa"/>
          </w:tblCellMar>
        </w:tblPrEx>
        <w:tc>
          <w:tcPr>
            <w:tcW w:w="0" w:type="auto"/>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序</w:t>
            </w:r>
          </w:p>
          <w:p>
            <w:pPr>
              <w:widowControl/>
              <w:spacing w:line="400" w:lineRule="exact"/>
              <w:jc w:val="center"/>
              <w:rPr>
                <w:rFonts w:ascii="宋体" w:hAnsi="宋体" w:cs="宋体"/>
                <w:kern w:val="0"/>
              </w:rPr>
            </w:pPr>
            <w:r>
              <w:rPr>
                <w:rFonts w:hint="eastAsia" w:ascii="黑体" w:hAnsi="宋体" w:eastAsia="黑体" w:cs="宋体"/>
                <w:kern w:val="0"/>
              </w:rPr>
              <w:t>号</w:t>
            </w:r>
          </w:p>
        </w:tc>
        <w:tc>
          <w:tcPr>
            <w:tcW w:w="1122" w:type="dxa"/>
            <w:tcBorders>
              <w:top w:val="single" w:color="auto" w:sz="8"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违法行为</w:t>
            </w:r>
          </w:p>
        </w:tc>
        <w:tc>
          <w:tcPr>
            <w:tcW w:w="3060" w:type="dxa"/>
            <w:tcBorders>
              <w:top w:val="single" w:color="auto" w:sz="8"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处罚依据</w:t>
            </w:r>
          </w:p>
        </w:tc>
        <w:tc>
          <w:tcPr>
            <w:tcW w:w="3420" w:type="dxa"/>
            <w:tcBorders>
              <w:top w:val="single" w:color="auto" w:sz="8"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适用条件</w:t>
            </w:r>
          </w:p>
          <w:p>
            <w:pPr>
              <w:widowControl/>
              <w:spacing w:line="400" w:lineRule="exact"/>
              <w:jc w:val="center"/>
              <w:rPr>
                <w:rFonts w:ascii="宋体" w:hAnsi="宋体" w:cs="宋体"/>
                <w:kern w:val="0"/>
              </w:rPr>
            </w:pPr>
            <w:r>
              <w:rPr>
                <w:rFonts w:hint="eastAsia" w:ascii="黑体" w:hAnsi="宋体" w:eastAsia="黑体" w:cs="宋体"/>
                <w:kern w:val="0"/>
              </w:rPr>
              <w:t>（处罚层级分类）</w:t>
            </w:r>
          </w:p>
        </w:tc>
        <w:tc>
          <w:tcPr>
            <w:tcW w:w="3060" w:type="dxa"/>
            <w:tcBorders>
              <w:top w:val="single" w:color="auto" w:sz="8"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裁量幅度</w:t>
            </w:r>
          </w:p>
        </w:tc>
        <w:tc>
          <w:tcPr>
            <w:tcW w:w="3060" w:type="dxa"/>
            <w:tcBorders>
              <w:top w:val="single" w:color="auto" w:sz="8"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行政处罚权限</w:t>
            </w:r>
          </w:p>
          <w:p>
            <w:pPr>
              <w:widowControl/>
              <w:spacing w:line="400" w:lineRule="exact"/>
              <w:jc w:val="center"/>
              <w:rPr>
                <w:rFonts w:ascii="宋体" w:hAnsi="宋体" w:cs="宋体"/>
                <w:kern w:val="0"/>
              </w:rPr>
            </w:pPr>
            <w:r>
              <w:rPr>
                <w:rFonts w:hint="eastAsia" w:ascii="黑体" w:hAnsi="宋体" w:eastAsia="黑体" w:cs="宋体"/>
                <w:kern w:val="0"/>
              </w:rPr>
              <w:t>（执法单位、程序）</w:t>
            </w:r>
          </w:p>
        </w:tc>
        <w:tc>
          <w:tcPr>
            <w:tcW w:w="1080" w:type="dxa"/>
            <w:tcBorders>
              <w:top w:val="single" w:color="auto" w:sz="8"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备 注</w:t>
            </w:r>
          </w:p>
        </w:tc>
      </w:tr>
      <w:tr>
        <w:tblPrEx>
          <w:tblCellMar>
            <w:top w:w="0" w:type="dxa"/>
            <w:left w:w="0" w:type="dxa"/>
            <w:bottom w:w="0" w:type="dxa"/>
            <w:right w:w="0" w:type="dxa"/>
          </w:tblCellMar>
        </w:tblPrEx>
        <w:trPr>
          <w:trHeight w:val="330" w:hRule="atLeast"/>
        </w:trPr>
        <w:tc>
          <w:tcPr>
            <w:tcW w:w="0" w:type="auto"/>
            <w:vMerge w:val="restart"/>
            <w:tcBorders>
              <w:top w:val="outset" w:color="ECE9D8" w:sz="6"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仿宋_GB2312" w:hAnsi="宋体" w:eastAsia="仿宋_GB2312" w:cs="宋体"/>
                <w:kern w:val="0"/>
              </w:rPr>
              <w:t>4</w:t>
            </w:r>
          </w:p>
        </w:tc>
        <w:tc>
          <w:tcPr>
            <w:tcW w:w="1122" w:type="dxa"/>
            <w:vMerge w:val="restart"/>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违反国家有关规定，改变人防工程主体结构、拆除人防工程设施设备或采用其他方法危害人防工程的安全和使用效能</w:t>
            </w:r>
          </w:p>
        </w:tc>
        <w:tc>
          <w:tcPr>
            <w:tcW w:w="3060" w:type="dxa"/>
            <w:vMerge w:val="restart"/>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（五）占用人民防空通信专用频率、使用与防空警报相同信号的音响信号或者擅自拆除人民防空通信、警报设备设施的；</w:t>
            </w:r>
          </w:p>
          <w:p>
            <w:pPr>
              <w:widowControl/>
              <w:spacing w:line="400" w:lineRule="exact"/>
              <w:ind w:firstLine="420"/>
              <w:jc w:val="left"/>
              <w:rPr>
                <w:rFonts w:hint="eastAsia" w:ascii="宋体" w:hAnsi="宋体" w:cs="宋体"/>
                <w:kern w:val="0"/>
              </w:rPr>
            </w:pPr>
            <w:r>
              <w:rPr>
                <w:rFonts w:hint="eastAsia" w:ascii="仿宋_GB2312" w:hAnsi="宋体" w:eastAsia="仿宋_GB2312" w:cs="宋体"/>
                <w:kern w:val="0"/>
              </w:rPr>
              <w:t>（六）阻挠安装人民防空通信、警报设施，拒不改正的；</w:t>
            </w:r>
          </w:p>
          <w:p>
            <w:pPr>
              <w:widowControl/>
              <w:spacing w:line="400" w:lineRule="exact"/>
              <w:ind w:firstLine="420"/>
              <w:jc w:val="left"/>
              <w:rPr>
                <w:rFonts w:hint="eastAsia" w:ascii="宋体" w:hAnsi="宋体" w:cs="宋体"/>
                <w:kern w:val="0"/>
              </w:rPr>
            </w:pPr>
            <w:r>
              <w:rPr>
                <w:rFonts w:hint="eastAsia" w:ascii="仿宋_GB2312" w:hAnsi="宋体" w:eastAsia="仿宋_GB2312" w:cs="宋体"/>
                <w:kern w:val="0"/>
              </w:rPr>
              <w:t>（七）向人民防空工程内排入废水、废气或者倾倒废弃物的。</w:t>
            </w:r>
          </w:p>
          <w:p>
            <w:pPr>
              <w:widowControl/>
              <w:spacing w:line="400" w:lineRule="exact"/>
              <w:ind w:firstLine="420"/>
              <w:jc w:val="left"/>
              <w:rPr>
                <w:rFonts w:ascii="宋体" w:hAnsi="宋体" w:cs="宋体"/>
                <w:kern w:val="0"/>
              </w:rPr>
            </w:pPr>
            <w:r>
              <w:rPr>
                <w:rFonts w:hint="eastAsia" w:ascii="仿宋_GB2312" w:hAnsi="宋体" w:eastAsia="仿宋_GB2312" w:cs="宋体"/>
                <w:kern w:val="0"/>
              </w:rPr>
              <w:t>二、《四川省&lt;中华人民共和国人民防空法&gt;实施办法》</w:t>
            </w:r>
            <w:r>
              <w:rPr>
                <w:rFonts w:hint="eastAsia" w:ascii="黑体" w:hAnsi="宋体" w:eastAsia="黑体" w:cs="宋体"/>
                <w:kern w:val="0"/>
              </w:rPr>
              <w:t>第23条，</w:t>
            </w:r>
            <w:r>
              <w:rPr>
                <w:rFonts w:hint="eastAsia" w:ascii="仿宋_GB2312" w:hAnsi="宋体" w:eastAsia="仿宋_GB2312" w:cs="宋体"/>
                <w:kern w:val="0"/>
              </w:rPr>
              <w:t>任何单位和个人不得擅自拆除人民防空工程和设施。确需拆除的，建设单位应向人民防空主管部门申报审批，并由拆除单位补建不少于原面积、不低于现行防护等级的人民防空工程，或者按现行工程造价给予补偿，由人民防空主管部门择地统建。</w:t>
            </w:r>
          </w:p>
        </w:tc>
        <w:tc>
          <w:tcPr>
            <w:tcW w:w="342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违反国家有关规定，改变人民防空工程主体结构、拆除人民防空工程设施设备或采用其他方法危害人民防空工程的安全和使用效能不及时改正的。</w:t>
            </w:r>
          </w:p>
        </w:tc>
        <w:tc>
          <w:tcPr>
            <w:tcW w:w="306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责令限期改正，依法赔偿损失或择地补建，给予警告，对个人并处1千元以上3千元以下、单位并处1万元以上3万元以下的罚款。</w:t>
            </w:r>
          </w:p>
        </w:tc>
        <w:tc>
          <w:tcPr>
            <w:tcW w:w="306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由所在县（市、区）人防执法人员及相关部门提出处罚意见，报所在县（市、区）人防办主管领导批准后，作出行政处罚决定，并报市（州）人防主管部门备案。</w:t>
            </w:r>
          </w:p>
        </w:tc>
        <w:tc>
          <w:tcPr>
            <w:tcW w:w="1080" w:type="dxa"/>
            <w:vMerge w:val="restart"/>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从作出行政处罚决定之日起，15日内将处罚决定书和必要的说明材料，抄报本级政府法制部门和上一级人民防空主管部门备案。</w:t>
            </w:r>
          </w:p>
        </w:tc>
      </w:tr>
      <w:tr>
        <w:tblPrEx>
          <w:tblCellMar>
            <w:top w:w="0" w:type="dxa"/>
            <w:left w:w="0" w:type="dxa"/>
            <w:bottom w:w="0" w:type="dxa"/>
            <w:right w:w="0" w:type="dxa"/>
          </w:tblCellMar>
        </w:tblPrEx>
        <w:trPr>
          <w:trHeight w:val="1259" w:hRule="atLeast"/>
        </w:trPr>
        <w:tc>
          <w:tcPr>
            <w:tcW w:w="0" w:type="auto"/>
            <w:vMerge w:val="continue"/>
            <w:tcBorders>
              <w:top w:val="outset" w:color="ECE9D8" w:sz="6" w:space="0"/>
              <w:left w:val="single" w:color="auto" w:sz="8"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342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违反国家有关规定，改变人民防空工程主体结构、拆除人民防空工程设施设备或采用其他方法危害人民防空工程的安全和使用效能，造成较大损失且情节较严重的。</w:t>
            </w:r>
          </w:p>
        </w:tc>
        <w:tc>
          <w:tcPr>
            <w:tcW w:w="306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责令限期改正，依法赔偿损失或择地补建，给予严重警告，对个人并处3千元以上5千元以下、单位并处3万元以上5万元以下的罚款。</w:t>
            </w:r>
          </w:p>
        </w:tc>
        <w:tc>
          <w:tcPr>
            <w:tcW w:w="306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由所在市（州）人防执法人员及相关部门提出处罚意见，报所在市（州）人防办主管领导批准后，作出行政处罚决定，并报省人防主管部门备案。</w:t>
            </w: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r>
      <w:tr>
        <w:tblPrEx>
          <w:tblCellMar>
            <w:top w:w="0" w:type="dxa"/>
            <w:left w:w="0" w:type="dxa"/>
            <w:bottom w:w="0" w:type="dxa"/>
            <w:right w:w="0" w:type="dxa"/>
          </w:tblCellMar>
        </w:tblPrEx>
        <w:trPr>
          <w:trHeight w:val="1525" w:hRule="atLeast"/>
        </w:trPr>
        <w:tc>
          <w:tcPr>
            <w:tcW w:w="0" w:type="auto"/>
            <w:vMerge w:val="continue"/>
            <w:tcBorders>
              <w:top w:val="outset" w:color="ECE9D8" w:sz="6" w:space="0"/>
              <w:left w:val="single" w:color="auto" w:sz="8"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342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违反国家有关规定，改变人民防空工程主体结构、拆除人民防空工程设施设备或采用其他方法危害人民防空工程的安全和使用效能，造成重大损失且情节恶劣的。</w:t>
            </w:r>
          </w:p>
        </w:tc>
        <w:tc>
          <w:tcPr>
            <w:tcW w:w="306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责令限期改正，依法赔偿损失或择地补建，对个人并处5千元、单位并处5万元的罚款。</w:t>
            </w:r>
          </w:p>
        </w:tc>
        <w:tc>
          <w:tcPr>
            <w:tcW w:w="306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由所在市（州）人防执法人员及相关部门提出处罚意见，经省人防主管部门审查后，报省人防办主任办公会议研究，作出行政处罚决定。</w:t>
            </w: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r>
      <w:tr>
        <w:tblPrEx>
          <w:tblCellMar>
            <w:top w:w="0" w:type="dxa"/>
            <w:left w:w="0" w:type="dxa"/>
            <w:bottom w:w="0" w:type="dxa"/>
            <w:right w:w="0" w:type="dxa"/>
          </w:tblCellMar>
        </w:tblPrEx>
        <w:trPr>
          <w:trHeight w:val="934" w:hRule="atLeast"/>
        </w:trPr>
        <w:tc>
          <w:tcPr>
            <w:tcW w:w="0" w:type="auto"/>
            <w:vMerge w:val="restart"/>
            <w:tcBorders>
              <w:top w:val="outset" w:color="ECE9D8" w:sz="6" w:space="0"/>
              <w:left w:val="single" w:color="auto" w:sz="8" w:space="0"/>
              <w:bottom w:val="single" w:color="auto" w:sz="8" w:space="0"/>
              <w:right w:val="single" w:color="auto" w:sz="8" w:space="0"/>
            </w:tcBorders>
            <w:shd w:val="clear" w:color="auto" w:fill="auto"/>
            <w:vAlign w:val="center"/>
          </w:tcPr>
          <w:p>
            <w:pPr>
              <w:widowControl/>
              <w:spacing w:line="400" w:lineRule="exact"/>
              <w:jc w:val="center"/>
              <w:rPr>
                <w:rFonts w:ascii="宋体" w:hAnsi="宋体" w:cs="宋体"/>
                <w:kern w:val="0"/>
              </w:rPr>
            </w:pPr>
            <w:r>
              <w:rPr>
                <w:rFonts w:hint="eastAsia" w:ascii="仿宋_GB2312" w:hAnsi="宋体" w:eastAsia="仿宋_GB2312" w:cs="宋体"/>
                <w:kern w:val="0"/>
              </w:rPr>
              <w:t>5</w:t>
            </w:r>
          </w:p>
        </w:tc>
        <w:tc>
          <w:tcPr>
            <w:tcW w:w="1122" w:type="dxa"/>
            <w:vMerge w:val="restart"/>
            <w:tcBorders>
              <w:top w:val="outset" w:color="ECE9D8" w:sz="6" w:space="0"/>
              <w:left w:val="outset" w:color="ECE9D8" w:sz="6" w:space="0"/>
              <w:bottom w:val="single" w:color="auto" w:sz="8" w:space="0"/>
              <w:right w:val="single" w:color="auto" w:sz="8" w:space="0"/>
            </w:tcBorders>
            <w:shd w:val="clear" w:color="auto" w:fill="auto"/>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拆除人防工程后拒不补建</w:t>
            </w: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342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拆除人民防空工程建筑面积1平方米以下，拒不补建的。</w:t>
            </w:r>
          </w:p>
        </w:tc>
        <w:tc>
          <w:tcPr>
            <w:tcW w:w="306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责令限期改正，依法赔偿损失，给予警告，对个人并处200元以上1千元以下、单位并处500元以上1万元以下的罚款。</w:t>
            </w:r>
          </w:p>
        </w:tc>
        <w:tc>
          <w:tcPr>
            <w:tcW w:w="3060" w:type="dxa"/>
            <w:vMerge w:val="restart"/>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由所在县（市、区）人防执法人员及相关部门提出处罚意见，报所在县（市、区）人防办主管领导批准后，作出行政处罚决定，并报市（州）人防主管部门备案。</w:t>
            </w: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r>
      <w:tr>
        <w:tblPrEx>
          <w:tblCellMar>
            <w:top w:w="0" w:type="dxa"/>
            <w:left w:w="0" w:type="dxa"/>
            <w:bottom w:w="0" w:type="dxa"/>
            <w:right w:w="0" w:type="dxa"/>
          </w:tblCellMar>
        </w:tblPrEx>
        <w:trPr>
          <w:trHeight w:val="1100" w:hRule="atLeast"/>
        </w:trPr>
        <w:tc>
          <w:tcPr>
            <w:tcW w:w="0" w:type="auto"/>
            <w:vMerge w:val="continue"/>
            <w:tcBorders>
              <w:top w:val="outset" w:color="ECE9D8" w:sz="6" w:space="0"/>
              <w:left w:val="single" w:color="auto" w:sz="8"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342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拆除人民防空工程建筑面积1～50平方米，拒不补建的。</w:t>
            </w:r>
          </w:p>
        </w:tc>
        <w:tc>
          <w:tcPr>
            <w:tcW w:w="306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责令限期改正，依法赔偿损失或择地补建，给予严重警告，对个人并处1千元以上3千元以下、单位并处1万以上3万元以下的罚款。</w:t>
            </w: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r>
      <w:tr>
        <w:tblPrEx>
          <w:tblCellMar>
            <w:top w:w="0" w:type="dxa"/>
            <w:left w:w="0" w:type="dxa"/>
            <w:bottom w:w="0" w:type="dxa"/>
            <w:right w:w="0" w:type="dxa"/>
          </w:tblCellMar>
        </w:tblPrEx>
        <w:trPr>
          <w:trHeight w:val="1226" w:hRule="atLeast"/>
        </w:trPr>
        <w:tc>
          <w:tcPr>
            <w:tcW w:w="0" w:type="auto"/>
            <w:vMerge w:val="continue"/>
            <w:tcBorders>
              <w:top w:val="outset" w:color="ECE9D8" w:sz="6" w:space="0"/>
              <w:left w:val="single" w:color="auto" w:sz="8"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342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left"/>
              <w:rPr>
                <w:rFonts w:ascii="宋体" w:hAnsi="宋体" w:cs="宋体"/>
                <w:kern w:val="0"/>
              </w:rPr>
            </w:pPr>
            <w:r>
              <w:rPr>
                <w:rFonts w:hint="eastAsia" w:ascii="仿宋_GB2312" w:hAnsi="宋体" w:eastAsia="仿宋_GB2312" w:cs="宋体"/>
                <w:kern w:val="0"/>
              </w:rPr>
              <w:t>    拆除人民防空工程建筑面积50～100平方米，拒不补建的。</w:t>
            </w:r>
          </w:p>
        </w:tc>
        <w:tc>
          <w:tcPr>
            <w:tcW w:w="306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责令限期改正，依法赔偿损失或择地补建，对个人并处3千元以上5千元以下、单位并处3万元以上5万元以下的罚款。</w:t>
            </w:r>
          </w:p>
        </w:tc>
        <w:tc>
          <w:tcPr>
            <w:tcW w:w="306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left"/>
              <w:rPr>
                <w:rFonts w:ascii="宋体" w:hAnsi="宋体" w:cs="宋体"/>
                <w:kern w:val="0"/>
              </w:rPr>
            </w:pPr>
            <w:r>
              <w:rPr>
                <w:rFonts w:hint="eastAsia" w:ascii="仿宋_GB2312" w:hAnsi="宋体" w:eastAsia="仿宋_GB2312" w:cs="宋体"/>
                <w:kern w:val="0"/>
              </w:rPr>
              <w:t>    由所在市（州）人防执法人员及相关部门提出处罚意见，报所在市（州）人防办主管领导批准后，作出行政处罚决定，并报省人防主管部门备案。</w:t>
            </w: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r>
    </w:tbl>
    <w:p>
      <w:pPr>
        <w:widowControl/>
        <w:shd w:val="clear" w:color="auto" w:fill="FFFFFF"/>
        <w:spacing w:line="400" w:lineRule="exact"/>
        <w:jc w:val="center"/>
        <w:rPr>
          <w:rFonts w:hint="eastAsia" w:ascii="黑体" w:hAnsi="宋体" w:eastAsia="黑体" w:cs="宋体"/>
          <w:kern w:val="0"/>
        </w:rPr>
      </w:pPr>
    </w:p>
    <w:p>
      <w:pPr>
        <w:widowControl/>
        <w:shd w:val="clear" w:color="auto" w:fill="FFFFFF"/>
        <w:spacing w:line="400" w:lineRule="exact"/>
        <w:rPr>
          <w:rFonts w:hint="eastAsia" w:ascii="黑体" w:hAnsi="宋体" w:eastAsia="黑体" w:cs="宋体"/>
          <w:kern w:val="0"/>
        </w:rPr>
      </w:pPr>
      <w:r>
        <w:rPr>
          <w:rFonts w:ascii="黑体" w:hAnsi="宋体" w:eastAsia="黑体" w:cs="宋体"/>
          <w:kern w:val="0"/>
        </w:rPr>
        <w:br w:type="page"/>
      </w:r>
    </w:p>
    <w:p>
      <w:pPr>
        <w:widowControl/>
        <w:shd w:val="clear" w:color="auto" w:fill="FFFFFF"/>
        <w:spacing w:line="400" w:lineRule="exact"/>
        <w:jc w:val="center"/>
        <w:rPr>
          <w:rFonts w:hint="eastAsia" w:ascii="宋体" w:hAnsi="宋体" w:cs="宋体"/>
          <w:kern w:val="0"/>
        </w:rPr>
      </w:pPr>
      <w:r>
        <w:rPr>
          <w:rFonts w:hint="eastAsia" w:ascii="黑体" w:hAnsi="宋体" w:eastAsia="黑体" w:cs="宋体"/>
          <w:kern w:val="0"/>
        </w:rPr>
        <w:t>四川省人民防空行政处罚自由裁量权的实施标准（二）</w:t>
      </w:r>
    </w:p>
    <w:tbl>
      <w:tblPr>
        <w:tblStyle w:val="7"/>
        <w:tblW w:w="15228" w:type="dxa"/>
        <w:tblInd w:w="0" w:type="dxa"/>
        <w:tblLayout w:type="autofit"/>
        <w:tblCellMar>
          <w:top w:w="0" w:type="dxa"/>
          <w:left w:w="0" w:type="dxa"/>
          <w:bottom w:w="0" w:type="dxa"/>
          <w:right w:w="0" w:type="dxa"/>
        </w:tblCellMar>
      </w:tblPr>
      <w:tblGrid>
        <w:gridCol w:w="426"/>
        <w:gridCol w:w="1301"/>
        <w:gridCol w:w="3029"/>
        <w:gridCol w:w="3376"/>
        <w:gridCol w:w="2668"/>
        <w:gridCol w:w="3206"/>
        <w:gridCol w:w="1080"/>
        <w:gridCol w:w="142"/>
      </w:tblGrid>
      <w:tr>
        <w:tblPrEx>
          <w:tblCellMar>
            <w:top w:w="0" w:type="dxa"/>
            <w:left w:w="0" w:type="dxa"/>
            <w:bottom w:w="0" w:type="dxa"/>
            <w:right w:w="0" w:type="dxa"/>
          </w:tblCellMar>
        </w:tblPrEx>
        <w:trPr>
          <w:trHeight w:val="946" w:hRule="atLeast"/>
        </w:trPr>
        <w:tc>
          <w:tcPr>
            <w:tcW w:w="0" w:type="auto"/>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序</w:t>
            </w:r>
          </w:p>
          <w:p>
            <w:pPr>
              <w:widowControl/>
              <w:spacing w:line="400" w:lineRule="exact"/>
              <w:jc w:val="center"/>
              <w:rPr>
                <w:rFonts w:ascii="宋体" w:hAnsi="宋体" w:cs="宋体"/>
                <w:kern w:val="0"/>
              </w:rPr>
            </w:pPr>
            <w:r>
              <w:rPr>
                <w:rFonts w:hint="eastAsia" w:ascii="黑体" w:hAnsi="宋体" w:eastAsia="黑体" w:cs="宋体"/>
                <w:kern w:val="0"/>
              </w:rPr>
              <w:t>号</w:t>
            </w:r>
          </w:p>
        </w:tc>
        <w:tc>
          <w:tcPr>
            <w:tcW w:w="1302" w:type="dxa"/>
            <w:tcBorders>
              <w:top w:val="single" w:color="auto" w:sz="8"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违法行为</w:t>
            </w:r>
          </w:p>
        </w:tc>
        <w:tc>
          <w:tcPr>
            <w:tcW w:w="3060" w:type="dxa"/>
            <w:tcBorders>
              <w:top w:val="single" w:color="auto" w:sz="8"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处罚依据</w:t>
            </w:r>
          </w:p>
        </w:tc>
        <w:tc>
          <w:tcPr>
            <w:tcW w:w="3420" w:type="dxa"/>
            <w:tcBorders>
              <w:top w:val="single" w:color="auto" w:sz="8"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适用条件</w:t>
            </w:r>
          </w:p>
          <w:p>
            <w:pPr>
              <w:widowControl/>
              <w:spacing w:line="400" w:lineRule="exact"/>
              <w:jc w:val="center"/>
              <w:rPr>
                <w:rFonts w:ascii="宋体" w:hAnsi="宋体" w:cs="宋体"/>
                <w:kern w:val="0"/>
              </w:rPr>
            </w:pPr>
            <w:r>
              <w:rPr>
                <w:rFonts w:hint="eastAsia" w:ascii="黑体" w:hAnsi="宋体" w:eastAsia="黑体" w:cs="宋体"/>
                <w:kern w:val="0"/>
              </w:rPr>
              <w:t>（处罚层级分类）</w:t>
            </w:r>
          </w:p>
        </w:tc>
        <w:tc>
          <w:tcPr>
            <w:tcW w:w="2700" w:type="dxa"/>
            <w:tcBorders>
              <w:top w:val="single" w:color="auto" w:sz="8"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裁量幅度</w:t>
            </w:r>
          </w:p>
        </w:tc>
        <w:tc>
          <w:tcPr>
            <w:tcW w:w="3240" w:type="dxa"/>
            <w:tcBorders>
              <w:top w:val="single" w:color="auto" w:sz="8"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行政处罚权限</w:t>
            </w:r>
          </w:p>
          <w:p>
            <w:pPr>
              <w:widowControl/>
              <w:spacing w:line="400" w:lineRule="exact"/>
              <w:jc w:val="center"/>
              <w:rPr>
                <w:rFonts w:ascii="宋体" w:hAnsi="宋体" w:cs="宋体"/>
                <w:kern w:val="0"/>
              </w:rPr>
            </w:pPr>
            <w:r>
              <w:rPr>
                <w:rFonts w:hint="eastAsia" w:ascii="黑体" w:hAnsi="宋体" w:eastAsia="黑体" w:cs="宋体"/>
                <w:kern w:val="0"/>
              </w:rPr>
              <w:t>（执法单位、程序）</w:t>
            </w:r>
          </w:p>
        </w:tc>
        <w:tc>
          <w:tcPr>
            <w:tcW w:w="1080" w:type="dxa"/>
            <w:tcBorders>
              <w:top w:val="single" w:color="auto" w:sz="8"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备  注</w:t>
            </w:r>
          </w:p>
        </w:tc>
        <w:tc>
          <w:tcPr>
            <w:tcW w:w="144" w:type="dxa"/>
            <w:tcBorders>
              <w:top w:val="nil"/>
              <w:left w:val="nil"/>
              <w:bottom w:val="nil"/>
              <w:right w:val="nil"/>
            </w:tcBorders>
            <w:shd w:val="clear" w:color="auto" w:fill="auto"/>
            <w:vAlign w:val="center"/>
          </w:tcPr>
          <w:p>
            <w:pPr>
              <w:widowControl/>
              <w:spacing w:line="400" w:lineRule="exact"/>
              <w:jc w:val="left"/>
              <w:rPr>
                <w:rFonts w:ascii="宋体" w:hAnsi="宋体" w:cs="宋体"/>
                <w:kern w:val="0"/>
              </w:rPr>
            </w:pPr>
          </w:p>
        </w:tc>
      </w:tr>
      <w:tr>
        <w:tblPrEx>
          <w:tblCellMar>
            <w:top w:w="0" w:type="dxa"/>
            <w:left w:w="0" w:type="dxa"/>
            <w:bottom w:w="0" w:type="dxa"/>
            <w:right w:w="0" w:type="dxa"/>
          </w:tblCellMar>
        </w:tblPrEx>
        <w:trPr>
          <w:trHeight w:val="1675" w:hRule="atLeast"/>
        </w:trPr>
        <w:tc>
          <w:tcPr>
            <w:tcW w:w="0" w:type="auto"/>
            <w:vMerge w:val="restart"/>
            <w:tcBorders>
              <w:top w:val="outset" w:color="ECE9D8" w:sz="6"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6</w:t>
            </w:r>
          </w:p>
        </w:tc>
        <w:tc>
          <w:tcPr>
            <w:tcW w:w="1302" w:type="dxa"/>
            <w:vMerge w:val="restart"/>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left"/>
              <w:rPr>
                <w:rFonts w:ascii="宋体" w:hAnsi="宋体" w:cs="宋体"/>
                <w:kern w:val="0"/>
              </w:rPr>
            </w:pPr>
            <w:r>
              <w:rPr>
                <w:rFonts w:hint="eastAsia" w:ascii="仿宋_GB2312" w:hAnsi="宋体" w:eastAsia="仿宋_GB2312" w:cs="宋体"/>
                <w:kern w:val="0"/>
              </w:rPr>
              <w:t>    占用人防通信专用频率、使用与防空警报相同信号的音响信号或擅自拆除人防通信、警报设施设备</w:t>
            </w:r>
          </w:p>
        </w:tc>
        <w:tc>
          <w:tcPr>
            <w:tcW w:w="3060" w:type="dxa"/>
            <w:vMerge w:val="restart"/>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黑体" w:hAnsi="宋体" w:eastAsia="黑体" w:cs="宋体"/>
                <w:kern w:val="0"/>
              </w:rPr>
              <w:t>第25条，</w:t>
            </w:r>
            <w:r>
              <w:rPr>
                <w:rFonts w:hint="eastAsia" w:ascii="仿宋_GB2312" w:hAnsi="宋体" w:eastAsia="仿宋_GB2312" w:cs="宋体"/>
                <w:kern w:val="0"/>
              </w:rPr>
              <w:t>人民防空警报设施由人民防空主管部门组织安装，有关单位或个人应当提供方便条件，不得阻挠。警报设施由所在单位负责日常管理。拆除警报设施必须经人民防空主管部门批准，由拆除单位补建。</w:t>
            </w:r>
          </w:p>
          <w:p>
            <w:pPr>
              <w:widowControl/>
              <w:spacing w:line="400" w:lineRule="exact"/>
              <w:ind w:firstLine="420"/>
              <w:jc w:val="left"/>
              <w:rPr>
                <w:rFonts w:hint="eastAsia" w:ascii="宋体" w:hAnsi="宋体" w:cs="宋体"/>
                <w:kern w:val="0"/>
              </w:rPr>
            </w:pPr>
            <w:r>
              <w:rPr>
                <w:rFonts w:hint="eastAsia" w:ascii="黑体" w:hAnsi="宋体" w:eastAsia="黑体" w:cs="宋体"/>
                <w:kern w:val="0"/>
              </w:rPr>
              <w:t>第26条，</w:t>
            </w:r>
            <w:r>
              <w:rPr>
                <w:rFonts w:hint="eastAsia" w:ascii="仿宋_GB2312" w:hAnsi="宋体" w:eastAsia="仿宋_GB2312" w:cs="宋体"/>
                <w:kern w:val="0"/>
              </w:rPr>
              <w:t>禁止下列危害人民防空安全的行为：</w:t>
            </w:r>
          </w:p>
          <w:p>
            <w:pPr>
              <w:widowControl/>
              <w:spacing w:line="400" w:lineRule="exact"/>
              <w:ind w:firstLine="420"/>
              <w:jc w:val="left"/>
              <w:rPr>
                <w:rFonts w:hint="eastAsia" w:ascii="宋体" w:hAnsi="宋体" w:cs="宋体"/>
                <w:kern w:val="0"/>
              </w:rPr>
            </w:pPr>
            <w:r>
              <w:rPr>
                <w:rFonts w:hint="eastAsia" w:ascii="仿宋_GB2312" w:hAnsi="宋体" w:eastAsia="仿宋_GB2312" w:cs="宋体"/>
                <w:kern w:val="0"/>
              </w:rPr>
              <w:t>（一）在人民防空工程内生产和储存剧毒、易燃、易爆、放射性和腐蚀性物品；</w:t>
            </w:r>
          </w:p>
          <w:p>
            <w:pPr>
              <w:widowControl/>
              <w:spacing w:line="400" w:lineRule="exact"/>
              <w:ind w:firstLine="420"/>
              <w:jc w:val="left"/>
              <w:rPr>
                <w:rFonts w:hint="eastAsia" w:ascii="宋体" w:hAnsi="宋体" w:cs="宋体"/>
                <w:kern w:val="0"/>
              </w:rPr>
            </w:pPr>
            <w:r>
              <w:rPr>
                <w:rFonts w:hint="eastAsia" w:ascii="仿宋_GB2312" w:hAnsi="宋体" w:eastAsia="仿宋_GB2312" w:cs="宋体"/>
                <w:kern w:val="0"/>
              </w:rPr>
              <w:t>（二）在人民防空工程防护范围内采石、取土、钻探、爆破；</w:t>
            </w:r>
          </w:p>
          <w:p>
            <w:pPr>
              <w:widowControl/>
              <w:spacing w:line="400" w:lineRule="exact"/>
              <w:ind w:firstLine="420"/>
              <w:jc w:val="left"/>
              <w:rPr>
                <w:rFonts w:hint="eastAsia" w:ascii="宋体" w:hAnsi="宋体" w:cs="宋体"/>
                <w:kern w:val="0"/>
              </w:rPr>
            </w:pPr>
            <w:r>
              <w:rPr>
                <w:rFonts w:hint="eastAsia" w:ascii="仿宋_GB2312" w:hAnsi="宋体" w:eastAsia="仿宋_GB2312" w:cs="宋体"/>
                <w:kern w:val="0"/>
              </w:rPr>
              <w:t>（三）向人民防空工程排放废水、废气和倾倒废弃物；</w:t>
            </w:r>
          </w:p>
          <w:p>
            <w:pPr>
              <w:widowControl/>
              <w:spacing w:line="400" w:lineRule="exact"/>
              <w:ind w:firstLine="420"/>
              <w:jc w:val="left"/>
              <w:rPr>
                <w:rFonts w:ascii="宋体" w:hAnsi="宋体" w:cs="宋体"/>
                <w:kern w:val="0"/>
              </w:rPr>
            </w:pPr>
            <w:r>
              <w:rPr>
                <w:rFonts w:hint="eastAsia" w:ascii="仿宋_GB2312" w:hAnsi="宋体" w:eastAsia="仿宋_GB2312" w:cs="宋体"/>
                <w:kern w:val="0"/>
              </w:rPr>
              <w:t>（四）占用、堵塞和毁坏人民防空工程及其出入口；</w:t>
            </w:r>
          </w:p>
        </w:tc>
        <w:tc>
          <w:tcPr>
            <w:tcW w:w="342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拆除人民防空工程建筑面积100平方米以上，拒不补建的。</w:t>
            </w:r>
          </w:p>
        </w:tc>
        <w:tc>
          <w:tcPr>
            <w:tcW w:w="270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责令限期改正，依法赔偿损失或择地补建，对个人并处5千元、单位并处5万元的罚款。</w:t>
            </w:r>
          </w:p>
        </w:tc>
        <w:tc>
          <w:tcPr>
            <w:tcW w:w="324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由所在市（州）人防执法人员及相关部门提出处罚意见，经省人防主管部门审查后，报省人防办主任办公会议研究，作出行政处罚决定。</w:t>
            </w:r>
          </w:p>
        </w:tc>
        <w:tc>
          <w:tcPr>
            <w:tcW w:w="1080" w:type="dxa"/>
            <w:vMerge w:val="restart"/>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从作出行政处罚决定之日起，15日内将处罚决定书和必要的说明材料，抄报本级政府法制部门和上一级人民防空主管部门备案。</w:t>
            </w:r>
          </w:p>
        </w:tc>
        <w:tc>
          <w:tcPr>
            <w:tcW w:w="144" w:type="dxa"/>
            <w:tcBorders>
              <w:top w:val="nil"/>
              <w:left w:val="nil"/>
              <w:bottom w:val="nil"/>
              <w:right w:val="nil"/>
            </w:tcBorders>
            <w:shd w:val="clear" w:color="auto" w:fill="auto"/>
            <w:vAlign w:val="center"/>
          </w:tcPr>
          <w:p>
            <w:pPr>
              <w:widowControl/>
              <w:spacing w:line="400" w:lineRule="exact"/>
              <w:jc w:val="left"/>
              <w:rPr>
                <w:rFonts w:ascii="宋体" w:hAnsi="宋体" w:cs="宋体"/>
                <w:kern w:val="0"/>
              </w:rPr>
            </w:pPr>
          </w:p>
        </w:tc>
      </w:tr>
      <w:tr>
        <w:tblPrEx>
          <w:tblCellMar>
            <w:top w:w="0" w:type="dxa"/>
            <w:left w:w="0" w:type="dxa"/>
            <w:bottom w:w="0" w:type="dxa"/>
            <w:right w:w="0" w:type="dxa"/>
          </w:tblCellMar>
        </w:tblPrEx>
        <w:trPr>
          <w:trHeight w:val="1541" w:hRule="atLeast"/>
        </w:trPr>
        <w:tc>
          <w:tcPr>
            <w:tcW w:w="0" w:type="auto"/>
            <w:vMerge w:val="continue"/>
            <w:tcBorders>
              <w:top w:val="outset" w:color="ECE9D8" w:sz="6" w:space="0"/>
              <w:left w:val="single" w:color="auto" w:sz="8"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342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占用人民防空通信专用频率、使用与防空警报相同的音响信号或者擅自拆除人民防空通信、警报设施设备以及阻挠安装人民防空通信、警报设施，造成损失能及时改正的。</w:t>
            </w:r>
          </w:p>
        </w:tc>
        <w:tc>
          <w:tcPr>
            <w:tcW w:w="270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责令限期改正，依法赔偿损失，给予警告，对个人并处200元以上1千元以下、单位并处500元以上1万元以下的罚款。</w:t>
            </w:r>
          </w:p>
        </w:tc>
        <w:tc>
          <w:tcPr>
            <w:tcW w:w="3240" w:type="dxa"/>
            <w:vMerge w:val="restart"/>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left"/>
              <w:rPr>
                <w:rFonts w:ascii="宋体" w:hAnsi="宋体" w:cs="宋体"/>
                <w:kern w:val="0"/>
              </w:rPr>
            </w:pPr>
            <w:r>
              <w:rPr>
                <w:rFonts w:hint="eastAsia" w:ascii="仿宋_GB2312" w:hAnsi="宋体" w:eastAsia="仿宋_GB2312" w:cs="宋体"/>
                <w:kern w:val="0"/>
              </w:rPr>
              <w:t>    由所在县（市、区）人防执法人员及相关部门提出处罚意见，报所在县（市、区）人防办主管领导批准后，作出行政处罚决定，并报市（州）人防主管部门备案。</w:t>
            </w: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144" w:type="dxa"/>
            <w:tcBorders>
              <w:top w:val="nil"/>
              <w:left w:val="nil"/>
              <w:bottom w:val="nil"/>
              <w:right w:val="nil"/>
            </w:tcBorders>
            <w:shd w:val="clear" w:color="auto" w:fill="auto"/>
            <w:vAlign w:val="center"/>
          </w:tcPr>
          <w:p>
            <w:pPr>
              <w:widowControl/>
              <w:spacing w:line="400" w:lineRule="exact"/>
              <w:jc w:val="left"/>
              <w:rPr>
                <w:rFonts w:ascii="宋体" w:hAnsi="宋体" w:cs="宋体"/>
                <w:kern w:val="0"/>
              </w:rPr>
            </w:pPr>
          </w:p>
        </w:tc>
      </w:tr>
      <w:tr>
        <w:tblPrEx>
          <w:tblCellMar>
            <w:top w:w="0" w:type="dxa"/>
            <w:left w:w="0" w:type="dxa"/>
            <w:bottom w:w="0" w:type="dxa"/>
            <w:right w:w="0" w:type="dxa"/>
          </w:tblCellMar>
        </w:tblPrEx>
        <w:trPr>
          <w:trHeight w:val="660" w:hRule="atLeast"/>
        </w:trPr>
        <w:tc>
          <w:tcPr>
            <w:tcW w:w="0" w:type="auto"/>
            <w:vMerge w:val="continue"/>
            <w:tcBorders>
              <w:top w:val="outset" w:color="ECE9D8" w:sz="6" w:space="0"/>
              <w:left w:val="single" w:color="auto" w:sz="8"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3420" w:type="dxa"/>
            <w:vMerge w:val="restart"/>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占用人民防空通信专用频率、使用与防空警报相同的音响信号或者擅自拆除人民防空通信、警报设施设备以及阻挠安装人民防空通信、警报设施，造成较大损失且不及时改正的。</w:t>
            </w:r>
          </w:p>
        </w:tc>
        <w:tc>
          <w:tcPr>
            <w:tcW w:w="2700" w:type="dxa"/>
            <w:vMerge w:val="restart"/>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责令限期改正，依法赔偿损失，给予严重警告，对个人并处1千元以上3千元以下、单位并处1万元以上3万元以下的罚款。</w:t>
            </w: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144" w:type="dxa"/>
            <w:tcBorders>
              <w:top w:val="nil"/>
              <w:left w:val="nil"/>
              <w:bottom w:val="nil"/>
              <w:right w:val="nil"/>
            </w:tcBorders>
            <w:shd w:val="clear" w:color="auto" w:fill="auto"/>
            <w:vAlign w:val="center"/>
          </w:tcPr>
          <w:p>
            <w:pPr>
              <w:widowControl/>
              <w:spacing w:line="400" w:lineRule="exact"/>
              <w:jc w:val="left"/>
              <w:rPr>
                <w:rFonts w:ascii="宋体" w:hAnsi="宋体" w:cs="宋体"/>
                <w:kern w:val="0"/>
              </w:rPr>
            </w:pPr>
          </w:p>
        </w:tc>
      </w:tr>
      <w:tr>
        <w:tblPrEx>
          <w:tblCellMar>
            <w:top w:w="0" w:type="dxa"/>
            <w:left w:w="0" w:type="dxa"/>
            <w:bottom w:w="0" w:type="dxa"/>
            <w:right w:w="0" w:type="dxa"/>
          </w:tblCellMar>
        </w:tblPrEx>
        <w:trPr>
          <w:trHeight w:val="1048" w:hRule="atLeast"/>
        </w:trPr>
        <w:tc>
          <w:tcPr>
            <w:tcW w:w="0" w:type="auto"/>
            <w:vMerge w:val="restart"/>
            <w:tcBorders>
              <w:top w:val="outset" w:color="ECE9D8" w:sz="6"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7</w:t>
            </w:r>
          </w:p>
        </w:tc>
        <w:tc>
          <w:tcPr>
            <w:tcW w:w="1302" w:type="dxa"/>
            <w:vMerge w:val="restart"/>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阻挠安</w:t>
            </w:r>
          </w:p>
          <w:p>
            <w:pPr>
              <w:widowControl/>
              <w:spacing w:line="400" w:lineRule="exact"/>
              <w:jc w:val="left"/>
              <w:rPr>
                <w:rFonts w:ascii="宋体" w:hAnsi="宋体" w:cs="宋体"/>
                <w:kern w:val="0"/>
              </w:rPr>
            </w:pPr>
            <w:r>
              <w:rPr>
                <w:rFonts w:hint="eastAsia" w:ascii="仿宋_GB2312" w:hAnsi="宋体" w:eastAsia="仿宋_GB2312" w:cs="宋体"/>
                <w:kern w:val="0"/>
              </w:rPr>
              <w:t>装人防通信、警报设施，拒不改正</w:t>
            </w: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144" w:type="dxa"/>
            <w:tcBorders>
              <w:top w:val="nil"/>
              <w:left w:val="nil"/>
              <w:bottom w:val="nil"/>
              <w:right w:val="nil"/>
            </w:tcBorders>
            <w:shd w:val="clear" w:color="auto" w:fill="auto"/>
            <w:vAlign w:val="center"/>
          </w:tcPr>
          <w:p>
            <w:pPr>
              <w:widowControl/>
              <w:spacing w:line="400" w:lineRule="exact"/>
              <w:jc w:val="left"/>
              <w:rPr>
                <w:rFonts w:ascii="宋体" w:hAnsi="宋体" w:cs="宋体"/>
                <w:kern w:val="0"/>
              </w:rPr>
            </w:pPr>
          </w:p>
        </w:tc>
      </w:tr>
      <w:tr>
        <w:tblPrEx>
          <w:tblCellMar>
            <w:top w:w="0" w:type="dxa"/>
            <w:left w:w="0" w:type="dxa"/>
            <w:bottom w:w="0" w:type="dxa"/>
            <w:right w:w="0" w:type="dxa"/>
          </w:tblCellMar>
        </w:tblPrEx>
        <w:trPr>
          <w:trHeight w:val="1713" w:hRule="atLeast"/>
        </w:trPr>
        <w:tc>
          <w:tcPr>
            <w:tcW w:w="0" w:type="auto"/>
            <w:vMerge w:val="continue"/>
            <w:tcBorders>
              <w:top w:val="outset" w:color="ECE9D8" w:sz="6" w:space="0"/>
              <w:left w:val="single" w:color="auto" w:sz="8"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342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占用人民防空通信专用频率、使用与防空警报相同的音响信号或者擅自拆除人民防空通信、警报设施设备以及阻挠安装人民防空通信、警报设施，造成重大损失且不及时改正或不采取补救措施的。</w:t>
            </w:r>
          </w:p>
        </w:tc>
        <w:tc>
          <w:tcPr>
            <w:tcW w:w="270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责令限期改正，依法赔偿损失，对个人并处3千元以上5千元以下、单位并处3万元以上5万元以下的罚款。</w:t>
            </w:r>
          </w:p>
        </w:tc>
        <w:tc>
          <w:tcPr>
            <w:tcW w:w="324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由所在市（州）人防执法人员及相关部门提出处罚意见，报所在市（州）人防办主管领导批准后，作出行政处罚决定，并报省人防主管部门备案。</w:t>
            </w: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144" w:type="dxa"/>
            <w:tcBorders>
              <w:top w:val="nil"/>
              <w:left w:val="nil"/>
              <w:bottom w:val="nil"/>
              <w:right w:val="nil"/>
            </w:tcBorders>
            <w:shd w:val="clear" w:color="auto" w:fill="auto"/>
            <w:vAlign w:val="center"/>
          </w:tcPr>
          <w:p>
            <w:pPr>
              <w:widowControl/>
              <w:spacing w:line="400" w:lineRule="exact"/>
              <w:jc w:val="left"/>
              <w:rPr>
                <w:rFonts w:ascii="宋体" w:hAnsi="宋体" w:cs="宋体"/>
                <w:kern w:val="0"/>
              </w:rPr>
            </w:pPr>
          </w:p>
        </w:tc>
      </w:tr>
    </w:tbl>
    <w:p>
      <w:pPr>
        <w:widowControl/>
        <w:shd w:val="clear" w:color="auto" w:fill="FFFFFF"/>
        <w:spacing w:line="400" w:lineRule="exact"/>
        <w:jc w:val="center"/>
        <w:rPr>
          <w:rFonts w:hint="eastAsia" w:ascii="黑体" w:hAnsi="宋体" w:eastAsia="黑体" w:cs="宋体"/>
          <w:kern w:val="0"/>
        </w:rPr>
      </w:pPr>
    </w:p>
    <w:p>
      <w:pPr>
        <w:widowControl/>
        <w:shd w:val="clear" w:color="auto" w:fill="FFFFFF"/>
        <w:spacing w:line="400" w:lineRule="exact"/>
        <w:jc w:val="center"/>
        <w:rPr>
          <w:rFonts w:hint="eastAsia" w:ascii="黑体" w:hAnsi="宋体" w:eastAsia="黑体" w:cs="宋体"/>
          <w:kern w:val="0"/>
        </w:rPr>
      </w:pPr>
    </w:p>
    <w:p>
      <w:pPr>
        <w:widowControl/>
        <w:shd w:val="clear" w:color="auto" w:fill="FFFFFF"/>
        <w:spacing w:line="400" w:lineRule="exact"/>
        <w:jc w:val="center"/>
        <w:rPr>
          <w:rFonts w:hint="eastAsia" w:ascii="黑体" w:hAnsi="宋体" w:eastAsia="黑体" w:cs="宋体"/>
          <w:kern w:val="0"/>
        </w:rPr>
      </w:pPr>
    </w:p>
    <w:p>
      <w:pPr>
        <w:widowControl/>
        <w:shd w:val="clear" w:color="auto" w:fill="FFFFFF"/>
        <w:spacing w:line="400" w:lineRule="exact"/>
        <w:jc w:val="center"/>
        <w:rPr>
          <w:rFonts w:hint="eastAsia" w:ascii="黑体" w:hAnsi="宋体" w:eastAsia="黑体" w:cs="宋体"/>
          <w:kern w:val="0"/>
        </w:rPr>
      </w:pPr>
    </w:p>
    <w:p>
      <w:pPr>
        <w:widowControl/>
        <w:shd w:val="clear" w:color="auto" w:fill="FFFFFF"/>
        <w:spacing w:line="400" w:lineRule="exact"/>
        <w:jc w:val="center"/>
        <w:rPr>
          <w:rFonts w:hint="eastAsia" w:ascii="黑体" w:hAnsi="宋体" w:eastAsia="黑体" w:cs="宋体"/>
          <w:kern w:val="0"/>
        </w:rPr>
      </w:pPr>
    </w:p>
    <w:p>
      <w:pPr>
        <w:widowControl/>
        <w:shd w:val="clear" w:color="auto" w:fill="FFFFFF"/>
        <w:spacing w:line="400" w:lineRule="exact"/>
        <w:jc w:val="center"/>
        <w:rPr>
          <w:rFonts w:hint="eastAsia" w:ascii="黑体" w:hAnsi="宋体" w:eastAsia="黑体" w:cs="宋体"/>
          <w:kern w:val="0"/>
        </w:rPr>
      </w:pPr>
      <w:r>
        <w:rPr>
          <w:rFonts w:ascii="黑体" w:hAnsi="宋体" w:eastAsia="黑体" w:cs="宋体"/>
          <w:kern w:val="0"/>
        </w:rPr>
        <w:br w:type="page"/>
      </w:r>
    </w:p>
    <w:p>
      <w:pPr>
        <w:widowControl/>
        <w:shd w:val="clear" w:color="auto" w:fill="FFFFFF"/>
        <w:spacing w:line="400" w:lineRule="exact"/>
        <w:jc w:val="center"/>
        <w:rPr>
          <w:rFonts w:hint="eastAsia" w:ascii="宋体" w:hAnsi="宋体" w:cs="宋体"/>
          <w:kern w:val="0"/>
        </w:rPr>
      </w:pPr>
      <w:r>
        <w:rPr>
          <w:rFonts w:hint="eastAsia" w:ascii="黑体" w:hAnsi="宋体" w:eastAsia="黑体" w:cs="宋体"/>
          <w:kern w:val="0"/>
        </w:rPr>
        <w:t>四川省人民防空行政处罚自由裁量权的实施标准（二）</w:t>
      </w:r>
    </w:p>
    <w:tbl>
      <w:tblPr>
        <w:tblStyle w:val="7"/>
        <w:tblW w:w="15228" w:type="dxa"/>
        <w:tblInd w:w="0" w:type="dxa"/>
        <w:tblLayout w:type="autofit"/>
        <w:tblCellMar>
          <w:top w:w="0" w:type="dxa"/>
          <w:left w:w="0" w:type="dxa"/>
          <w:bottom w:w="0" w:type="dxa"/>
          <w:right w:w="0" w:type="dxa"/>
        </w:tblCellMar>
      </w:tblPr>
      <w:tblGrid>
        <w:gridCol w:w="426"/>
        <w:gridCol w:w="1266"/>
        <w:gridCol w:w="2851"/>
        <w:gridCol w:w="3020"/>
        <w:gridCol w:w="3204"/>
        <w:gridCol w:w="3381"/>
        <w:gridCol w:w="1080"/>
      </w:tblGrid>
      <w:tr>
        <w:tblPrEx>
          <w:tblCellMar>
            <w:top w:w="0" w:type="dxa"/>
            <w:left w:w="0" w:type="dxa"/>
            <w:bottom w:w="0" w:type="dxa"/>
            <w:right w:w="0" w:type="dxa"/>
          </w:tblCellMar>
        </w:tblPrEx>
        <w:trPr>
          <w:trHeight w:val="927" w:hRule="atLeast"/>
        </w:trPr>
        <w:tc>
          <w:tcPr>
            <w:tcW w:w="0" w:type="auto"/>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序</w:t>
            </w:r>
          </w:p>
          <w:p>
            <w:pPr>
              <w:widowControl/>
              <w:spacing w:line="400" w:lineRule="exact"/>
              <w:jc w:val="center"/>
              <w:rPr>
                <w:rFonts w:ascii="宋体" w:hAnsi="宋体" w:cs="宋体"/>
                <w:kern w:val="0"/>
              </w:rPr>
            </w:pPr>
            <w:r>
              <w:rPr>
                <w:rFonts w:hint="eastAsia" w:ascii="黑体" w:hAnsi="宋体" w:eastAsia="黑体" w:cs="宋体"/>
                <w:kern w:val="0"/>
              </w:rPr>
              <w:t>号</w:t>
            </w:r>
          </w:p>
        </w:tc>
        <w:tc>
          <w:tcPr>
            <w:tcW w:w="1116" w:type="dxa"/>
            <w:tcBorders>
              <w:top w:val="single" w:color="auto" w:sz="8"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违法行为</w:t>
            </w:r>
          </w:p>
        </w:tc>
        <w:tc>
          <w:tcPr>
            <w:tcW w:w="2880" w:type="dxa"/>
            <w:tcBorders>
              <w:top w:val="single" w:color="auto" w:sz="8"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处罚依据</w:t>
            </w:r>
          </w:p>
        </w:tc>
        <w:tc>
          <w:tcPr>
            <w:tcW w:w="3060" w:type="dxa"/>
            <w:tcBorders>
              <w:top w:val="single" w:color="auto" w:sz="8"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适用条件</w:t>
            </w:r>
          </w:p>
          <w:p>
            <w:pPr>
              <w:widowControl/>
              <w:spacing w:line="400" w:lineRule="exact"/>
              <w:jc w:val="center"/>
              <w:rPr>
                <w:rFonts w:ascii="宋体" w:hAnsi="宋体" w:cs="宋体"/>
                <w:kern w:val="0"/>
              </w:rPr>
            </w:pPr>
            <w:r>
              <w:rPr>
                <w:rFonts w:hint="eastAsia" w:ascii="黑体" w:hAnsi="宋体" w:eastAsia="黑体" w:cs="宋体"/>
                <w:kern w:val="0"/>
              </w:rPr>
              <w:t>（处罚层级分类）</w:t>
            </w:r>
          </w:p>
        </w:tc>
        <w:tc>
          <w:tcPr>
            <w:tcW w:w="3240" w:type="dxa"/>
            <w:tcBorders>
              <w:top w:val="single" w:color="auto" w:sz="8"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裁量幅度</w:t>
            </w:r>
          </w:p>
        </w:tc>
        <w:tc>
          <w:tcPr>
            <w:tcW w:w="3420" w:type="dxa"/>
            <w:tcBorders>
              <w:top w:val="single" w:color="auto" w:sz="8"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行政处罚权限</w:t>
            </w:r>
          </w:p>
          <w:p>
            <w:pPr>
              <w:widowControl/>
              <w:spacing w:line="400" w:lineRule="exact"/>
              <w:jc w:val="center"/>
              <w:rPr>
                <w:rFonts w:ascii="宋体" w:hAnsi="宋体" w:cs="宋体"/>
                <w:kern w:val="0"/>
              </w:rPr>
            </w:pPr>
            <w:r>
              <w:rPr>
                <w:rFonts w:hint="eastAsia" w:ascii="黑体" w:hAnsi="宋体" w:eastAsia="黑体" w:cs="宋体"/>
                <w:kern w:val="0"/>
              </w:rPr>
              <w:t>（执法单位、程序）</w:t>
            </w:r>
          </w:p>
        </w:tc>
        <w:tc>
          <w:tcPr>
            <w:tcW w:w="1080" w:type="dxa"/>
            <w:tcBorders>
              <w:top w:val="single" w:color="auto" w:sz="8"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备  注</w:t>
            </w:r>
          </w:p>
        </w:tc>
      </w:tr>
      <w:tr>
        <w:tblPrEx>
          <w:tblCellMar>
            <w:top w:w="0" w:type="dxa"/>
            <w:left w:w="0" w:type="dxa"/>
            <w:bottom w:w="0" w:type="dxa"/>
            <w:right w:w="0" w:type="dxa"/>
          </w:tblCellMar>
        </w:tblPrEx>
        <w:trPr>
          <w:trHeight w:val="390" w:hRule="atLeast"/>
        </w:trPr>
        <w:tc>
          <w:tcPr>
            <w:tcW w:w="0" w:type="auto"/>
            <w:vMerge w:val="restart"/>
            <w:tcBorders>
              <w:top w:val="outset" w:color="ECE9D8" w:sz="6"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8</w:t>
            </w:r>
          </w:p>
        </w:tc>
        <w:tc>
          <w:tcPr>
            <w:tcW w:w="1116" w:type="dxa"/>
            <w:vMerge w:val="restart"/>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left"/>
              <w:rPr>
                <w:rFonts w:ascii="宋体" w:hAnsi="宋体" w:cs="宋体"/>
                <w:kern w:val="0"/>
              </w:rPr>
            </w:pPr>
            <w:r>
              <w:rPr>
                <w:rFonts w:hint="eastAsia" w:ascii="仿宋_GB2312" w:hAnsi="宋体" w:eastAsia="仿宋_GB2312" w:cs="宋体"/>
                <w:kern w:val="0"/>
              </w:rPr>
              <w:t>    向人防工程内排入废水、废气或倾倒废弃物</w:t>
            </w:r>
          </w:p>
        </w:tc>
        <w:tc>
          <w:tcPr>
            <w:tcW w:w="2880" w:type="dxa"/>
            <w:vMerge w:val="restart"/>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（五）破坏人民防空通信警报设施，或占用人民防空专用频率以及使用与防空警报相同的音响信号；</w:t>
            </w:r>
          </w:p>
          <w:p>
            <w:pPr>
              <w:widowControl/>
              <w:spacing w:line="400" w:lineRule="exact"/>
              <w:ind w:firstLine="420"/>
              <w:jc w:val="left"/>
              <w:rPr>
                <w:rFonts w:hint="eastAsia" w:ascii="宋体" w:hAnsi="宋体" w:cs="宋体"/>
                <w:kern w:val="0"/>
              </w:rPr>
            </w:pPr>
            <w:r>
              <w:rPr>
                <w:rFonts w:hint="eastAsia" w:ascii="仿宋_GB2312" w:hAnsi="宋体" w:eastAsia="仿宋_GB2312" w:cs="宋体"/>
                <w:kern w:val="0"/>
              </w:rPr>
              <w:t>（六）其他危及人民防空工程及设施安全或降低人民防空工程使用防护能力的行为。</w:t>
            </w:r>
          </w:p>
          <w:p>
            <w:pPr>
              <w:widowControl/>
              <w:spacing w:line="400" w:lineRule="exact"/>
              <w:ind w:firstLine="420"/>
              <w:jc w:val="left"/>
              <w:rPr>
                <w:rFonts w:ascii="宋体" w:hAnsi="宋体" w:cs="宋体"/>
                <w:kern w:val="0"/>
              </w:rPr>
            </w:pPr>
            <w:r>
              <w:rPr>
                <w:rFonts w:hint="eastAsia" w:ascii="黑体" w:hAnsi="宋体" w:eastAsia="黑体" w:cs="宋体"/>
                <w:kern w:val="0"/>
              </w:rPr>
              <w:t>第36条，</w:t>
            </w:r>
            <w:r>
              <w:rPr>
                <w:rFonts w:hint="eastAsia" w:ascii="仿宋_GB2312" w:hAnsi="宋体" w:eastAsia="仿宋_GB2312" w:cs="宋体"/>
                <w:kern w:val="0"/>
              </w:rPr>
              <w:t>违反本实施办法第14条规定，审查通过不符合国家强制性标准或者未作防空地下室设计的建设项目施工图设计文件的，由人民防空主管部门提出建议，由建设行政主管部门依法处罚；给建设单位造成损失的，应承担相应的赔偿责任。</w:t>
            </w:r>
          </w:p>
        </w:tc>
        <w:tc>
          <w:tcPr>
            <w:tcW w:w="306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占用人民防空通信专用频率、使用与防空警报相同的音响信号或者擅自拆除人民防空通信、警报设施设备以及阻挠安装人民防空通信、警报设施，造成重大损失且情节恶劣。</w:t>
            </w:r>
          </w:p>
        </w:tc>
        <w:tc>
          <w:tcPr>
            <w:tcW w:w="324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责令限期改正，依法赔偿损失，对个人并处5千元、单位并处5万元的罚款。</w:t>
            </w:r>
          </w:p>
        </w:tc>
        <w:tc>
          <w:tcPr>
            <w:tcW w:w="342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由所在市（州）人防执法人员及相关部门提出处罚意见，经省人防主管部门审查后，报省人防办主任办公会议研究，作出行政处罚决定。</w:t>
            </w:r>
          </w:p>
        </w:tc>
        <w:tc>
          <w:tcPr>
            <w:tcW w:w="1080" w:type="dxa"/>
            <w:vMerge w:val="restart"/>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从作出行政处罚决定之日起，15日内将处罚决定书和必要的说明材料，抄报本级政府法制部门和上一级人民防空主管部门备案。</w:t>
            </w:r>
          </w:p>
        </w:tc>
      </w:tr>
      <w:tr>
        <w:tblPrEx>
          <w:tblCellMar>
            <w:top w:w="0" w:type="dxa"/>
            <w:left w:w="0" w:type="dxa"/>
            <w:bottom w:w="0" w:type="dxa"/>
            <w:right w:w="0" w:type="dxa"/>
          </w:tblCellMar>
        </w:tblPrEx>
        <w:trPr>
          <w:trHeight w:val="1262" w:hRule="atLeast"/>
        </w:trPr>
        <w:tc>
          <w:tcPr>
            <w:tcW w:w="0" w:type="auto"/>
            <w:vMerge w:val="continue"/>
            <w:tcBorders>
              <w:top w:val="outset" w:color="ECE9D8" w:sz="6" w:space="0"/>
              <w:left w:val="single" w:color="auto" w:sz="8"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306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向人民防空工程内排入废水、废气或者倾倒废弃物，造成较大损失且能及时改正的。</w:t>
            </w:r>
          </w:p>
        </w:tc>
        <w:tc>
          <w:tcPr>
            <w:tcW w:w="324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left"/>
              <w:rPr>
                <w:rFonts w:ascii="宋体" w:hAnsi="宋体" w:cs="宋体"/>
                <w:kern w:val="0"/>
              </w:rPr>
            </w:pPr>
            <w:r>
              <w:rPr>
                <w:rFonts w:hint="eastAsia" w:ascii="仿宋_GB2312" w:hAnsi="宋体" w:eastAsia="仿宋_GB2312" w:cs="宋体"/>
                <w:kern w:val="0"/>
              </w:rPr>
              <w:t>   责令限期改正，依法赔偿损失，给予警告，对个人并处200元以上1千元以下、单位并处500元以上1万元以下的罚款。</w:t>
            </w:r>
          </w:p>
        </w:tc>
        <w:tc>
          <w:tcPr>
            <w:tcW w:w="3420" w:type="dxa"/>
            <w:vMerge w:val="restart"/>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由所在县（市、区）人防执法人员及相关部门提出处罚意见，报所在县（市、区）人防办主管领导批准后，作出行政处罚决定，并报市（州）人防主管部门备案。</w:t>
            </w: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r>
      <w:tr>
        <w:tblPrEx>
          <w:tblCellMar>
            <w:top w:w="0" w:type="dxa"/>
            <w:left w:w="0" w:type="dxa"/>
            <w:bottom w:w="0" w:type="dxa"/>
            <w:right w:w="0" w:type="dxa"/>
          </w:tblCellMar>
        </w:tblPrEx>
        <w:trPr>
          <w:trHeight w:val="1339" w:hRule="atLeast"/>
        </w:trPr>
        <w:tc>
          <w:tcPr>
            <w:tcW w:w="0" w:type="auto"/>
            <w:vMerge w:val="continue"/>
            <w:tcBorders>
              <w:top w:val="outset" w:color="ECE9D8" w:sz="6" w:space="0"/>
              <w:left w:val="single" w:color="auto" w:sz="8"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306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向人民防空工程内排入废水、废气或者倾倒废弃物，造成较大损失且不及时改正的。</w:t>
            </w:r>
          </w:p>
        </w:tc>
        <w:tc>
          <w:tcPr>
            <w:tcW w:w="324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责令限期改正，依法赔偿损失，给予严重警告，对个人并处1千元以上3千元以下、单位并处1万元以上3万元以下的罚款。</w:t>
            </w: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r>
      <w:tr>
        <w:tblPrEx>
          <w:tblCellMar>
            <w:top w:w="0" w:type="dxa"/>
            <w:left w:w="0" w:type="dxa"/>
            <w:bottom w:w="0" w:type="dxa"/>
            <w:right w:w="0" w:type="dxa"/>
          </w:tblCellMar>
        </w:tblPrEx>
        <w:trPr>
          <w:trHeight w:val="1241" w:hRule="atLeast"/>
        </w:trPr>
        <w:tc>
          <w:tcPr>
            <w:tcW w:w="0" w:type="auto"/>
            <w:vMerge w:val="continue"/>
            <w:tcBorders>
              <w:top w:val="outset" w:color="ECE9D8" w:sz="6" w:space="0"/>
              <w:left w:val="single" w:color="auto" w:sz="8"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306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向人民防空工程内排入废水、废气或者倾倒废弃物，造成重大损失且不及时改正的。</w:t>
            </w:r>
          </w:p>
        </w:tc>
        <w:tc>
          <w:tcPr>
            <w:tcW w:w="324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left"/>
              <w:rPr>
                <w:rFonts w:ascii="宋体" w:hAnsi="宋体" w:cs="宋体"/>
                <w:kern w:val="0"/>
              </w:rPr>
            </w:pPr>
            <w:r>
              <w:rPr>
                <w:rFonts w:hint="eastAsia" w:ascii="仿宋_GB2312" w:hAnsi="宋体" w:eastAsia="仿宋_GB2312" w:cs="宋体"/>
                <w:kern w:val="0"/>
              </w:rPr>
              <w:t>    责令限期改正，依法赔偿损失，对个人并处3千元以上5千元以下、单位并处3万元以上5万元以下的罚款。</w:t>
            </w:r>
          </w:p>
        </w:tc>
        <w:tc>
          <w:tcPr>
            <w:tcW w:w="342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left"/>
              <w:rPr>
                <w:rFonts w:ascii="宋体" w:hAnsi="宋体" w:cs="宋体"/>
                <w:kern w:val="0"/>
              </w:rPr>
            </w:pPr>
            <w:r>
              <w:rPr>
                <w:rFonts w:hint="eastAsia" w:ascii="仿宋_GB2312" w:hAnsi="宋体" w:eastAsia="仿宋_GB2312" w:cs="宋体"/>
                <w:kern w:val="0"/>
              </w:rPr>
              <w:t>    由所在市（州）人防执法人员及相关部门提出处罚意见，报所在市（州）人防办主管领导批准后，作出行政处罚决定，并报省人防主管部门备案。</w:t>
            </w: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r>
      <w:tr>
        <w:tblPrEx>
          <w:tblCellMar>
            <w:top w:w="0" w:type="dxa"/>
            <w:left w:w="0" w:type="dxa"/>
            <w:bottom w:w="0" w:type="dxa"/>
            <w:right w:w="0" w:type="dxa"/>
          </w:tblCellMar>
        </w:tblPrEx>
        <w:trPr>
          <w:trHeight w:val="1853" w:hRule="atLeast"/>
        </w:trPr>
        <w:tc>
          <w:tcPr>
            <w:tcW w:w="0" w:type="auto"/>
            <w:vMerge w:val="continue"/>
            <w:tcBorders>
              <w:top w:val="outset" w:color="ECE9D8" w:sz="6" w:space="0"/>
              <w:left w:val="single" w:color="auto" w:sz="8"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306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向人民防空工程内排入废水、废气或者倾倒废弃物，造成特别重大损失且不及时改正的。</w:t>
            </w:r>
          </w:p>
        </w:tc>
        <w:tc>
          <w:tcPr>
            <w:tcW w:w="324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left"/>
              <w:rPr>
                <w:rFonts w:ascii="宋体" w:hAnsi="宋体" w:cs="宋体"/>
                <w:kern w:val="0"/>
              </w:rPr>
            </w:pPr>
            <w:r>
              <w:rPr>
                <w:rFonts w:hint="eastAsia" w:ascii="仿宋_GB2312" w:hAnsi="宋体" w:eastAsia="仿宋_GB2312" w:cs="宋体"/>
                <w:kern w:val="0"/>
              </w:rPr>
              <w:t>    责令限期改正，依法赔偿损失，对个人并处5千元、单位并处5万元的罚款。</w:t>
            </w:r>
          </w:p>
        </w:tc>
        <w:tc>
          <w:tcPr>
            <w:tcW w:w="342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由所在市（州）人防执法人员及相关部门提出处罚意见，经省人防主管部门审查后，报省人防办主任办公会议研究，作出行政处罚决定。</w:t>
            </w: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r>
    </w:tbl>
    <w:p>
      <w:pPr>
        <w:widowControl/>
        <w:shd w:val="clear" w:color="auto" w:fill="FFFFFF"/>
        <w:spacing w:line="400" w:lineRule="exact"/>
        <w:jc w:val="center"/>
        <w:rPr>
          <w:rFonts w:hint="eastAsia" w:ascii="黑体" w:hAnsi="宋体" w:eastAsia="黑体" w:cs="宋体"/>
          <w:kern w:val="0"/>
        </w:rPr>
      </w:pPr>
    </w:p>
    <w:p>
      <w:pPr>
        <w:widowControl/>
        <w:shd w:val="clear" w:color="auto" w:fill="FFFFFF"/>
        <w:spacing w:line="400" w:lineRule="exact"/>
        <w:jc w:val="center"/>
        <w:rPr>
          <w:rFonts w:hint="eastAsia" w:ascii="黑体" w:hAnsi="宋体" w:eastAsia="黑体" w:cs="宋体"/>
          <w:kern w:val="0"/>
        </w:rPr>
      </w:pPr>
    </w:p>
    <w:p>
      <w:pPr>
        <w:widowControl/>
        <w:shd w:val="clear" w:color="auto" w:fill="FFFFFF"/>
        <w:spacing w:line="400" w:lineRule="exact"/>
        <w:jc w:val="center"/>
        <w:rPr>
          <w:rFonts w:hint="eastAsia" w:ascii="黑体" w:hAnsi="宋体" w:eastAsia="黑体" w:cs="宋体"/>
          <w:kern w:val="0"/>
        </w:rPr>
      </w:pPr>
    </w:p>
    <w:p>
      <w:pPr>
        <w:widowControl/>
        <w:shd w:val="clear" w:color="auto" w:fill="FFFFFF"/>
        <w:spacing w:line="400" w:lineRule="exact"/>
        <w:rPr>
          <w:rFonts w:hint="eastAsia" w:ascii="黑体" w:hAnsi="宋体" w:eastAsia="黑体" w:cs="宋体"/>
          <w:kern w:val="0"/>
        </w:rPr>
      </w:pPr>
      <w:r>
        <w:rPr>
          <w:rFonts w:ascii="黑体" w:hAnsi="宋体" w:eastAsia="黑体" w:cs="宋体"/>
          <w:kern w:val="0"/>
        </w:rPr>
        <w:br w:type="page"/>
      </w:r>
    </w:p>
    <w:p>
      <w:pPr>
        <w:widowControl/>
        <w:shd w:val="clear" w:color="auto" w:fill="FFFFFF"/>
        <w:spacing w:line="400" w:lineRule="exact"/>
        <w:jc w:val="center"/>
        <w:rPr>
          <w:rFonts w:hint="eastAsia" w:ascii="宋体" w:hAnsi="宋体" w:cs="宋体"/>
          <w:kern w:val="0"/>
        </w:rPr>
      </w:pPr>
      <w:r>
        <w:rPr>
          <w:rFonts w:hint="eastAsia" w:ascii="黑体" w:hAnsi="宋体" w:eastAsia="黑体" w:cs="宋体"/>
          <w:kern w:val="0"/>
        </w:rPr>
        <w:t>四川省人民防空行政处罚自由裁量权实施标准（三）</w:t>
      </w:r>
    </w:p>
    <w:tbl>
      <w:tblPr>
        <w:tblStyle w:val="7"/>
        <w:tblW w:w="0" w:type="auto"/>
        <w:tblInd w:w="0" w:type="dxa"/>
        <w:tblLayout w:type="autofit"/>
        <w:tblCellMar>
          <w:top w:w="0" w:type="dxa"/>
          <w:left w:w="0" w:type="dxa"/>
          <w:bottom w:w="0" w:type="dxa"/>
          <w:right w:w="0" w:type="dxa"/>
        </w:tblCellMar>
      </w:tblPr>
      <w:tblGrid>
        <w:gridCol w:w="426"/>
        <w:gridCol w:w="725"/>
        <w:gridCol w:w="3341"/>
        <w:gridCol w:w="2541"/>
        <w:gridCol w:w="3134"/>
        <w:gridCol w:w="2974"/>
        <w:gridCol w:w="1077"/>
      </w:tblGrid>
      <w:tr>
        <w:tblPrEx>
          <w:tblCellMar>
            <w:top w:w="0" w:type="dxa"/>
            <w:left w:w="0" w:type="dxa"/>
            <w:bottom w:w="0" w:type="dxa"/>
            <w:right w:w="0" w:type="dxa"/>
          </w:tblCellMar>
        </w:tblPrEx>
        <w:trPr>
          <w:trHeight w:val="596" w:hRule="atLeast"/>
        </w:trPr>
        <w:tc>
          <w:tcPr>
            <w:tcW w:w="426" w:type="dxa"/>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序</w:t>
            </w:r>
          </w:p>
          <w:p>
            <w:pPr>
              <w:widowControl/>
              <w:spacing w:line="400" w:lineRule="exact"/>
              <w:jc w:val="center"/>
              <w:rPr>
                <w:rFonts w:ascii="宋体" w:hAnsi="宋体" w:cs="宋体"/>
                <w:kern w:val="0"/>
              </w:rPr>
            </w:pPr>
            <w:r>
              <w:rPr>
                <w:rFonts w:hint="eastAsia" w:ascii="黑体" w:hAnsi="宋体" w:eastAsia="黑体" w:cs="宋体"/>
                <w:kern w:val="0"/>
              </w:rPr>
              <w:t>号</w:t>
            </w:r>
          </w:p>
        </w:tc>
        <w:tc>
          <w:tcPr>
            <w:tcW w:w="762" w:type="dxa"/>
            <w:tcBorders>
              <w:top w:val="single" w:color="auto" w:sz="8"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违法</w:t>
            </w:r>
          </w:p>
          <w:p>
            <w:pPr>
              <w:widowControl/>
              <w:spacing w:line="400" w:lineRule="exact"/>
              <w:jc w:val="center"/>
              <w:rPr>
                <w:rFonts w:ascii="宋体" w:hAnsi="宋体" w:cs="宋体"/>
                <w:kern w:val="0"/>
              </w:rPr>
            </w:pPr>
            <w:r>
              <w:rPr>
                <w:rFonts w:hint="eastAsia" w:ascii="黑体" w:hAnsi="宋体" w:eastAsia="黑体" w:cs="宋体"/>
                <w:kern w:val="0"/>
              </w:rPr>
              <w:t>行为</w:t>
            </w:r>
          </w:p>
        </w:tc>
        <w:tc>
          <w:tcPr>
            <w:tcW w:w="3600" w:type="dxa"/>
            <w:tcBorders>
              <w:top w:val="single" w:color="auto" w:sz="8"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处罚依据</w:t>
            </w:r>
          </w:p>
        </w:tc>
        <w:tc>
          <w:tcPr>
            <w:tcW w:w="2700" w:type="dxa"/>
            <w:tcBorders>
              <w:top w:val="single" w:color="auto" w:sz="8"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适用条件</w:t>
            </w:r>
          </w:p>
          <w:p>
            <w:pPr>
              <w:widowControl/>
              <w:spacing w:line="400" w:lineRule="exact"/>
              <w:jc w:val="center"/>
              <w:rPr>
                <w:rFonts w:ascii="宋体" w:hAnsi="宋体" w:cs="宋体"/>
                <w:kern w:val="0"/>
              </w:rPr>
            </w:pPr>
            <w:r>
              <w:rPr>
                <w:rFonts w:hint="eastAsia" w:ascii="黑体" w:hAnsi="宋体" w:eastAsia="黑体" w:cs="宋体"/>
                <w:kern w:val="0"/>
              </w:rPr>
              <w:t>（处罚层级分类）</w:t>
            </w:r>
          </w:p>
        </w:tc>
        <w:tc>
          <w:tcPr>
            <w:tcW w:w="3420" w:type="dxa"/>
            <w:tcBorders>
              <w:top w:val="single" w:color="auto" w:sz="8"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裁量幅度</w:t>
            </w:r>
          </w:p>
        </w:tc>
        <w:tc>
          <w:tcPr>
            <w:tcW w:w="3240" w:type="dxa"/>
            <w:tcBorders>
              <w:top w:val="single" w:color="auto" w:sz="8"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行政处罚权限</w:t>
            </w:r>
          </w:p>
          <w:p>
            <w:pPr>
              <w:widowControl/>
              <w:spacing w:line="400" w:lineRule="exact"/>
              <w:jc w:val="center"/>
              <w:rPr>
                <w:rFonts w:ascii="宋体" w:hAnsi="宋体" w:cs="宋体"/>
                <w:kern w:val="0"/>
              </w:rPr>
            </w:pPr>
            <w:r>
              <w:rPr>
                <w:rFonts w:hint="eastAsia" w:ascii="黑体" w:hAnsi="宋体" w:eastAsia="黑体" w:cs="宋体"/>
                <w:kern w:val="0"/>
              </w:rPr>
              <w:t>（执法单位、程序）</w:t>
            </w:r>
          </w:p>
        </w:tc>
        <w:tc>
          <w:tcPr>
            <w:tcW w:w="1080" w:type="dxa"/>
            <w:tcBorders>
              <w:top w:val="single" w:color="auto" w:sz="8"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黑体" w:hAnsi="宋体" w:eastAsia="黑体" w:cs="宋体"/>
                <w:kern w:val="0"/>
              </w:rPr>
              <w:t>备  注</w:t>
            </w:r>
          </w:p>
        </w:tc>
      </w:tr>
      <w:tr>
        <w:tblPrEx>
          <w:tblCellMar>
            <w:top w:w="0" w:type="dxa"/>
            <w:left w:w="0" w:type="dxa"/>
            <w:bottom w:w="0" w:type="dxa"/>
            <w:right w:w="0" w:type="dxa"/>
          </w:tblCellMar>
        </w:tblPrEx>
        <w:trPr>
          <w:trHeight w:val="1080" w:hRule="atLeast"/>
        </w:trPr>
        <w:tc>
          <w:tcPr>
            <w:tcW w:w="426" w:type="dxa"/>
            <w:vMerge w:val="restart"/>
            <w:tcBorders>
              <w:top w:val="outset" w:color="ECE9D8" w:sz="6"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center"/>
              <w:rPr>
                <w:rFonts w:ascii="宋体" w:hAnsi="宋体" w:cs="宋体"/>
                <w:kern w:val="0"/>
              </w:rPr>
            </w:pPr>
            <w:r>
              <w:rPr>
                <w:rFonts w:hint="eastAsia" w:ascii="仿宋_GB2312" w:hAnsi="宋体" w:eastAsia="仿宋_GB2312" w:cs="宋体"/>
                <w:kern w:val="0"/>
              </w:rPr>
              <w:t>9</w:t>
            </w:r>
          </w:p>
        </w:tc>
        <w:tc>
          <w:tcPr>
            <w:tcW w:w="762" w:type="dxa"/>
            <w:vMerge w:val="restart"/>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left"/>
              <w:rPr>
                <w:rFonts w:ascii="宋体" w:hAnsi="宋体" w:cs="宋体"/>
                <w:kern w:val="0"/>
              </w:rPr>
            </w:pPr>
            <w:r>
              <w:rPr>
                <w:rFonts w:hint="eastAsia" w:ascii="仿宋_GB2312" w:hAnsi="宋体" w:eastAsia="仿宋_GB2312" w:cs="宋体"/>
                <w:kern w:val="0"/>
              </w:rPr>
              <w:t>拒不缴纳防空下室易地建设费</w:t>
            </w:r>
          </w:p>
        </w:tc>
        <w:tc>
          <w:tcPr>
            <w:tcW w:w="3600" w:type="dxa"/>
            <w:vMerge w:val="restart"/>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《四川省&lt;中华人民共和国人民防空法&gt;实施办法》</w:t>
            </w:r>
            <w:r>
              <w:rPr>
                <w:rFonts w:hint="eastAsia" w:ascii="黑体" w:hAnsi="宋体" w:eastAsia="黑体" w:cs="宋体"/>
                <w:kern w:val="0"/>
              </w:rPr>
              <w:t>第35条，</w:t>
            </w:r>
            <w:r>
              <w:rPr>
                <w:rFonts w:hint="eastAsia" w:ascii="仿宋_GB2312" w:hAnsi="宋体" w:eastAsia="仿宋_GB2312" w:cs="宋体"/>
                <w:kern w:val="0"/>
              </w:rPr>
              <w:t>城市新建民用建筑，违反国家有关规定不修建战时可用于防空的地下室的，依照《中华人民共和国人民防空法》第48条处罚。责令限期修建的，当事人应当在限期内依法修建。无法修建的，当事人应当按照本实施办法第15条的规定申请缴纳易地建设费。逾期不申请、不修建又不缴纳易地建设费的，由县级以上人民防空主管部门作出追缴易地建设费的决定。当事人拒不缴纳的，由人民防空主管部门申请人民法院强制执行。</w:t>
            </w:r>
          </w:p>
          <w:p>
            <w:pPr>
              <w:widowControl/>
              <w:spacing w:line="400" w:lineRule="exact"/>
              <w:jc w:val="left"/>
              <w:rPr>
                <w:rFonts w:ascii="宋体" w:hAnsi="宋体" w:cs="宋体"/>
                <w:kern w:val="0"/>
              </w:rPr>
            </w:pPr>
            <w:r>
              <w:rPr>
                <w:rFonts w:hint="eastAsia" w:ascii="仿宋_GB2312" w:hAnsi="宋体" w:eastAsia="仿宋_GB2312" w:cs="宋体"/>
                <w:kern w:val="0"/>
              </w:rPr>
              <w:t>    </w:t>
            </w:r>
            <w:r>
              <w:rPr>
                <w:rFonts w:hint="eastAsia" w:ascii="黑体" w:hAnsi="宋体" w:eastAsia="黑体" w:cs="宋体"/>
                <w:kern w:val="0"/>
              </w:rPr>
              <w:t>第37条，</w:t>
            </w:r>
            <w:r>
              <w:rPr>
                <w:rFonts w:hint="eastAsia" w:ascii="仿宋_GB2312" w:hAnsi="宋体" w:eastAsia="仿宋_GB2312" w:cs="宋体"/>
                <w:kern w:val="0"/>
              </w:rPr>
              <w:t>违反本实施办法第16条规定减免易地建设的，其批准文件无效，由省人民防空主管部门提出行政处分建议，由有关部门对直接责任人员依法给予行政处分。非法批准减免的易地建设费，由省人民防空主管部门作出缴纳易地建设费的决定，当事人应当缴纳；拒不缴纳的，由人民防空主管部门申请人民法院强制执行。</w:t>
            </w:r>
          </w:p>
        </w:tc>
        <w:tc>
          <w:tcPr>
            <w:tcW w:w="270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应当缴纳易地建设费1万元以下，未按规定缴纳的。</w:t>
            </w:r>
          </w:p>
        </w:tc>
        <w:tc>
          <w:tcPr>
            <w:tcW w:w="342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责令在限期内依法修建和缴纳易地建设费，给予警告，并处500元以上1万以下的罚款。</w:t>
            </w:r>
          </w:p>
        </w:tc>
        <w:tc>
          <w:tcPr>
            <w:tcW w:w="3240" w:type="dxa"/>
            <w:vMerge w:val="restart"/>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由所在县（市、区）人防执法人员及相关部门提出处罚意见，报所在县（市、区）人防办主管领导批准后，作出行政处罚决定，并报市（州）人防主管部门备案。</w:t>
            </w:r>
          </w:p>
        </w:tc>
        <w:tc>
          <w:tcPr>
            <w:tcW w:w="1080" w:type="dxa"/>
            <w:vMerge w:val="restart"/>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从作出行政处罚决定之日起，15日内将处罚决定书和必要的说明材料，抄报本级政府法制部门和上一级人民防空主管部门备案。</w:t>
            </w:r>
          </w:p>
        </w:tc>
      </w:tr>
      <w:tr>
        <w:tblPrEx>
          <w:tblCellMar>
            <w:top w:w="0" w:type="dxa"/>
            <w:left w:w="0" w:type="dxa"/>
            <w:bottom w:w="0" w:type="dxa"/>
            <w:right w:w="0" w:type="dxa"/>
          </w:tblCellMar>
        </w:tblPrEx>
        <w:trPr>
          <w:trHeight w:val="1205" w:hRule="atLeast"/>
        </w:trPr>
        <w:tc>
          <w:tcPr>
            <w:tcW w:w="0" w:type="auto"/>
            <w:vMerge w:val="continue"/>
            <w:tcBorders>
              <w:top w:val="outset" w:color="ECE9D8" w:sz="6" w:space="0"/>
              <w:left w:val="single" w:color="auto" w:sz="8"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270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应当缴纳易地建设费1～20万元，未按规定缴纳的。</w:t>
            </w:r>
          </w:p>
        </w:tc>
        <w:tc>
          <w:tcPr>
            <w:tcW w:w="342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责令在限期内依法修建和缴纳易地建设费，给予严重警告，并处1万元以上3万元以下的罚款。</w:t>
            </w: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r>
      <w:tr>
        <w:tblPrEx>
          <w:tblCellMar>
            <w:top w:w="0" w:type="dxa"/>
            <w:left w:w="0" w:type="dxa"/>
            <w:bottom w:w="0" w:type="dxa"/>
            <w:right w:w="0" w:type="dxa"/>
          </w:tblCellMar>
        </w:tblPrEx>
        <w:trPr>
          <w:trHeight w:val="1843" w:hRule="atLeast"/>
        </w:trPr>
        <w:tc>
          <w:tcPr>
            <w:tcW w:w="0" w:type="auto"/>
            <w:vMerge w:val="continue"/>
            <w:tcBorders>
              <w:top w:val="outset" w:color="ECE9D8" w:sz="6" w:space="0"/>
              <w:left w:val="single" w:color="auto" w:sz="8"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270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应当缴纳易地建设费20～40万元，未按规定缴纳的。</w:t>
            </w:r>
          </w:p>
        </w:tc>
        <w:tc>
          <w:tcPr>
            <w:tcW w:w="342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责令在限期内依法修建和缴纳易地建设费，并处3万元以上6万元以下的罚款（5万元以上的处罚案件，由市级人防办提出处罚意见，报省人防办审批，以下相同）。</w:t>
            </w:r>
          </w:p>
        </w:tc>
        <w:tc>
          <w:tcPr>
            <w:tcW w:w="324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由所在市（州）人防执法人员及相关部门提出处罚意见，报所在市（州）人防办主管领导批准后，作出行政处罚决定，并报省人防主管部门备案。</w:t>
            </w: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r>
      <w:tr>
        <w:tblPrEx>
          <w:tblCellMar>
            <w:top w:w="0" w:type="dxa"/>
            <w:left w:w="0" w:type="dxa"/>
            <w:bottom w:w="0" w:type="dxa"/>
            <w:right w:w="0" w:type="dxa"/>
          </w:tblCellMar>
        </w:tblPrEx>
        <w:trPr>
          <w:trHeight w:val="1233" w:hRule="atLeast"/>
        </w:trPr>
        <w:tc>
          <w:tcPr>
            <w:tcW w:w="0" w:type="auto"/>
            <w:vMerge w:val="continue"/>
            <w:tcBorders>
              <w:top w:val="outset" w:color="ECE9D8" w:sz="6" w:space="0"/>
              <w:left w:val="single" w:color="auto" w:sz="8"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270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left"/>
              <w:rPr>
                <w:rFonts w:ascii="宋体" w:hAnsi="宋体" w:cs="宋体"/>
                <w:kern w:val="0"/>
              </w:rPr>
            </w:pPr>
            <w:r>
              <w:rPr>
                <w:rFonts w:hint="eastAsia" w:ascii="仿宋_GB2312" w:hAnsi="宋体" w:eastAsia="仿宋_GB2312" w:cs="宋体"/>
                <w:kern w:val="0"/>
              </w:rPr>
              <w:t>    应当缴纳易地建设费40～60万元，未按规定缴纳的。</w:t>
            </w:r>
          </w:p>
        </w:tc>
        <w:tc>
          <w:tcPr>
            <w:tcW w:w="342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责令在限期内依法修建和缴纳易地建设费，并处6万元以上8万元以下的罚款。</w:t>
            </w:r>
          </w:p>
        </w:tc>
        <w:tc>
          <w:tcPr>
            <w:tcW w:w="3240" w:type="dxa"/>
            <w:vMerge w:val="restart"/>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由所在市（州）人防执法人员及相关部门提出处罚意见，经省人防主管部门审查后，报省人防办主任办公会议研究，作出行政处罚决定。</w:t>
            </w: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r>
      <w:tr>
        <w:tblPrEx>
          <w:tblCellMar>
            <w:top w:w="0" w:type="dxa"/>
            <w:left w:w="0" w:type="dxa"/>
            <w:bottom w:w="0" w:type="dxa"/>
            <w:right w:w="0" w:type="dxa"/>
          </w:tblCellMar>
        </w:tblPrEx>
        <w:trPr>
          <w:trHeight w:val="1525" w:hRule="atLeast"/>
        </w:trPr>
        <w:tc>
          <w:tcPr>
            <w:tcW w:w="0" w:type="auto"/>
            <w:vMerge w:val="continue"/>
            <w:tcBorders>
              <w:top w:val="outset" w:color="ECE9D8" w:sz="6" w:space="0"/>
              <w:left w:val="single" w:color="auto" w:sz="8"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270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left"/>
              <w:rPr>
                <w:rFonts w:ascii="宋体" w:hAnsi="宋体" w:cs="宋体"/>
                <w:kern w:val="0"/>
              </w:rPr>
            </w:pPr>
            <w:r>
              <w:rPr>
                <w:rFonts w:hint="eastAsia" w:ascii="仿宋_GB2312" w:hAnsi="宋体" w:eastAsia="仿宋_GB2312" w:cs="宋体"/>
                <w:kern w:val="0"/>
              </w:rPr>
              <w:t>    应当缴纳易地建设费60～80万元，未按规定缴纳的。</w:t>
            </w:r>
          </w:p>
        </w:tc>
        <w:tc>
          <w:tcPr>
            <w:tcW w:w="342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责令在限期内依法修建和缴纳易地建设费，并处8万元以上10万元以下的罚款。</w:t>
            </w: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r>
      <w:tr>
        <w:tblPrEx>
          <w:tblCellMar>
            <w:top w:w="0" w:type="dxa"/>
            <w:left w:w="0" w:type="dxa"/>
            <w:bottom w:w="0" w:type="dxa"/>
            <w:right w:w="0" w:type="dxa"/>
          </w:tblCellMar>
        </w:tblPrEx>
        <w:trPr>
          <w:trHeight w:val="1064" w:hRule="atLeast"/>
        </w:trPr>
        <w:tc>
          <w:tcPr>
            <w:tcW w:w="0" w:type="auto"/>
            <w:vMerge w:val="continue"/>
            <w:tcBorders>
              <w:top w:val="outset" w:color="ECE9D8" w:sz="6" w:space="0"/>
              <w:left w:val="single" w:color="auto" w:sz="8"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270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jc w:val="left"/>
              <w:rPr>
                <w:rFonts w:ascii="宋体" w:hAnsi="宋体" w:cs="宋体"/>
                <w:kern w:val="0"/>
              </w:rPr>
            </w:pPr>
            <w:r>
              <w:rPr>
                <w:rFonts w:hint="eastAsia" w:ascii="仿宋_GB2312" w:hAnsi="宋体" w:eastAsia="仿宋_GB2312" w:cs="宋体"/>
                <w:kern w:val="0"/>
              </w:rPr>
              <w:t>    应当缴纳易地建设费80万元以上，未按规定缴纳的。</w:t>
            </w:r>
          </w:p>
        </w:tc>
        <w:tc>
          <w:tcPr>
            <w:tcW w:w="3420" w:type="dxa"/>
            <w:tcBorders>
              <w:top w:val="outset" w:color="ECE9D8" w:sz="6" w:space="0"/>
              <w:left w:val="outset" w:color="ECE9D8" w:sz="6" w:space="0"/>
              <w:bottom w:val="single" w:color="auto" w:sz="8" w:space="0"/>
              <w:right w:val="single" w:color="auto" w:sz="8" w:space="0"/>
            </w:tcBorders>
            <w:shd w:val="clear" w:color="auto" w:fill="auto"/>
            <w:tcMar>
              <w:top w:w="0" w:type="dxa"/>
              <w:left w:w="108" w:type="dxa"/>
              <w:bottom w:w="0" w:type="dxa"/>
              <w:right w:w="108" w:type="dxa"/>
            </w:tcMar>
            <w:vAlign w:val="center"/>
          </w:tcPr>
          <w:p>
            <w:pPr>
              <w:widowControl/>
              <w:spacing w:line="400" w:lineRule="exact"/>
              <w:ind w:firstLine="420"/>
              <w:jc w:val="left"/>
              <w:rPr>
                <w:rFonts w:ascii="宋体" w:hAnsi="宋体" w:cs="宋体"/>
                <w:kern w:val="0"/>
              </w:rPr>
            </w:pPr>
            <w:r>
              <w:rPr>
                <w:rFonts w:hint="eastAsia" w:ascii="仿宋_GB2312" w:hAnsi="宋体" w:eastAsia="仿宋_GB2312" w:cs="宋体"/>
                <w:kern w:val="0"/>
              </w:rPr>
              <w:t>责令在限期内依法修建和缴纳易地建设费，并处10万元的罚款。</w:t>
            </w: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c>
          <w:tcPr>
            <w:tcW w:w="0" w:type="auto"/>
            <w:vMerge w:val="continue"/>
            <w:tcBorders>
              <w:top w:val="outset" w:color="ECE9D8" w:sz="6" w:space="0"/>
              <w:left w:val="outset" w:color="ECE9D8" w:sz="6" w:space="0"/>
              <w:bottom w:val="single" w:color="auto" w:sz="8" w:space="0"/>
              <w:right w:val="single" w:color="auto" w:sz="8" w:space="0"/>
            </w:tcBorders>
            <w:vAlign w:val="center"/>
          </w:tcPr>
          <w:p>
            <w:pPr>
              <w:widowControl/>
              <w:spacing w:line="400" w:lineRule="exact"/>
              <w:jc w:val="left"/>
              <w:rPr>
                <w:rFonts w:ascii="宋体" w:hAnsi="宋体" w:cs="宋体"/>
                <w:kern w:val="0"/>
              </w:rPr>
            </w:pPr>
          </w:p>
        </w:tc>
      </w:tr>
    </w:tbl>
    <w:p>
      <w:pPr>
        <w:widowControl/>
        <w:shd w:val="clear" w:color="auto" w:fill="FFFFFF"/>
        <w:spacing w:line="400" w:lineRule="exact"/>
        <w:jc w:val="left"/>
        <w:rPr>
          <w:rFonts w:ascii="宋体" w:hAnsi="宋体" w:cs="宋体"/>
          <w:kern w:val="0"/>
        </w:rPr>
      </w:pPr>
      <w:r>
        <w:rPr>
          <w:rFonts w:hint="eastAsia" w:ascii="宋体" w:hAnsi="宋体" w:cs="宋体"/>
          <w:kern w:val="0"/>
        </w:rPr>
        <w:t> </w:t>
      </w:r>
    </w:p>
    <w:p>
      <w:pPr>
        <w:ind w:firstLine="566" w:firstLineChars="177"/>
        <w:rPr>
          <w:rFonts w:ascii="黑体" w:hAnsi="黑体" w:eastAsia="黑体" w:cs="Times New Roman"/>
          <w:sz w:val="32"/>
          <w:szCs w:val="32"/>
        </w:rPr>
      </w:pPr>
      <w:r>
        <w:rPr>
          <w:rFonts w:ascii="黑体" w:hAnsi="黑体" w:eastAsia="黑体" w:cs="黑体"/>
          <w:sz w:val="32"/>
          <w:szCs w:val="32"/>
        </w:rPr>
        <w:br w:type="page"/>
      </w:r>
      <w:r>
        <w:rPr>
          <w:rFonts w:hint="eastAsia" w:ascii="黑体" w:hAnsi="黑体" w:eastAsia="黑体" w:cs="黑体"/>
          <w:sz w:val="32"/>
          <w:szCs w:val="32"/>
        </w:rPr>
        <w:t>七、剑阁县人民防空办公室随机抽查事项清单、市场主体库（检查对象名录库）、</w:t>
      </w:r>
      <w:r>
        <w:rPr>
          <w:rFonts w:ascii="黑体" w:hAnsi="黑体" w:eastAsia="黑体" w:cs="黑体"/>
          <w:sz w:val="32"/>
          <w:szCs w:val="32"/>
        </w:rPr>
        <w:t>2020</w:t>
      </w:r>
      <w:r>
        <w:rPr>
          <w:rFonts w:hint="eastAsia" w:ascii="黑体" w:hAnsi="黑体" w:eastAsia="黑体" w:cs="黑体"/>
          <w:sz w:val="32"/>
          <w:szCs w:val="32"/>
        </w:rPr>
        <w:t>年抽查计划</w:t>
      </w:r>
    </w:p>
    <w:p>
      <w:pPr>
        <w:ind w:firstLine="640" w:firstLineChars="200"/>
        <w:rPr>
          <w:rFonts w:ascii="黑体" w:hAnsi="黑体" w:eastAsia="黑体" w:cs="Times New Roman"/>
          <w:sz w:val="32"/>
          <w:szCs w:val="32"/>
        </w:rPr>
      </w:pPr>
      <w:r>
        <w:rPr>
          <w:rFonts w:ascii="黑体" w:hAnsi="黑体" w:eastAsia="黑体" w:cs="黑体"/>
          <w:sz w:val="32"/>
          <w:szCs w:val="32"/>
        </w:rPr>
        <w:t>1</w:t>
      </w:r>
      <w:r>
        <w:rPr>
          <w:rFonts w:hint="eastAsia" w:ascii="仿宋_GB2312" w:hAnsi="仿宋_GB2312" w:eastAsia="仿宋_GB2312" w:cs="仿宋_GB2312"/>
          <w:bCs/>
          <w:color w:val="333333"/>
          <w:sz w:val="32"/>
          <w:szCs w:val="32"/>
        </w:rPr>
        <w:t>、县人民防空办公室随机抽查检查事项清单</w:t>
      </w:r>
    </w:p>
    <w:tbl>
      <w:tblPr>
        <w:tblStyle w:val="7"/>
        <w:tblW w:w="13318" w:type="dxa"/>
        <w:tblInd w:w="5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9"/>
        <w:gridCol w:w="1618"/>
        <w:gridCol w:w="1422"/>
        <w:gridCol w:w="3645"/>
        <w:gridCol w:w="3866"/>
        <w:gridCol w:w="1793"/>
        <w:gridCol w:w="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trPr>
        <w:tc>
          <w:tcPr>
            <w:tcW w:w="529" w:type="dxa"/>
            <w:vAlign w:val="center"/>
          </w:tcPr>
          <w:p>
            <w:pPr>
              <w:spacing w:line="540" w:lineRule="exact"/>
              <w:ind w:right="72"/>
              <w:jc w:val="center"/>
              <w:rPr>
                <w:rFonts w:ascii="宋体" w:hAnsi="宋体"/>
              </w:rPr>
            </w:pPr>
            <w:r>
              <w:rPr>
                <w:rFonts w:hint="eastAsia" w:ascii="宋体" w:hAnsi="宋体" w:cs="黑体"/>
              </w:rPr>
              <w:t>序号</w:t>
            </w:r>
          </w:p>
        </w:tc>
        <w:tc>
          <w:tcPr>
            <w:tcW w:w="1618" w:type="dxa"/>
            <w:vAlign w:val="center"/>
          </w:tcPr>
          <w:p>
            <w:pPr>
              <w:tabs>
                <w:tab w:val="left" w:pos="1692"/>
              </w:tabs>
              <w:spacing w:line="540" w:lineRule="exact"/>
              <w:jc w:val="center"/>
              <w:rPr>
                <w:rFonts w:ascii="宋体" w:hAnsi="宋体"/>
              </w:rPr>
            </w:pPr>
            <w:r>
              <w:rPr>
                <w:rFonts w:hint="eastAsia" w:ascii="宋体" w:hAnsi="宋体" w:cs="黑体"/>
              </w:rPr>
              <w:t>抽查事项</w:t>
            </w:r>
          </w:p>
          <w:p>
            <w:pPr>
              <w:tabs>
                <w:tab w:val="left" w:pos="1692"/>
              </w:tabs>
              <w:spacing w:line="540" w:lineRule="exact"/>
              <w:jc w:val="center"/>
              <w:rPr>
                <w:rFonts w:ascii="宋体" w:hAnsi="宋体"/>
              </w:rPr>
            </w:pPr>
            <w:r>
              <w:rPr>
                <w:rFonts w:hint="eastAsia" w:ascii="宋体" w:hAnsi="宋体" w:cs="黑体"/>
              </w:rPr>
              <w:t>名</w:t>
            </w:r>
            <w:r>
              <w:rPr>
                <w:rFonts w:ascii="宋体" w:hAnsi="宋体" w:cs="黑体"/>
              </w:rPr>
              <w:t xml:space="preserve">    </w:t>
            </w:r>
            <w:r>
              <w:rPr>
                <w:rFonts w:hint="eastAsia" w:ascii="宋体" w:hAnsi="宋体" w:cs="黑体"/>
              </w:rPr>
              <w:t>称</w:t>
            </w:r>
          </w:p>
        </w:tc>
        <w:tc>
          <w:tcPr>
            <w:tcW w:w="1422" w:type="dxa"/>
            <w:vAlign w:val="center"/>
          </w:tcPr>
          <w:p>
            <w:pPr>
              <w:tabs>
                <w:tab w:val="left" w:pos="1351"/>
              </w:tabs>
              <w:spacing w:line="540" w:lineRule="exact"/>
              <w:ind w:right="188"/>
              <w:jc w:val="center"/>
              <w:rPr>
                <w:rFonts w:ascii="宋体" w:hAnsi="宋体"/>
              </w:rPr>
            </w:pPr>
            <w:r>
              <w:rPr>
                <w:rFonts w:hint="eastAsia" w:ascii="宋体" w:hAnsi="宋体" w:cs="黑体"/>
              </w:rPr>
              <w:t>检查主体</w:t>
            </w:r>
          </w:p>
        </w:tc>
        <w:tc>
          <w:tcPr>
            <w:tcW w:w="3645" w:type="dxa"/>
            <w:vAlign w:val="center"/>
          </w:tcPr>
          <w:p>
            <w:pPr>
              <w:spacing w:line="540" w:lineRule="exact"/>
              <w:ind w:right="143"/>
              <w:jc w:val="center"/>
              <w:rPr>
                <w:rFonts w:ascii="宋体" w:hAnsi="宋体"/>
              </w:rPr>
            </w:pPr>
            <w:r>
              <w:rPr>
                <w:rFonts w:hint="eastAsia" w:ascii="宋体" w:hAnsi="宋体" w:cs="黑体"/>
              </w:rPr>
              <w:t>检查依据</w:t>
            </w:r>
          </w:p>
        </w:tc>
        <w:tc>
          <w:tcPr>
            <w:tcW w:w="3866" w:type="dxa"/>
            <w:vAlign w:val="center"/>
          </w:tcPr>
          <w:p>
            <w:pPr>
              <w:spacing w:line="540" w:lineRule="exact"/>
              <w:ind w:right="98"/>
              <w:jc w:val="center"/>
              <w:rPr>
                <w:rFonts w:ascii="宋体" w:hAnsi="宋体"/>
              </w:rPr>
            </w:pPr>
            <w:r>
              <w:rPr>
                <w:rFonts w:hint="eastAsia" w:ascii="宋体" w:hAnsi="宋体" w:cs="黑体"/>
              </w:rPr>
              <w:t>检查对象</w:t>
            </w:r>
          </w:p>
        </w:tc>
        <w:tc>
          <w:tcPr>
            <w:tcW w:w="1793" w:type="dxa"/>
            <w:vAlign w:val="center"/>
          </w:tcPr>
          <w:p>
            <w:pPr>
              <w:spacing w:line="540" w:lineRule="exact"/>
              <w:ind w:right="-127"/>
              <w:jc w:val="center"/>
              <w:rPr>
                <w:rFonts w:ascii="宋体" w:hAnsi="宋体"/>
              </w:rPr>
            </w:pPr>
            <w:r>
              <w:rPr>
                <w:rFonts w:hint="eastAsia" w:ascii="宋体" w:hAnsi="宋体" w:cs="黑体"/>
              </w:rPr>
              <w:t>检查内容</w:t>
            </w:r>
          </w:p>
        </w:tc>
        <w:tc>
          <w:tcPr>
            <w:tcW w:w="445" w:type="dxa"/>
            <w:vAlign w:val="center"/>
          </w:tcPr>
          <w:p>
            <w:pPr>
              <w:spacing w:line="540" w:lineRule="exact"/>
              <w:ind w:right="-82"/>
              <w:jc w:val="center"/>
              <w:rPr>
                <w:rFonts w:ascii="宋体" w:hAnsi="宋体"/>
              </w:rPr>
            </w:pPr>
            <w:r>
              <w:rPr>
                <w:rFonts w:hint="eastAsia" w:ascii="宋体" w:hAnsi="宋体" w:cs="黑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9" w:hRule="atLeast"/>
        </w:trPr>
        <w:tc>
          <w:tcPr>
            <w:tcW w:w="529" w:type="dxa"/>
            <w:vAlign w:val="center"/>
          </w:tcPr>
          <w:p>
            <w:pPr>
              <w:spacing w:line="540" w:lineRule="exact"/>
              <w:ind w:right="320"/>
              <w:rPr>
                <w:rFonts w:ascii="宋体"/>
              </w:rPr>
            </w:pPr>
            <w:r>
              <w:rPr>
                <w:rFonts w:hint="eastAsia" w:ascii="宋体"/>
              </w:rPr>
              <w:t>1</w:t>
            </w:r>
          </w:p>
        </w:tc>
        <w:tc>
          <w:tcPr>
            <w:tcW w:w="1618" w:type="dxa"/>
            <w:vAlign w:val="center"/>
          </w:tcPr>
          <w:p>
            <w:pPr>
              <w:widowControl/>
              <w:spacing w:beforeAutospacing="1" w:afterAutospacing="1" w:line="540" w:lineRule="exact"/>
              <w:rPr>
                <w:rFonts w:ascii="宋体"/>
                <w:kern w:val="0"/>
              </w:rPr>
            </w:pPr>
            <w:r>
              <w:rPr>
                <w:rFonts w:hint="eastAsia" w:ascii="宋体"/>
                <w:kern w:val="0"/>
              </w:rPr>
              <w:t>对城市和经济目标的人民防空建设进行监督检查</w:t>
            </w:r>
          </w:p>
        </w:tc>
        <w:tc>
          <w:tcPr>
            <w:tcW w:w="1422" w:type="dxa"/>
            <w:vAlign w:val="center"/>
          </w:tcPr>
          <w:p>
            <w:pPr>
              <w:spacing w:line="540" w:lineRule="exact"/>
              <w:ind w:right="368"/>
              <w:rPr>
                <w:rFonts w:ascii="宋体"/>
              </w:rPr>
            </w:pPr>
            <w:r>
              <w:rPr>
                <w:rFonts w:hint="eastAsia" w:ascii="宋体"/>
              </w:rPr>
              <w:t>县人防办</w:t>
            </w:r>
          </w:p>
        </w:tc>
        <w:tc>
          <w:tcPr>
            <w:tcW w:w="3645" w:type="dxa"/>
            <w:vAlign w:val="center"/>
          </w:tcPr>
          <w:p>
            <w:pPr>
              <w:spacing w:line="540" w:lineRule="exact"/>
              <w:ind w:right="320"/>
              <w:rPr>
                <w:rFonts w:ascii="宋体"/>
              </w:rPr>
            </w:pPr>
            <w:r>
              <w:rPr>
                <w:rFonts w:hint="eastAsia" w:ascii="宋体"/>
              </w:rPr>
              <w:t>《中华人民共和国人民防空法》第17条、 《 四川省＜中华人民共和国人民防空法＞实施办法》第9条</w:t>
            </w:r>
          </w:p>
        </w:tc>
        <w:tc>
          <w:tcPr>
            <w:tcW w:w="3866" w:type="dxa"/>
            <w:vAlign w:val="center"/>
          </w:tcPr>
          <w:p>
            <w:pPr>
              <w:spacing w:line="540" w:lineRule="exact"/>
              <w:ind w:right="320"/>
              <w:rPr>
                <w:rFonts w:ascii="宋体"/>
              </w:rPr>
            </w:pPr>
            <w:r>
              <w:rPr>
                <w:rFonts w:hint="eastAsia" w:ascii="宋体"/>
              </w:rPr>
              <w:t>水电站、粮食储备库、广电、燃气、电力、通讯等单位</w:t>
            </w:r>
          </w:p>
        </w:tc>
        <w:tc>
          <w:tcPr>
            <w:tcW w:w="1793" w:type="dxa"/>
            <w:vAlign w:val="center"/>
          </w:tcPr>
          <w:p>
            <w:pPr>
              <w:spacing w:line="540" w:lineRule="exact"/>
              <w:ind w:right="320"/>
              <w:rPr>
                <w:rFonts w:ascii="宋体"/>
              </w:rPr>
            </w:pPr>
            <w:r>
              <w:rPr>
                <w:rFonts w:hint="eastAsia" w:ascii="宋体"/>
              </w:rPr>
              <w:t>民用建筑项目、经济目标的报批资料、建筑实体</w:t>
            </w:r>
          </w:p>
        </w:tc>
        <w:tc>
          <w:tcPr>
            <w:tcW w:w="445" w:type="dxa"/>
            <w:vAlign w:val="center"/>
          </w:tcPr>
          <w:p>
            <w:pPr>
              <w:spacing w:line="540" w:lineRule="exact"/>
              <w:ind w:right="320"/>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2" w:hRule="atLeast"/>
        </w:trPr>
        <w:tc>
          <w:tcPr>
            <w:tcW w:w="529" w:type="dxa"/>
            <w:vAlign w:val="center"/>
          </w:tcPr>
          <w:p>
            <w:pPr>
              <w:spacing w:line="540" w:lineRule="exact"/>
              <w:ind w:right="320"/>
              <w:rPr>
                <w:rFonts w:ascii="宋体"/>
              </w:rPr>
            </w:pPr>
            <w:r>
              <w:rPr>
                <w:rFonts w:hint="eastAsia" w:ascii="宋体"/>
              </w:rPr>
              <w:t>2</w:t>
            </w:r>
          </w:p>
        </w:tc>
        <w:tc>
          <w:tcPr>
            <w:tcW w:w="1618" w:type="dxa"/>
            <w:vAlign w:val="center"/>
          </w:tcPr>
          <w:p>
            <w:pPr>
              <w:widowControl/>
              <w:spacing w:beforeAutospacing="1" w:afterAutospacing="1" w:line="540" w:lineRule="exact"/>
              <w:rPr>
                <w:rFonts w:ascii="宋体"/>
                <w:kern w:val="0"/>
              </w:rPr>
            </w:pPr>
            <w:r>
              <w:rPr>
                <w:rFonts w:hint="eastAsia" w:ascii="宋体"/>
                <w:kern w:val="0"/>
              </w:rPr>
              <w:t>对人民防空工程维护管理进行监督检查</w:t>
            </w:r>
          </w:p>
        </w:tc>
        <w:tc>
          <w:tcPr>
            <w:tcW w:w="1422" w:type="dxa"/>
            <w:vAlign w:val="center"/>
          </w:tcPr>
          <w:p>
            <w:pPr>
              <w:spacing w:line="540" w:lineRule="exact"/>
              <w:ind w:right="368"/>
              <w:rPr>
                <w:rFonts w:ascii="宋体"/>
              </w:rPr>
            </w:pPr>
            <w:r>
              <w:rPr>
                <w:rFonts w:hint="eastAsia" w:ascii="宋体"/>
              </w:rPr>
              <w:t>县人防办</w:t>
            </w:r>
          </w:p>
        </w:tc>
        <w:tc>
          <w:tcPr>
            <w:tcW w:w="3645" w:type="dxa"/>
            <w:vAlign w:val="center"/>
          </w:tcPr>
          <w:p>
            <w:pPr>
              <w:spacing w:line="540" w:lineRule="exact"/>
              <w:ind w:right="320"/>
              <w:rPr>
                <w:rFonts w:ascii="宋体"/>
              </w:rPr>
            </w:pPr>
            <w:r>
              <w:rPr>
                <w:rFonts w:hint="eastAsia" w:ascii="宋体"/>
              </w:rPr>
              <w:t>《中华人民共和国人民防空法》第19条、第25条</w:t>
            </w:r>
          </w:p>
        </w:tc>
        <w:tc>
          <w:tcPr>
            <w:tcW w:w="3866" w:type="dxa"/>
            <w:vAlign w:val="center"/>
          </w:tcPr>
          <w:p>
            <w:pPr>
              <w:spacing w:line="540" w:lineRule="exact"/>
              <w:ind w:right="320"/>
              <w:rPr>
                <w:rFonts w:ascii="宋体"/>
              </w:rPr>
            </w:pPr>
            <w:r>
              <w:rPr>
                <w:rFonts w:hint="eastAsia" w:ascii="宋体"/>
              </w:rPr>
              <w:t>防护设备厂家资质审查、建筑主体隐蔽工程质量监督；公共、单位工程，疏散干道的维护管理使用的隶属和使用单位</w:t>
            </w:r>
          </w:p>
        </w:tc>
        <w:tc>
          <w:tcPr>
            <w:tcW w:w="1793" w:type="dxa"/>
            <w:vAlign w:val="center"/>
          </w:tcPr>
          <w:p>
            <w:pPr>
              <w:spacing w:line="540" w:lineRule="exact"/>
              <w:ind w:right="320"/>
              <w:rPr>
                <w:rFonts w:ascii="宋体"/>
              </w:rPr>
            </w:pPr>
            <w:r>
              <w:rPr>
                <w:rFonts w:hint="eastAsia" w:ascii="宋体"/>
              </w:rPr>
              <w:t>民用建筑项目报批资料、建筑实体</w:t>
            </w:r>
          </w:p>
        </w:tc>
        <w:tc>
          <w:tcPr>
            <w:tcW w:w="445" w:type="dxa"/>
            <w:vAlign w:val="center"/>
          </w:tcPr>
          <w:p>
            <w:pPr>
              <w:spacing w:line="540" w:lineRule="exact"/>
              <w:ind w:right="320"/>
              <w:rPr>
                <w:rFonts w:ascii="宋体"/>
              </w:rPr>
            </w:pPr>
          </w:p>
        </w:tc>
      </w:tr>
    </w:tbl>
    <w:p>
      <w:pPr>
        <w:ind w:firstLine="640" w:firstLineChars="200"/>
        <w:rPr>
          <w:rFonts w:ascii="仿宋_GB2312" w:hAnsi="仿宋_GB2312" w:eastAsia="仿宋_GB2312" w:cs="仿宋_GB2312"/>
          <w:bCs/>
          <w:color w:val="333333"/>
          <w:sz w:val="32"/>
          <w:szCs w:val="32"/>
        </w:rPr>
      </w:pPr>
      <w:r>
        <w:rPr>
          <w:rFonts w:ascii="仿宋_GB2312" w:hAnsi="仿宋_GB2312" w:eastAsia="仿宋_GB2312" w:cs="仿宋_GB2312"/>
          <w:bCs/>
          <w:color w:val="333333"/>
          <w:sz w:val="32"/>
          <w:szCs w:val="32"/>
        </w:rPr>
        <w:t>2</w:t>
      </w:r>
      <w:r>
        <w:rPr>
          <w:rFonts w:hint="eastAsia" w:ascii="仿宋_GB2312" w:hAnsi="仿宋_GB2312" w:eastAsia="仿宋_GB2312" w:cs="仿宋_GB2312"/>
          <w:bCs/>
          <w:color w:val="333333"/>
          <w:sz w:val="32"/>
          <w:szCs w:val="32"/>
        </w:rPr>
        <w:t>、剑阁县人民防空办公室随机抽查市场主体名录库</w:t>
      </w:r>
    </w:p>
    <w:p>
      <w:pPr>
        <w:ind w:firstLine="800" w:firstLineChars="250"/>
        <w:rPr>
          <w:rFonts w:ascii="仿宋_GB2312" w:hAnsi="仿宋_GB2312" w:eastAsia="仿宋_GB2312" w:cs="仿宋_GB2312"/>
          <w:bCs/>
          <w:color w:val="333333"/>
          <w:sz w:val="32"/>
          <w:szCs w:val="32"/>
        </w:rPr>
      </w:pPr>
      <w:r>
        <w:rPr>
          <w:rFonts w:hint="eastAsia" w:ascii="仿宋_GB2312" w:hAnsi="仿宋_GB2312" w:eastAsia="仿宋_GB2312" w:cs="仿宋_GB2312"/>
          <w:bCs/>
          <w:color w:val="333333"/>
          <w:sz w:val="32"/>
          <w:szCs w:val="32"/>
        </w:rPr>
        <w:t>检查对象目前无实体建筑，无法建立主体名录库。</w:t>
      </w:r>
    </w:p>
    <w:p>
      <w:pPr>
        <w:ind w:firstLine="640" w:firstLineChars="200"/>
        <w:rPr>
          <w:rFonts w:ascii="仿宋_GB2312" w:hAnsi="仿宋_GB2312" w:eastAsia="仿宋_GB2312" w:cs="仿宋_GB2312"/>
          <w:bCs/>
          <w:color w:val="333333"/>
          <w:sz w:val="32"/>
          <w:szCs w:val="32"/>
        </w:rPr>
      </w:pPr>
      <w:r>
        <w:rPr>
          <w:rFonts w:ascii="仿宋_GB2312" w:hAnsi="仿宋_GB2312" w:eastAsia="仿宋_GB2312" w:cs="仿宋_GB2312"/>
          <w:bCs/>
          <w:color w:val="333333"/>
          <w:sz w:val="32"/>
          <w:szCs w:val="32"/>
        </w:rPr>
        <w:t>3</w:t>
      </w:r>
      <w:r>
        <w:rPr>
          <w:rFonts w:hint="eastAsia" w:ascii="仿宋_GB2312" w:hAnsi="仿宋_GB2312" w:eastAsia="仿宋_GB2312" w:cs="仿宋_GB2312"/>
          <w:bCs/>
          <w:color w:val="333333"/>
          <w:sz w:val="32"/>
          <w:szCs w:val="32"/>
        </w:rPr>
        <w:t>、</w:t>
      </w:r>
      <w:r>
        <w:rPr>
          <w:rFonts w:ascii="仿宋_GB2312" w:hAnsi="仿宋_GB2312" w:eastAsia="仿宋_GB2312" w:cs="仿宋_GB2312"/>
          <w:bCs/>
          <w:color w:val="333333"/>
          <w:sz w:val="32"/>
          <w:szCs w:val="32"/>
        </w:rPr>
        <w:t>2020</w:t>
      </w:r>
      <w:r>
        <w:rPr>
          <w:rFonts w:hint="eastAsia" w:ascii="仿宋_GB2312" w:hAnsi="仿宋_GB2312" w:eastAsia="仿宋_GB2312" w:cs="仿宋_GB2312"/>
          <w:bCs/>
          <w:color w:val="333333"/>
          <w:sz w:val="32"/>
          <w:szCs w:val="32"/>
        </w:rPr>
        <w:t>年双随机抽查计划</w:t>
      </w:r>
    </w:p>
    <w:p>
      <w:pPr>
        <w:ind w:firstLine="800" w:firstLineChars="250"/>
        <w:rPr>
          <w:rFonts w:ascii="??_GB2312" w:hAnsi="宋体" w:cs="Times New Roman"/>
          <w:b/>
          <w:bCs/>
          <w:kern w:val="0"/>
          <w:sz w:val="32"/>
          <w:szCs w:val="32"/>
        </w:rPr>
        <w:sectPr>
          <w:pgSz w:w="16838" w:h="11906" w:orient="landscape"/>
          <w:pgMar w:top="1701" w:right="1418" w:bottom="1701" w:left="1418" w:header="851" w:footer="1418" w:gutter="0"/>
          <w:cols w:space="425" w:num="1"/>
          <w:docGrid w:type="linesAndChars" w:linePitch="312" w:charSpace="0"/>
        </w:sectPr>
      </w:pPr>
      <w:r>
        <w:rPr>
          <w:rFonts w:hint="eastAsia" w:ascii="仿宋_GB2312" w:hAnsi="仿宋_GB2312" w:eastAsia="仿宋_GB2312" w:cs="仿宋_GB2312"/>
          <w:bCs/>
          <w:color w:val="333333"/>
          <w:sz w:val="32"/>
          <w:szCs w:val="32"/>
        </w:rPr>
        <w:t>无实体建筑检查对象。</w:t>
      </w:r>
    </w:p>
    <w:p>
      <w:pPr>
        <w:autoSpaceDE w:val="0"/>
        <w:spacing w:line="576" w:lineRule="exact"/>
        <w:ind w:firstLine="643" w:firstLineChars="200"/>
        <w:rPr>
          <w:rFonts w:cs="Times New Roman"/>
          <w:b/>
          <w:bCs/>
          <w:sz w:val="24"/>
          <w:szCs w:val="24"/>
        </w:rPr>
      </w:pPr>
      <w:r>
        <w:rPr>
          <w:rFonts w:hint="eastAsia" w:ascii="??_GB2312" w:hAnsi="??_GB2312" w:cs="宋体"/>
          <w:b/>
          <w:bCs/>
          <w:sz w:val="32"/>
          <w:szCs w:val="32"/>
        </w:rPr>
        <w:t>八、剑阁县人民防空办公室行政执法文书样式、行政执法案卷评查制度</w:t>
      </w:r>
    </w:p>
    <w:p>
      <w:pPr>
        <w:pStyle w:val="2"/>
        <w:widowControl/>
        <w:spacing w:before="0" w:beforeAutospacing="0" w:after="150" w:afterAutospacing="0" w:line="576" w:lineRule="exact"/>
        <w:ind w:firstLine="700" w:firstLineChars="200"/>
        <w:rPr>
          <w:rFonts w:ascii="仿宋_GB2312" w:hAnsi="仿宋_GB2312" w:eastAsia="仿宋_GB2312" w:cs="仿宋_GB2312"/>
          <w:b w:val="0"/>
          <w:bCs w:val="0"/>
          <w:color w:val="464445"/>
          <w:sz w:val="32"/>
          <w:szCs w:val="32"/>
          <w:shd w:val="clear" w:color="auto" w:fill="FFFFFF"/>
        </w:rPr>
      </w:pPr>
      <w:r>
        <w:rPr>
          <w:rFonts w:hint="eastAsia" w:ascii="仿宋_GB2312" w:hAnsi="仿宋_GB2312" w:eastAsia="仿宋_GB2312" w:cs="仿宋_GB2312"/>
          <w:b w:val="0"/>
          <w:color w:val="404040"/>
          <w:spacing w:val="15"/>
          <w:sz w:val="32"/>
          <w:szCs w:val="32"/>
          <w:shd w:val="clear" w:color="auto" w:fill="FFFFFF"/>
        </w:rPr>
        <w:t>（一）司法部关于印发《司法行政机关行政许可文书格式文本》的通知</w:t>
      </w:r>
      <w:r>
        <w:rPr>
          <w:rFonts w:hint="eastAsia" w:ascii="仿宋_GB2312" w:hAnsi="仿宋_GB2312" w:eastAsia="仿宋_GB2312" w:cs="仿宋_GB2312"/>
          <w:b w:val="0"/>
          <w:color w:val="464445"/>
          <w:sz w:val="32"/>
          <w:szCs w:val="32"/>
          <w:shd w:val="clear" w:color="auto" w:fill="FFFFFF"/>
        </w:rPr>
        <w:t>(司发通[2004]167号)</w:t>
      </w:r>
    </w:p>
    <w:p>
      <w:pPr>
        <w:spacing w:line="576" w:lineRule="exact"/>
        <w:ind w:firstLine="640" w:firstLineChars="200"/>
        <w:rPr>
          <w:rFonts w:ascii="仿宋_GB2312" w:hAnsi="仿宋_GB2312" w:eastAsia="仿宋_GB2312" w:cs="仿宋_GB2312"/>
          <w:bCs/>
          <w:color w:val="000000"/>
          <w:sz w:val="32"/>
          <w:szCs w:val="32"/>
          <w:shd w:val="clear" w:color="auto" w:fill="FFFFFF"/>
        </w:rPr>
      </w:pPr>
      <w:r>
        <w:rPr>
          <w:rFonts w:hint="eastAsia" w:ascii="仿宋_GB2312" w:hAnsi="仿宋_GB2312" w:eastAsia="仿宋_GB2312" w:cs="仿宋_GB2312"/>
          <w:bCs/>
          <w:color w:val="333333"/>
          <w:sz w:val="32"/>
          <w:szCs w:val="32"/>
        </w:rPr>
        <w:t>（二）司法部关于印发</w:t>
      </w:r>
      <w:r>
        <w:rPr>
          <w:rFonts w:hint="eastAsia" w:ascii="仿宋_GB2312" w:hAnsi="仿宋_GB2312" w:eastAsia="仿宋_GB2312" w:cs="仿宋_GB2312"/>
          <w:bCs/>
          <w:color w:val="404040"/>
          <w:spacing w:val="15"/>
          <w:sz w:val="32"/>
          <w:szCs w:val="32"/>
          <w:shd w:val="clear" w:color="auto" w:fill="FFFFFF"/>
        </w:rPr>
        <w:t>《</w:t>
      </w:r>
      <w:r>
        <w:rPr>
          <w:rFonts w:hint="eastAsia" w:ascii="仿宋_GB2312" w:hAnsi="仿宋_GB2312" w:eastAsia="仿宋_GB2312" w:cs="仿宋_GB2312"/>
          <w:bCs/>
          <w:color w:val="333333"/>
          <w:sz w:val="32"/>
          <w:szCs w:val="32"/>
        </w:rPr>
        <w:t>司法行政机关行政执法文书格式的通知</w:t>
      </w:r>
      <w:r>
        <w:rPr>
          <w:rFonts w:hint="eastAsia" w:ascii="宋体" w:hAnsi="宋体" w:cs="宋体"/>
          <w:bCs/>
          <w:color w:val="000000"/>
          <w:sz w:val="32"/>
          <w:szCs w:val="32"/>
          <w:shd w:val="clear" w:color="auto" w:fill="FFFFFF"/>
        </w:rPr>
        <w:t> </w:t>
      </w:r>
      <w:r>
        <w:rPr>
          <w:rFonts w:hint="eastAsia" w:ascii="仿宋_GB2312" w:hAnsi="仿宋_GB2312" w:eastAsia="仿宋_GB2312" w:cs="仿宋_GB2312"/>
          <w:bCs/>
          <w:color w:val="404040"/>
          <w:spacing w:val="15"/>
          <w:sz w:val="32"/>
          <w:szCs w:val="32"/>
          <w:shd w:val="clear" w:color="auto" w:fill="FFFFFF"/>
        </w:rPr>
        <w:t>》</w:t>
      </w:r>
      <w:r>
        <w:rPr>
          <w:rFonts w:hint="eastAsia" w:ascii="仿宋_GB2312" w:hAnsi="仿宋_GB2312" w:eastAsia="仿宋_GB2312" w:cs="仿宋_GB2312"/>
          <w:bCs/>
          <w:color w:val="000000"/>
          <w:sz w:val="32"/>
          <w:szCs w:val="32"/>
          <w:shd w:val="clear" w:color="auto" w:fill="FFFFFF"/>
        </w:rPr>
        <w:t>（司发通［1997］085号)</w:t>
      </w:r>
    </w:p>
    <w:p>
      <w:pPr>
        <w:spacing w:line="576" w:lineRule="exact"/>
        <w:ind w:firstLine="640" w:firstLineChars="200"/>
        <w:rPr>
          <w:rFonts w:ascii="宋体" w:hAnsi="宋体" w:cs="宋体"/>
          <w:color w:val="464445"/>
          <w:shd w:val="clear" w:color="auto" w:fill="FFFFFF"/>
        </w:rPr>
      </w:pPr>
      <w:r>
        <w:rPr>
          <w:rFonts w:hint="eastAsia" w:ascii="仿宋_GB2312" w:hAnsi="仿宋_GB2312" w:eastAsia="仿宋_GB2312" w:cs="仿宋_GB2312"/>
          <w:sz w:val="32"/>
          <w:szCs w:val="32"/>
        </w:rPr>
        <w:t>（三）广元市司法局关于印发《广元市司法行政机关行政执法案卷评查办法》及相关配套规定的通知(广司发[2011]86号)</w:t>
      </w:r>
    </w:p>
    <w:p>
      <w:pPr>
        <w:autoSpaceDE w:val="0"/>
        <w:spacing w:line="576" w:lineRule="exact"/>
        <w:ind w:firstLine="707" w:firstLineChars="220"/>
        <w:rPr>
          <w:rFonts w:ascii="??_GB2312" w:hAnsi="??_GB2312" w:cs="??_GB2312"/>
          <w:b/>
          <w:bCs/>
          <w:sz w:val="32"/>
          <w:szCs w:val="32"/>
        </w:rPr>
      </w:pPr>
      <w:r>
        <w:rPr>
          <w:rFonts w:hint="eastAsia" w:ascii="??_GB2312" w:hAnsi="??_GB2312" w:cs="宋体"/>
          <w:b/>
          <w:bCs/>
          <w:sz w:val="32"/>
          <w:szCs w:val="32"/>
        </w:rPr>
        <w:t>九、县人民防空办公室上年度双随机抽查结果、行政许可和处罚决定、上年度本机关行政执法数据总体情况</w:t>
      </w:r>
    </w:p>
    <w:p>
      <w:pPr>
        <w:ind w:firstLine="735" w:firstLineChars="350"/>
        <w:rPr>
          <w:rFonts w:ascii="宋体" w:hAnsi="宋体" w:cs="??_GB2312"/>
          <w:sz w:val="32"/>
          <w:szCs w:val="32"/>
        </w:rPr>
      </w:pPr>
      <w:r>
        <w:fldChar w:fldCharType="begin"/>
      </w:r>
      <w:r>
        <w:instrText xml:space="preserve"> HYPERLINK "http://gysjgx.sczwfw.gov.cn/app/qixianShop/11100?areaId=1985&amp;areaCode=510823000000" </w:instrText>
      </w:r>
      <w:r>
        <w:fldChar w:fldCharType="separate"/>
      </w:r>
      <w:r>
        <w:rPr>
          <w:rStyle w:val="17"/>
          <w:rFonts w:ascii="宋体" w:hAnsi="宋体" w:cs="??_GB2312"/>
          <w:color w:val="auto"/>
          <w:sz w:val="32"/>
          <w:szCs w:val="32"/>
        </w:rPr>
        <w:t>http://gysjgx.sczwfw.gov.cn/app/qixianShop/11100?areaId=1985&amp;areaCode=510823000000</w:t>
      </w:r>
      <w:r>
        <w:rPr>
          <w:rStyle w:val="17"/>
          <w:rFonts w:ascii="宋体" w:hAnsi="宋体" w:cs="??_GB2312"/>
          <w:color w:val="auto"/>
          <w:sz w:val="32"/>
          <w:szCs w:val="32"/>
        </w:rPr>
        <w:fldChar w:fldCharType="end"/>
      </w:r>
    </w:p>
    <w:p>
      <w:pPr>
        <w:autoSpaceDE w:val="0"/>
        <w:spacing w:line="576" w:lineRule="exact"/>
        <w:ind w:left="709"/>
        <w:rPr>
          <w:rFonts w:ascii="??_GB2312" w:hAnsi="??_GB2312" w:cs="??_GB2312"/>
          <w:b/>
          <w:bCs/>
          <w:sz w:val="32"/>
          <w:szCs w:val="32"/>
        </w:rPr>
      </w:pPr>
      <w:r>
        <w:rPr>
          <w:rFonts w:hint="eastAsia" w:ascii="??_GB2312" w:hAnsi="??_GB2312" w:cs="宋体"/>
          <w:b/>
          <w:bCs/>
          <w:sz w:val="32"/>
          <w:szCs w:val="32"/>
        </w:rPr>
        <w:t>十、县人民防空办公室实行行政执法三项制度方案</w:t>
      </w:r>
    </w:p>
    <w:p>
      <w:pPr>
        <w:spacing w:line="576" w:lineRule="exact"/>
        <w:ind w:firstLine="640" w:firstLineChars="200"/>
        <w:rPr>
          <w:rFonts w:ascii="仿宋_GB2312" w:hAnsi="仿宋_GB2312" w:eastAsia="仿宋_GB2312" w:cs="仿宋_GB2312"/>
          <w:bCs/>
          <w:color w:val="333333"/>
          <w:sz w:val="32"/>
          <w:szCs w:val="32"/>
        </w:rPr>
      </w:pPr>
      <w:r>
        <w:rPr>
          <w:rFonts w:hint="eastAsia" w:ascii="仿宋_GB2312" w:hAnsi="仿宋_GB2312" w:eastAsia="仿宋_GB2312" w:cs="仿宋_GB2312"/>
          <w:bCs/>
          <w:color w:val="333333"/>
          <w:sz w:val="32"/>
          <w:szCs w:val="32"/>
        </w:rPr>
        <w:t>比照执行司法部关于印发《司法部全面推行行政执法公示制度执法全过程记录制度重大执法决定法制审核制度实施办法》的通知</w:t>
      </w:r>
    </w:p>
    <w:sectPr>
      <w:pgSz w:w="11906" w:h="16838"/>
      <w:pgMar w:top="2098" w:right="1474" w:bottom="1814" w:left="1588" w:header="851" w:footer="1588"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微软雅黑"/>
    <w:panose1 w:val="00000000000000000000"/>
    <w:charset w:val="86"/>
    <w:family w:val="auto"/>
    <w:pitch w:val="default"/>
    <w:sig w:usb0="00000000" w:usb1="00000000" w:usb2="00000010" w:usb3="00000000" w:csb0="00040000" w:csb1="00000000"/>
  </w:font>
  <w:font w:name="???????">
    <w:altName w:val="Times New Roman"/>
    <w:panose1 w:val="00000000000000000000"/>
    <w:charset w:val="00"/>
    <w:family w:val="auto"/>
    <w:pitch w:val="default"/>
    <w:sig w:usb0="00000000" w:usb1="00000000" w:usb2="00000000" w:usb3="00000000" w:csb0="00000001" w:csb1="00000000"/>
  </w:font>
  <w:font w:name="??_GB2312">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1"/>
        <w:rFonts w:cs="Times New Roman"/>
      </w:rPr>
    </w:pPr>
    <w:r>
      <w:rPr>
        <w:rStyle w:val="11"/>
      </w:rPr>
      <w:fldChar w:fldCharType="begin"/>
    </w:r>
    <w:r>
      <w:rPr>
        <w:rStyle w:val="11"/>
      </w:rPr>
      <w:instrText xml:space="preserve">PAGE  </w:instrText>
    </w:r>
    <w:r>
      <w:rPr>
        <w:rStyle w:val="11"/>
      </w:rPr>
      <w:fldChar w:fldCharType="separate"/>
    </w:r>
    <w:r>
      <w:rPr>
        <w:rStyle w:val="11"/>
      </w:rPr>
      <w:t>1</w:t>
    </w:r>
    <w:r>
      <w:rPr>
        <w:rStyle w:val="11"/>
      </w:rPr>
      <w:fldChar w:fldCharType="end"/>
    </w:r>
  </w:p>
  <w:p>
    <w:pPr>
      <w:pStyle w:val="4"/>
      <w:rPr>
        <w:rFonts w:cs="Times New Roma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oNotHyphenateCaps/>
  <w:drawingGridHorizontalSpacing w:val="105"/>
  <w:drawingGridVerticalSpacing w:val="156"/>
  <w:displayHorizontalDrawingGridEvery w:val="2"/>
  <w:displayVerticalDrawingGridEvery w:val="2"/>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578"/>
    <w:rsid w:val="0000748B"/>
    <w:rsid w:val="000876A9"/>
    <w:rsid w:val="000C20BA"/>
    <w:rsid w:val="000C5578"/>
    <w:rsid w:val="00155C44"/>
    <w:rsid w:val="001A0F37"/>
    <w:rsid w:val="001E6546"/>
    <w:rsid w:val="0024447D"/>
    <w:rsid w:val="00292C79"/>
    <w:rsid w:val="002A0235"/>
    <w:rsid w:val="003B1E94"/>
    <w:rsid w:val="003C4D35"/>
    <w:rsid w:val="0046145F"/>
    <w:rsid w:val="004E76B5"/>
    <w:rsid w:val="0053234A"/>
    <w:rsid w:val="005F7458"/>
    <w:rsid w:val="00670050"/>
    <w:rsid w:val="00672583"/>
    <w:rsid w:val="006850C6"/>
    <w:rsid w:val="00701931"/>
    <w:rsid w:val="00773316"/>
    <w:rsid w:val="00795042"/>
    <w:rsid w:val="00822E89"/>
    <w:rsid w:val="00871CF4"/>
    <w:rsid w:val="0087709B"/>
    <w:rsid w:val="00883892"/>
    <w:rsid w:val="008A10C7"/>
    <w:rsid w:val="008C60A4"/>
    <w:rsid w:val="00935BF9"/>
    <w:rsid w:val="00940E78"/>
    <w:rsid w:val="009A4077"/>
    <w:rsid w:val="009E3903"/>
    <w:rsid w:val="009E4AE4"/>
    <w:rsid w:val="009F12BF"/>
    <w:rsid w:val="00A82D88"/>
    <w:rsid w:val="00AC007B"/>
    <w:rsid w:val="00AE4DB6"/>
    <w:rsid w:val="00B25B70"/>
    <w:rsid w:val="00B91F5A"/>
    <w:rsid w:val="00C32413"/>
    <w:rsid w:val="00CC57BE"/>
    <w:rsid w:val="00CD4669"/>
    <w:rsid w:val="00DC7F81"/>
    <w:rsid w:val="00E0577E"/>
    <w:rsid w:val="00E554C5"/>
    <w:rsid w:val="00EB6BA9"/>
    <w:rsid w:val="00EC3FE9"/>
    <w:rsid w:val="0E393E75"/>
    <w:rsid w:val="15525B2A"/>
    <w:rsid w:val="16112EB8"/>
    <w:rsid w:val="2FAB79C0"/>
    <w:rsid w:val="31FB07E1"/>
    <w:rsid w:val="38925333"/>
    <w:rsid w:val="45885F05"/>
    <w:rsid w:val="548242F7"/>
    <w:rsid w:val="58EF599D"/>
    <w:rsid w:val="7BC8581E"/>
    <w:rsid w:val="7CD36DD1"/>
    <w:rsid w:val="7CED5A22"/>
    <w:rsid w:val="7F7A606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4"/>
    <w:qFormat/>
    <w:uiPriority w:val="99"/>
    <w:pPr>
      <w:spacing w:before="100" w:beforeAutospacing="1" w:after="100" w:afterAutospacing="1"/>
      <w:jc w:val="left"/>
      <w:outlineLvl w:val="0"/>
    </w:pPr>
    <w:rPr>
      <w:rFonts w:ascii="宋体" w:hAnsi="宋体" w:cs="宋体"/>
      <w:b/>
      <w:bCs/>
      <w:kern w:val="44"/>
      <w:sz w:val="48"/>
      <w:szCs w:val="48"/>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7"/>
    <w:qFormat/>
    <w:uiPriority w:val="0"/>
    <w:pPr>
      <w:ind w:left="100" w:leftChars="100" w:right="100" w:rightChars="100"/>
    </w:pPr>
    <w:rPr>
      <w:rFonts w:cs="Times New Roman"/>
      <w:szCs w:val="24"/>
    </w:rPr>
  </w:style>
  <w:style w:type="paragraph" w:styleId="4">
    <w:name w:val="footer"/>
    <w:basedOn w:val="1"/>
    <w:link w:val="23"/>
    <w:qFormat/>
    <w:uiPriority w:val="99"/>
    <w:pPr>
      <w:tabs>
        <w:tab w:val="center" w:pos="4153"/>
        <w:tab w:val="right" w:pos="8306"/>
      </w:tabs>
      <w:snapToGrid w:val="0"/>
      <w:jc w:val="left"/>
    </w:pPr>
    <w:rPr>
      <w:sz w:val="18"/>
      <w:szCs w:val="18"/>
    </w:rPr>
  </w:style>
  <w:style w:type="paragraph" w:styleId="5">
    <w:name w:val="header"/>
    <w:basedOn w:val="1"/>
    <w:link w:val="26"/>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next w:val="1"/>
    <w:link w:val="25"/>
    <w:qFormat/>
    <w:locked/>
    <w:uiPriority w:val="0"/>
    <w:pPr>
      <w:spacing w:before="240" w:after="60"/>
      <w:jc w:val="center"/>
      <w:outlineLvl w:val="0"/>
    </w:pPr>
    <w:rPr>
      <w:rFonts w:ascii="Cambria" w:hAnsi="Cambria" w:cs="Times New Roman"/>
      <w:b/>
      <w:bCs/>
      <w:sz w:val="32"/>
      <w:szCs w:val="32"/>
    </w:rPr>
  </w:style>
  <w:style w:type="table" w:styleId="8">
    <w:name w:val="Table Grid"/>
    <w:basedOn w:val="7"/>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0">
    <w:name w:val="Strong"/>
    <w:basedOn w:val="9"/>
    <w:qFormat/>
    <w:locked/>
    <w:uiPriority w:val="0"/>
    <w:rPr>
      <w:b/>
      <w:bCs/>
    </w:rPr>
  </w:style>
  <w:style w:type="character" w:styleId="11">
    <w:name w:val="page number"/>
    <w:basedOn w:val="9"/>
    <w:qFormat/>
    <w:uiPriority w:val="99"/>
  </w:style>
  <w:style w:type="character" w:styleId="12">
    <w:name w:val="FollowedHyperlink"/>
    <w:basedOn w:val="9"/>
    <w:semiHidden/>
    <w:unhideWhenUsed/>
    <w:qFormat/>
    <w:uiPriority w:val="99"/>
    <w:rPr>
      <w:color w:val="800080"/>
      <w:u w:val="single"/>
    </w:rPr>
  </w:style>
  <w:style w:type="character" w:styleId="13">
    <w:name w:val="Hyperlink"/>
    <w:basedOn w:val="9"/>
    <w:qFormat/>
    <w:uiPriority w:val="99"/>
    <w:rPr>
      <w:color w:val="0000FF"/>
      <w:u w:val="single"/>
    </w:rPr>
  </w:style>
  <w:style w:type="character" w:customStyle="1" w:styleId="14">
    <w:name w:val="标题 1 Char"/>
    <w:basedOn w:val="9"/>
    <w:link w:val="2"/>
    <w:qFormat/>
    <w:locked/>
    <w:uiPriority w:val="99"/>
    <w:rPr>
      <w:rFonts w:ascii="宋体" w:hAnsi="宋体" w:eastAsia="宋体" w:cs="宋体"/>
      <w:b/>
      <w:bCs/>
      <w:kern w:val="44"/>
      <w:sz w:val="48"/>
      <w:szCs w:val="48"/>
    </w:rPr>
  </w:style>
  <w:style w:type="paragraph" w:customStyle="1" w:styleId="15">
    <w:name w:val="_Style 19"/>
    <w:basedOn w:val="1"/>
    <w:next w:val="1"/>
    <w:qFormat/>
    <w:uiPriority w:val="99"/>
    <w:pPr>
      <w:pBdr>
        <w:top w:val="single" w:color="auto" w:sz="6" w:space="1"/>
      </w:pBdr>
      <w:jc w:val="center"/>
    </w:pPr>
    <w:rPr>
      <w:rFonts w:ascii="Arial" w:cs="Arial"/>
      <w:vanish/>
      <w:sz w:val="16"/>
      <w:szCs w:val="16"/>
    </w:rPr>
  </w:style>
  <w:style w:type="paragraph" w:customStyle="1" w:styleId="16">
    <w:name w:val="_Style 18"/>
    <w:basedOn w:val="1"/>
    <w:next w:val="1"/>
    <w:qFormat/>
    <w:uiPriority w:val="99"/>
    <w:pPr>
      <w:pBdr>
        <w:bottom w:val="single" w:color="auto" w:sz="6" w:space="1"/>
      </w:pBdr>
      <w:jc w:val="center"/>
    </w:pPr>
    <w:rPr>
      <w:rFonts w:ascii="Arial" w:cs="Arial"/>
      <w:vanish/>
      <w:sz w:val="16"/>
      <w:szCs w:val="16"/>
    </w:rPr>
  </w:style>
  <w:style w:type="character" w:customStyle="1" w:styleId="17">
    <w:name w:val="15"/>
    <w:basedOn w:val="9"/>
    <w:qFormat/>
    <w:uiPriority w:val="99"/>
    <w:rPr>
      <w:rFonts w:ascii="Calibri" w:hAnsi="Calibri" w:cs="Calibri"/>
      <w:color w:val="0000FF"/>
    </w:rPr>
  </w:style>
  <w:style w:type="character" w:customStyle="1" w:styleId="18">
    <w:name w:val="wenda-abstract-listnum"/>
    <w:basedOn w:val="9"/>
    <w:qFormat/>
    <w:uiPriority w:val="99"/>
  </w:style>
  <w:style w:type="character" w:customStyle="1" w:styleId="19">
    <w:name w:val="font81"/>
    <w:basedOn w:val="9"/>
    <w:qFormat/>
    <w:uiPriority w:val="99"/>
    <w:rPr>
      <w:rFonts w:ascii="宋体" w:hAnsi="宋体" w:eastAsia="宋体" w:cs="宋体"/>
      <w:color w:val="auto"/>
      <w:sz w:val="20"/>
      <w:szCs w:val="20"/>
      <w:u w:val="none"/>
    </w:rPr>
  </w:style>
  <w:style w:type="character" w:customStyle="1" w:styleId="20">
    <w:name w:val="font51"/>
    <w:basedOn w:val="9"/>
    <w:qFormat/>
    <w:uiPriority w:val="99"/>
    <w:rPr>
      <w:rFonts w:ascii="宋体" w:hAnsi="宋体" w:eastAsia="宋体" w:cs="宋体"/>
      <w:color w:val="000000"/>
      <w:sz w:val="20"/>
      <w:szCs w:val="20"/>
      <w:u w:val="none"/>
    </w:rPr>
  </w:style>
  <w:style w:type="character" w:customStyle="1" w:styleId="21">
    <w:name w:val="font41"/>
    <w:basedOn w:val="9"/>
    <w:qFormat/>
    <w:uiPriority w:val="99"/>
    <w:rPr>
      <w:rFonts w:ascii="宋体" w:hAnsi="宋体" w:eastAsia="宋体" w:cs="宋体"/>
      <w:color w:val="000000"/>
      <w:sz w:val="20"/>
      <w:szCs w:val="20"/>
      <w:u w:val="none"/>
    </w:rPr>
  </w:style>
  <w:style w:type="character" w:customStyle="1" w:styleId="22">
    <w:name w:val="font31"/>
    <w:basedOn w:val="9"/>
    <w:qFormat/>
    <w:uiPriority w:val="99"/>
    <w:rPr>
      <w:rFonts w:ascii="宋体" w:hAnsi="宋体" w:eastAsia="宋体" w:cs="宋体"/>
      <w:b/>
      <w:bCs/>
      <w:color w:val="000000"/>
      <w:sz w:val="20"/>
      <w:szCs w:val="20"/>
      <w:u w:val="none"/>
    </w:rPr>
  </w:style>
  <w:style w:type="character" w:customStyle="1" w:styleId="23">
    <w:name w:val="页脚 Char"/>
    <w:basedOn w:val="9"/>
    <w:link w:val="4"/>
    <w:semiHidden/>
    <w:qFormat/>
    <w:uiPriority w:val="99"/>
    <w:rPr>
      <w:rFonts w:cs="Calibri"/>
      <w:sz w:val="18"/>
      <w:szCs w:val="18"/>
    </w:rPr>
  </w:style>
  <w:style w:type="character" w:customStyle="1" w:styleId="24">
    <w:name w:val="ca-31"/>
    <w:basedOn w:val="9"/>
    <w:qFormat/>
    <w:uiPriority w:val="0"/>
    <w:rPr>
      <w:rFonts w:hint="eastAsia" w:ascii="宋体" w:hAnsi="宋体" w:eastAsia="宋体"/>
      <w:sz w:val="28"/>
    </w:rPr>
  </w:style>
  <w:style w:type="character" w:customStyle="1" w:styleId="25">
    <w:name w:val="标题 Char"/>
    <w:basedOn w:val="9"/>
    <w:link w:val="6"/>
    <w:qFormat/>
    <w:uiPriority w:val="0"/>
    <w:rPr>
      <w:rFonts w:ascii="Cambria" w:hAnsi="Cambria" w:cs="Times New Roman"/>
      <w:b/>
      <w:bCs/>
      <w:kern w:val="2"/>
      <w:sz w:val="32"/>
      <w:szCs w:val="32"/>
    </w:rPr>
  </w:style>
  <w:style w:type="character" w:customStyle="1" w:styleId="26">
    <w:name w:val="页眉 Char"/>
    <w:basedOn w:val="9"/>
    <w:link w:val="5"/>
    <w:semiHidden/>
    <w:qFormat/>
    <w:uiPriority w:val="99"/>
    <w:rPr>
      <w:rFonts w:ascii="Calibri" w:hAnsi="Calibri" w:cs="Calibri"/>
      <w:kern w:val="2"/>
      <w:sz w:val="18"/>
      <w:szCs w:val="18"/>
    </w:rPr>
  </w:style>
  <w:style w:type="character" w:customStyle="1" w:styleId="27">
    <w:name w:val="正文文本 Char"/>
    <w:basedOn w:val="9"/>
    <w:link w:val="3"/>
    <w:qFormat/>
    <w:uiPriority w:val="0"/>
    <w:rPr>
      <w:rFonts w:ascii="Calibri" w:hAnsi="Calibri" w:eastAsia="宋体" w:cs="Times New Roman"/>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22</Pages>
  <Words>1591</Words>
  <Characters>9070</Characters>
  <Lines>75</Lines>
  <Paragraphs>21</Paragraphs>
  <TotalTime>444</TotalTime>
  <ScaleCrop>false</ScaleCrop>
  <LinksUpToDate>false</LinksUpToDate>
  <CharactersWithSpaces>10640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2020-05-26T01:34:00Z</dcterms:created>
  <dc:creator>Sky123.Org</dc:creator>
  <cp:lastModifiedBy>沉淀</cp:lastModifiedBy>
  <cp:lastPrinted>2020-06-08T07:02:00Z</cp:lastPrinted>
  <dcterms:modified xsi:type="dcterms:W3CDTF">2020-06-17T01:15:59Z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