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r>
        <w:rPr>
          <w:rFonts w:hint="eastAsia" w:ascii="方正小标宋简体" w:hAnsi="???????" w:eastAsia="方正小标宋简体" w:cs="方正小标宋简体"/>
          <w:b w:val="0"/>
          <w:bCs/>
          <w:sz w:val="44"/>
          <w:szCs w:val="40"/>
        </w:rPr>
        <w:t>县</w:t>
      </w:r>
      <w:r>
        <w:rPr>
          <w:rFonts w:hint="eastAsia" w:ascii="方正小标宋简体" w:hAnsi="???????" w:eastAsia="方正小标宋简体" w:cs="方正小标宋简体"/>
          <w:b w:val="0"/>
          <w:bCs/>
          <w:sz w:val="44"/>
          <w:szCs w:val="40"/>
          <w:lang w:eastAsia="zh-CN"/>
        </w:rPr>
        <w:t>商务和经济合作</w:t>
      </w:r>
      <w:r>
        <w:rPr>
          <w:rFonts w:hint="eastAsia" w:ascii="方正小标宋简体" w:hAnsi="???????" w:eastAsia="方正小标宋简体" w:cs="方正小标宋简体"/>
          <w:b w:val="0"/>
          <w:bCs/>
          <w:sz w:val="44"/>
          <w:szCs w:val="40"/>
        </w:rPr>
        <w:t>局行政执法</w:t>
      </w:r>
      <w:bookmarkStart w:id="0" w:name="_GoBack"/>
      <w:bookmarkEnd w:id="0"/>
      <w:r>
        <w:rPr>
          <w:rFonts w:hint="eastAsia" w:ascii="方正小标宋简体" w:hAnsi="???????" w:eastAsia="方正小标宋简体" w:cs="方正小标宋简体"/>
          <w:b w:val="0"/>
          <w:bCs/>
          <w:sz w:val="44"/>
          <w:szCs w:val="40"/>
        </w:rPr>
        <w:t>集中内容公示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一、剑阁县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局行政执法主体</w:t>
      </w:r>
    </w:p>
    <w:p>
      <w:pPr>
        <w:pStyle w:val="17"/>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cs="Times New Roman"/>
        </w:rPr>
      </w:pPr>
      <w:r>
        <w:rPr>
          <w:rFonts w:hint="eastAsia" w:ascii="??_GB2312" w:hAnsi="??_GB2312" w:cs="宋体"/>
          <w:sz w:val="32"/>
          <w:szCs w:val="32"/>
        </w:rPr>
        <w:t>剑阁县经济信息化和科学技术局</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_GB2312" w:hAnsi="??_GB2312" w:eastAsia="仿宋_GB2312" w:cs="??_GB2312"/>
          <w:sz w:val="32"/>
          <w:szCs w:val="32"/>
        </w:rPr>
      </w:pPr>
      <w:r>
        <w:rPr>
          <w:rFonts w:hint="eastAsia" w:ascii="??_GB2312" w:hAnsi="??_GB2312" w:eastAsia="黑体" w:cs="宋体"/>
          <w:b/>
          <w:bCs/>
          <w:sz w:val="32"/>
          <w:szCs w:val="32"/>
        </w:rPr>
        <w:t>行政执法主体</w:t>
      </w:r>
      <w:r>
        <w:rPr>
          <w:rFonts w:ascii="??_GB2312" w:hAnsi="??_GB2312" w:eastAsia="黑体" w:cs="??_GB2312"/>
          <w:b/>
          <w:bCs/>
          <w:sz w:val="32"/>
          <w:szCs w:val="32"/>
        </w:rPr>
        <w:t>1</w:t>
      </w:r>
      <w:r>
        <w:rPr>
          <w:rFonts w:hint="eastAsia" w:ascii="??_GB2312" w:hAnsi="??_GB2312" w:eastAsia="黑体" w:cs="宋体"/>
          <w:b/>
          <w:bCs/>
          <w:sz w:val="32"/>
          <w:szCs w:val="32"/>
        </w:rPr>
        <w:t>个</w:t>
      </w:r>
      <w:r>
        <w:rPr>
          <w:rFonts w:hint="eastAsia" w:ascii="??_GB2312" w:hAnsi="??_GB2312" w:eastAsia="黑体" w:cs="宋体"/>
          <w:b/>
          <w:bCs/>
          <w:sz w:val="32"/>
          <w:szCs w:val="32"/>
          <w:lang w:eastAsia="zh-CN"/>
        </w:rPr>
        <w:t>：</w:t>
      </w:r>
      <w:r>
        <w:rPr>
          <w:rFonts w:hint="eastAsia" w:ascii="仿宋_GB2312" w:hAnsi="仿宋_GB2312" w:eastAsia="仿宋_GB2312" w:cs="宋体"/>
          <w:b w:val="0"/>
          <w:bCs/>
          <w:sz w:val="32"/>
          <w:szCs w:val="32"/>
          <w:lang w:eastAsia="zh-CN"/>
        </w:rPr>
        <w:t>剑阁县商务和经济合作局</w:t>
      </w:r>
      <w:r>
        <w:rPr>
          <w:rFonts w:ascii="??_GB2312" w:hAnsi="??_GB2312" w:eastAsia="仿宋_GB2312" w:cs="??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_GB2312" w:hAnsi="??_GB2312" w:eastAsia="仿宋_GB2312" w:cs="??_GB2312"/>
          <w:sz w:val="32"/>
          <w:szCs w:val="32"/>
          <w:lang w:val="en-US" w:eastAsia="zh-CN"/>
        </w:rPr>
      </w:pPr>
      <w:r>
        <w:rPr>
          <w:rFonts w:hint="eastAsia" w:ascii="??_GB2312" w:hAnsi="??_GB2312" w:eastAsia="仿宋_GB2312" w:cs="宋体"/>
          <w:sz w:val="32"/>
          <w:szCs w:val="32"/>
        </w:rPr>
        <w:t>地址</w:t>
      </w:r>
      <w:r>
        <w:rPr>
          <w:rFonts w:hint="eastAsia" w:ascii="??_GB2312" w:hAnsi="??_GB2312" w:eastAsia="仿宋_GB2312" w:cs="宋体"/>
          <w:sz w:val="32"/>
          <w:szCs w:val="32"/>
          <w:lang w:eastAsia="zh-CN"/>
        </w:rPr>
        <w:t>：</w:t>
      </w:r>
      <w:r>
        <w:rPr>
          <w:rFonts w:hint="eastAsia" w:ascii="??_GB2312" w:hAnsi="??_GB2312" w:eastAsia="仿宋_GB2312" w:cs="宋体"/>
          <w:sz w:val="32"/>
          <w:szCs w:val="32"/>
        </w:rPr>
        <w:t>四川省广元市剑阁县下寺镇</w:t>
      </w:r>
      <w:r>
        <w:rPr>
          <w:rFonts w:hint="eastAsia" w:ascii="??_GB2312" w:hAnsi="??_GB2312" w:eastAsia="仿宋_GB2312" w:cs="宋体"/>
          <w:sz w:val="32"/>
          <w:szCs w:val="32"/>
          <w:lang w:eastAsia="zh-CN"/>
        </w:rPr>
        <w:t>剑门大厦</w:t>
      </w:r>
      <w:r>
        <w:rPr>
          <w:rFonts w:hint="eastAsia" w:ascii="??_GB2312" w:hAnsi="??_GB2312" w:eastAsia="仿宋_GB2312" w:cs="宋体"/>
          <w:sz w:val="32"/>
          <w:szCs w:val="32"/>
          <w:lang w:val="en-US" w:eastAsia="zh-CN"/>
        </w:rPr>
        <w:t>17楼</w:t>
      </w:r>
      <w:r>
        <w:rPr>
          <w:rFonts w:ascii="??_GB2312" w:hAnsi="??_GB2312" w:eastAsia="仿宋_GB2312" w:cs="??_GB2312"/>
          <w:sz w:val="32"/>
          <w:szCs w:val="32"/>
        </w:rPr>
        <w:t xml:space="preserve">  </w:t>
      </w:r>
      <w:r>
        <w:rPr>
          <w:rFonts w:hint="eastAsia" w:ascii="??_GB2312" w:hAnsi="??_GB2312" w:eastAsia="仿宋_GB2312" w:cs="??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_GB2312" w:hAnsi="??_GB2312" w:eastAsia="仿宋_GB2312" w:cs="??_GB2312"/>
          <w:sz w:val="32"/>
          <w:szCs w:val="32"/>
        </w:rPr>
      </w:pPr>
      <w:r>
        <w:rPr>
          <w:rFonts w:hint="eastAsia" w:ascii="??_GB2312" w:hAnsi="??_GB2312" w:eastAsia="仿宋_GB2312" w:cs="宋体"/>
          <w:sz w:val="32"/>
          <w:szCs w:val="32"/>
        </w:rPr>
        <w:t>邮编</w:t>
      </w:r>
      <w:r>
        <w:rPr>
          <w:rFonts w:hint="eastAsia" w:ascii="??_GB2312" w:hAnsi="??_GB2312" w:eastAsia="仿宋_GB2312" w:cs="宋体"/>
          <w:sz w:val="32"/>
          <w:szCs w:val="32"/>
          <w:lang w:eastAsia="zh-CN"/>
        </w:rPr>
        <w:t>：</w:t>
      </w:r>
      <w:r>
        <w:rPr>
          <w:rFonts w:ascii="仿宋_GB2312" w:hAnsi="仿宋_GB2312" w:eastAsia="仿宋_GB2312" w:cs="??_GB2312"/>
          <w:sz w:val="32"/>
          <w:szCs w:val="32"/>
        </w:rPr>
        <w:t xml:space="preserve">628317 </w:t>
      </w:r>
      <w:r>
        <w:rPr>
          <w:rFonts w:ascii="??_GB2312" w:hAnsi="??_GB2312" w:eastAsia="仿宋_GB2312" w:cs="??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_GB2312" w:hAnsi="??_GB2312" w:eastAsia="仿宋_GB2312" w:cs="??_GB2312"/>
          <w:sz w:val="32"/>
          <w:szCs w:val="32"/>
        </w:rPr>
      </w:pPr>
      <w:r>
        <w:rPr>
          <w:rFonts w:hint="eastAsia" w:ascii="??_GB2312" w:hAnsi="??_GB2312" w:eastAsia="仿宋_GB2312" w:cs="宋体"/>
          <w:sz w:val="32"/>
          <w:szCs w:val="32"/>
        </w:rPr>
        <w:t>电话</w:t>
      </w:r>
      <w:r>
        <w:rPr>
          <w:rFonts w:hint="eastAsia" w:ascii="??_GB2312" w:hAnsi="??_GB2312" w:eastAsia="仿宋_GB2312" w:cs="宋体"/>
          <w:sz w:val="32"/>
          <w:szCs w:val="32"/>
          <w:lang w:eastAsia="zh-CN"/>
        </w:rPr>
        <w:t>：</w:t>
      </w:r>
      <w:r>
        <w:rPr>
          <w:rFonts w:ascii="仿宋_GB2312" w:hAnsi="仿宋_GB2312" w:eastAsia="仿宋_GB2312" w:cs="??_GB2312"/>
          <w:sz w:val="32"/>
          <w:szCs w:val="32"/>
        </w:rPr>
        <w:t>0839-660</w:t>
      </w:r>
      <w:r>
        <w:rPr>
          <w:rFonts w:hint="eastAsia" w:ascii="仿宋_GB2312" w:hAnsi="仿宋_GB2312" w:eastAsia="仿宋_GB2312" w:cs="??_GB2312"/>
          <w:sz w:val="32"/>
          <w:szCs w:val="32"/>
          <w:lang w:val="en-US" w:eastAsia="zh-CN"/>
        </w:rPr>
        <w:t>2966</w:t>
      </w:r>
      <w:r>
        <w:rPr>
          <w:rFonts w:ascii="仿宋_GB2312" w:hAnsi="仿宋_GB2312" w:eastAsia="仿宋_GB2312" w:cs="??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_GB2312" w:hAnsi="??_GB2312" w:cs="??_GB2312"/>
          <w:sz w:val="32"/>
          <w:szCs w:val="32"/>
        </w:rPr>
      </w:pPr>
      <w:r>
        <w:rPr>
          <w:rFonts w:hint="eastAsia" w:ascii="??_GB2312" w:hAnsi="??_GB2312" w:cs="宋体"/>
          <w:b/>
          <w:bCs/>
          <w:sz w:val="32"/>
          <w:szCs w:val="32"/>
        </w:rPr>
        <w:t>行政执法机构设置</w:t>
      </w:r>
      <w:r>
        <w:rPr>
          <w:rFonts w:hint="eastAsia" w:ascii="??_GB2312" w:hAnsi="??_GB2312" w:cs="宋体"/>
          <w:b/>
          <w:bCs/>
          <w:sz w:val="32"/>
          <w:szCs w:val="32"/>
          <w:lang w:val="en-US" w:eastAsia="zh-CN"/>
        </w:rPr>
        <w:t xml:space="preserve"> </w:t>
      </w:r>
      <w:r>
        <w:rPr>
          <w:rFonts w:hint="eastAsia" w:ascii="??_GB2312" w:hAnsi="??_GB2312" w:eastAsia="仿宋_GB2312" w:cs="宋体"/>
          <w:b w:val="0"/>
          <w:bCs/>
          <w:sz w:val="32"/>
          <w:szCs w:val="32"/>
          <w:lang w:val="en-US" w:eastAsia="zh-CN"/>
        </w:rPr>
        <w:t>1</w:t>
      </w:r>
      <w:r>
        <w:rPr>
          <w:rFonts w:hint="eastAsia" w:ascii="??_GB2312" w:hAnsi="??_GB2312" w:cs="宋体"/>
          <w:b/>
          <w:bCs/>
          <w:sz w:val="32"/>
          <w:szCs w:val="32"/>
        </w:rPr>
        <w:t>个</w:t>
      </w:r>
      <w:r>
        <w:rPr>
          <w:rFonts w:hint="eastAsia" w:ascii="??_GB2312" w:hAnsi="??_GB2312" w:cs="宋体"/>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_GB2312" w:hAnsi="??_GB2312" w:eastAsia="仿宋_GB2312" w:cs="??_GB2312"/>
          <w:sz w:val="32"/>
          <w:szCs w:val="32"/>
          <w:lang w:eastAsia="zh-CN"/>
        </w:rPr>
      </w:pPr>
      <w:r>
        <w:rPr>
          <w:rFonts w:hint="eastAsia" w:ascii="??_GB2312" w:hAnsi="??_GB2312" w:eastAsia="仿宋_GB2312" w:cs="宋体"/>
          <w:sz w:val="32"/>
          <w:szCs w:val="32"/>
        </w:rPr>
        <w:t>行政执法股室：</w:t>
      </w:r>
      <w:r>
        <w:rPr>
          <w:rFonts w:hint="eastAsia" w:ascii="??_GB2312" w:hAnsi="??_GB2312" w:eastAsia="仿宋_GB2312" w:cs="宋体"/>
          <w:sz w:val="32"/>
          <w:szCs w:val="32"/>
          <w:lang w:eastAsia="zh-CN"/>
        </w:rPr>
        <w:t>市场秩序股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Arial" w:hAnsi="Arial" w:eastAsia="仿宋_GB2312" w:cs="Arial"/>
          <w:kern w:val="0"/>
          <w:sz w:val="32"/>
          <w:szCs w:val="28"/>
        </w:rPr>
      </w:pPr>
      <w:r>
        <w:rPr>
          <w:rFonts w:hint="eastAsia" w:ascii="Arial" w:hAnsi="Arial" w:eastAsia="仿宋_GB2312" w:cs="宋体"/>
          <w:kern w:val="0"/>
          <w:sz w:val="32"/>
          <w:szCs w:val="28"/>
        </w:rPr>
        <w:t>主要职责：</w:t>
      </w:r>
      <w:r>
        <w:rPr>
          <w:rFonts w:ascii="宋体" w:hAnsi="宋体" w:eastAsia="仿宋_GB2312" w:cs="宋体"/>
          <w:sz w:val="32"/>
          <w:szCs w:val="24"/>
        </w:rPr>
        <w:t>组织实施法制宣传，负责本系统依法</w:t>
      </w:r>
      <w:r>
        <w:rPr>
          <w:rFonts w:hint="eastAsia" w:ascii="宋体" w:hAnsi="宋体" w:eastAsia="仿宋_GB2312" w:cs="宋体"/>
          <w:sz w:val="32"/>
          <w:szCs w:val="24"/>
          <w:lang w:eastAsia="zh-CN"/>
        </w:rPr>
        <w:t>行</w:t>
      </w:r>
      <w:r>
        <w:rPr>
          <w:rFonts w:ascii="宋体" w:hAnsi="宋体" w:eastAsia="仿宋_GB2312" w:cs="宋体"/>
          <w:sz w:val="32"/>
          <w:szCs w:val="24"/>
        </w:rPr>
        <w:t>政</w:t>
      </w:r>
      <w:r>
        <w:rPr>
          <w:rFonts w:hint="eastAsia" w:ascii="宋体" w:hAnsi="宋体" w:eastAsia="仿宋_GB2312" w:cs="宋体"/>
          <w:sz w:val="32"/>
          <w:szCs w:val="24"/>
          <w:lang w:eastAsia="zh-CN"/>
        </w:rPr>
        <w:t>；承</w:t>
      </w:r>
      <w:r>
        <w:rPr>
          <w:rFonts w:ascii="宋体" w:hAnsi="宋体" w:eastAsia="仿宋_GB2312" w:cs="宋体"/>
          <w:sz w:val="32"/>
          <w:szCs w:val="24"/>
        </w:rPr>
        <w:t>办本部门行政诉讼、行政复议、组织听证及行政赔偿等事务</w:t>
      </w:r>
      <w:r>
        <w:rPr>
          <w:rFonts w:hint="eastAsia" w:ascii="宋体" w:hAnsi="宋体" w:eastAsia="仿宋_GB2312" w:cs="宋体"/>
          <w:sz w:val="32"/>
          <w:szCs w:val="24"/>
          <w:lang w:eastAsia="zh-CN"/>
        </w:rPr>
        <w:t>；</w:t>
      </w:r>
      <w:r>
        <w:rPr>
          <w:rFonts w:ascii="宋体" w:hAnsi="宋体" w:eastAsia="仿宋_GB2312" w:cs="宋体"/>
          <w:sz w:val="32"/>
          <w:szCs w:val="24"/>
        </w:rPr>
        <w:t>承担全县反倾销、反补贴、保障措施和技术性贸易壁垒等涉及进出口公平贸易的相关工作，依法实施对外贸易调查和产业损害调查，建立进出口公平贸易和产业损害预警机制，承担产业安全应对工作</w:t>
      </w:r>
      <w:r>
        <w:rPr>
          <w:rFonts w:hint="eastAsia" w:ascii="宋体" w:hAnsi="宋体" w:eastAsia="仿宋_GB2312" w:cs="宋体"/>
          <w:sz w:val="32"/>
          <w:szCs w:val="24"/>
          <w:lang w:eastAsia="zh-CN"/>
        </w:rPr>
        <w:t>；牵</w:t>
      </w:r>
      <w:r>
        <w:rPr>
          <w:rFonts w:ascii="宋体" w:hAnsi="宋体" w:eastAsia="仿宋_GB2312" w:cs="宋体"/>
          <w:sz w:val="32"/>
          <w:szCs w:val="24"/>
        </w:rPr>
        <w:t>头协调整顿和规范市场经济秩序相关工作，拟订规范市场运行和流通秩序的政策措施</w:t>
      </w:r>
      <w:r>
        <w:rPr>
          <w:rFonts w:hint="eastAsia" w:ascii="宋体" w:hAnsi="宋体" w:eastAsia="仿宋_GB2312" w:cs="宋体"/>
          <w:sz w:val="32"/>
          <w:szCs w:val="24"/>
          <w:lang w:eastAsia="zh-CN"/>
        </w:rPr>
        <w:t>；</w:t>
      </w:r>
      <w:r>
        <w:rPr>
          <w:rFonts w:ascii="宋体" w:hAnsi="宋体" w:eastAsia="仿宋_GB2312" w:cs="宋体"/>
          <w:sz w:val="32"/>
          <w:szCs w:val="24"/>
        </w:rPr>
        <w:t>履行市场综合治理和监管职责，完善市场秩序举报投诉服务网络建设，受理商务领域违法违规、扰乱市场秩序案件(线索)的举报投诉</w:t>
      </w:r>
      <w:r>
        <w:rPr>
          <w:rFonts w:hint="eastAsia" w:ascii="宋体" w:hAnsi="宋体" w:eastAsia="仿宋_GB2312" w:cs="宋体"/>
          <w:sz w:val="32"/>
          <w:szCs w:val="24"/>
          <w:lang w:eastAsia="zh-CN"/>
        </w:rPr>
        <w:t>；</w:t>
      </w:r>
      <w:r>
        <w:rPr>
          <w:rFonts w:ascii="宋体" w:hAnsi="宋体" w:eastAsia="仿宋_GB2312" w:cs="宋体"/>
          <w:sz w:val="32"/>
          <w:szCs w:val="24"/>
        </w:rPr>
        <w:t>指导商业信用销售，建立市场诚信公共服务平台</w:t>
      </w:r>
      <w:r>
        <w:rPr>
          <w:rFonts w:hint="eastAsia" w:ascii="宋体" w:hAnsi="宋体" w:eastAsia="仿宋_GB2312" w:cs="宋体"/>
          <w:sz w:val="32"/>
          <w:szCs w:val="24"/>
          <w:lang w:eastAsia="zh-CN"/>
        </w:rPr>
        <w:t>；</w:t>
      </w:r>
      <w:r>
        <w:rPr>
          <w:rFonts w:ascii="宋体" w:hAnsi="宋体" w:eastAsia="仿宋_GB2312" w:cs="宋体"/>
          <w:sz w:val="32"/>
          <w:szCs w:val="24"/>
        </w:rPr>
        <w:t>参与打击侵犯知识产权、商业欺诈等工作。承办有关行政审批事项。负责商贸服务行业中限额以上经营单位安全生产的</w:t>
      </w:r>
      <w:r>
        <w:rPr>
          <w:rFonts w:hint="eastAsia" w:ascii="宋体" w:hAnsi="宋体" w:eastAsia="仿宋_GB2312" w:cs="宋体"/>
          <w:sz w:val="32"/>
          <w:szCs w:val="24"/>
          <w:lang w:eastAsia="zh-CN"/>
        </w:rPr>
        <w:t>指导</w:t>
      </w:r>
      <w:r>
        <w:rPr>
          <w:rFonts w:ascii="宋体" w:hAnsi="宋体" w:eastAsia="仿宋_GB2312" w:cs="宋体"/>
          <w:sz w:val="32"/>
          <w:szCs w:val="24"/>
        </w:rPr>
        <w:t>工作，协助相关部门加强特殊行业安全生产监管</w:t>
      </w:r>
      <w:r>
        <w:rPr>
          <w:rFonts w:hint="eastAsia" w:ascii="宋体" w:hAnsi="宋体" w:eastAsia="仿宋_GB2312" w:cs="宋体"/>
          <w:sz w:val="32"/>
          <w:szCs w:val="24"/>
          <w:lang w:eastAsia="zh-CN"/>
        </w:rPr>
        <w:t>。</w:t>
      </w:r>
      <w:r>
        <w:rPr>
          <w:rFonts w:ascii="宋体" w:hAnsi="宋体" w:eastAsia="仿宋_GB2312" w:cs="宋体"/>
          <w:sz w:val="32"/>
          <w:szCs w:val="24"/>
        </w:rPr>
        <w:t>监督管理本行业领域的安全生产、环境保护工作。</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480" w:firstLineChars="150"/>
        <w:textAlignment w:val="auto"/>
        <w:rPr>
          <w:rFonts w:hint="eastAsia" w:ascii="黑体" w:hAnsi="黑体" w:eastAsia="黑体" w:cs="黑体"/>
          <w:sz w:val="32"/>
          <w:szCs w:val="32"/>
        </w:rPr>
      </w:pPr>
      <w:r>
        <w:rPr>
          <w:rFonts w:hint="eastAsia" w:ascii="黑体" w:hAnsi="黑体" w:eastAsia="黑体" w:cs="黑体"/>
          <w:sz w:val="32"/>
          <w:szCs w:val="32"/>
        </w:rPr>
        <w:t>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w:t>
      </w:r>
      <w:r>
        <w:rPr>
          <w:rFonts w:hint="eastAsia" w:ascii="黑体" w:hAnsi="黑体" w:eastAsia="黑体" w:cs="黑体"/>
          <w:sz w:val="32"/>
          <w:szCs w:val="32"/>
          <w:lang w:eastAsia="zh-CN"/>
        </w:rPr>
        <w:t>行</w:t>
      </w:r>
      <w:r>
        <w:rPr>
          <w:rFonts w:hint="eastAsia" w:ascii="黑体" w:hAnsi="黑体" w:eastAsia="黑体" w:cs="黑体"/>
          <w:sz w:val="32"/>
          <w:szCs w:val="32"/>
        </w:rPr>
        <w:t>政执法人员清单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p>
    <w:tbl>
      <w:tblPr>
        <w:tblStyle w:val="7"/>
        <w:tblW w:w="9896" w:type="dxa"/>
        <w:tblInd w:w="-106" w:type="dxa"/>
        <w:tblLayout w:type="fixed"/>
        <w:tblCellMar>
          <w:top w:w="0" w:type="dxa"/>
          <w:left w:w="108" w:type="dxa"/>
          <w:bottom w:w="0" w:type="dxa"/>
          <w:right w:w="108" w:type="dxa"/>
        </w:tblCellMar>
      </w:tblPr>
      <w:tblGrid>
        <w:gridCol w:w="722"/>
        <w:gridCol w:w="1089"/>
        <w:gridCol w:w="802"/>
        <w:gridCol w:w="1428"/>
        <w:gridCol w:w="1185"/>
        <w:gridCol w:w="1663"/>
        <w:gridCol w:w="1260"/>
        <w:gridCol w:w="1244"/>
        <w:gridCol w:w="503"/>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编制情况</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证件编号</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执法类别</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执法区域</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蒲永生</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男</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行政</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70005</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罗晓玲</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事业</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70003</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张力方</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事业</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70004</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303"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王正秀</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行政</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70006</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278"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王</w:t>
            </w:r>
            <w:r>
              <w:rPr>
                <w:rFonts w:hint="eastAsia" w:ascii="仿宋_GB2312" w:hAnsi="仿宋_GB2312" w:eastAsia="仿宋_GB2312" w:cs="仿宋_GB2312"/>
                <w:sz w:val="24"/>
                <w:szCs w:val="24"/>
                <w:lang w:eastAsia="zh-CN"/>
              </w:rPr>
              <w:t>莉萍</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机关工人</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70007</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肖建蓉</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70008</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r>
        <w:tblPrEx>
          <w:tblCellMar>
            <w:top w:w="0" w:type="dxa"/>
            <w:left w:w="108" w:type="dxa"/>
            <w:bottom w:w="0" w:type="dxa"/>
            <w:right w:w="108" w:type="dxa"/>
          </w:tblCellMar>
        </w:tblPrEx>
        <w:trPr>
          <w:trHeight w:val="242"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108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王宇清</w:t>
            </w:r>
          </w:p>
        </w:tc>
        <w:tc>
          <w:tcPr>
            <w:tcW w:w="80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女</w:t>
            </w:r>
          </w:p>
        </w:tc>
        <w:tc>
          <w:tcPr>
            <w:tcW w:w="142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商合局</w:t>
            </w:r>
          </w:p>
        </w:tc>
        <w:tc>
          <w:tcPr>
            <w:tcW w:w="11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事业</w:t>
            </w:r>
          </w:p>
        </w:tc>
        <w:tc>
          <w:tcPr>
            <w:tcW w:w="166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川H081</w:t>
            </w:r>
            <w:r>
              <w:rPr>
                <w:rFonts w:hint="eastAsia" w:ascii="仿宋_GB2312" w:hAnsi="仿宋_GB2312" w:eastAsia="仿宋_GB2312" w:cs="仿宋_GB2312"/>
                <w:sz w:val="24"/>
                <w:szCs w:val="24"/>
                <w:lang w:val="en-US" w:eastAsia="zh-CN"/>
              </w:rPr>
              <w:t>70009</w:t>
            </w:r>
          </w:p>
        </w:tc>
        <w:tc>
          <w:tcPr>
            <w:tcW w:w="12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商务执法</w:t>
            </w:r>
          </w:p>
        </w:tc>
        <w:tc>
          <w:tcPr>
            <w:tcW w:w="124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县内</w:t>
            </w:r>
          </w:p>
        </w:tc>
        <w:tc>
          <w:tcPr>
            <w:tcW w:w="50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sz w:val="24"/>
                <w:szCs w:val="24"/>
              </w:rPr>
            </w:pPr>
          </w:p>
        </w:tc>
      </w:tr>
    </w:tbl>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eastAsia="宋体" w:cs="Times New Roman"/>
          <w:lang w:val="en-US" w:eastAsia="zh-CN"/>
        </w:rPr>
      </w:pPr>
      <w:r>
        <w:rPr>
          <w:rFonts w:hint="eastAsia" w:ascii="宋体" w:hAnsi="宋体" w:cs="宋体"/>
          <w:sz w:val="24"/>
          <w:szCs w:val="24"/>
        </w:rPr>
        <w:t>注：分专项检查人员在备注栏注明。</w:t>
      </w:r>
      <w:r>
        <w:rPr>
          <w:rFonts w:ascii="宋体" w:hAnsi="宋体" w:cs="宋体"/>
          <w:sz w:val="24"/>
          <w:szCs w:val="24"/>
        </w:rPr>
        <w:t xml:space="preserve">               </w:t>
      </w:r>
      <w:r>
        <w:rPr>
          <w:rFonts w:hint="eastAsia" w:ascii="宋体" w:hAnsi="宋体" w:cs="宋体"/>
          <w:sz w:val="24"/>
          <w:szCs w:val="24"/>
          <w:lang w:val="en-US" w:eastAsia="zh-CN"/>
        </w:rPr>
        <w:t>2020年6月1日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三、剑阁县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18"/>
          <w:rFonts w:ascii="??_GB2312" w:hAnsi="??_GB2312" w:eastAsia="仿宋_GB2312" w:cs="??_GB2312"/>
          <w:color w:val="auto"/>
          <w:sz w:val="32"/>
          <w:u w:val="single"/>
        </w:rPr>
      </w:pPr>
      <w:r>
        <w:rPr>
          <w:rFonts w:hint="eastAsia" w:ascii="??_GB2312" w:hAnsi="??_GB2312" w:eastAsia="仿宋_GB2312" w:cs="宋体"/>
          <w:sz w:val="32"/>
          <w:szCs w:val="32"/>
        </w:rPr>
        <w:t>四川政务服务网、剑阁县人民政府网（含行政执法权力及责任事项的权限、职责、服务指南、法定依据、流程图、程序）</w:t>
      </w:r>
      <w:r>
        <w:rPr>
          <w:rFonts w:ascii="??_GB2312" w:hAnsi="??_GB2312" w:eastAsia="仿宋_GB2312" w:cs="??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sz w:val="32"/>
        </w:rPr>
      </w:pPr>
      <w:r>
        <w:rPr>
          <w:rFonts w:hint="eastAsia" w:ascii="仿宋_GB2312" w:hAnsi="仿宋_GB2312" w:eastAsia="仿宋_GB2312"/>
          <w:sz w:val="32"/>
        </w:rPr>
        <w:fldChar w:fldCharType="begin"/>
      </w:r>
      <w:r>
        <w:rPr>
          <w:rFonts w:hint="eastAsia" w:ascii="仿宋_GB2312" w:hAnsi="仿宋_GB2312" w:eastAsia="仿宋_GB2312"/>
          <w:sz w:val="32"/>
        </w:rPr>
        <w:instrText xml:space="preserve"> HYPERLINK "http://www.sczwfw.gov.cn/app/qixianShop/1926?areaId=1431&amp;areaCode=510000000000" </w:instrText>
      </w:r>
      <w:r>
        <w:rPr>
          <w:rFonts w:hint="eastAsia" w:ascii="仿宋_GB2312" w:hAnsi="仿宋_GB2312" w:eastAsia="仿宋_GB2312"/>
          <w:sz w:val="32"/>
        </w:rPr>
        <w:fldChar w:fldCharType="separate"/>
      </w:r>
      <w:r>
        <w:rPr>
          <w:rStyle w:val="14"/>
          <w:rFonts w:hint="eastAsia" w:ascii="仿宋_GB2312" w:hAnsi="仿宋_GB2312" w:eastAsia="仿宋_GB2312"/>
          <w:sz w:val="32"/>
        </w:rPr>
        <w:t>http://www.sczwfw.gov.cn/app/qixianShop/1926?areaId=1431&amp;areaCode=510000000000</w:t>
      </w:r>
      <w:r>
        <w:rPr>
          <w:rFonts w:hint="eastAsia" w:ascii="仿宋_GB2312" w:hAnsi="仿宋_GB2312" w:eastAsia="仿宋_GB2312"/>
          <w:sz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http://gysjgx.sczwfw.gov.cn/app/qixianShop/10003?areaId=1985&amp;areaCode=510823000000</w:t>
      </w:r>
    </w:p>
    <w:p>
      <w:pPr>
        <w:rPr>
          <w:rFonts w:ascii="黑体" w:hAnsi="黑体" w:eastAsia="黑体" w:cs="Times New Roman"/>
          <w:sz w:val="32"/>
          <w:szCs w:val="32"/>
        </w:rPr>
      </w:pPr>
    </w:p>
    <w:p>
      <w:pPr>
        <w:rPr>
          <w:rFonts w:ascii="黑体" w:hAnsi="黑体" w:eastAsia="黑体" w:cs="Times New Roman"/>
          <w:sz w:val="32"/>
          <w:szCs w:val="32"/>
        </w:rPr>
        <w:sectPr>
          <w:pgSz w:w="11906" w:h="16838"/>
          <w:pgMar w:top="2098" w:right="1474" w:bottom="1814" w:left="1588" w:header="851" w:footer="1588"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2"/>
        </w:numPr>
        <w:ind w:firstLine="640" w:firstLineChars="200"/>
        <w:rPr>
          <w:rFonts w:ascii="黑体" w:hAnsi="黑体" w:eastAsia="黑体" w:cs="Times New Roman"/>
          <w:sz w:val="32"/>
          <w:szCs w:val="32"/>
        </w:rPr>
      </w:pPr>
      <w:r>
        <w:rPr>
          <w:rFonts w:hint="eastAsia" w:ascii="黑体" w:hAnsi="黑体" w:eastAsia="黑体" w:cs="黑体"/>
          <w:sz w:val="32"/>
          <w:szCs w:val="32"/>
        </w:rPr>
        <w:t>剑阁县</w:t>
      </w:r>
      <w:r>
        <w:rPr>
          <w:rFonts w:hint="eastAsia" w:ascii="黑体" w:hAnsi="黑体" w:eastAsia="黑体" w:cs="黑体"/>
          <w:sz w:val="32"/>
          <w:szCs w:val="32"/>
          <w:lang w:eastAsia="zh-CN"/>
        </w:rPr>
        <w:t>商务和经济合作</w:t>
      </w:r>
      <w:r>
        <w:rPr>
          <w:rFonts w:hint="eastAsia" w:ascii="黑体" w:hAnsi="黑体" w:eastAsia="黑体" w:cs="黑体"/>
          <w:sz w:val="32"/>
          <w:szCs w:val="32"/>
        </w:rPr>
        <w:t>局重大行政执法</w:t>
      </w:r>
      <w:r>
        <w:rPr>
          <w:rFonts w:hint="eastAsia" w:ascii="黑体" w:hAnsi="黑体" w:eastAsia="黑体" w:cs="黑体"/>
          <w:sz w:val="32"/>
          <w:szCs w:val="32"/>
          <w:lang w:eastAsia="zh-CN"/>
        </w:rPr>
        <w:t>责任</w:t>
      </w:r>
      <w:r>
        <w:rPr>
          <w:rFonts w:hint="eastAsia" w:ascii="黑体" w:hAnsi="黑体" w:eastAsia="黑体" w:cs="黑体"/>
          <w:sz w:val="32"/>
          <w:szCs w:val="32"/>
        </w:rPr>
        <w:t>清单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3522"/>
        <w:gridCol w:w="4650"/>
        <w:gridCol w:w="1710"/>
        <w:gridCol w:w="1200"/>
        <w:gridCol w:w="945"/>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78"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3522"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事项编码</w:t>
            </w:r>
          </w:p>
        </w:tc>
        <w:tc>
          <w:tcPr>
            <w:tcW w:w="465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171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120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94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事项状态</w:t>
            </w:r>
          </w:p>
        </w:tc>
        <w:tc>
          <w:tcPr>
            <w:tcW w:w="186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i w:val="0"/>
                <w:caps w:val="0"/>
                <w:color w:val="333333"/>
                <w:spacing w:val="0"/>
                <w:sz w:val="21"/>
                <w:szCs w:val="21"/>
                <w:shd w:val="clear" w:fill="FFFFFF"/>
              </w:rPr>
            </w:pPr>
            <w:r>
              <w:rPr>
                <w:rFonts w:hint="eastAsia" w:ascii="仿宋_GB2312" w:hAnsi="仿宋_GB2312" w:eastAsia="仿宋_GB2312" w:cs="仿宋_GB2312"/>
                <w:i w:val="0"/>
                <w:caps w:val="0"/>
                <w:color w:val="333333"/>
                <w:spacing w:val="0"/>
                <w:sz w:val="21"/>
                <w:szCs w:val="21"/>
                <w:shd w:val="clear" w:fill="FFFFFF"/>
              </w:rPr>
              <w:t>B-004111-001-12510721MBOU82963R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对违法经营美容美发业务的处罚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2</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B-002453-001-12510721MBOU82963R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对办展未按规定发布招展信息的处罚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3</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B-002478-001-12510721MBOU82963R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对办展未按规定备案</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4</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B-002481-001-12510721MBOU82963R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对违反《洗染业管理办法》相关规定的处罚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5</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B-002485-001-12510721MBOU82963R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违反《家电维修服务业管理办法》相关规定的处罚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6</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B-002504-001-12510721MBOU82963R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违反《餐饮业经营管理办法》相关规定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7</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B-004094-001-12510721MBOU82963R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违反《生活必需品市场供应应急管理办法》相关规定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ind w:firstLine="210" w:firstLineChars="100"/>
              <w:jc w:val="both"/>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8</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B-027139-001-510823000000-000-12510721MB0U82963R-1-00</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汽车经营主体违反《汽车销售管理办法》</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9</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B-002488-001-12510721MBOU82963R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家庭服务机构违反经营规范</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10</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B-002471-001-12510721MBOU82963R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单用途商业预付卡发卡企业违反资金管理及业务报告相关规定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11</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B-002467-001-12510721MBOU82963R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单用途商业预付卡发卡企业或售卡企业违反发行与服务相关规定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12</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B-002461-001-12510721MBOU82963R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对单用途商业预付卡发卡企业未按规定办理</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备案</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13</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B-003026-001-12510721MBOU82963R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对零售商促销行为违反《零售商促销行为管理办法》相关规定</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14</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B-002497-001-12510721MBOU82963R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对家庭服务机构未按要求提供信息</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15</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B-002455-001-12510721MBOU82963R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对零售商或者供应商违反公平交易规定的处罚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78"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ascii="宋体" w:hAnsi="宋体" w:cs="宋体"/>
                <w:kern w:val="0"/>
                <w:sz w:val="18"/>
                <w:szCs w:val="18"/>
              </w:rPr>
              <w:t>16</w:t>
            </w:r>
          </w:p>
        </w:tc>
        <w:tc>
          <w:tcPr>
            <w:tcW w:w="3522"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i w:val="0"/>
                <w:caps w:val="0"/>
                <w:color w:val="333333"/>
                <w:spacing w:val="0"/>
                <w:sz w:val="21"/>
                <w:szCs w:val="21"/>
                <w:shd w:val="clear" w:fill="FFFFFF"/>
              </w:rPr>
              <w:t>B-002523-001-12510721MBOU82963R</w:t>
            </w:r>
          </w:p>
        </w:tc>
        <w:tc>
          <w:tcPr>
            <w:tcW w:w="4650" w:type="dxa"/>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对</w:t>
            </w:r>
            <w:r>
              <w:rPr>
                <w:rFonts w:hint="eastAsia" w:ascii="仿宋_GB2312" w:hAnsi="仿宋_GB2312" w:eastAsia="仿宋_GB2312" w:cs="仿宋_GB2312"/>
                <w:kern w:val="0"/>
                <w:sz w:val="21"/>
                <w:szCs w:val="21"/>
                <w:lang w:eastAsia="zh-CN"/>
              </w:rPr>
              <w:t>经营者销售禁止流通的旧电器电子产品</w:t>
            </w:r>
            <w:r>
              <w:rPr>
                <w:rFonts w:hint="eastAsia" w:ascii="仿宋_GB2312" w:hAnsi="仿宋_GB2312" w:eastAsia="仿宋_GB2312" w:cs="仿宋_GB2312"/>
                <w:kern w:val="0"/>
                <w:sz w:val="21"/>
                <w:szCs w:val="21"/>
              </w:rPr>
              <w:t>的处罚</w:t>
            </w:r>
          </w:p>
        </w:tc>
        <w:tc>
          <w:tcPr>
            <w:tcW w:w="171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省级,市级,县级</w:t>
            </w:r>
          </w:p>
        </w:tc>
        <w:tc>
          <w:tcPr>
            <w:tcW w:w="120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行政处罚</w:t>
            </w:r>
          </w:p>
        </w:tc>
        <w:tc>
          <w:tcPr>
            <w:tcW w:w="945"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通过</w:t>
            </w:r>
          </w:p>
        </w:tc>
        <w:tc>
          <w:tcPr>
            <w:tcW w:w="1860"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eastAsia="zh-CN"/>
              </w:rPr>
              <w:t>剑阁县商合局</w:t>
            </w:r>
          </w:p>
        </w:tc>
      </w:tr>
    </w:tbl>
    <w:p>
      <w:pPr>
        <w:keepNext w:val="0"/>
        <w:keepLines w:val="0"/>
        <w:pageBreakBefore w:val="0"/>
        <w:kinsoku/>
        <w:wordWrap/>
        <w:overflowPunct/>
        <w:topLinePunct w:val="0"/>
        <w:autoSpaceDE/>
        <w:autoSpaceDN/>
        <w:bidi w:val="0"/>
        <w:adjustRightInd/>
        <w:snapToGrid/>
        <w:spacing w:line="240" w:lineRule="exact"/>
        <w:ind w:firstLine="640" w:firstLineChars="200"/>
        <w:jc w:val="left"/>
        <w:textAlignment w:val="auto"/>
        <w:rPr>
          <w:rFonts w:ascii="??_GB2312" w:hAnsi="??_GB2312" w:cs="??_GB2312"/>
          <w:b/>
          <w:bCs/>
          <w:sz w:val="32"/>
          <w:szCs w:val="32"/>
        </w:rPr>
        <w:sectPr>
          <w:pgSz w:w="16838" w:h="11906" w:orient="landscape"/>
          <w:pgMar w:top="1701" w:right="1247" w:bottom="1418" w:left="1247" w:header="851" w:footer="1134" w:gutter="0"/>
          <w:pgBorders>
            <w:top w:val="none" w:sz="0" w:space="0"/>
            <w:left w:val="none" w:sz="0" w:space="0"/>
            <w:bottom w:val="none" w:sz="0" w:space="0"/>
            <w:right w:val="none" w:sz="0" w:space="0"/>
          </w:pgBorders>
          <w:pgNumType w:fmt="decimal"/>
          <w:cols w:space="425" w:num="1"/>
          <w:docGrid w:type="linesAndChars" w:linePitch="312" w:charSpace="0"/>
        </w:sectPr>
      </w:pPr>
    </w:p>
    <w:p>
      <w:pPr>
        <w:ind w:firstLine="640" w:firstLineChars="200"/>
        <w:rPr>
          <w:rFonts w:ascii="黑体" w:hAnsi="黑体" w:eastAsia="黑体" w:cs="Times New Roman"/>
          <w:b w:val="0"/>
          <w:sz w:val="32"/>
          <w:szCs w:val="32"/>
        </w:rPr>
      </w:pPr>
      <w:r>
        <w:rPr>
          <w:rFonts w:hint="eastAsia" w:ascii="黑体" w:hAnsi="黑体" w:eastAsia="黑体" w:cs="黑体"/>
          <w:b w:val="0"/>
          <w:sz w:val="32"/>
          <w:szCs w:val="32"/>
        </w:rPr>
        <w:t>五、剑阁县</w:t>
      </w:r>
      <w:r>
        <w:rPr>
          <w:rFonts w:hint="eastAsia" w:ascii="黑体" w:hAnsi="黑体" w:eastAsia="黑体" w:cs="黑体"/>
          <w:b w:val="0"/>
          <w:sz w:val="32"/>
          <w:szCs w:val="32"/>
          <w:lang w:eastAsia="zh-CN"/>
        </w:rPr>
        <w:t>商合</w:t>
      </w:r>
      <w:r>
        <w:rPr>
          <w:rFonts w:hint="eastAsia" w:ascii="黑体" w:hAnsi="黑体" w:eastAsia="黑体" w:cs="黑体"/>
          <w:b w:val="0"/>
          <w:sz w:val="32"/>
          <w:szCs w:val="32"/>
        </w:rPr>
        <w:t>局行政执法（监督信息）救济渠道、行政执法责任制</w:t>
      </w:r>
    </w:p>
    <w:p>
      <w:pPr>
        <w:ind w:firstLine="630" w:firstLineChars="196"/>
        <w:rPr>
          <w:rFonts w:ascii="黑体" w:hAnsi="黑体" w:eastAsia="仿宋_GB2312" w:cs="Times New Roman"/>
          <w:b w:val="0"/>
          <w:sz w:val="32"/>
          <w:szCs w:val="32"/>
        </w:rPr>
      </w:pPr>
      <w:r>
        <w:rPr>
          <w:rFonts w:hint="eastAsia" w:ascii="黑体" w:hAnsi="黑体" w:eastAsia="仿宋_GB2312" w:cs="宋体"/>
          <w:b/>
          <w:bCs/>
          <w:sz w:val="32"/>
          <w:szCs w:val="32"/>
        </w:rPr>
        <w:t>当事人依法享有的权利、救济途径、方式</w:t>
      </w:r>
    </w:p>
    <w:p>
      <w:pPr>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（一）依法享有的权利</w:t>
      </w:r>
      <w:r>
        <w:rPr>
          <w:rFonts w:ascii="仿宋_GB2312" w:hAnsi="仿宋_GB2312" w:eastAsia="仿宋_GB2312" w:cs="Times New Roman"/>
          <w:sz w:val="32"/>
          <w:szCs w:val="32"/>
        </w:rPr>
        <w:t> </w:t>
      </w:r>
    </w:p>
    <w:p>
      <w:pPr>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当事人依法享有申请回避、陈述、申辩、复议、诉讼等权利，详见相应法律法规。</w:t>
      </w:r>
      <w:r>
        <w:rPr>
          <w:rFonts w:ascii="仿宋_GB2312" w:hAnsi="仿宋_GB2312" w:eastAsia="仿宋_GB2312" w:cs="Times New Roman"/>
          <w:sz w:val="32"/>
          <w:szCs w:val="32"/>
        </w:rPr>
        <w:t> </w:t>
      </w:r>
    </w:p>
    <w:p>
      <w:pPr>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（二）救济途径</w:t>
      </w:r>
      <w:r>
        <w:rPr>
          <w:rFonts w:ascii="仿宋_GB2312" w:hAnsi="仿宋_GB2312" w:eastAsia="仿宋_GB2312" w:cs="Times New Roman"/>
          <w:sz w:val="32"/>
          <w:szCs w:val="32"/>
        </w:rPr>
        <w:t> </w:t>
      </w:r>
    </w:p>
    <w:p>
      <w:pPr>
        <w:ind w:firstLine="640" w:firstLineChars="200"/>
        <w:rPr>
          <w:rFonts w:hint="eastAsia" w:ascii="仿宋_GB2312" w:hAnsi="仿宋_GB2312" w:eastAsia="仿宋_GB2312" w:cs="宋体"/>
          <w:sz w:val="32"/>
          <w:szCs w:val="32"/>
        </w:rPr>
      </w:pPr>
      <w:r>
        <w:rPr>
          <w:rFonts w:ascii="仿宋_GB2312" w:hAnsi="仿宋_GB2312" w:eastAsia="仿宋_GB2312" w:cs="Times New Roman"/>
          <w:sz w:val="32"/>
          <w:szCs w:val="32"/>
        </w:rPr>
        <w:t>1</w:t>
      </w:r>
      <w:r>
        <w:rPr>
          <w:rFonts w:hint="eastAsia" w:ascii="仿宋_GB2312" w:hAnsi="仿宋_GB2312" w:eastAsia="仿宋_GB2312" w:cs="宋体"/>
          <w:sz w:val="32"/>
          <w:szCs w:val="32"/>
        </w:rPr>
        <w:t>、行政复议</w:t>
      </w:r>
    </w:p>
    <w:p>
      <w:pPr>
        <w:ind w:firstLine="640" w:firstLineChars="200"/>
        <w:rPr>
          <w:rFonts w:hint="eastAsia" w:ascii="仿宋_GB2312" w:hAnsi="仿宋_GB2312" w:eastAsia="仿宋_GB2312" w:cs="宋体"/>
          <w:sz w:val="32"/>
          <w:szCs w:val="28"/>
        </w:rPr>
      </w:pPr>
      <w:r>
        <w:rPr>
          <w:rFonts w:ascii="仿宋_GB2312" w:hAnsi="仿宋_GB2312" w:eastAsia="仿宋_GB2312" w:cs="宋体"/>
          <w:sz w:val="32"/>
          <w:szCs w:val="24"/>
        </w:rPr>
        <w:t>部</w:t>
      </w:r>
      <w:r>
        <w:rPr>
          <w:rFonts w:ascii="仿宋_GB2312" w:hAnsi="仿宋_GB2312" w:eastAsia="仿宋_GB2312" w:cs="宋体"/>
          <w:sz w:val="32"/>
          <w:szCs w:val="28"/>
        </w:rPr>
        <w:t>门：剑阁县司法局行政复议与应诉股</w:t>
      </w:r>
      <w:r>
        <w:rPr>
          <w:rFonts w:hint="eastAsia" w:ascii="仿宋_GB2312" w:hAnsi="仿宋_GB2312" w:eastAsia="仿宋_GB2312" w:cs="宋体"/>
          <w:sz w:val="32"/>
          <w:szCs w:val="28"/>
          <w:lang w:val="en-US" w:eastAsia="zh-CN"/>
        </w:rPr>
        <w:t xml:space="preserve">    </w:t>
      </w:r>
      <w:r>
        <w:rPr>
          <w:rFonts w:ascii="仿宋_GB2312" w:hAnsi="仿宋_GB2312" w:eastAsia="仿宋_GB2312" w:cs="宋体"/>
          <w:sz w:val="32"/>
          <w:szCs w:val="28"/>
        </w:rPr>
        <w:t>地址：剑阁县下寺镇隆庆街2号（剑阁县司法局二楼）</w:t>
      </w:r>
      <w:r>
        <w:rPr>
          <w:rFonts w:hint="eastAsia" w:ascii="仿宋_GB2312" w:hAnsi="仿宋_GB2312" w:eastAsia="仿宋_GB2312" w:cs="宋体"/>
          <w:sz w:val="32"/>
          <w:szCs w:val="28"/>
          <w:lang w:val="en-US" w:eastAsia="zh-CN"/>
        </w:rPr>
        <w:t xml:space="preserve">  </w:t>
      </w:r>
      <w:r>
        <w:rPr>
          <w:rFonts w:ascii="仿宋_GB2312" w:hAnsi="仿宋_GB2312" w:eastAsia="仿宋_GB2312" w:cs="宋体"/>
          <w:sz w:val="32"/>
          <w:szCs w:val="28"/>
        </w:rPr>
        <w:t>电话：0839-5208080</w:t>
      </w:r>
    </w:p>
    <w:p>
      <w:pPr>
        <w:ind w:firstLine="640" w:firstLineChars="200"/>
        <w:rPr>
          <w:rFonts w:hint="eastAsia" w:ascii="仿宋_GB2312" w:hAnsi="仿宋_GB2312" w:eastAsia="仿宋_GB2312" w:cs="Times New Roman"/>
          <w:sz w:val="32"/>
          <w:szCs w:val="28"/>
          <w:lang w:val="en-US" w:eastAsia="zh-CN"/>
        </w:rPr>
      </w:pPr>
      <w:r>
        <w:rPr>
          <w:rFonts w:hint="eastAsia" w:ascii="仿宋_GB2312" w:hAnsi="仿宋_GB2312" w:eastAsia="仿宋_GB2312" w:cs="Times New Roman"/>
          <w:sz w:val="32"/>
          <w:szCs w:val="28"/>
          <w:lang w:eastAsia="zh-CN"/>
        </w:rPr>
        <w:t>广元市商务局</w:t>
      </w:r>
      <w:r>
        <w:rPr>
          <w:rFonts w:hint="eastAsia" w:ascii="仿宋_GB2312" w:hAnsi="仿宋_GB2312" w:eastAsia="仿宋_GB2312" w:cs="Times New Roman"/>
          <w:sz w:val="32"/>
          <w:szCs w:val="28"/>
          <w:lang w:val="en-US" w:eastAsia="zh-CN"/>
        </w:rPr>
        <w:t xml:space="preserve">    地址：利州区嘉陵路南段65号   </w:t>
      </w:r>
    </w:p>
    <w:p>
      <w:pPr>
        <w:ind w:firstLine="640" w:firstLineChars="200"/>
        <w:rPr>
          <w:rFonts w:hint="default" w:ascii="仿宋_GB2312" w:hAnsi="仿宋_GB2312" w:eastAsia="仿宋_GB2312" w:cs="Times New Roman"/>
          <w:sz w:val="32"/>
          <w:szCs w:val="28"/>
          <w:lang w:val="en-US" w:eastAsia="zh-CN"/>
        </w:rPr>
      </w:pPr>
      <w:r>
        <w:rPr>
          <w:rFonts w:hint="eastAsia" w:ascii="仿宋_GB2312" w:hAnsi="仿宋_GB2312" w:eastAsia="仿宋_GB2312" w:cs="Times New Roman"/>
          <w:sz w:val="32"/>
          <w:szCs w:val="28"/>
          <w:lang w:val="en-US" w:eastAsia="zh-CN"/>
        </w:rPr>
        <w:t>电话：0839-3262453</w:t>
      </w:r>
    </w:p>
    <w:p>
      <w:pPr>
        <w:ind w:firstLine="640" w:firstLineChars="200"/>
        <w:rPr>
          <w:rFonts w:ascii="仿宋_GB2312" w:hAnsi="仿宋_GB2312" w:eastAsia="仿宋_GB2312" w:cs="Times New Roman"/>
          <w:sz w:val="32"/>
          <w:szCs w:val="28"/>
        </w:rPr>
      </w:pPr>
      <w:r>
        <w:rPr>
          <w:rFonts w:ascii="仿宋_GB2312" w:hAnsi="仿宋_GB2312" w:eastAsia="仿宋_GB2312" w:cs="Times New Roman"/>
          <w:sz w:val="32"/>
          <w:szCs w:val="28"/>
        </w:rPr>
        <w:t>2</w:t>
      </w:r>
      <w:r>
        <w:rPr>
          <w:rFonts w:hint="eastAsia" w:ascii="仿宋_GB2312" w:hAnsi="仿宋_GB2312" w:eastAsia="仿宋_GB2312" w:cs="宋体"/>
          <w:sz w:val="32"/>
          <w:szCs w:val="28"/>
        </w:rPr>
        <w:t>、行政诉讼</w:t>
      </w:r>
      <w:r>
        <w:rPr>
          <w:rFonts w:ascii="仿宋_GB2312" w:hAnsi="仿宋_GB2312" w:eastAsia="仿宋_GB2312" w:cs="Times New Roman"/>
          <w:sz w:val="32"/>
          <w:szCs w:val="28"/>
        </w:rPr>
        <w:t> </w:t>
      </w:r>
    </w:p>
    <w:p>
      <w:pPr>
        <w:ind w:firstLine="640" w:firstLineChars="200"/>
        <w:rPr>
          <w:rFonts w:hint="default" w:ascii="仿宋_GB2312" w:hAnsi="仿宋_GB2312" w:eastAsia="仿宋_GB2312" w:cs="Times New Roman"/>
          <w:sz w:val="32"/>
          <w:szCs w:val="28"/>
          <w:lang w:val="en-US" w:eastAsia="zh-CN"/>
        </w:rPr>
      </w:pPr>
      <w:r>
        <w:rPr>
          <w:rFonts w:hint="eastAsia" w:ascii="仿宋_GB2312" w:hAnsi="仿宋_GB2312" w:eastAsia="仿宋_GB2312" w:cs="宋体"/>
          <w:sz w:val="32"/>
          <w:szCs w:val="28"/>
        </w:rPr>
        <w:t>单位：</w:t>
      </w:r>
      <w:r>
        <w:rPr>
          <w:rFonts w:ascii="仿宋_GB2312" w:hAnsi="仿宋_GB2312" w:eastAsia="仿宋_GB2312" w:cs="宋体"/>
          <w:sz w:val="32"/>
          <w:szCs w:val="28"/>
        </w:rPr>
        <w:t>剑阁县人民法院</w:t>
      </w:r>
      <w:r>
        <w:rPr>
          <w:rFonts w:hint="eastAsia" w:ascii="仿宋_GB2312" w:hAnsi="仿宋_GB2312" w:eastAsia="仿宋_GB2312" w:cs="宋体"/>
          <w:sz w:val="32"/>
          <w:szCs w:val="28"/>
          <w:lang w:val="en-US" w:eastAsia="zh-CN"/>
        </w:rPr>
        <w:t xml:space="preserve">  </w:t>
      </w:r>
      <w:r>
        <w:rPr>
          <w:rFonts w:hint="eastAsia" w:ascii="仿宋_GB2312" w:hAnsi="仿宋_GB2312" w:eastAsia="仿宋_GB2312" w:cs="宋体"/>
          <w:sz w:val="32"/>
          <w:szCs w:val="28"/>
        </w:rPr>
        <w:t>地址：</w:t>
      </w:r>
      <w:r>
        <w:rPr>
          <w:rFonts w:ascii="仿宋_GB2312" w:hAnsi="仿宋_GB2312" w:eastAsia="仿宋_GB2312" w:cs="宋体"/>
          <w:sz w:val="32"/>
          <w:szCs w:val="28"/>
        </w:rPr>
        <w:t>剑阁县下寺镇剑阁县剑门关大道北段502号</w:t>
      </w:r>
      <w:r>
        <w:rPr>
          <w:rFonts w:ascii="仿宋_GB2312" w:hAnsi="仿宋_GB2312" w:eastAsia="仿宋_GB2312" w:cs="Times New Roman"/>
          <w:sz w:val="32"/>
          <w:szCs w:val="28"/>
        </w:rPr>
        <w:t xml:space="preserve">   </w:t>
      </w:r>
      <w:r>
        <w:rPr>
          <w:rFonts w:hint="eastAsia" w:ascii="仿宋_GB2312" w:hAnsi="仿宋_GB2312" w:eastAsia="仿宋_GB2312" w:cs="宋体"/>
          <w:sz w:val="32"/>
          <w:szCs w:val="28"/>
        </w:rPr>
        <w:t>电话：</w:t>
      </w:r>
      <w:r>
        <w:rPr>
          <w:rFonts w:ascii="仿宋_GB2312" w:hAnsi="仿宋_GB2312" w:eastAsia="仿宋_GB2312" w:cs="Times New Roman"/>
          <w:sz w:val="32"/>
          <w:szCs w:val="28"/>
        </w:rPr>
        <w:t>0839-</w:t>
      </w:r>
      <w:r>
        <w:rPr>
          <w:rFonts w:ascii="仿宋_GB2312" w:hAnsi="仿宋_GB2312" w:eastAsia="仿宋_GB2312" w:cs="宋体"/>
          <w:sz w:val="32"/>
          <w:szCs w:val="28"/>
        </w:rPr>
        <w:t>5208429</w:t>
      </w:r>
      <w:r>
        <w:rPr>
          <w:rFonts w:hint="eastAsia" w:ascii="仿宋_GB2312" w:hAnsi="仿宋_GB2312" w:eastAsia="仿宋_GB2312" w:cs="宋体"/>
          <w:sz w:val="32"/>
          <w:szCs w:val="28"/>
          <w:lang w:val="en-US" w:eastAsia="zh-CN"/>
        </w:rPr>
        <w:t xml:space="preserve">  </w:t>
      </w:r>
      <w:r>
        <w:rPr>
          <w:rFonts w:ascii="仿宋_GB2312" w:hAnsi="仿宋_GB2312" w:eastAsia="仿宋_GB2312" w:cs="宋体"/>
          <w:sz w:val="32"/>
          <w:szCs w:val="28"/>
        </w:rPr>
        <w:t>电话：0839-5208080</w:t>
      </w:r>
    </w:p>
    <w:p>
      <w:pPr>
        <w:numPr>
          <w:ilvl w:val="0"/>
          <w:numId w:val="0"/>
        </w:numPr>
        <w:ind w:firstLine="640" w:firstLineChars="200"/>
        <w:rPr>
          <w:rFonts w:ascii="??_GB2312" w:hAnsi="??_GB2312" w:eastAsia="Times New Roman" w:cs="Times New Roman"/>
          <w:sz w:val="32"/>
          <w:szCs w:val="32"/>
        </w:rPr>
      </w:pPr>
      <w:r>
        <w:rPr>
          <w:rFonts w:hint="eastAsia" w:ascii="宋体" w:hAnsi="宋体" w:eastAsia="仿宋_GB2312" w:cs="宋体"/>
          <w:sz w:val="32"/>
          <w:szCs w:val="32"/>
          <w:lang w:eastAsia="zh-CN"/>
        </w:rPr>
        <w:t>（三）</w:t>
      </w:r>
      <w:r>
        <w:rPr>
          <w:rFonts w:hint="eastAsia" w:ascii="宋体" w:hAnsi="宋体" w:eastAsia="仿宋_GB2312" w:cs="宋体"/>
          <w:sz w:val="32"/>
          <w:szCs w:val="32"/>
        </w:rPr>
        <w:t>对行政执法的监督投诉举报的方式、途径</w:t>
      </w:r>
    </w:p>
    <w:p>
      <w:pPr>
        <w:ind w:firstLine="640" w:firstLineChars="200"/>
        <w:rPr>
          <w:rFonts w:hint="eastAsia" w:ascii="仿宋_GB2312" w:hAnsi="仿宋_GB2312" w:eastAsia="仿宋_GB2312" w:cs="Times New Roman"/>
          <w:sz w:val="32"/>
          <w:szCs w:val="28"/>
          <w:lang w:eastAsia="zh-CN"/>
        </w:rPr>
      </w:pPr>
      <w:r>
        <w:rPr>
          <w:rFonts w:hint="eastAsia" w:ascii="仿宋_GB2312" w:hAnsi="仿宋_GB2312" w:eastAsia="仿宋_GB2312" w:cs="宋体"/>
          <w:sz w:val="32"/>
          <w:szCs w:val="32"/>
        </w:rPr>
        <w:t>单位：</w:t>
      </w:r>
      <w:r>
        <w:rPr>
          <w:rFonts w:hint="eastAsia" w:ascii="仿宋_GB2312" w:hAnsi="仿宋_GB2312" w:eastAsia="仿宋_GB2312" w:cs="宋体"/>
          <w:sz w:val="32"/>
          <w:szCs w:val="32"/>
          <w:lang w:eastAsia="zh-CN"/>
        </w:rPr>
        <w:t>剑阁县司法局</w:t>
      </w:r>
      <w:r>
        <w:rPr>
          <w:rFonts w:hint="eastAsia" w:ascii="仿宋_GB2312" w:hAnsi="仿宋_GB2312" w:eastAsia="仿宋_GB2312" w:cs="宋体"/>
          <w:sz w:val="32"/>
          <w:szCs w:val="32"/>
          <w:lang w:val="en-US" w:eastAsia="zh-CN"/>
        </w:rPr>
        <w:t xml:space="preserve">   地址：剑阁县司法局</w:t>
      </w:r>
      <w:r>
        <w:rPr>
          <w:rFonts w:ascii="仿宋_GB2312" w:hAnsi="仿宋_GB2312" w:eastAsia="仿宋_GB2312" w:cs="宋体"/>
          <w:sz w:val="32"/>
          <w:szCs w:val="24"/>
        </w:rPr>
        <w:t>行政执法协调监督股</w:t>
      </w:r>
      <w:r>
        <w:rPr>
          <w:rFonts w:hint="eastAsia" w:ascii="仿宋_GB2312" w:hAnsi="仿宋_GB2312" w:eastAsia="仿宋_GB2312" w:cs="宋体"/>
          <w:sz w:val="32"/>
          <w:szCs w:val="24"/>
          <w:lang w:eastAsia="zh-CN"/>
        </w:rPr>
        <w:t>（</w:t>
      </w:r>
      <w:r>
        <w:rPr>
          <w:rFonts w:ascii="仿宋_GB2312" w:hAnsi="仿宋_GB2312" w:eastAsia="仿宋_GB2312" w:cs="宋体"/>
          <w:sz w:val="32"/>
          <w:szCs w:val="24"/>
        </w:rPr>
        <w:t>司法局二楼</w:t>
      </w:r>
      <w:r>
        <w:rPr>
          <w:rFonts w:hint="eastAsia" w:ascii="仿宋_GB2312" w:hAnsi="仿宋_GB2312" w:eastAsia="仿宋_GB2312" w:cs="宋体"/>
          <w:sz w:val="32"/>
          <w:szCs w:val="24"/>
          <w:lang w:eastAsia="zh-CN"/>
        </w:rPr>
        <w:t>）</w:t>
      </w:r>
      <w:r>
        <w:rPr>
          <w:rFonts w:hint="eastAsia" w:ascii="仿宋_GB2312" w:hAnsi="仿宋_GB2312" w:eastAsia="仿宋_GB2312" w:cs="宋体"/>
          <w:sz w:val="32"/>
          <w:szCs w:val="24"/>
          <w:lang w:val="en-US" w:eastAsia="zh-CN"/>
        </w:rPr>
        <w:t xml:space="preserve">     </w:t>
      </w:r>
      <w:r>
        <w:rPr>
          <w:rFonts w:ascii="仿宋_GB2312" w:hAnsi="仿宋_GB2312" w:eastAsia="仿宋_GB2312" w:cs="宋体"/>
          <w:sz w:val="32"/>
          <w:szCs w:val="24"/>
        </w:rPr>
        <w:t>电话：0839-5208080</w:t>
      </w:r>
    </w:p>
    <w:p>
      <w:pPr>
        <w:ind w:firstLine="643" w:firstLineChars="200"/>
        <w:rPr>
          <w:rFonts w:ascii="??_GB2312" w:hAnsi="??_GB2312" w:eastAsia="仿宋_GB2312" w:cs="Times New Roman"/>
          <w:b/>
          <w:bCs/>
          <w:sz w:val="32"/>
          <w:szCs w:val="32"/>
        </w:rPr>
      </w:pPr>
      <w:r>
        <w:rPr>
          <w:rFonts w:hint="eastAsia" w:ascii="宋体" w:hAnsi="宋体" w:eastAsia="仿宋_GB2312" w:cs="宋体"/>
          <w:b/>
          <w:bCs/>
          <w:sz w:val="32"/>
          <w:szCs w:val="32"/>
        </w:rPr>
        <w:t>行政执法责任制</w:t>
      </w:r>
    </w:p>
    <w:p>
      <w:pPr>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《国务院办公厅关于推行行政执法责任制的若干意见》（国办发〔</w:t>
      </w:r>
      <w:r>
        <w:rPr>
          <w:rFonts w:ascii="仿宋_GB2312" w:hAnsi="仿宋_GB2312" w:eastAsia="仿宋_GB2312" w:cs="Times New Roman"/>
          <w:sz w:val="32"/>
          <w:szCs w:val="32"/>
        </w:rPr>
        <w:t>2005</w:t>
      </w:r>
      <w:r>
        <w:rPr>
          <w:rFonts w:hint="eastAsia" w:ascii="仿宋_GB2312" w:hAnsi="仿宋_GB2312" w:eastAsia="仿宋_GB2312" w:cs="宋体"/>
          <w:sz w:val="32"/>
          <w:szCs w:val="32"/>
        </w:rPr>
        <w:t>〕</w:t>
      </w:r>
      <w:r>
        <w:rPr>
          <w:rFonts w:ascii="仿宋_GB2312" w:hAnsi="仿宋_GB2312" w:eastAsia="仿宋_GB2312" w:cs="Times New Roman"/>
          <w:sz w:val="32"/>
          <w:szCs w:val="32"/>
        </w:rPr>
        <w:t>37</w:t>
      </w:r>
      <w:r>
        <w:rPr>
          <w:rFonts w:hint="eastAsia" w:ascii="仿宋_GB2312" w:hAnsi="仿宋_GB2312" w:eastAsia="仿宋_GB2312" w:cs="宋体"/>
          <w:sz w:val="32"/>
          <w:szCs w:val="32"/>
        </w:rPr>
        <w:t>号）</w:t>
      </w:r>
    </w:p>
    <w:p>
      <w:pPr>
        <w:ind w:firstLine="640" w:firstLineChars="200"/>
        <w:rPr>
          <w:rFonts w:ascii="仿宋_GB2312" w:hAnsi="仿宋_GB2312" w:eastAsia="仿宋_GB2312" w:cs="Times New Roman"/>
          <w:sz w:val="32"/>
          <w:szCs w:val="32"/>
        </w:rPr>
      </w:pPr>
      <w:r>
        <w:rPr>
          <w:rFonts w:hint="eastAsia" w:ascii="仿宋_GB2312" w:hAnsi="仿宋_GB2312" w:eastAsia="仿宋_GB2312" w:cs="宋体"/>
          <w:sz w:val="32"/>
          <w:szCs w:val="32"/>
        </w:rPr>
        <w:t>《四川省人民政府办公厅关于深化行政执法责任制的实施意见》</w:t>
      </w:r>
      <w:r>
        <w:rPr>
          <w:rFonts w:ascii="仿宋_GB2312" w:hAnsi="仿宋_GB2312" w:eastAsia="仿宋_GB2312" w:cs="Times New Roman"/>
          <w:sz w:val="32"/>
          <w:szCs w:val="32"/>
        </w:rPr>
        <w:t>(</w:t>
      </w:r>
      <w:r>
        <w:rPr>
          <w:rFonts w:hint="eastAsia" w:ascii="仿宋_GB2312" w:hAnsi="仿宋_GB2312" w:eastAsia="仿宋_GB2312" w:cs="宋体"/>
          <w:sz w:val="32"/>
          <w:szCs w:val="32"/>
        </w:rPr>
        <w:t>川办发〔</w:t>
      </w:r>
      <w:r>
        <w:rPr>
          <w:rFonts w:ascii="仿宋_GB2312" w:hAnsi="仿宋_GB2312" w:eastAsia="仿宋_GB2312" w:cs="Times New Roman"/>
          <w:sz w:val="32"/>
          <w:szCs w:val="32"/>
        </w:rPr>
        <w:t>2005</w:t>
      </w:r>
      <w:r>
        <w:rPr>
          <w:rFonts w:hint="eastAsia" w:ascii="仿宋_GB2312" w:hAnsi="仿宋_GB2312" w:eastAsia="仿宋_GB2312" w:cs="宋体"/>
          <w:sz w:val="32"/>
          <w:szCs w:val="32"/>
        </w:rPr>
        <w:t>〕</w:t>
      </w:r>
      <w:r>
        <w:rPr>
          <w:rFonts w:ascii="仿宋_GB2312" w:hAnsi="仿宋_GB2312" w:eastAsia="仿宋_GB2312" w:cs="Times New Roman"/>
          <w:sz w:val="32"/>
          <w:szCs w:val="32"/>
        </w:rPr>
        <w:t>36</w:t>
      </w:r>
      <w:r>
        <w:rPr>
          <w:rFonts w:hint="eastAsia" w:ascii="仿宋_GB2312" w:hAnsi="仿宋_GB2312" w:eastAsia="仿宋_GB2312" w:cs="宋体"/>
          <w:sz w:val="32"/>
          <w:szCs w:val="32"/>
        </w:rPr>
        <w:t>号</w:t>
      </w:r>
      <w:r>
        <w:rPr>
          <w:rFonts w:ascii="仿宋_GB2312" w:hAnsi="仿宋_GB2312" w:eastAsia="仿宋_GB2312" w:cs="Times New Roman"/>
          <w:sz w:val="32"/>
          <w:szCs w:val="32"/>
        </w:rPr>
        <w:t>)</w:t>
      </w:r>
    </w:p>
    <w:p>
      <w:pPr>
        <w:ind w:firstLine="640" w:firstLineChars="200"/>
        <w:rPr>
          <w:rFonts w:ascii="仿宋_GB2312" w:hAnsi="仿宋_GB2312" w:eastAsia="仿宋_GB2312" w:cs="Times New Roman"/>
          <w:b w:val="0"/>
          <w:sz w:val="32"/>
          <w:szCs w:val="32"/>
        </w:rPr>
      </w:pPr>
      <w:r>
        <w:rPr>
          <w:rFonts w:hint="eastAsia" w:ascii="仿宋_GB2312" w:hAnsi="仿宋_GB2312" w:eastAsia="仿宋_GB2312" w:cs="宋体"/>
          <w:b w:val="0"/>
          <w:sz w:val="32"/>
          <w:szCs w:val="32"/>
        </w:rPr>
        <w:t>《四川省落实行政执法责任制全面推进依法行政考核办法》</w:t>
      </w:r>
      <w:r>
        <w:rPr>
          <w:rFonts w:ascii="仿宋_GB2312" w:hAnsi="仿宋_GB2312" w:eastAsia="仿宋_GB2312" w:cs="Times New Roman"/>
          <w:b w:val="0"/>
          <w:sz w:val="32"/>
          <w:szCs w:val="32"/>
        </w:rPr>
        <w:t>(</w:t>
      </w:r>
      <w:r>
        <w:rPr>
          <w:rFonts w:hint="eastAsia" w:ascii="仿宋_GB2312" w:hAnsi="仿宋_GB2312" w:eastAsia="仿宋_GB2312" w:cs="宋体"/>
          <w:b w:val="0"/>
          <w:sz w:val="32"/>
          <w:szCs w:val="32"/>
        </w:rPr>
        <w:t>川府法</w:t>
      </w:r>
      <w:r>
        <w:rPr>
          <w:rFonts w:hint="eastAsia" w:ascii="仿宋_GB2312" w:hAnsi="仿宋_GB2312" w:eastAsia="仿宋_GB2312" w:cs="宋体"/>
          <w:sz w:val="32"/>
          <w:szCs w:val="32"/>
        </w:rPr>
        <w:t>〔</w:t>
      </w:r>
      <w:r>
        <w:rPr>
          <w:rFonts w:ascii="仿宋_GB2312" w:hAnsi="仿宋_GB2312" w:eastAsia="仿宋_GB2312" w:cs="Times New Roman"/>
          <w:sz w:val="32"/>
          <w:szCs w:val="32"/>
        </w:rPr>
        <w:t>2005</w:t>
      </w:r>
      <w:r>
        <w:rPr>
          <w:rFonts w:hint="eastAsia" w:ascii="仿宋_GB2312" w:hAnsi="仿宋_GB2312" w:eastAsia="仿宋_GB2312" w:cs="宋体"/>
          <w:sz w:val="32"/>
          <w:szCs w:val="32"/>
        </w:rPr>
        <w:t>〕</w:t>
      </w:r>
      <w:r>
        <w:rPr>
          <w:rFonts w:ascii="仿宋_GB2312" w:hAnsi="仿宋_GB2312" w:eastAsia="仿宋_GB2312" w:cs="Times New Roman"/>
          <w:b w:val="0"/>
          <w:sz w:val="32"/>
          <w:szCs w:val="32"/>
        </w:rPr>
        <w:t>24</w:t>
      </w:r>
      <w:r>
        <w:rPr>
          <w:rFonts w:hint="eastAsia" w:ascii="仿宋_GB2312" w:hAnsi="仿宋_GB2312" w:eastAsia="仿宋_GB2312" w:cs="宋体"/>
          <w:b w:val="0"/>
          <w:sz w:val="32"/>
          <w:szCs w:val="32"/>
        </w:rPr>
        <w:t>号</w:t>
      </w:r>
      <w:r>
        <w:rPr>
          <w:rFonts w:ascii="仿宋_GB2312" w:hAnsi="仿宋_GB2312" w:eastAsia="仿宋_GB2312" w:cs="Times New Roman"/>
          <w:b w:val="0"/>
          <w:sz w:val="32"/>
          <w:szCs w:val="32"/>
        </w:rPr>
        <w:t>)</w:t>
      </w:r>
    </w:p>
    <w:p>
      <w:pPr>
        <w:ind w:firstLine="640" w:firstLineChars="200"/>
        <w:rPr>
          <w:rFonts w:ascii="仿宋_GB2312" w:hAnsi="仿宋_GB2312" w:eastAsia="仿宋_GB2312" w:cs="Times New Roman"/>
          <w:b w:val="0"/>
          <w:sz w:val="32"/>
          <w:szCs w:val="32"/>
        </w:rPr>
      </w:pPr>
      <w:r>
        <w:rPr>
          <w:rFonts w:hint="eastAsia" w:ascii="仿宋_GB2312" w:hAnsi="仿宋_GB2312" w:eastAsia="仿宋_GB2312" w:cs="宋体"/>
          <w:b w:val="0"/>
          <w:sz w:val="32"/>
          <w:szCs w:val="32"/>
        </w:rPr>
        <w:t>四川省行政执法监督条例</w:t>
      </w:r>
    </w:p>
    <w:p>
      <w:pPr>
        <w:ind w:firstLine="640" w:firstLineChars="200"/>
        <w:rPr>
          <w:rFonts w:ascii="仿宋_GB2312" w:hAnsi="仿宋_GB2312" w:eastAsia="仿宋_GB2312" w:cs="Times New Roman"/>
          <w:b w:val="0"/>
          <w:sz w:val="32"/>
          <w:szCs w:val="32"/>
        </w:rPr>
      </w:pPr>
      <w:r>
        <w:rPr>
          <w:rFonts w:hint="eastAsia" w:ascii="仿宋_GB2312" w:hAnsi="仿宋_GB2312" w:eastAsia="仿宋_GB2312" w:cs="宋体"/>
          <w:b w:val="0"/>
          <w:sz w:val="32"/>
          <w:szCs w:val="32"/>
        </w:rPr>
        <w:t>行政机关公务员处分条例</w:t>
      </w:r>
    </w:p>
    <w:p>
      <w:pPr>
        <w:ind w:firstLine="640" w:firstLineChars="200"/>
        <w:rPr>
          <w:rFonts w:hint="eastAsia" w:ascii="仿宋_GB2312" w:hAnsi="仿宋_GB2312" w:eastAsia="仿宋_GB2312" w:cs="宋体"/>
          <w:b w:val="0"/>
          <w:sz w:val="32"/>
          <w:szCs w:val="32"/>
          <w:lang w:eastAsia="zh-CN"/>
        </w:rPr>
      </w:pPr>
      <w:r>
        <w:rPr>
          <w:rFonts w:hint="eastAsia" w:ascii="仿宋_GB2312" w:hAnsi="仿宋_GB2312" w:eastAsia="仿宋_GB2312" w:cs="宋体"/>
          <w:b w:val="0"/>
          <w:sz w:val="32"/>
          <w:szCs w:val="32"/>
        </w:rPr>
        <w:t>事业单位工作人员处分暂行规</w:t>
      </w:r>
      <w:r>
        <w:rPr>
          <w:rFonts w:hint="eastAsia" w:ascii="仿宋_GB2312" w:hAnsi="仿宋_GB2312" w:eastAsia="仿宋_GB2312" w:cs="宋体"/>
          <w:b w:val="0"/>
          <w:sz w:val="32"/>
          <w:szCs w:val="32"/>
          <w:lang w:eastAsia="zh-CN"/>
        </w:rPr>
        <w:t>定</w:t>
      </w:r>
    </w:p>
    <w:p>
      <w:pPr>
        <w:ind w:firstLine="640" w:firstLineChars="200"/>
        <w:rPr>
          <w:rFonts w:ascii="黑体" w:hAnsi="黑体" w:eastAsia="黑体" w:cs="Times New Roman"/>
          <w:sz w:val="32"/>
          <w:szCs w:val="32"/>
        </w:rPr>
      </w:pPr>
      <w:r>
        <w:rPr>
          <w:rFonts w:hint="eastAsia" w:ascii="黑体" w:hAnsi="黑体" w:eastAsia="黑体" w:cs="黑体"/>
          <w:sz w:val="32"/>
          <w:szCs w:val="32"/>
        </w:rPr>
        <w:t>六、剑阁</w:t>
      </w:r>
      <w:r>
        <w:rPr>
          <w:rFonts w:hint="eastAsia" w:ascii="黑体" w:hAnsi="黑体" w:eastAsia="黑体" w:cs="黑体"/>
          <w:sz w:val="32"/>
          <w:szCs w:val="32"/>
          <w:lang w:eastAsia="zh-CN"/>
        </w:rPr>
        <w:t>县商务和经济合作</w:t>
      </w:r>
      <w:r>
        <w:rPr>
          <w:rFonts w:hint="eastAsia" w:ascii="黑体" w:hAnsi="黑体" w:eastAsia="黑体" w:cs="黑体"/>
          <w:sz w:val="32"/>
          <w:szCs w:val="32"/>
        </w:rPr>
        <w:t>局行政执法自由裁量标准</w:t>
      </w:r>
    </w:p>
    <w:p>
      <w:pPr>
        <w:ind w:firstLine="640" w:firstLineChars="200"/>
        <w:rPr>
          <w:rFonts w:ascii="仿宋_GB2312" w:hAnsi="仿宋_GB2312" w:eastAsia="仿宋_GB2312" w:cs="宋体"/>
          <w:sz w:val="32"/>
          <w:szCs w:val="24"/>
        </w:rPr>
      </w:pPr>
      <w:r>
        <w:rPr>
          <w:rFonts w:ascii="仿宋_GB2312" w:hAnsi="仿宋_GB2312" w:eastAsia="仿宋_GB2312" w:cs="宋体"/>
          <w:sz w:val="32"/>
          <w:szCs w:val="24"/>
        </w:rPr>
        <w:t>《四川省规范行政执法裁量权规定》</w:t>
      </w:r>
      <w:r>
        <w:rPr>
          <w:rFonts w:hint="eastAsia" w:ascii="仿宋_GB2312" w:hAnsi="仿宋_GB2312" w:eastAsia="仿宋_GB2312" w:cs="宋体"/>
          <w:sz w:val="32"/>
          <w:szCs w:val="24"/>
          <w:lang w:val="en-US" w:eastAsia="zh-CN"/>
        </w:rPr>
        <w:t xml:space="preserve">      </w:t>
      </w:r>
      <w:r>
        <w:rPr>
          <w:rFonts w:ascii="仿宋_GB2312" w:hAnsi="仿宋_GB2312" w:eastAsia="仿宋_GB2312" w:cs="宋体"/>
          <w:sz w:val="32"/>
          <w:szCs w:val="24"/>
        </w:rPr>
        <w:t>四川省人民政府令第278号公布2014年5月17日</w:t>
      </w:r>
    </w:p>
    <w:p>
      <w:pPr>
        <w:ind w:firstLine="640" w:firstLineChars="200"/>
        <w:rPr>
          <w:rFonts w:hint="default" w:ascii="仿宋_GB2312" w:hAnsi="仿宋_GB2312" w:eastAsia="仿宋_GB2312" w:cs="宋体"/>
          <w:b w:val="0"/>
          <w:sz w:val="32"/>
          <w:szCs w:val="24"/>
          <w:lang w:val="en-US"/>
        </w:rPr>
      </w:pPr>
      <w:r>
        <w:rPr>
          <w:rFonts w:hint="eastAsia" w:ascii="仿宋_GB2312" w:hAnsi="仿宋_GB2312" w:eastAsia="仿宋_GB2312" w:cs="黑体"/>
          <w:b w:val="0"/>
          <w:bCs/>
          <w:sz w:val="32"/>
          <w:szCs w:val="52"/>
          <w:lang w:eastAsia="zh-CN"/>
        </w:rPr>
        <w:t>《剑阁县商务局行政权力裁量权标准实施办法》</w:t>
      </w:r>
      <w:r>
        <w:rPr>
          <w:rFonts w:hint="eastAsia" w:ascii="仿宋_GB2312" w:hAnsi="仿宋_GB2312" w:eastAsia="仿宋_GB2312" w:cs="黑体"/>
          <w:b w:val="0"/>
          <w:bCs/>
          <w:sz w:val="32"/>
          <w:szCs w:val="52"/>
          <w:lang w:val="en-US" w:eastAsia="zh-CN"/>
        </w:rPr>
        <w:t>2016年12月19日</w:t>
      </w:r>
    </w:p>
    <w:p>
      <w:pPr>
        <w:ind w:firstLine="640" w:firstLineChars="200"/>
        <w:rPr>
          <w:rFonts w:hint="eastAsia" w:ascii="仿宋_GB2312" w:hAnsi="仿宋_GB2312" w:eastAsia="仿宋_GB2312" w:cs="宋体"/>
          <w:b w:val="0"/>
          <w:sz w:val="32"/>
          <w:szCs w:val="32"/>
          <w:lang w:eastAsia="zh-CN"/>
        </w:rPr>
        <w:sectPr>
          <w:pgSz w:w="11906" w:h="16838"/>
          <w:pgMar w:top="2098" w:right="1474" w:bottom="1814" w:left="1588" w:header="851" w:footer="1588"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黑体" w:hAnsi="黑体" w:eastAsia="黑体" w:cs="黑体"/>
          <w:sz w:val="32"/>
          <w:szCs w:val="32"/>
        </w:rPr>
        <w:sectPr>
          <w:pgSz w:w="16838" w:h="11906" w:orient="landscape"/>
          <w:pgMar w:top="1701" w:right="1418" w:bottom="1701" w:left="1418" w:header="851" w:footer="1418" w:gutter="0"/>
          <w:pgBorders>
            <w:top w:val="none" w:sz="0" w:space="0"/>
            <w:left w:val="none" w:sz="0" w:space="0"/>
            <w:bottom w:val="none" w:sz="0" w:space="0"/>
            <w:right w:val="none" w:sz="0" w:space="0"/>
          </w:pgBorders>
          <w:pgNumType w:fmt="decimal"/>
          <w:cols w:space="425" w:num="1"/>
          <w:docGrid w:type="linesAndChars" w:linePitch="312" w:charSpace="0"/>
        </w:sectPr>
      </w:pPr>
    </w:p>
    <w:p>
      <w:pPr>
        <w:rPr>
          <w:rFonts w:ascii="黑体" w:hAnsi="黑体" w:eastAsia="黑体" w:cs="Times New Roman"/>
          <w:sz w:val="30"/>
          <w:szCs w:val="32"/>
        </w:rPr>
      </w:pPr>
      <w:r>
        <w:rPr>
          <w:rFonts w:hint="eastAsia" w:ascii="仿宋_GB2312" w:hAnsi="仿宋_GB2312" w:eastAsia="黑体" w:cs="黑体"/>
          <w:sz w:val="30"/>
          <w:szCs w:val="32"/>
        </w:rPr>
        <w:t>七、剑阁</w:t>
      </w:r>
      <w:r>
        <w:rPr>
          <w:rFonts w:hint="eastAsia" w:ascii="仿宋_GB2312" w:hAnsi="仿宋_GB2312" w:eastAsia="黑体" w:cs="黑体"/>
          <w:sz w:val="30"/>
          <w:szCs w:val="32"/>
          <w:lang w:eastAsia="zh-CN"/>
        </w:rPr>
        <w:t>县商务和经济合作</w:t>
      </w:r>
      <w:r>
        <w:rPr>
          <w:rFonts w:hint="eastAsia" w:ascii="仿宋_GB2312" w:hAnsi="仿宋_GB2312" w:eastAsia="黑体" w:cs="黑体"/>
          <w:sz w:val="30"/>
          <w:szCs w:val="32"/>
        </w:rPr>
        <w:t>局随机抽查事项清单、市场主体库（检查对象名录库）、</w:t>
      </w:r>
      <w:r>
        <w:rPr>
          <w:rFonts w:ascii="仿宋_GB2312" w:hAnsi="仿宋_GB2312" w:eastAsia="黑体" w:cs="黑体"/>
          <w:sz w:val="30"/>
          <w:szCs w:val="32"/>
        </w:rPr>
        <w:t>2020</w:t>
      </w:r>
      <w:r>
        <w:rPr>
          <w:rFonts w:hint="eastAsia" w:ascii="仿宋_GB2312" w:hAnsi="仿宋_GB2312" w:eastAsia="黑体" w:cs="黑体"/>
          <w:sz w:val="30"/>
          <w:szCs w:val="32"/>
        </w:rPr>
        <w:t>年抽查计划</w:t>
      </w:r>
    </w:p>
    <w:p>
      <w:pPr>
        <w:ind w:firstLine="150" w:firstLineChars="50"/>
        <w:rPr>
          <w:rFonts w:ascii="仿宋_GB2312" w:hAnsi="仿宋_GB2312" w:eastAsia="仿宋_GB2312" w:cs="Times New Roman"/>
          <w:sz w:val="30"/>
          <w:szCs w:val="32"/>
        </w:rPr>
      </w:pPr>
      <w:r>
        <w:rPr>
          <w:rFonts w:ascii="仿宋_GB2312" w:hAnsi="仿宋_GB2312" w:eastAsia="仿宋_GB2312" w:cs="黑体"/>
          <w:sz w:val="30"/>
          <w:szCs w:val="32"/>
        </w:rPr>
        <w:t>1</w:t>
      </w:r>
      <w:r>
        <w:rPr>
          <w:rFonts w:hint="eastAsia" w:ascii="仿宋_GB2312" w:hAnsi="仿宋_GB2312" w:eastAsia="仿宋_GB2312" w:cs="黑体"/>
          <w:sz w:val="30"/>
          <w:szCs w:val="32"/>
        </w:rPr>
        <w:t>、</w:t>
      </w:r>
      <w:r>
        <w:rPr>
          <w:rFonts w:hint="eastAsia" w:ascii="仿宋_GB2312" w:hAnsi="仿宋_GB2312" w:eastAsia="仿宋_GB2312" w:cs="宋体"/>
          <w:sz w:val="30"/>
          <w:szCs w:val="44"/>
        </w:rPr>
        <w:t>县</w:t>
      </w:r>
      <w:r>
        <w:rPr>
          <w:rFonts w:hint="eastAsia" w:ascii="仿宋_GB2312" w:hAnsi="仿宋_GB2312" w:eastAsia="仿宋_GB2312" w:cs="宋体"/>
          <w:sz w:val="30"/>
          <w:szCs w:val="44"/>
          <w:lang w:eastAsia="zh-CN"/>
        </w:rPr>
        <w:t>商务和经济合作</w:t>
      </w:r>
      <w:r>
        <w:rPr>
          <w:rFonts w:hint="eastAsia" w:ascii="仿宋_GB2312" w:hAnsi="仿宋_GB2312" w:eastAsia="仿宋_GB2312" w:cs="宋体"/>
          <w:sz w:val="30"/>
          <w:szCs w:val="44"/>
        </w:rPr>
        <w:t>局随机抽查检查事项清单</w:t>
      </w:r>
    </w:p>
    <w:tbl>
      <w:tblPr>
        <w:tblStyle w:val="7"/>
        <w:tblW w:w="14633" w:type="dxa"/>
        <w:jc w:val="center"/>
        <w:tblLayout w:type="fixed"/>
        <w:tblCellMar>
          <w:top w:w="0" w:type="dxa"/>
          <w:left w:w="108" w:type="dxa"/>
          <w:bottom w:w="0" w:type="dxa"/>
          <w:right w:w="108" w:type="dxa"/>
        </w:tblCellMar>
      </w:tblPr>
      <w:tblGrid>
        <w:gridCol w:w="675"/>
        <w:gridCol w:w="1167"/>
        <w:gridCol w:w="1200"/>
        <w:gridCol w:w="6360"/>
        <w:gridCol w:w="975"/>
        <w:gridCol w:w="1620"/>
        <w:gridCol w:w="690"/>
        <w:gridCol w:w="1275"/>
        <w:gridCol w:w="671"/>
      </w:tblGrid>
      <w:tr>
        <w:tblPrEx>
          <w:tblCellMar>
            <w:top w:w="0" w:type="dxa"/>
            <w:left w:w="108" w:type="dxa"/>
            <w:bottom w:w="0" w:type="dxa"/>
            <w:right w:w="108" w:type="dxa"/>
          </w:tblCellMar>
        </w:tblPrEx>
        <w:trPr>
          <w:trHeight w:val="104" w:hRule="atLeast"/>
          <w:tblHeader/>
          <w:jc w:val="center"/>
        </w:trPr>
        <w:tc>
          <w:tcPr>
            <w:tcW w:w="675" w:type="dxa"/>
            <w:tcBorders>
              <w:top w:val="single" w:color="auto" w:sz="4" w:space="0"/>
              <w:left w:val="single" w:color="auto" w:sz="4" w:space="0"/>
              <w:bottom w:val="single" w:color="auto" w:sz="4" w:space="0"/>
              <w:right w:val="single" w:color="auto" w:sz="4" w:space="0"/>
            </w:tcBorders>
            <w:vAlign w:val="center"/>
          </w:tcPr>
          <w:p>
            <w:pPr>
              <w:spacing w:line="240" w:lineRule="exact"/>
              <w:ind w:right="72"/>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67"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抽查事项</w:t>
            </w: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名    称</w:t>
            </w:r>
          </w:p>
        </w:tc>
        <w:tc>
          <w:tcPr>
            <w:tcW w:w="1200" w:type="dxa"/>
            <w:tcBorders>
              <w:top w:val="single" w:color="auto" w:sz="4" w:space="0"/>
              <w:left w:val="nil"/>
              <w:bottom w:val="single" w:color="auto" w:sz="4" w:space="0"/>
              <w:right w:val="single" w:color="auto" w:sz="4" w:space="0"/>
            </w:tcBorders>
            <w:vAlign w:val="center"/>
          </w:tcPr>
          <w:p>
            <w:pPr>
              <w:spacing w:line="240" w:lineRule="exact"/>
              <w:ind w:right="188"/>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检查主体</w:t>
            </w:r>
          </w:p>
        </w:tc>
        <w:tc>
          <w:tcPr>
            <w:tcW w:w="6360" w:type="dxa"/>
            <w:tcBorders>
              <w:top w:val="single" w:color="auto" w:sz="4" w:space="0"/>
              <w:left w:val="nil"/>
              <w:bottom w:val="single" w:color="auto" w:sz="4" w:space="0"/>
              <w:right w:val="single" w:color="auto" w:sz="4" w:space="0"/>
            </w:tcBorders>
            <w:vAlign w:val="center"/>
          </w:tcPr>
          <w:p>
            <w:pPr>
              <w:spacing w:line="240" w:lineRule="exact"/>
              <w:ind w:right="143"/>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检查依据</w:t>
            </w:r>
          </w:p>
        </w:tc>
        <w:tc>
          <w:tcPr>
            <w:tcW w:w="975" w:type="dxa"/>
            <w:tcBorders>
              <w:top w:val="single" w:color="auto" w:sz="4" w:space="0"/>
              <w:left w:val="nil"/>
              <w:bottom w:val="single" w:color="auto" w:sz="4" w:space="0"/>
              <w:right w:val="single" w:color="auto" w:sz="4" w:space="0"/>
            </w:tcBorders>
            <w:vAlign w:val="center"/>
          </w:tcPr>
          <w:p>
            <w:pPr>
              <w:spacing w:line="240" w:lineRule="exact"/>
              <w:ind w:right="98"/>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检查对象</w:t>
            </w:r>
          </w:p>
        </w:tc>
        <w:tc>
          <w:tcPr>
            <w:tcW w:w="1620" w:type="dxa"/>
            <w:tcBorders>
              <w:top w:val="single" w:color="auto" w:sz="4" w:space="0"/>
              <w:left w:val="nil"/>
              <w:bottom w:val="single" w:color="auto" w:sz="4" w:space="0"/>
              <w:right w:val="single" w:color="auto" w:sz="4" w:space="0"/>
            </w:tcBorders>
            <w:vAlign w:val="center"/>
          </w:tcPr>
          <w:p>
            <w:pPr>
              <w:spacing w:line="240" w:lineRule="exact"/>
              <w:ind w:right="-127"/>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检查内容</w:t>
            </w:r>
          </w:p>
        </w:tc>
        <w:tc>
          <w:tcPr>
            <w:tcW w:w="690"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抽查比例</w:t>
            </w:r>
          </w:p>
        </w:tc>
        <w:tc>
          <w:tcPr>
            <w:tcW w:w="1275"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抽查方式</w:t>
            </w:r>
          </w:p>
        </w:tc>
        <w:tc>
          <w:tcPr>
            <w:tcW w:w="671" w:type="dxa"/>
            <w:tcBorders>
              <w:top w:val="single" w:color="auto" w:sz="4" w:space="0"/>
              <w:left w:val="nil"/>
              <w:bottom w:val="single" w:color="auto" w:sz="4" w:space="0"/>
              <w:right w:val="single" w:color="auto" w:sz="4" w:space="0"/>
            </w:tcBorders>
            <w:vAlign w:val="center"/>
          </w:tcPr>
          <w:p>
            <w:pPr>
              <w:spacing w:line="240" w:lineRule="exact"/>
              <w:ind w:right="-82"/>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CellMar>
            <w:top w:w="0" w:type="dxa"/>
            <w:left w:w="108" w:type="dxa"/>
            <w:bottom w:w="0" w:type="dxa"/>
            <w:right w:w="108" w:type="dxa"/>
          </w:tblCellMar>
        </w:tblPrEx>
        <w:trPr>
          <w:trHeight w:val="307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对餐饮业的监管检查</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《餐饮业经营管理办法（试行）》（国家发展改革委 商务部令2014年第4号）第三条 商务部负责全国餐饮行业管理工作，制定行业规划、政策和标准，开展行业统计，规范行业秩序。地方各级人民政府商务主管部门负责本行政区域内餐饮业行业管理工作。                           </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第二十一条 商务、价格等主管部门依照法律法规、规章及有关规定，在各自职责范围内对餐饮业经营行为进行监督管理。                                                                       对于餐饮经营者违反本办法的行为，法律法规及规章有规定的，商务主管部门可提请有关部门依法处罚；没有规定的，由商务主管部门责令限期改正，其中有违法所得的，可处违法所得3倍以下罚款，但最高不超过3万元；没有违法所得的，可处1万元以下罚款；对涉嫌犯罪的，依法移送司法机关处理。 商务、价格等主管部门应当自作出行政处罚决定之日起20个工作日内，公开行政处罚决定书的主要内容，但行政处罚决定书中涉及国家秘密、商业秘密、个人隐私的内容依法不予公开。       </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餐饮企业</w:t>
            </w:r>
          </w:p>
        </w:tc>
        <w:tc>
          <w:tcPr>
            <w:tcW w:w="162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食品是否安全、企业是否存在安全隐患等</w:t>
            </w:r>
          </w:p>
        </w:tc>
        <w:tc>
          <w:tcPr>
            <w:tcW w:w="690" w:type="dxa"/>
            <w:tcBorders>
              <w:top w:val="single" w:color="auto" w:sz="4" w:space="0"/>
              <w:left w:val="nil"/>
              <w:bottom w:val="single" w:color="auto" w:sz="4" w:space="0"/>
              <w:right w:val="single" w:color="auto" w:sz="4" w:space="0"/>
            </w:tcBorders>
          </w:tcPr>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p>
            <w:pPr>
              <w:spacing w:line="240" w:lineRule="exact"/>
              <w:ind w:right="320"/>
              <w:jc w:val="center"/>
              <w:rPr>
                <w:rFonts w:hint="eastAsia" w:ascii="仿宋_GB2312" w:hAnsi="仿宋_GB2312" w:eastAsia="仿宋_GB2312" w:cs="仿宋_GB2312"/>
                <w:sz w:val="18"/>
                <w:szCs w:val="18"/>
              </w:rPr>
            </w:pPr>
          </w:p>
        </w:tc>
        <w:tc>
          <w:tcPr>
            <w:tcW w:w="1275" w:type="dxa"/>
            <w:tcBorders>
              <w:top w:val="single" w:color="auto" w:sz="4" w:space="0"/>
              <w:left w:val="nil"/>
              <w:bottom w:val="single" w:color="auto" w:sz="4" w:space="0"/>
              <w:right w:val="single" w:color="auto" w:sz="4" w:space="0"/>
            </w:tcBorders>
          </w:tcPr>
          <w:p>
            <w:pPr>
              <w:spacing w:line="240" w:lineRule="exact"/>
              <w:ind w:right="320"/>
              <w:jc w:val="both"/>
              <w:rPr>
                <w:rFonts w:hint="eastAsia" w:ascii="仿宋_GB2312" w:hAnsi="仿宋_GB2312" w:eastAsia="仿宋_GB2312" w:cs="仿宋_GB2312"/>
                <w:kern w:val="0"/>
                <w:sz w:val="18"/>
                <w:szCs w:val="18"/>
              </w:rPr>
            </w:pPr>
          </w:p>
          <w:p>
            <w:pPr>
              <w:spacing w:line="240" w:lineRule="exact"/>
              <w:ind w:right="320"/>
              <w:jc w:val="both"/>
              <w:rPr>
                <w:rFonts w:hint="eastAsia" w:ascii="仿宋_GB2312" w:hAnsi="仿宋_GB2312" w:eastAsia="仿宋_GB2312" w:cs="仿宋_GB2312"/>
                <w:kern w:val="0"/>
                <w:sz w:val="18"/>
                <w:szCs w:val="18"/>
              </w:rPr>
            </w:pPr>
          </w:p>
          <w:p>
            <w:pPr>
              <w:spacing w:line="240" w:lineRule="exact"/>
              <w:ind w:right="320"/>
              <w:jc w:val="both"/>
              <w:rPr>
                <w:rFonts w:hint="eastAsia" w:ascii="仿宋_GB2312" w:hAnsi="仿宋_GB2312" w:eastAsia="仿宋_GB2312" w:cs="仿宋_GB2312"/>
                <w:kern w:val="0"/>
                <w:sz w:val="18"/>
                <w:szCs w:val="18"/>
              </w:rPr>
            </w:pPr>
          </w:p>
          <w:p>
            <w:pPr>
              <w:spacing w:line="240" w:lineRule="exact"/>
              <w:ind w:right="320"/>
              <w:jc w:val="both"/>
              <w:rPr>
                <w:rFonts w:hint="eastAsia" w:ascii="仿宋_GB2312" w:hAnsi="仿宋_GB2312" w:eastAsia="仿宋_GB2312" w:cs="仿宋_GB2312"/>
                <w:kern w:val="0"/>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tc>
      </w:tr>
      <w:tr>
        <w:tblPrEx>
          <w:tblCellMar>
            <w:top w:w="0" w:type="dxa"/>
            <w:left w:w="108" w:type="dxa"/>
            <w:bottom w:w="0" w:type="dxa"/>
            <w:right w:w="108" w:type="dxa"/>
          </w:tblCellMar>
        </w:tblPrEx>
        <w:trPr>
          <w:trHeight w:val="18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11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对发放单用途商业预付卡企业的监督</w:t>
            </w:r>
          </w:p>
        </w:tc>
        <w:tc>
          <w:tcPr>
            <w:tcW w:w="1200" w:type="dxa"/>
            <w:tcBorders>
              <w:top w:val="single" w:color="auto" w:sz="4" w:space="0"/>
              <w:left w:val="nil"/>
              <w:bottom w:val="single" w:color="auto" w:sz="4" w:space="0"/>
              <w:right w:val="single" w:color="auto" w:sz="4" w:space="0"/>
            </w:tcBorders>
          </w:tcPr>
          <w:p>
            <w:pPr>
              <w:spacing w:line="240" w:lineRule="exact"/>
              <w:ind w:right="368"/>
              <w:jc w:val="both"/>
              <w:rPr>
                <w:rFonts w:hint="eastAsia" w:ascii="仿宋_GB2312" w:hAnsi="仿宋_GB2312" w:eastAsia="仿宋_GB2312" w:cs="仿宋_GB2312"/>
                <w:sz w:val="18"/>
                <w:szCs w:val="18"/>
              </w:rPr>
            </w:pPr>
          </w:p>
          <w:p>
            <w:pPr>
              <w:spacing w:line="240" w:lineRule="exact"/>
              <w:ind w:right="368"/>
              <w:jc w:val="both"/>
              <w:rPr>
                <w:rFonts w:hint="eastAsia" w:ascii="仿宋_GB2312" w:hAnsi="仿宋_GB2312" w:eastAsia="仿宋_GB2312" w:cs="仿宋_GB2312"/>
                <w:sz w:val="18"/>
                <w:szCs w:val="18"/>
              </w:rPr>
            </w:pPr>
          </w:p>
          <w:p>
            <w:pPr>
              <w:spacing w:line="240" w:lineRule="exact"/>
              <w:ind w:right="368"/>
              <w:jc w:val="both"/>
              <w:rPr>
                <w:rFonts w:hint="eastAsia" w:ascii="仿宋_GB2312" w:hAnsi="仿宋_GB2312" w:eastAsia="仿宋_GB2312" w:cs="仿宋_GB2312"/>
                <w:sz w:val="18"/>
                <w:szCs w:val="18"/>
              </w:rPr>
            </w:pPr>
          </w:p>
          <w:p>
            <w:pPr>
              <w:spacing w:line="240" w:lineRule="exact"/>
              <w:ind w:right="368"/>
              <w:jc w:val="both"/>
              <w:rPr>
                <w:rFonts w:hint="eastAsia" w:ascii="仿宋_GB2312" w:hAnsi="仿宋_GB2312" w:eastAsia="仿宋_GB2312" w:cs="仿宋_GB2312"/>
                <w:sz w:val="18"/>
                <w:szCs w:val="18"/>
              </w:rPr>
            </w:pPr>
          </w:p>
          <w:p>
            <w:pPr>
              <w:spacing w:line="240" w:lineRule="exact"/>
              <w:ind w:right="368"/>
              <w:jc w:val="both"/>
              <w:rPr>
                <w:rFonts w:hint="eastAsia" w:ascii="仿宋_GB2312" w:hAnsi="仿宋_GB2312" w:eastAsia="仿宋_GB2312" w:cs="仿宋_GB2312"/>
                <w:sz w:val="18"/>
                <w:szCs w:val="18"/>
              </w:rPr>
            </w:pPr>
          </w:p>
          <w:p>
            <w:pPr>
              <w:spacing w:line="240" w:lineRule="exact"/>
              <w:ind w:right="368"/>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《单用途商业预付卡管理办法（试行）》（商务部2012年第9号令）                        第三十三条  商务部和地方人民政府商务主管部门应对发卡企业和售卡企业的单用途卡业务活动、内部控制和风险状况等进行定期或不定期的现场及非现场检查。发卡企业和售卡企业应配合商务主管部门的检查。  第三十六条 发卡企业违反本办法第七条规定的，由违法行为发生地县级以上地方人民政府商务主管部门责令限期改正；逾期仍不改正的，处以1万元以上3万元以下罚款   </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 第三十七条  发卡企业或售卡企业违反本办法第十四条至第二十二条规定的，由违法行为发生地县级以上地方人民政府商务主管部门责令限期改正；逾期仍不改正的，处以1万元以上3万元以下的罚款。                                 发卡企业违反本办法第二十四至第二十七条、第三十一条规定的，由备案机关责令限期改正；逾期仍不改正的，处以1万元以上3万元以下的罚款。集团发卡企业、品牌发卡企业疏于管理，其隶属的售卡企业12个月内3次违反本办法规定受到行政处罚的，备案机关可以对企业处以3万元以下的罚款。                      第三十八条  发卡企业违反本办法第二十九条规定，造成重大损失的，由备案机关处以1万元以上3万元以下的罚款。 </w:t>
            </w:r>
          </w:p>
        </w:tc>
        <w:tc>
          <w:tcPr>
            <w:tcW w:w="975" w:type="dxa"/>
            <w:tcBorders>
              <w:top w:val="single" w:color="auto" w:sz="4" w:space="0"/>
              <w:left w:val="nil"/>
              <w:bottom w:val="single" w:color="auto" w:sz="4" w:space="0"/>
              <w:right w:val="single" w:color="auto" w:sz="4" w:space="0"/>
            </w:tcBorders>
          </w:tcPr>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单用途商业预付卡企业</w:t>
            </w:r>
          </w:p>
        </w:tc>
        <w:tc>
          <w:tcPr>
            <w:tcW w:w="162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单用途商业预付卡发卡企业的备案情况</w:t>
            </w:r>
          </w:p>
        </w:tc>
        <w:tc>
          <w:tcPr>
            <w:tcW w:w="690" w:type="dxa"/>
            <w:tcBorders>
              <w:top w:val="single" w:color="auto" w:sz="4" w:space="0"/>
              <w:left w:val="nil"/>
              <w:bottom w:val="single" w:color="auto" w:sz="4" w:space="0"/>
              <w:right w:val="single" w:color="auto" w:sz="4" w:space="0"/>
            </w:tcBorders>
            <w:vAlign w:val="top"/>
          </w:tcPr>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p>
            <w:pPr>
              <w:spacing w:line="240" w:lineRule="exact"/>
              <w:ind w:right="320" w:rightChars="0"/>
              <w:jc w:val="center"/>
              <w:rPr>
                <w:rFonts w:hint="default" w:ascii="仿宋_GB2312" w:hAnsi="仿宋_GB2312" w:eastAsia="仿宋_GB2312" w:cs="仿宋_GB2312"/>
                <w:kern w:val="2"/>
                <w:sz w:val="18"/>
                <w:szCs w:val="18"/>
                <w:lang w:val="en-US" w:eastAsia="zh-CN" w:bidi="ar-SA"/>
              </w:rPr>
            </w:pPr>
          </w:p>
        </w:tc>
        <w:tc>
          <w:tcPr>
            <w:tcW w:w="1275" w:type="dxa"/>
            <w:tcBorders>
              <w:top w:val="single" w:color="auto" w:sz="4" w:space="0"/>
              <w:left w:val="nil"/>
              <w:bottom w:val="single" w:color="auto" w:sz="4" w:space="0"/>
              <w:right w:val="single" w:color="auto" w:sz="4" w:space="0"/>
            </w:tcBorders>
          </w:tcPr>
          <w:p>
            <w:pPr>
              <w:spacing w:line="240" w:lineRule="exact"/>
              <w:ind w:left="178" w:leftChars="85" w:right="320" w:firstLine="720" w:firstLineChars="400"/>
              <w:jc w:val="both"/>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 xml:space="preserve"> </w:t>
            </w:r>
          </w:p>
          <w:p>
            <w:pPr>
              <w:spacing w:line="240" w:lineRule="exact"/>
              <w:ind w:left="178" w:leftChars="85" w:right="320" w:firstLine="720" w:firstLineChars="400"/>
              <w:jc w:val="both"/>
              <w:rPr>
                <w:rFonts w:hint="eastAsia" w:ascii="仿宋_GB2312" w:hAnsi="仿宋_GB2312" w:eastAsia="仿宋_GB2312" w:cs="仿宋_GB2312"/>
                <w:sz w:val="18"/>
                <w:szCs w:val="18"/>
                <w:lang w:val="en-US" w:eastAsia="zh-CN"/>
              </w:rPr>
            </w:pPr>
          </w:p>
          <w:p>
            <w:pPr>
              <w:spacing w:line="240" w:lineRule="exact"/>
              <w:ind w:left="178" w:leftChars="85" w:right="320" w:firstLine="720" w:firstLineChars="400"/>
              <w:jc w:val="both"/>
              <w:rPr>
                <w:rFonts w:hint="eastAsia" w:ascii="仿宋_GB2312" w:hAnsi="仿宋_GB2312" w:eastAsia="仿宋_GB2312" w:cs="仿宋_GB2312"/>
                <w:sz w:val="18"/>
                <w:szCs w:val="18"/>
                <w:lang w:val="en-US" w:eastAsia="zh-CN"/>
              </w:rPr>
            </w:pPr>
          </w:p>
          <w:p>
            <w:pPr>
              <w:spacing w:line="240" w:lineRule="exact"/>
              <w:ind w:left="178" w:leftChars="85" w:right="320" w:firstLine="720" w:firstLineChars="400"/>
              <w:jc w:val="both"/>
              <w:rPr>
                <w:rFonts w:hint="eastAsia" w:ascii="仿宋_GB2312" w:hAnsi="仿宋_GB2312" w:eastAsia="仿宋_GB2312" w:cs="仿宋_GB2312"/>
                <w:sz w:val="18"/>
                <w:szCs w:val="18"/>
                <w:lang w:val="en-US" w:eastAsia="zh-CN"/>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rPr>
            </w:pPr>
          </w:p>
        </w:tc>
      </w:tr>
      <w:tr>
        <w:tblPrEx>
          <w:tblCellMar>
            <w:top w:w="0" w:type="dxa"/>
            <w:left w:w="108" w:type="dxa"/>
            <w:bottom w:w="0" w:type="dxa"/>
            <w:right w:w="108" w:type="dxa"/>
          </w:tblCellMar>
        </w:tblPrEx>
        <w:trPr>
          <w:trHeight w:val="237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对美容美发业的监管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《美容美发业管理暂行办法》（商务部令2004年第19号）第三条  　商务部主管全国美容美发业工作，各级商务主管部门在本行政区域内对美容美发业</w:t>
            </w:r>
            <w:r>
              <w:rPr>
                <w:rFonts w:hint="eastAsia" w:ascii="仿宋_GB2312" w:hAnsi="仿宋_GB2312" w:eastAsia="仿宋_GB2312" w:cs="仿宋_GB2312"/>
                <w:sz w:val="18"/>
                <w:szCs w:val="18"/>
                <w:lang w:eastAsia="zh-CN"/>
              </w:rPr>
              <w:t>金</w:t>
            </w:r>
            <w:r>
              <w:rPr>
                <w:rFonts w:hint="eastAsia" w:ascii="仿宋_GB2312" w:hAnsi="仿宋_GB2312" w:eastAsia="仿宋_GB2312" w:cs="仿宋_GB2312"/>
                <w:sz w:val="18"/>
                <w:szCs w:val="18"/>
              </w:rPr>
              <w:t xml:space="preserve">行指导、协调、监督和管理。                     </w:t>
            </w:r>
          </w:p>
          <w:p>
            <w:pPr>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第十八条   各级商务主管部门对于违反本办法的美容美发经营者可以予以警告，令其限期改正；必要时，可以向社会公告。对依据有关法律、法规应予以处罚的，各级商务主管部门可以提请有关部门依法处罚。</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美容美发企业</w:t>
            </w:r>
          </w:p>
        </w:tc>
        <w:tc>
          <w:tcPr>
            <w:tcW w:w="162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是否在经营场所醒目位置上明示营业执照、卫生许可证、美容美发经营者备案登记证明、服务项目和收费标准、是否存在虚假广告及不正当竞争行为、是否存在超范围经营问题、是否使用和销售假冒伪劣产品</w:t>
            </w:r>
          </w:p>
        </w:tc>
        <w:tc>
          <w:tcPr>
            <w:tcW w:w="690" w:type="dxa"/>
            <w:tcBorders>
              <w:top w:val="single" w:color="auto" w:sz="4" w:space="0"/>
              <w:left w:val="nil"/>
              <w:bottom w:val="single" w:color="auto" w:sz="4" w:space="0"/>
              <w:right w:val="single" w:color="auto" w:sz="4" w:space="0"/>
            </w:tcBorders>
            <w:vAlign w:val="top"/>
          </w:tcPr>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lang w:val="en-US" w:eastAsia="zh-CN"/>
              </w:rPr>
            </w:pPr>
          </w:p>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p>
            <w:pPr>
              <w:spacing w:line="240" w:lineRule="exact"/>
              <w:ind w:right="320" w:rightChars="0"/>
              <w:jc w:val="center"/>
              <w:rPr>
                <w:rFonts w:hint="eastAsia" w:ascii="仿宋_GB2312" w:hAnsi="仿宋_GB2312" w:eastAsia="仿宋_GB2312" w:cs="仿宋_GB2312"/>
                <w:kern w:val="2"/>
                <w:sz w:val="18"/>
                <w:szCs w:val="18"/>
                <w:lang w:val="en-US" w:eastAsia="zh-CN" w:bidi="ar-SA"/>
              </w:rPr>
            </w:pPr>
          </w:p>
        </w:tc>
        <w:tc>
          <w:tcPr>
            <w:tcW w:w="1275"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386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对洗染业的监管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《洗染业管理办法》（商务部令2007第5号）第三条 商务部对全国洗染行业进行指导、协调、监督和管理，地方各级商务主管部门负责本行政区域内洗染行业指导、协调、监督和管理工作。            第二十二条 经营者违反本办法规定，法律法规有规定的，从其规定；没有规定的，由商务、工商、环保部门依据本办法第三条规定的职能责令改正，有违法所得的，可处违法所得3倍以下罚款，但最高不超过3万元；没有违法所得的，可处1万元以下罚款；并可予以公告。     </w:t>
            </w:r>
          </w:p>
        </w:tc>
        <w:tc>
          <w:tcPr>
            <w:tcW w:w="975"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洗染业企业</w:t>
            </w:r>
          </w:p>
        </w:tc>
        <w:tc>
          <w:tcPr>
            <w:tcW w:w="162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企业的规范经营、企业注册情况、消防安全隐患等</w:t>
            </w: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435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5</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对从事家庭服务业的机构的监管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《家庭服务业管理暂行办法》（商务部令2012年第11号）第四条 商务部承担全国家庭服务业行业管理职责，负责监督管理家庭服务机构的服务质量，指导协调合同文本规范和服务矛盾纠纷处理工作。县级以上商务主管部门负责本行政区域内家庭服务业的监督管理。                    第三十二条 家庭服务机构违反本办法第九条规定，未公开服务项目、收费标准和投诉监督电话的，由商务主管部门责令改正；拒不改正的，可处5000元以下罚款。      </w:t>
            </w:r>
          </w:p>
          <w:p>
            <w:pPr>
              <w:adjustRightInd w:val="0"/>
              <w:snapToGrid w:val="0"/>
              <w:spacing w:line="240" w:lineRule="exact"/>
              <w:ind w:firstLine="360" w:firstLine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第三十三条 家庭服务机构违反本办法第十条规定，未按要求建立工作档案、跟踪管理制度，对消费者和家庭服务员之间的投诉不予妥善处理的，由商务主管部门责令改正；拒不改正的，可处2万元以下罚款。 </w:t>
            </w:r>
          </w:p>
          <w:p>
            <w:pPr>
              <w:adjustRightInd w:val="0"/>
              <w:snapToGrid w:val="0"/>
              <w:spacing w:line="240" w:lineRule="exact"/>
              <w:ind w:firstLine="360" w:firstLineChars="200"/>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rPr>
              <w:t xml:space="preserve">第三十四条 家庭服务机构违反本办法第十一条、第二十六条规定，未按要求提供信息的，由商务主管部门责令改正；拒不改正的，可处1万元以下罚款。 </w:t>
            </w:r>
            <w:r>
              <w:rPr>
                <w:rFonts w:hint="eastAsia" w:ascii="仿宋_GB2312" w:hAnsi="仿宋_GB2312" w:eastAsia="仿宋_GB2312" w:cs="仿宋_GB2312"/>
                <w:sz w:val="18"/>
                <w:szCs w:val="18"/>
                <w:lang w:val="en-US" w:eastAsia="zh-CN"/>
              </w:rPr>
              <w:t xml:space="preserve">                 </w:t>
            </w:r>
          </w:p>
          <w:p>
            <w:pPr>
              <w:adjustRightInd w:val="0"/>
              <w:snapToGrid w:val="0"/>
              <w:spacing w:line="240" w:lineRule="exact"/>
              <w:ind w:firstLine="360" w:firstLine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第三十五条 家庭服务机构有本办法第十二条规定行为的，由商务主管部门或有关主管部门责令改正；拒不改正的，属于商务主管部门职责的，可处3万元以下罚款，属于其他部门职责的，由商务主管部门提请有关主管部门处理。     </w:t>
            </w:r>
          </w:p>
        </w:tc>
        <w:tc>
          <w:tcPr>
            <w:tcW w:w="975"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家庭服务业企业</w:t>
            </w:r>
          </w:p>
        </w:tc>
        <w:tc>
          <w:tcPr>
            <w:tcW w:w="162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证照是否齐全，服务项目、收费标准、投诉监督电话是否悬挂上墙，家庭服务合同是否完整，合同文本是否规范；家庭服务人员档案是否完整等</w:t>
            </w: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top"/>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rightChars="0"/>
              <w:jc w:val="center"/>
              <w:rPr>
                <w:rFonts w:hint="eastAsia" w:ascii="仿宋_GB2312" w:hAnsi="仿宋_GB2312" w:eastAsia="仿宋_GB2312" w:cs="仿宋_GB2312"/>
                <w:kern w:val="2"/>
                <w:sz w:val="18"/>
                <w:szCs w:val="18"/>
                <w:lang w:val="en-US" w:eastAsia="zh-CN" w:bidi="ar-SA"/>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vAlign w:val="center"/>
          </w:tcPr>
          <w:p>
            <w:pPr>
              <w:spacing w:line="240" w:lineRule="exact"/>
              <w:ind w:right="320" w:rightChars="0"/>
              <w:jc w:val="center"/>
              <w:rPr>
                <w:rFonts w:hint="eastAsia" w:ascii="仿宋_GB2312" w:hAnsi="仿宋_GB2312" w:eastAsia="仿宋_GB2312" w:cs="仿宋_GB2312"/>
                <w:kern w:val="2"/>
                <w:sz w:val="18"/>
                <w:szCs w:val="18"/>
                <w:lang w:val="en-US" w:eastAsia="zh-CN" w:bidi="ar-SA"/>
              </w:rPr>
            </w:pPr>
          </w:p>
        </w:tc>
      </w:tr>
      <w:tr>
        <w:tblPrEx>
          <w:tblCellMar>
            <w:top w:w="0" w:type="dxa"/>
            <w:left w:w="108" w:type="dxa"/>
            <w:bottom w:w="0" w:type="dxa"/>
            <w:right w:w="108" w:type="dxa"/>
          </w:tblCellMar>
        </w:tblPrEx>
        <w:trPr>
          <w:trHeight w:val="343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6</w:t>
            </w:r>
          </w:p>
        </w:tc>
        <w:tc>
          <w:tcPr>
            <w:tcW w:w="11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对零售商和供应商之间公平交易的管理</w:t>
            </w:r>
          </w:p>
        </w:tc>
        <w:tc>
          <w:tcPr>
            <w:tcW w:w="12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《零售商促销行为管理办法》(商务部令2006年第18号)</w:t>
            </w:r>
          </w:p>
          <w:p>
            <w:pPr>
              <w:adjustRightInd w:val="0"/>
              <w:snapToGrid w:val="0"/>
              <w:spacing w:line="240" w:lineRule="exact"/>
              <w:ind w:firstLine="360" w:firstLine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第二十条　单店营业面积在3000平方米以上的零售商，以新店开业、节庆、店庆等名义开展促销活动，应当在促销活动结束后十五日内，将其明示的促销内容，向经营场所所在地的县级以上（含县级）商务主管部门备案</w:t>
            </w:r>
          </w:p>
          <w:p>
            <w:pPr>
              <w:adjustRightInd w:val="0"/>
              <w:snapToGrid w:val="0"/>
              <w:spacing w:line="240" w:lineRule="exact"/>
              <w:ind w:firstLine="360" w:firstLine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第二十一条　各地商务、价格、税务、工商等部门依照法律法规及有关规定，在各自职责范围内对促销行为进行监督管理。对涉嫌犯罪的，由公安机关依法予以查处</w:t>
            </w:r>
          </w:p>
          <w:p>
            <w:pPr>
              <w:adjustRightInd w:val="0"/>
              <w:snapToGrid w:val="0"/>
              <w:spacing w:line="240" w:lineRule="exact"/>
              <w:ind w:firstLine="360" w:firstLineChars="200"/>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第二十三条　零售商违反本办法规定，法律法规有规定的，从其规定；没有规定的，责令改正，有违法所得的，可处违法所得三倍以下罚款，但最高不超过三万元；没有违法所得的，可处一万元以下罚款；并可予以公告。     </w:t>
            </w: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零售商企业</w:t>
            </w:r>
          </w:p>
        </w:tc>
        <w:tc>
          <w:tcPr>
            <w:tcW w:w="16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零售企业促销服务行为是否规范</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line="240" w:lineRule="exact"/>
              <w:jc w:val="both"/>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kern w:val="2"/>
                <w:sz w:val="18"/>
                <w:szCs w:val="18"/>
                <w:lang w:val="en-US" w:eastAsia="zh-CN" w:bidi="ar-SA"/>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single" w:color="auto" w:sz="4" w:space="0"/>
              <w:bottom w:val="single" w:color="auto" w:sz="4" w:space="0"/>
              <w:right w:val="single" w:color="auto" w:sz="4" w:space="0"/>
            </w:tcBorders>
            <w:vAlign w:val="top"/>
          </w:tcPr>
          <w:p>
            <w:pPr>
              <w:spacing w:line="240" w:lineRule="exact"/>
              <w:ind w:right="320" w:rightChars="0"/>
              <w:jc w:val="center"/>
              <w:rPr>
                <w:rFonts w:hint="eastAsia" w:ascii="仿宋_GB2312" w:hAnsi="仿宋_GB2312" w:eastAsia="仿宋_GB2312" w:cs="仿宋_GB2312"/>
                <w:kern w:val="2"/>
                <w:sz w:val="18"/>
                <w:szCs w:val="18"/>
                <w:lang w:val="en-US" w:eastAsia="zh-CN" w:bidi="ar-SA"/>
              </w:rPr>
            </w:pPr>
          </w:p>
        </w:tc>
      </w:tr>
      <w:tr>
        <w:tblPrEx>
          <w:tblCellMar>
            <w:top w:w="0" w:type="dxa"/>
            <w:left w:w="108" w:type="dxa"/>
            <w:bottom w:w="0" w:type="dxa"/>
            <w:right w:w="108" w:type="dxa"/>
          </w:tblCellMar>
        </w:tblPrEx>
        <w:trPr>
          <w:trHeight w:val="760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18"/>
                <w:szCs w:val="18"/>
                <w:lang w:eastAsia="zh-CN"/>
              </w:rPr>
            </w:pPr>
            <w:r>
              <w:rPr>
                <w:rFonts w:hint="eastAsia" w:ascii="仿宋_GB2312" w:hAnsi="仿宋_GB2312" w:eastAsia="仿宋_GB2312" w:cs="仿宋_GB2312"/>
                <w:kern w:val="0"/>
                <w:sz w:val="21"/>
                <w:szCs w:val="21"/>
                <w:lang w:val="en-US" w:eastAsia="zh-CN"/>
              </w:rPr>
              <w:t>7</w:t>
            </w:r>
          </w:p>
        </w:tc>
        <w:tc>
          <w:tcPr>
            <w:tcW w:w="11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ind w:left="180" w:hanging="180" w:hangingChars="100"/>
              <w:jc w:val="both"/>
              <w:textAlignment w:val="center"/>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对外劳务合作管理</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《对外劳务合作管理条例》(国务院令第620号)第四条　国务院商务主管部门负责全国的对外劳务合作监督管理工作。</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县级以上地方人民政府统一领导、组织、协调本行政区域的对外劳务合作监督管理工作。</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第三十九条　未依法取得对外劳务合作经营资格，从事对外劳务合作的，由商务主管部门提请工商行政管理部门依照《无照经营查处取缔办法》的规定查处取缔；构成犯罪的，依法追究刑事责任。</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第四十条　对外劳务合作企业有下列情形之一的，由商务主管部门吊销其对外劳务合作经营资格证书，有违法所得的予以没收：（一）以商务、旅游、留学等名义组织劳务人员赴国外工作；（二）允许其他单位或者个人以本企业的名义组织劳务人员赴国外工作；（三）组织劳务人员赴国外从事与赌博、色情活动相关的工作。</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第四十一条　对外劳务合作企业未依照本条例规定缴存或者补足备用金的，由商务主管部门责令改正；拒不改正的，吊销其对外劳务合作经营资格证书。</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　　     </w:t>
            </w:r>
          </w:p>
        </w:tc>
        <w:tc>
          <w:tcPr>
            <w:tcW w:w="975"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对外劳务合作企业</w:t>
            </w:r>
          </w:p>
        </w:tc>
        <w:tc>
          <w:tcPr>
            <w:tcW w:w="162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1.对外劳务合作企业是否存在向出国劳务人员提供虚假信息、违规收费、收取押金、项目和人员不备案、未按要求组织出国劳务人员培训、境外突发事件处理不及时、允许其他单位或个人以本企业的名义组织出国劳务人员赴国外工作等违规行为。 </w:t>
            </w:r>
          </w:p>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2.是否存在未依法取得经营资格从事对外劳务合作的，是否存在“编造海外务工项目、只收费不派出”等涉嫌诈骗的违法行为</w:t>
            </w: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ascii="宋体" w:cs="宋体"/>
              </w:rPr>
            </w:pPr>
          </w:p>
        </w:tc>
      </w:tr>
      <w:tr>
        <w:tblPrEx>
          <w:tblCellMar>
            <w:top w:w="0" w:type="dxa"/>
            <w:left w:w="108" w:type="dxa"/>
            <w:bottom w:w="0" w:type="dxa"/>
            <w:right w:w="108" w:type="dxa"/>
          </w:tblCellMar>
        </w:tblPrEx>
        <w:trPr>
          <w:trHeight w:val="236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对家电维修服务行业的监管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《家电维修服务业管理办法》(商务部令2012年第7号)</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第三条 商务部负责家电维修服务业的行业管理工作，各级商务主管部门负责本行政区域内的家电维修服务业的指导、协调和监督管理工作。</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第十四条 各级商务主管部门对于违反本办法的家电维修经营者可以予以警告，责令限期改正；拒不改正的，可以向社会公告；违反本办法第九条规定，情节严重的，可处三万元以下罚款；对依据有关法律、法规应予以处罚的，各级商务主管部门应提请有关部门依法处罚。     </w:t>
            </w:r>
          </w:p>
        </w:tc>
        <w:tc>
          <w:tcPr>
            <w:tcW w:w="975" w:type="dxa"/>
            <w:tcBorders>
              <w:top w:val="single" w:color="auto" w:sz="4" w:space="0"/>
              <w:left w:val="nil"/>
              <w:bottom w:val="single" w:color="auto" w:sz="4" w:space="0"/>
              <w:right w:val="single" w:color="auto" w:sz="4" w:space="0"/>
            </w:tcBorders>
          </w:tcPr>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家电维修企业</w:t>
            </w:r>
          </w:p>
        </w:tc>
        <w:tc>
          <w:tcPr>
            <w:tcW w:w="162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从业人员是否具备职业技术资质和服务项目、收费标准及授权证明等内容是否上墙公示</w:t>
            </w: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tc>
      </w:tr>
      <w:tr>
        <w:tblPrEx>
          <w:tblCellMar>
            <w:top w:w="0" w:type="dxa"/>
            <w:left w:w="108" w:type="dxa"/>
            <w:bottom w:w="0" w:type="dxa"/>
            <w:right w:w="108" w:type="dxa"/>
          </w:tblCellMar>
        </w:tblPrEx>
        <w:trPr>
          <w:trHeight w:val="539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9</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对再生资源回收市场的监管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《再生资源回收管理办法》（商务部令2007第5号）</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第七条 从事再生资源回收经营活动，应当在取得营业执照后30日内，按属地管理原则，向登记注册地工商行政管理部门的同级商务主管部门或者其授权机构备案。</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备案事项发生变更时，再生资源回收经营者应当自变更之日起30日内（属于工商登记事项的自工商登记变更之日起30日内）向商务主管部门办理变更手续。</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第二十一条 违反本办法第七条规定，由商务主管部门给予警告，责令其限期改正；逾期拒不改正的，可视情节轻重，对再生资源回收经营者处500元以上2000元以下罚款，并可向社会公告。     </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再生资源回收企业</w:t>
            </w:r>
          </w:p>
        </w:tc>
        <w:tc>
          <w:tcPr>
            <w:tcW w:w="162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安全生产责任制和安全生产规章制度的建立和落实情况;企业主要负责人、安全管理人员接受安全培训情况;回收的易燃易爆物品是否设立专门的安全区域，是否符合远离明火、严禁爆晒、是否存在超范围等违法经营等</w:t>
            </w: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tc>
      </w:tr>
      <w:tr>
        <w:tblPrEx>
          <w:tblCellMar>
            <w:top w:w="0" w:type="dxa"/>
            <w:left w:w="108" w:type="dxa"/>
            <w:bottom w:w="0" w:type="dxa"/>
            <w:right w:w="108" w:type="dxa"/>
          </w:tblCellMar>
        </w:tblPrEx>
        <w:trPr>
          <w:trHeight w:val="396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w:t>
            </w:r>
          </w:p>
        </w:tc>
        <w:tc>
          <w:tcPr>
            <w:tcW w:w="11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2"/>
                <w:sz w:val="18"/>
                <w:szCs w:val="18"/>
                <w:u w:val="none"/>
                <w:lang w:val="en-US" w:eastAsia="zh-CN" w:bidi="ar-SA"/>
              </w:rPr>
            </w:pPr>
            <w:r>
              <w:rPr>
                <w:rFonts w:hint="eastAsia" w:ascii="仿宋_GB2312" w:hAnsi="仿宋_GB2312" w:eastAsia="仿宋_GB2312" w:cs="仿宋_GB2312"/>
                <w:i w:val="0"/>
                <w:color w:val="000000"/>
                <w:kern w:val="0"/>
                <w:sz w:val="18"/>
                <w:szCs w:val="18"/>
                <w:u w:val="none"/>
                <w:lang w:val="en-US" w:eastAsia="zh-CN" w:bidi="ar"/>
              </w:rPr>
              <w:t>对旧电器电子产品流通市场的监管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《旧电器电子产品流通管理办法》（商务部令2013年第1号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第五条　商务部负责旧电器电子产品流通的行业管理工作，负责制定行业发展规划、政策。</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县级以上地方商务主管部门负责本行政区域内旧电器电子产品流通的行业管理工作。</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第十九条 经营者违反本办法第七条、第八条、第十五条规定的，由县级以上地方商务主管部门责令改正；逾期不改正的，可处二千元以上一万元以下罚款。</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第二十条 经营者违反本办法第九条、第十一条、第十二条、第十三条、第十八条规定的，由法律、行政法规规定的有关部门依法处理；法律法规未作规定的，由县级以上地方商务主管部门责令改正；逾期不改正的，可处二千元以上一万元以下罚款；构成犯罪的，依法追究刑事责任</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旧电器电子产品流通企业</w:t>
            </w:r>
          </w:p>
        </w:tc>
        <w:tc>
          <w:tcPr>
            <w:tcW w:w="162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备案情况、台账登记信息、档案资料、是否有非法收购、非法销售等违法违规行为</w:t>
            </w:r>
          </w:p>
        </w:tc>
        <w:tc>
          <w:tcPr>
            <w:tcW w:w="6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line="240" w:lineRule="exact"/>
              <w:jc w:val="both"/>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kern w:val="2"/>
                <w:sz w:val="18"/>
                <w:szCs w:val="18"/>
                <w:lang w:val="en-US" w:eastAsia="zh-CN" w:bidi="ar-SA"/>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vAlign w:val="center"/>
          </w:tcPr>
          <w:p>
            <w:pPr>
              <w:spacing w:line="240" w:lineRule="exact"/>
              <w:ind w:right="320" w:rightChars="0"/>
              <w:jc w:val="center"/>
              <w:rPr>
                <w:rFonts w:hint="eastAsia" w:ascii="宋体" w:hAnsi="Calibri" w:eastAsia="宋体" w:cs="宋体"/>
                <w:kern w:val="2"/>
                <w:sz w:val="21"/>
                <w:szCs w:val="21"/>
                <w:lang w:val="en-US" w:eastAsia="zh-CN" w:bidi="ar-SA"/>
              </w:rPr>
            </w:pPr>
          </w:p>
        </w:tc>
      </w:tr>
      <w:tr>
        <w:tblPrEx>
          <w:tblCellMar>
            <w:top w:w="0" w:type="dxa"/>
            <w:left w:w="108" w:type="dxa"/>
            <w:bottom w:w="0" w:type="dxa"/>
            <w:right w:w="108" w:type="dxa"/>
          </w:tblCellMar>
        </w:tblPrEx>
        <w:trPr>
          <w:trHeight w:val="371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11</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对会展业发展的监管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《四川省加强管理服务促进会展业发展的规定》（省政府第252号令）</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第三十四条  违反本规定，未以主办单位名义发布招展信息或者承办单位擅自发布招展信息的，由商务主管部门责令限期改正；逾期不改正的处2000元以下罚款。</w:t>
            </w:r>
          </w:p>
          <w:p>
            <w:pPr>
              <w:adjustRightInd w:val="0"/>
              <w:snapToGrid w:val="0"/>
              <w:spacing w:line="240" w:lineRule="exac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 xml:space="preserve">第三十五条  违反本规定第十九条第一款规定，举办会展未按规定备案的，由商务主管部门责令限期备案；逾期不备案的，处2000元以上2万元以下罚款。     </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有召开会展的企业</w:t>
            </w:r>
          </w:p>
        </w:tc>
        <w:tc>
          <w:tcPr>
            <w:tcW w:w="162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kern w:val="0"/>
                <w:sz w:val="18"/>
                <w:szCs w:val="18"/>
                <w:u w:val="none"/>
                <w:lang w:val="en-US" w:eastAsia="zh-CN" w:bidi="ar"/>
              </w:rPr>
              <w:t>是否存在安全隐患、是否按规定进行布展</w:t>
            </w:r>
          </w:p>
        </w:tc>
        <w:tc>
          <w:tcPr>
            <w:tcW w:w="6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line="240" w:lineRule="exact"/>
              <w:jc w:val="both"/>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kern w:val="2"/>
                <w:sz w:val="18"/>
                <w:szCs w:val="18"/>
                <w:lang w:val="en-US" w:eastAsia="zh-CN" w:bidi="ar-SA"/>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vAlign w:val="center"/>
          </w:tcPr>
          <w:p>
            <w:pPr>
              <w:spacing w:line="240" w:lineRule="exact"/>
              <w:ind w:right="320" w:rightChars="0"/>
              <w:jc w:val="center"/>
              <w:rPr>
                <w:rFonts w:hint="eastAsia" w:ascii="仿宋_GB2312" w:hAnsi="仿宋_GB2312" w:eastAsia="仿宋_GB2312" w:cs="仿宋_GB2312"/>
                <w:kern w:val="2"/>
                <w:sz w:val="18"/>
                <w:szCs w:val="18"/>
                <w:lang w:val="en-US" w:eastAsia="zh-CN" w:bidi="ar-SA"/>
              </w:rPr>
            </w:pPr>
          </w:p>
        </w:tc>
      </w:tr>
      <w:tr>
        <w:tblPrEx>
          <w:tblCellMar>
            <w:top w:w="0" w:type="dxa"/>
            <w:left w:w="108" w:type="dxa"/>
            <w:bottom w:w="0" w:type="dxa"/>
            <w:right w:w="108" w:type="dxa"/>
          </w:tblCellMar>
        </w:tblPrEx>
        <w:trPr>
          <w:trHeight w:val="768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ascii="宋体" w:hAnsi="宋体" w:eastAsia="宋体" w:cs="宋体"/>
                <w:kern w:val="0"/>
                <w:sz w:val="22"/>
                <w:szCs w:val="22"/>
                <w:lang w:val="en-US" w:eastAsia="zh-CN"/>
              </w:rPr>
            </w:pPr>
            <w:r>
              <w:rPr>
                <w:rFonts w:hint="eastAsia" w:ascii="仿宋_GB2312" w:hAnsi="仿宋_GB2312" w:eastAsia="仿宋_GB2312" w:cs="仿宋_GB2312"/>
                <w:kern w:val="0"/>
                <w:sz w:val="21"/>
                <w:szCs w:val="21"/>
                <w:lang w:val="en-US" w:eastAsia="zh-CN"/>
              </w:rPr>
              <w:t>12</w:t>
            </w:r>
          </w:p>
        </w:tc>
        <w:tc>
          <w:tcPr>
            <w:tcW w:w="1167"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w:t>
            </w:r>
            <w:r>
              <w:rPr>
                <w:rFonts w:hint="eastAsia" w:ascii="仿宋_GB2312" w:hAnsi="仿宋_GB2312" w:eastAsia="仿宋_GB2312" w:cs="仿宋_GB2312"/>
                <w:kern w:val="0"/>
                <w:sz w:val="18"/>
                <w:szCs w:val="18"/>
                <w:lang w:eastAsia="zh-CN"/>
              </w:rPr>
              <w:t>从事汽车销售企业</w:t>
            </w:r>
            <w:r>
              <w:rPr>
                <w:rFonts w:hint="eastAsia" w:ascii="仿宋_GB2312" w:hAnsi="仿宋_GB2312" w:eastAsia="仿宋_GB2312" w:cs="仿宋_GB2312"/>
                <w:kern w:val="0"/>
                <w:sz w:val="18"/>
                <w:szCs w:val="18"/>
              </w:rPr>
              <w:t>的监管</w:t>
            </w:r>
          </w:p>
        </w:tc>
        <w:tc>
          <w:tcPr>
            <w:tcW w:w="1200" w:type="dxa"/>
            <w:tcBorders>
              <w:top w:val="single" w:color="auto" w:sz="4" w:space="0"/>
              <w:left w:val="nil"/>
              <w:bottom w:val="single" w:color="auto" w:sz="4" w:space="0"/>
              <w:right w:val="single" w:color="auto" w:sz="4" w:space="0"/>
            </w:tcBorders>
            <w:vAlign w:val="center"/>
          </w:tcPr>
          <w:p>
            <w:pPr>
              <w:adjustRightInd w:val="0"/>
              <w:snapToGrid w:val="0"/>
              <w:spacing w:line="24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sz w:val="18"/>
                <w:szCs w:val="18"/>
              </w:rPr>
              <w:t>剑阁县</w:t>
            </w:r>
            <w:r>
              <w:rPr>
                <w:rFonts w:hint="eastAsia" w:ascii="仿宋_GB2312" w:hAnsi="仿宋_GB2312" w:eastAsia="仿宋_GB2312" w:cs="仿宋_GB2312"/>
                <w:sz w:val="18"/>
                <w:szCs w:val="18"/>
                <w:lang w:eastAsia="zh-CN"/>
              </w:rPr>
              <w:t>商务和经济合作局</w:t>
            </w:r>
          </w:p>
        </w:tc>
        <w:tc>
          <w:tcPr>
            <w:tcW w:w="6360" w:type="dxa"/>
            <w:tcBorders>
              <w:top w:val="single" w:color="auto" w:sz="4" w:space="0"/>
              <w:left w:val="nil"/>
              <w:bottom w:val="single" w:color="auto" w:sz="4" w:space="0"/>
              <w:right w:val="single" w:color="auto" w:sz="4" w:space="0"/>
            </w:tcBorders>
          </w:tcPr>
          <w:p>
            <w:pPr>
              <w:pStyle w:val="6"/>
              <w:keepNext w:val="0"/>
              <w:keepLines w:val="0"/>
              <w:widowControl/>
              <w:suppressLineNumbers w:val="0"/>
              <w:spacing w:before="0" w:beforeAutospacing="0" w:after="0" w:afterAutospacing="0" w:line="420" w:lineRule="atLeast"/>
              <w:ind w:right="0" w:firstLine="360" w:firstLineChars="200"/>
              <w:jc w:val="both"/>
              <w:textAlignment w:val="baseline"/>
              <w:rPr>
                <w:sz w:val="18"/>
                <w:szCs w:val="18"/>
              </w:rPr>
            </w:pPr>
            <w:r>
              <w:rPr>
                <w:rFonts w:hint="eastAsia" w:ascii="仿宋_GB2312" w:hAnsi="仿宋_GB2312" w:eastAsia="仿宋_GB2312" w:cs="仿宋_GB2312"/>
                <w:sz w:val="18"/>
                <w:szCs w:val="18"/>
              </w:rPr>
              <w:t>《</w:t>
            </w:r>
            <w:r>
              <w:rPr>
                <w:rFonts w:hint="eastAsia" w:ascii="仿宋_GB2312" w:hAnsi="仿宋_GB2312" w:eastAsia="仿宋_GB2312" w:cs="仿宋_GB2312"/>
                <w:sz w:val="18"/>
                <w:szCs w:val="18"/>
                <w:lang w:eastAsia="zh-CN"/>
              </w:rPr>
              <w:t>汽车销售管理</w:t>
            </w:r>
            <w:r>
              <w:rPr>
                <w:rFonts w:hint="eastAsia" w:ascii="仿宋_GB2312" w:hAnsi="仿宋_GB2312" w:eastAsia="仿宋_GB2312" w:cs="仿宋_GB2312"/>
                <w:sz w:val="18"/>
                <w:szCs w:val="18"/>
              </w:rPr>
              <w:t>办法》（商务部令2</w:t>
            </w:r>
            <w:r>
              <w:rPr>
                <w:rFonts w:hint="eastAsia" w:ascii="仿宋_GB2312" w:hAnsi="仿宋_GB2312" w:eastAsia="仿宋_GB2312" w:cs="仿宋_GB2312"/>
                <w:sz w:val="18"/>
                <w:szCs w:val="18"/>
                <w:lang w:val="en-US" w:eastAsia="zh-CN"/>
              </w:rPr>
              <w:t>017</w:t>
            </w:r>
            <w:r>
              <w:rPr>
                <w:rFonts w:hint="eastAsia" w:ascii="仿宋_GB2312" w:hAnsi="仿宋_GB2312" w:eastAsia="仿宋_GB2312" w:cs="仿宋_GB2312"/>
                <w:sz w:val="18"/>
                <w:szCs w:val="18"/>
              </w:rPr>
              <w:t>年第</w:t>
            </w:r>
            <w:r>
              <w:rPr>
                <w:rFonts w:hint="eastAsia" w:ascii="仿宋_GB2312" w:hAnsi="仿宋_GB2312" w:eastAsia="仿宋_GB2312" w:cs="仿宋_GB2312"/>
                <w:sz w:val="18"/>
                <w:szCs w:val="18"/>
                <w:lang w:val="en-US" w:eastAsia="zh-CN"/>
              </w:rPr>
              <w:t>1</w:t>
            </w:r>
            <w:r>
              <w:rPr>
                <w:rFonts w:hint="eastAsia" w:ascii="仿宋_GB2312" w:hAnsi="仿宋_GB2312" w:eastAsia="仿宋_GB2312" w:cs="仿宋_GB2312"/>
                <w:sz w:val="18"/>
                <w:szCs w:val="18"/>
              </w:rPr>
              <w:t>号）</w:t>
            </w:r>
            <w:r>
              <w:rPr>
                <w:rFonts w:hint="eastAsia" w:ascii="仿宋_GB2312" w:hAnsi="仿宋_GB2312" w:eastAsia="仿宋_GB2312" w:cs="仿宋_GB2312"/>
                <w:i w:val="0"/>
                <w:color w:val="333333"/>
                <w:sz w:val="18"/>
                <w:szCs w:val="18"/>
                <w:vertAlign w:val="baseline"/>
              </w:rPr>
              <w:t>第七条</w:t>
            </w:r>
            <w:r>
              <w:rPr>
                <w:rStyle w:val="10"/>
                <w:rFonts w:hint="eastAsia" w:ascii="仿宋_GB2312" w:hAnsi="仿宋_GB2312" w:eastAsia="仿宋_GB2312" w:cs="仿宋_GB2312"/>
                <w:i w:val="0"/>
                <w:color w:val="000000"/>
                <w:sz w:val="18"/>
                <w:szCs w:val="18"/>
                <w:vertAlign w:val="baseline"/>
              </w:rPr>
              <w:t xml:space="preserve"> </w:t>
            </w:r>
            <w:r>
              <w:rPr>
                <w:rFonts w:hint="eastAsia" w:ascii="仿宋_GB2312" w:hAnsi="仿宋_GB2312" w:eastAsia="仿宋_GB2312" w:cs="仿宋_GB2312"/>
                <w:i w:val="0"/>
                <w:color w:val="000000"/>
                <w:sz w:val="18"/>
                <w:szCs w:val="18"/>
                <w:vertAlign w:val="baseline"/>
              </w:rPr>
              <w:t>国务院商务主管部门负责制定全国汽车销售及其相关服务活动的政策规章，对地方商务主管部门的监督管理工作进行指导、协调和监督。</w:t>
            </w:r>
            <w:r>
              <w:rPr>
                <w:rFonts w:hint="eastAsia" w:ascii="仿宋_GB2312" w:hAnsi="仿宋_GB2312" w:eastAsia="仿宋_GB2312" w:cs="仿宋_GB2312"/>
                <w:i w:val="0"/>
                <w:color w:val="333333"/>
                <w:sz w:val="18"/>
                <w:szCs w:val="18"/>
                <w:vertAlign w:val="baseline"/>
              </w:rPr>
              <w:t>县级以上地方商务主管部门依据本办法对本行政区域内汽车销售及其相关服务活动进行监督管理。</w:t>
            </w:r>
            <w:r>
              <w:rPr>
                <w:rFonts w:hint="eastAsia" w:ascii="仿宋_GB2312" w:hAnsi="仿宋_GB2312" w:eastAsia="仿宋_GB2312" w:cs="仿宋_GB2312"/>
                <w:i w:val="0"/>
                <w:color w:val="333333"/>
                <w:sz w:val="18"/>
                <w:szCs w:val="18"/>
                <w:vertAlign w:val="baseline"/>
                <w:lang w:val="en-US" w:eastAsia="zh-CN"/>
              </w:rPr>
              <w:t xml:space="preserve">   </w:t>
            </w:r>
            <w:r>
              <w:rPr>
                <w:rFonts w:hint="eastAsia" w:ascii="仿宋_GB2312" w:hAnsi="仿宋_GB2312" w:eastAsia="仿宋_GB2312" w:cs="仿宋_GB2312"/>
                <w:i w:val="0"/>
                <w:color w:val="333333"/>
                <w:sz w:val="18"/>
                <w:szCs w:val="18"/>
                <w:vertAlign w:val="baseline"/>
              </w:rPr>
              <w:t>第十条</w:t>
            </w:r>
            <w:r>
              <w:rPr>
                <w:rStyle w:val="10"/>
                <w:rFonts w:hint="eastAsia" w:ascii="仿宋_GB2312" w:hAnsi="仿宋_GB2312" w:eastAsia="仿宋_GB2312" w:cs="仿宋_GB2312"/>
                <w:i w:val="0"/>
                <w:color w:val="000000"/>
                <w:sz w:val="18"/>
                <w:szCs w:val="18"/>
                <w:vertAlign w:val="baseline"/>
              </w:rPr>
              <w:t xml:space="preserve"> </w:t>
            </w:r>
            <w:r>
              <w:rPr>
                <w:rFonts w:hint="eastAsia" w:ascii="仿宋_GB2312" w:hAnsi="仿宋_GB2312" w:eastAsia="仿宋_GB2312" w:cs="仿宋_GB2312"/>
                <w:i w:val="0"/>
                <w:color w:val="000000"/>
                <w:sz w:val="18"/>
                <w:szCs w:val="18"/>
                <w:vertAlign w:val="baseline"/>
              </w:rPr>
              <w:t>经销商应当在经营场所以适当形式明示销售汽车、配件及其他相关产品的价格和各项服务收费标准，不得在标价之外加价销售或收取额外费用</w:t>
            </w:r>
            <w:r>
              <w:rPr>
                <w:rFonts w:hint="eastAsia" w:ascii="仿宋_GB2312" w:hAnsi="仿宋_GB2312" w:eastAsia="仿宋_GB2312" w:cs="仿宋_GB2312"/>
                <w:i w:val="0"/>
                <w:color w:val="000000"/>
                <w:sz w:val="18"/>
                <w:szCs w:val="18"/>
                <w:vertAlign w:val="baseline"/>
                <w:lang w:eastAsia="zh-CN"/>
              </w:rPr>
              <w:t>。</w:t>
            </w:r>
            <w:r>
              <w:rPr>
                <w:rFonts w:hint="eastAsia" w:ascii="仿宋_GB2312" w:hAnsi="仿宋_GB2312" w:eastAsia="仿宋_GB2312" w:cs="仿宋_GB2312"/>
                <w:i w:val="0"/>
                <w:color w:val="000000"/>
                <w:sz w:val="18"/>
                <w:szCs w:val="18"/>
                <w:vertAlign w:val="baseline"/>
                <w:lang w:val="en-US" w:eastAsia="zh-CN"/>
              </w:rPr>
              <w:t xml:space="preserve">  </w:t>
            </w:r>
            <w:r>
              <w:rPr>
                <w:rFonts w:hint="eastAsia" w:ascii="仿宋_GB2312" w:hAnsi="仿宋_GB2312" w:eastAsia="仿宋_GB2312" w:cs="仿宋_GB2312"/>
                <w:i w:val="0"/>
                <w:color w:val="333333"/>
                <w:sz w:val="18"/>
                <w:szCs w:val="18"/>
                <w:vertAlign w:val="baseline"/>
              </w:rPr>
              <w:t>第十二条</w:t>
            </w:r>
            <w:r>
              <w:rPr>
                <w:rFonts w:hint="eastAsia" w:ascii="仿宋_GB2312" w:hAnsi="仿宋_GB2312" w:eastAsia="仿宋_GB2312" w:cs="仿宋_GB2312"/>
                <w:i w:val="0"/>
                <w:color w:val="000000"/>
                <w:sz w:val="18"/>
                <w:szCs w:val="18"/>
                <w:vertAlign w:val="baseline"/>
              </w:rPr>
              <w:t xml:space="preserve"> 经销商出售未经供应商授权销售的汽车，或者未经境外汽车生产企业授权销售的进口汽车，应当以书面形式向消费者作出提醒和说明，并书面告知向消费者承担相关责任的主体。</w:t>
            </w:r>
            <w:r>
              <w:rPr>
                <w:rFonts w:hint="eastAsia" w:ascii="仿宋_GB2312" w:hAnsi="仿宋_GB2312" w:eastAsia="仿宋_GB2312" w:cs="仿宋_GB2312"/>
                <w:i w:val="0"/>
                <w:color w:val="000000"/>
                <w:sz w:val="18"/>
                <w:szCs w:val="18"/>
                <w:vertAlign w:val="baseline"/>
                <w:lang w:val="en-US" w:eastAsia="zh-CN"/>
              </w:rPr>
              <w:t xml:space="preserve">  </w:t>
            </w:r>
            <w:r>
              <w:rPr>
                <w:rFonts w:hint="eastAsia" w:ascii="仿宋_GB2312" w:hAnsi="仿宋_GB2312" w:eastAsia="仿宋_GB2312" w:cs="仿宋_GB2312"/>
                <w:i w:val="0"/>
                <w:color w:val="333333"/>
                <w:sz w:val="18"/>
                <w:szCs w:val="18"/>
                <w:vertAlign w:val="baseline"/>
              </w:rPr>
              <w:t>第二十七条</w:t>
            </w:r>
            <w:r>
              <w:rPr>
                <w:rStyle w:val="10"/>
                <w:rFonts w:hint="eastAsia" w:ascii="仿宋_GB2312" w:hAnsi="仿宋_GB2312" w:eastAsia="仿宋_GB2312" w:cs="仿宋_GB2312"/>
                <w:i w:val="0"/>
                <w:color w:val="000000"/>
                <w:sz w:val="18"/>
                <w:szCs w:val="18"/>
                <w:vertAlign w:val="baseline"/>
              </w:rPr>
              <w:t xml:space="preserve"> </w:t>
            </w:r>
            <w:r>
              <w:rPr>
                <w:rFonts w:hint="eastAsia" w:ascii="仿宋_GB2312" w:hAnsi="仿宋_GB2312" w:eastAsia="仿宋_GB2312" w:cs="仿宋_GB2312"/>
                <w:i w:val="0"/>
                <w:color w:val="000000"/>
                <w:sz w:val="18"/>
                <w:szCs w:val="18"/>
                <w:vertAlign w:val="baseline"/>
              </w:rPr>
              <w:t>供应商、经销商应当自取得营业执照之日起90日内通过国务院商务主管部门全国汽车流通信息管理系统备案基本信息。供应商、经销商备案的基本信息发生变更的，应当自信息变更之日起30日内完成信息更新</w:t>
            </w:r>
            <w:r>
              <w:rPr>
                <w:rFonts w:hint="eastAsia" w:ascii="仿宋_GB2312" w:hAnsi="仿宋_GB2312" w:eastAsia="仿宋_GB2312" w:cs="仿宋_GB2312"/>
                <w:i w:val="0"/>
                <w:color w:val="000000"/>
                <w:sz w:val="18"/>
                <w:szCs w:val="18"/>
                <w:vertAlign w:val="baseline"/>
                <w:lang w:eastAsia="zh-CN"/>
              </w:rPr>
              <w:t>。</w:t>
            </w:r>
            <w:r>
              <w:rPr>
                <w:rFonts w:hint="eastAsia" w:ascii="仿宋_GB2312" w:hAnsi="仿宋_GB2312" w:eastAsia="仿宋_GB2312" w:cs="仿宋_GB2312"/>
                <w:i w:val="0"/>
                <w:color w:val="000000"/>
                <w:sz w:val="18"/>
                <w:szCs w:val="18"/>
                <w:vertAlign w:val="baseline"/>
                <w:lang w:val="en-US" w:eastAsia="zh-CN"/>
              </w:rPr>
              <w:t xml:space="preserve"> </w:t>
            </w:r>
            <w:r>
              <w:rPr>
                <w:rFonts w:hint="eastAsia" w:ascii="仿宋_GB2312" w:hAnsi="仿宋_GB2312" w:eastAsia="仿宋_GB2312" w:cs="仿宋_GB2312"/>
                <w:i w:val="0"/>
                <w:color w:val="333333"/>
                <w:sz w:val="18"/>
                <w:szCs w:val="18"/>
                <w:vertAlign w:val="baseline"/>
              </w:rPr>
              <w:t>第三十二条</w:t>
            </w:r>
            <w:r>
              <w:rPr>
                <w:rStyle w:val="10"/>
                <w:rFonts w:hint="eastAsia" w:ascii="仿宋_GB2312" w:hAnsi="仿宋_GB2312" w:eastAsia="仿宋_GB2312" w:cs="仿宋_GB2312"/>
                <w:i w:val="0"/>
                <w:color w:val="000000"/>
                <w:sz w:val="18"/>
                <w:szCs w:val="18"/>
                <w:vertAlign w:val="baseline"/>
              </w:rPr>
              <w:t xml:space="preserve"> </w:t>
            </w:r>
            <w:r>
              <w:rPr>
                <w:rFonts w:hint="eastAsia" w:ascii="仿宋_GB2312" w:hAnsi="仿宋_GB2312" w:eastAsia="仿宋_GB2312" w:cs="仿宋_GB2312"/>
                <w:i w:val="0"/>
                <w:color w:val="000000"/>
                <w:sz w:val="18"/>
                <w:szCs w:val="18"/>
                <w:vertAlign w:val="baseline"/>
              </w:rPr>
              <w:t>违反本办法第十条、第十二条、第十四条、第十七条第一款、第二十一条、第二十三条第二款、第二十四条、第二十五条、第二十六条有关规定的，由县级以上地方商务主管部门责令改正，并可给予警告或3万元以下罚款。</w:t>
            </w:r>
            <w:r>
              <w:rPr>
                <w:rFonts w:hint="eastAsia" w:ascii="仿宋_GB2312" w:hAnsi="仿宋_GB2312" w:eastAsia="仿宋_GB2312" w:cs="仿宋_GB2312"/>
                <w:i w:val="0"/>
                <w:color w:val="333333"/>
                <w:sz w:val="18"/>
                <w:szCs w:val="18"/>
                <w:vertAlign w:val="baseline"/>
              </w:rPr>
              <w:t>第三十三条</w:t>
            </w:r>
            <w:r>
              <w:rPr>
                <w:rStyle w:val="10"/>
                <w:rFonts w:hint="eastAsia" w:ascii="仿宋_GB2312" w:hAnsi="仿宋_GB2312" w:eastAsia="仿宋_GB2312" w:cs="仿宋_GB2312"/>
                <w:i w:val="0"/>
                <w:color w:val="000000"/>
                <w:sz w:val="18"/>
                <w:szCs w:val="18"/>
                <w:vertAlign w:val="baseline"/>
              </w:rPr>
              <w:t xml:space="preserve"> </w:t>
            </w:r>
            <w:r>
              <w:rPr>
                <w:rFonts w:hint="eastAsia" w:ascii="仿宋_GB2312" w:hAnsi="仿宋_GB2312" w:eastAsia="仿宋_GB2312" w:cs="仿宋_GB2312"/>
                <w:i w:val="0"/>
                <w:color w:val="000000"/>
                <w:sz w:val="18"/>
                <w:szCs w:val="18"/>
                <w:vertAlign w:val="baseline"/>
              </w:rPr>
              <w:t>违反本办法第十一条、第十五条、第十八条、第二十条第二款、第二十七条、第二十八条有关规定的，由县级以上地方商务主管部门责令改正，并可给予警告或1万元以下罚款。</w:t>
            </w:r>
          </w:p>
          <w:p>
            <w:pPr>
              <w:pStyle w:val="6"/>
              <w:keepNext w:val="0"/>
              <w:keepLines w:val="0"/>
              <w:widowControl/>
              <w:suppressLineNumbers w:val="0"/>
              <w:spacing w:before="0" w:beforeAutospacing="0" w:after="0" w:afterAutospacing="0" w:line="420" w:lineRule="atLeast"/>
              <w:ind w:right="0" w:firstLine="360" w:firstLineChars="200"/>
              <w:textAlignment w:val="baseline"/>
              <w:rPr>
                <w:rFonts w:hint="eastAsia" w:ascii="仿宋_GB2312" w:hAnsi="仿宋_GB2312" w:eastAsia="仿宋_GB2312" w:cs="仿宋_GB2312"/>
                <w:i w:val="0"/>
                <w:color w:val="333333"/>
                <w:sz w:val="18"/>
                <w:szCs w:val="18"/>
                <w:vertAlign w:val="baseline"/>
              </w:rPr>
            </w:pPr>
          </w:p>
          <w:p>
            <w:pPr>
              <w:adjustRightInd w:val="0"/>
              <w:snapToGrid w:val="0"/>
              <w:spacing w:line="240" w:lineRule="exact"/>
              <w:rPr>
                <w:rFonts w:hint="eastAsia" w:ascii="仿宋_GB2312" w:hAnsi="仿宋_GB2312" w:eastAsia="仿宋_GB2312" w:cs="仿宋_GB2312"/>
                <w:sz w:val="18"/>
                <w:szCs w:val="18"/>
              </w:rPr>
            </w:pPr>
          </w:p>
        </w:tc>
        <w:tc>
          <w:tcPr>
            <w:tcW w:w="975" w:type="dxa"/>
            <w:tcBorders>
              <w:top w:val="single" w:color="auto" w:sz="4" w:space="0"/>
              <w:left w:val="nil"/>
              <w:bottom w:val="single" w:color="auto" w:sz="4" w:space="0"/>
              <w:right w:val="single" w:color="auto" w:sz="4" w:space="0"/>
            </w:tcBorders>
          </w:tcPr>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center"/>
              <w:rPr>
                <w:rFonts w:hint="eastAsia" w:ascii="仿宋_GB2312" w:hAnsi="仿宋_GB2312" w:eastAsia="仿宋_GB2312" w:cs="仿宋_GB2312"/>
                <w:sz w:val="18"/>
                <w:szCs w:val="18"/>
              </w:rPr>
            </w:pPr>
          </w:p>
          <w:p>
            <w:pPr>
              <w:spacing w:line="240" w:lineRule="exact"/>
              <w:ind w:right="32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汽车销售</w:t>
            </w:r>
            <w:r>
              <w:rPr>
                <w:rFonts w:hint="eastAsia" w:ascii="仿宋_GB2312" w:hAnsi="仿宋_GB2312" w:eastAsia="仿宋_GB2312" w:cs="仿宋_GB2312"/>
                <w:sz w:val="18"/>
                <w:szCs w:val="18"/>
              </w:rPr>
              <w:t>企业</w:t>
            </w:r>
          </w:p>
        </w:tc>
        <w:tc>
          <w:tcPr>
            <w:tcW w:w="1620" w:type="dxa"/>
            <w:tcBorders>
              <w:top w:val="single" w:color="auto" w:sz="4" w:space="0"/>
              <w:left w:val="nil"/>
              <w:bottom w:val="single" w:color="auto" w:sz="4" w:space="0"/>
              <w:right w:val="single" w:color="auto" w:sz="4" w:space="0"/>
            </w:tcBorders>
            <w:vAlign w:val="center"/>
          </w:tcPr>
          <w:p>
            <w:pPr>
              <w:pStyle w:val="6"/>
              <w:keepNext w:val="0"/>
              <w:keepLines w:val="0"/>
              <w:widowControl/>
              <w:suppressLineNumbers w:val="0"/>
              <w:spacing w:before="0" w:beforeAutospacing="0" w:after="0" w:afterAutospacing="0" w:line="420" w:lineRule="atLeast"/>
              <w:ind w:right="0"/>
              <w:textAlignment w:val="baseline"/>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sz w:val="18"/>
                <w:szCs w:val="18"/>
                <w:vertAlign w:val="baseline"/>
              </w:rPr>
              <w:t>供应商、经销商销售汽车、配件及其他相关产品</w:t>
            </w:r>
            <w:r>
              <w:rPr>
                <w:rFonts w:hint="eastAsia" w:ascii="仿宋_GB2312" w:hAnsi="仿宋_GB2312" w:eastAsia="仿宋_GB2312" w:cs="仿宋_GB2312"/>
                <w:i w:val="0"/>
                <w:color w:val="000000"/>
                <w:sz w:val="18"/>
                <w:szCs w:val="18"/>
                <w:vertAlign w:val="baseline"/>
                <w:lang w:eastAsia="zh-CN"/>
              </w:rPr>
              <w:t>是否</w:t>
            </w:r>
            <w:r>
              <w:rPr>
                <w:rFonts w:hint="eastAsia" w:ascii="仿宋_GB2312" w:hAnsi="仿宋_GB2312" w:eastAsia="仿宋_GB2312" w:cs="仿宋_GB2312"/>
                <w:i w:val="0"/>
                <w:color w:val="000000"/>
                <w:sz w:val="18"/>
                <w:szCs w:val="18"/>
                <w:vertAlign w:val="baseline"/>
              </w:rPr>
              <w:t>符合国家有关规定和标准，</w:t>
            </w:r>
            <w:r>
              <w:rPr>
                <w:rFonts w:hint="eastAsia" w:ascii="仿宋_GB2312" w:hAnsi="仿宋_GB2312" w:eastAsia="仿宋_GB2312" w:cs="仿宋_GB2312"/>
                <w:i w:val="0"/>
                <w:color w:val="000000"/>
                <w:sz w:val="18"/>
                <w:szCs w:val="18"/>
                <w:vertAlign w:val="baseline"/>
                <w:lang w:eastAsia="zh-CN"/>
              </w:rPr>
              <w:t>是否</w:t>
            </w:r>
            <w:r>
              <w:rPr>
                <w:rFonts w:hint="eastAsia" w:ascii="仿宋_GB2312" w:hAnsi="仿宋_GB2312" w:eastAsia="仿宋_GB2312" w:cs="仿宋_GB2312"/>
                <w:i w:val="0"/>
                <w:color w:val="000000"/>
                <w:sz w:val="18"/>
                <w:szCs w:val="18"/>
                <w:vertAlign w:val="baseline"/>
              </w:rPr>
              <w:t>销售国家法律、法规禁止交易的产品</w:t>
            </w:r>
          </w:p>
          <w:p>
            <w:pPr>
              <w:pStyle w:val="6"/>
              <w:keepNext w:val="0"/>
              <w:keepLines w:val="0"/>
              <w:widowControl/>
              <w:suppressLineNumbers w:val="0"/>
              <w:spacing w:before="0" w:beforeAutospacing="0" w:after="0" w:afterAutospacing="0" w:line="420" w:lineRule="atLeast"/>
              <w:ind w:left="0" w:right="0" w:firstLine="480"/>
              <w:textAlignment w:val="baseline"/>
              <w:rPr>
                <w:rFonts w:hint="eastAsia" w:ascii="仿宋_GB2312" w:hAnsi="仿宋_GB2312" w:eastAsia="仿宋_GB2312" w:cs="仿宋_GB2312"/>
                <w:sz w:val="18"/>
                <w:szCs w:val="18"/>
              </w:rPr>
            </w:pPr>
            <w:r>
              <w:rPr>
                <w:rFonts w:hint="eastAsia" w:ascii="仿宋_GB2312" w:hAnsi="仿宋_GB2312" w:eastAsia="仿宋_GB2312" w:cs="仿宋_GB2312"/>
                <w:i w:val="0"/>
                <w:color w:val="000000"/>
                <w:sz w:val="18"/>
                <w:szCs w:val="18"/>
                <w:vertAlign w:val="baseline"/>
              </w:rPr>
              <w:t>经销商</w:t>
            </w:r>
            <w:r>
              <w:rPr>
                <w:rFonts w:hint="eastAsia" w:ascii="仿宋_GB2312" w:hAnsi="仿宋_GB2312" w:eastAsia="仿宋_GB2312" w:cs="仿宋_GB2312"/>
                <w:i w:val="0"/>
                <w:color w:val="000000"/>
                <w:sz w:val="18"/>
                <w:szCs w:val="18"/>
                <w:vertAlign w:val="baseline"/>
                <w:lang w:eastAsia="zh-CN"/>
              </w:rPr>
              <w:t>是否</w:t>
            </w:r>
            <w:r>
              <w:rPr>
                <w:rFonts w:hint="eastAsia" w:ascii="仿宋_GB2312" w:hAnsi="仿宋_GB2312" w:eastAsia="仿宋_GB2312" w:cs="仿宋_GB2312"/>
                <w:i w:val="0"/>
                <w:color w:val="000000"/>
                <w:sz w:val="18"/>
                <w:szCs w:val="18"/>
                <w:vertAlign w:val="baseline"/>
              </w:rPr>
              <w:t>在经营场所以适当形式明示销售汽车、配件及其他相关产品的价格和各项服务收费标准，</w:t>
            </w:r>
            <w:r>
              <w:rPr>
                <w:rFonts w:hint="eastAsia" w:ascii="仿宋_GB2312" w:hAnsi="仿宋_GB2312" w:eastAsia="仿宋_GB2312" w:cs="仿宋_GB2312"/>
                <w:i w:val="0"/>
                <w:color w:val="000000"/>
                <w:sz w:val="18"/>
                <w:szCs w:val="18"/>
                <w:vertAlign w:val="baseline"/>
                <w:lang w:eastAsia="zh-CN"/>
              </w:rPr>
              <w:t>是否</w:t>
            </w:r>
            <w:r>
              <w:rPr>
                <w:rFonts w:hint="eastAsia" w:ascii="仿宋_GB2312" w:hAnsi="仿宋_GB2312" w:eastAsia="仿宋_GB2312" w:cs="仿宋_GB2312"/>
                <w:i w:val="0"/>
                <w:color w:val="000000"/>
                <w:sz w:val="18"/>
                <w:szCs w:val="18"/>
                <w:vertAlign w:val="baseline"/>
              </w:rPr>
              <w:t>在标价之外加价销售或收取额外费用。</w:t>
            </w:r>
          </w:p>
          <w:p>
            <w:pPr>
              <w:widowControl/>
              <w:spacing w:line="240" w:lineRule="exact"/>
              <w:jc w:val="left"/>
              <w:rPr>
                <w:rFonts w:hint="eastAsia" w:ascii="仿宋_GB2312" w:hAnsi="仿宋_GB2312" w:eastAsia="仿宋_GB2312" w:cs="仿宋_GB2312"/>
                <w:sz w:val="18"/>
                <w:szCs w:val="18"/>
              </w:rPr>
            </w:pPr>
          </w:p>
        </w:tc>
        <w:tc>
          <w:tcPr>
            <w:tcW w:w="690" w:type="dxa"/>
            <w:tcBorders>
              <w:top w:val="single" w:color="auto" w:sz="4" w:space="0"/>
              <w:left w:val="nil"/>
              <w:bottom w:val="single" w:color="auto" w:sz="4" w:space="0"/>
              <w:right w:val="single" w:color="auto" w:sz="4" w:space="0"/>
            </w:tcBorders>
            <w:vAlign w:val="center"/>
          </w:tcPr>
          <w:p>
            <w:pPr>
              <w:adjustRightInd w:val="0"/>
              <w:snapToGrid w:val="0"/>
              <w:spacing w:line="240" w:lineRule="exact"/>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20</w:t>
            </w:r>
            <w:r>
              <w:rPr>
                <w:rFonts w:hint="eastAsia" w:ascii="仿宋_GB2312" w:hAnsi="仿宋_GB2312" w:eastAsia="仿宋_GB2312" w:cs="仿宋_GB2312"/>
                <w:sz w:val="18"/>
                <w:szCs w:val="18"/>
              </w:rPr>
              <w:t>%</w:t>
            </w:r>
          </w:p>
        </w:tc>
        <w:tc>
          <w:tcPr>
            <w:tcW w:w="1275" w:type="dxa"/>
            <w:tcBorders>
              <w:top w:val="single" w:color="auto" w:sz="4" w:space="0"/>
              <w:left w:val="nil"/>
              <w:bottom w:val="single" w:color="auto" w:sz="4" w:space="0"/>
              <w:right w:val="single" w:color="auto" w:sz="4" w:space="0"/>
            </w:tcBorders>
            <w:vAlign w:val="top"/>
          </w:tcPr>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jc w:val="center"/>
              <w:rPr>
                <w:rFonts w:hint="eastAsia" w:ascii="宋体" w:hAnsi="宋体" w:cs="宋体"/>
                <w:sz w:val="22"/>
                <w:szCs w:val="22"/>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仿宋_GB2312" w:hAnsi="仿宋_GB2312" w:eastAsia="仿宋_GB2312" w:cs="仿宋_GB2312"/>
                <w:sz w:val="21"/>
                <w:szCs w:val="21"/>
              </w:rPr>
            </w:pPr>
          </w:p>
          <w:p>
            <w:pPr>
              <w:spacing w:line="240" w:lineRule="exact"/>
              <w:ind w:right="320" w:rightChars="0"/>
              <w:jc w:val="center"/>
              <w:rPr>
                <w:rFonts w:hint="eastAsia" w:ascii="宋体" w:hAnsi="Calibri" w:eastAsia="宋体" w:cs="宋体"/>
                <w:kern w:val="2"/>
                <w:sz w:val="21"/>
                <w:szCs w:val="21"/>
                <w:lang w:val="en-US" w:eastAsia="zh-CN" w:bidi="ar-SA"/>
              </w:rPr>
            </w:pPr>
            <w:r>
              <w:rPr>
                <w:rFonts w:hint="eastAsia" w:ascii="仿宋_GB2312" w:hAnsi="仿宋_GB2312" w:eastAsia="仿宋_GB2312" w:cs="仿宋_GB2312"/>
                <w:kern w:val="0"/>
                <w:sz w:val="18"/>
                <w:szCs w:val="18"/>
              </w:rPr>
              <w:t>检查生产现场与查阅资料相结合的方式</w:t>
            </w:r>
          </w:p>
        </w:tc>
        <w:tc>
          <w:tcPr>
            <w:tcW w:w="671" w:type="dxa"/>
            <w:tcBorders>
              <w:top w:val="single" w:color="auto" w:sz="4" w:space="0"/>
              <w:left w:val="nil"/>
              <w:bottom w:val="single" w:color="auto" w:sz="4" w:space="0"/>
              <w:right w:val="single" w:color="auto" w:sz="4" w:space="0"/>
            </w:tcBorders>
            <w:vAlign w:val="center"/>
          </w:tcPr>
          <w:p>
            <w:pPr>
              <w:spacing w:line="240" w:lineRule="exact"/>
              <w:ind w:right="320" w:rightChars="0"/>
              <w:jc w:val="center"/>
              <w:rPr>
                <w:rFonts w:hint="eastAsia" w:ascii="宋体" w:hAnsi="Calibri" w:eastAsia="宋体" w:cs="宋体"/>
                <w:kern w:val="2"/>
                <w:sz w:val="21"/>
                <w:szCs w:val="21"/>
                <w:lang w:val="en-US" w:eastAsia="zh-CN" w:bidi="ar-SA"/>
              </w:rPr>
            </w:pPr>
          </w:p>
        </w:tc>
      </w:tr>
    </w:tbl>
    <w:p>
      <w:pPr>
        <w:rPr>
          <w:rFonts w:ascii="???????" w:hAnsi="???????" w:cs="???????"/>
          <w:sz w:val="32"/>
          <w:szCs w:val="32"/>
        </w:rPr>
      </w:pPr>
      <w:r>
        <w:rPr>
          <w:rFonts w:ascii="宋体" w:hAnsi="宋体" w:cs="宋体"/>
          <w:sz w:val="32"/>
          <w:szCs w:val="32"/>
        </w:rPr>
        <w:t>2</w:t>
      </w:r>
      <w:r>
        <w:rPr>
          <w:rFonts w:hint="eastAsia" w:ascii="宋体" w:hAnsi="宋体" w:cs="宋体"/>
          <w:sz w:val="32"/>
          <w:szCs w:val="32"/>
        </w:rPr>
        <w:t>、剑阁县</w:t>
      </w:r>
      <w:r>
        <w:rPr>
          <w:rFonts w:hint="eastAsia" w:ascii="宋体" w:hAnsi="宋体" w:cs="宋体"/>
          <w:sz w:val="32"/>
          <w:szCs w:val="32"/>
          <w:lang w:eastAsia="zh-CN"/>
        </w:rPr>
        <w:t>商合</w:t>
      </w:r>
      <w:r>
        <w:rPr>
          <w:rFonts w:hint="eastAsia" w:ascii="宋体" w:hAnsi="宋体" w:cs="宋体"/>
          <w:sz w:val="32"/>
          <w:szCs w:val="32"/>
        </w:rPr>
        <w:t>局随机抽查市场主体名录库</w:t>
      </w:r>
    </w:p>
    <w:tbl>
      <w:tblPr>
        <w:tblStyle w:val="7"/>
        <w:tblW w:w="14010" w:type="dxa"/>
        <w:tblInd w:w="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
        <w:gridCol w:w="3075"/>
        <w:gridCol w:w="1305"/>
        <w:gridCol w:w="2175"/>
        <w:gridCol w:w="1305"/>
        <w:gridCol w:w="1470"/>
        <w:gridCol w:w="2085"/>
        <w:gridCol w:w="1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05" w:type="dxa"/>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序号</w:t>
            </w:r>
          </w:p>
        </w:tc>
        <w:tc>
          <w:tcPr>
            <w:tcW w:w="3075"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企业名称</w:t>
            </w:r>
          </w:p>
        </w:tc>
        <w:tc>
          <w:tcPr>
            <w:tcW w:w="1305"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法人代表</w:t>
            </w:r>
          </w:p>
        </w:tc>
        <w:tc>
          <w:tcPr>
            <w:tcW w:w="2175"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企业地址</w:t>
            </w:r>
          </w:p>
        </w:tc>
        <w:tc>
          <w:tcPr>
            <w:tcW w:w="1305"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企业类型</w:t>
            </w:r>
          </w:p>
        </w:tc>
        <w:tc>
          <w:tcPr>
            <w:tcW w:w="1470"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所属行业</w:t>
            </w:r>
          </w:p>
        </w:tc>
        <w:tc>
          <w:tcPr>
            <w:tcW w:w="2085"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登记机关</w:t>
            </w:r>
          </w:p>
        </w:tc>
        <w:tc>
          <w:tcPr>
            <w:tcW w:w="1890" w:type="dxa"/>
            <w:tcBorders>
              <w:left w:val="nil"/>
            </w:tcBorders>
            <w:vAlign w:val="center"/>
          </w:tcPr>
          <w:p>
            <w:pPr>
              <w:spacing w:line="54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6" w:hRule="atLeast"/>
        </w:trPr>
        <w:tc>
          <w:tcPr>
            <w:tcW w:w="705"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1</w:t>
            </w:r>
          </w:p>
        </w:tc>
        <w:tc>
          <w:tcPr>
            <w:tcW w:w="3075"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江油市衡晶商贸有限公司</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曹勇</w:t>
            </w:r>
          </w:p>
        </w:tc>
        <w:tc>
          <w:tcPr>
            <w:tcW w:w="2175" w:type="dxa"/>
            <w:tcBorders>
              <w:left w:val="nil"/>
            </w:tcBorders>
            <w:vAlign w:val="center"/>
          </w:tcPr>
          <w:p>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江油市诗仙路</w:t>
            </w:r>
            <w:r>
              <w:rPr>
                <w:rFonts w:hint="eastAsia" w:ascii="仿宋_GB2312" w:hAnsi="仿宋_GB2312" w:eastAsia="仿宋_GB2312" w:cs="仿宋_GB2312"/>
                <w:sz w:val="21"/>
                <w:szCs w:val="21"/>
                <w:lang w:val="en-US" w:eastAsia="zh-CN"/>
              </w:rPr>
              <w:t>172号</w:t>
            </w:r>
          </w:p>
        </w:tc>
        <w:tc>
          <w:tcPr>
            <w:tcW w:w="1305" w:type="dxa"/>
            <w:tcBorders>
              <w:left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私企</w:t>
            </w:r>
          </w:p>
        </w:tc>
        <w:tc>
          <w:tcPr>
            <w:tcW w:w="1470" w:type="dxa"/>
            <w:tcBorders>
              <w:left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会展</w:t>
            </w:r>
          </w:p>
        </w:tc>
        <w:tc>
          <w:tcPr>
            <w:tcW w:w="2085" w:type="dxa"/>
            <w:tcBorders>
              <w:left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江油市市场监管局</w:t>
            </w:r>
          </w:p>
        </w:tc>
        <w:tc>
          <w:tcPr>
            <w:tcW w:w="1890" w:type="dxa"/>
            <w:tcBorders>
              <w:left w:val="nil"/>
            </w:tcBorders>
            <w:vAlign w:val="center"/>
          </w:tcPr>
          <w:p>
            <w:pPr>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剑阁县境内会展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05"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2</w:t>
            </w:r>
          </w:p>
        </w:tc>
        <w:tc>
          <w:tcPr>
            <w:tcW w:w="3075" w:type="dxa"/>
            <w:tcBorders>
              <w:left w:val="nil"/>
            </w:tcBorders>
            <w:vAlign w:val="center"/>
          </w:tcPr>
          <w:p>
            <w:pPr>
              <w:ind w:firstLine="630" w:firstLineChars="3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爆点生活馆</w:t>
            </w:r>
          </w:p>
        </w:tc>
        <w:tc>
          <w:tcPr>
            <w:tcW w:w="1305" w:type="dxa"/>
            <w:tcBorders>
              <w:left w:val="nil"/>
            </w:tcBorders>
            <w:vAlign w:val="center"/>
          </w:tcPr>
          <w:p>
            <w:pPr>
              <w:jc w:val="center"/>
              <w:rPr>
                <w:rFonts w:hint="eastAsia" w:ascii="仿宋_GB2312" w:hAnsi="仿宋_GB2312" w:eastAsia="仿宋_GB2312" w:cs="仿宋_GB2312"/>
                <w:sz w:val="21"/>
                <w:szCs w:val="21"/>
              </w:rPr>
            </w:pPr>
          </w:p>
          <w:p>
            <w:pPr>
              <w:jc w:val="center"/>
              <w:rPr>
                <w:rFonts w:hint="eastAsia" w:ascii="仿宋_GB2312" w:hAnsi="仿宋_GB2312" w:eastAsia="仿宋_GB2312" w:cs="仿宋_GB2312"/>
                <w:sz w:val="21"/>
                <w:szCs w:val="21"/>
              </w:rPr>
            </w:pPr>
          </w:p>
        </w:tc>
        <w:tc>
          <w:tcPr>
            <w:tcW w:w="2175" w:type="dxa"/>
            <w:tcBorders>
              <w:left w:val="nil"/>
            </w:tcBorders>
            <w:vAlign w:val="center"/>
          </w:tcPr>
          <w:p>
            <w:pPr>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下寺镇</w:t>
            </w:r>
            <w:r>
              <w:rPr>
                <w:rFonts w:hint="eastAsia" w:ascii="仿宋_GB2312" w:hAnsi="仿宋_GB2312" w:eastAsia="仿宋_GB2312" w:cs="仿宋_GB2312"/>
                <w:kern w:val="0"/>
                <w:sz w:val="21"/>
                <w:szCs w:val="21"/>
                <w:lang w:eastAsia="zh-CN"/>
              </w:rPr>
              <w:t>天一世纪广场</w:t>
            </w:r>
          </w:p>
        </w:tc>
        <w:tc>
          <w:tcPr>
            <w:tcW w:w="1305" w:type="dxa"/>
            <w:tcBorders>
              <w:left w:val="nil"/>
            </w:tcBorders>
            <w:vAlign w:val="center"/>
          </w:tcPr>
          <w:p>
            <w:pPr>
              <w:ind w:firstLine="420" w:firstLineChars="200"/>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个体</w:t>
            </w:r>
          </w:p>
        </w:tc>
        <w:tc>
          <w:tcPr>
            <w:tcW w:w="1470"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洗染</w:t>
            </w:r>
          </w:p>
        </w:tc>
        <w:tc>
          <w:tcPr>
            <w:tcW w:w="2085" w:type="dxa"/>
            <w:tcBorders>
              <w:left w:val="nil"/>
            </w:tcBorders>
            <w:vAlign w:val="center"/>
          </w:tcPr>
          <w:p>
            <w:pPr>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trPr>
        <w:tc>
          <w:tcPr>
            <w:tcW w:w="705"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3</w:t>
            </w:r>
          </w:p>
        </w:tc>
        <w:tc>
          <w:tcPr>
            <w:tcW w:w="307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剑阁县星星家电维修部</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严明</w:t>
            </w:r>
          </w:p>
        </w:tc>
        <w:tc>
          <w:tcPr>
            <w:tcW w:w="2175" w:type="dxa"/>
            <w:tcBorders>
              <w:left w:val="nil"/>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开封镇场镇</w:t>
            </w:r>
          </w:p>
        </w:tc>
        <w:tc>
          <w:tcPr>
            <w:tcW w:w="1305" w:type="dxa"/>
            <w:tcBorders>
              <w:left w:val="nil"/>
            </w:tcBorders>
            <w:vAlign w:val="center"/>
          </w:tcPr>
          <w:p>
            <w:pPr>
              <w:ind w:firstLine="420" w:firstLineChars="200"/>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个体</w:t>
            </w:r>
            <w:r>
              <w:rPr>
                <w:rFonts w:hint="eastAsia" w:ascii="仿宋_GB2312" w:hAnsi="仿宋_GB2312" w:eastAsia="仿宋_GB2312" w:cs="仿宋_GB2312"/>
                <w:sz w:val="21"/>
                <w:szCs w:val="21"/>
                <w:lang w:val="en-US" w:eastAsia="zh-CN"/>
              </w:rPr>
              <w:t xml:space="preserve"> </w:t>
            </w:r>
          </w:p>
        </w:tc>
        <w:tc>
          <w:tcPr>
            <w:tcW w:w="1470"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家电维修</w:t>
            </w:r>
          </w:p>
        </w:tc>
        <w:tc>
          <w:tcPr>
            <w:tcW w:w="2085" w:type="dxa"/>
            <w:tcBorders>
              <w:left w:val="nil"/>
            </w:tcBorders>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705" w:type="dxa"/>
            <w:vAlign w:val="center"/>
          </w:tcPr>
          <w:p>
            <w:pPr>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4</w:t>
            </w:r>
          </w:p>
        </w:tc>
        <w:tc>
          <w:tcPr>
            <w:tcW w:w="307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剑阁县鸿运家电维修部</w:t>
            </w:r>
          </w:p>
        </w:tc>
        <w:tc>
          <w:tcPr>
            <w:tcW w:w="1305" w:type="dxa"/>
            <w:tcBorders>
              <w:left w:val="nil"/>
            </w:tcBorders>
            <w:vAlign w:val="center"/>
          </w:tcPr>
          <w:p>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姚杰</w:t>
            </w:r>
          </w:p>
        </w:tc>
        <w:tc>
          <w:tcPr>
            <w:tcW w:w="2175" w:type="dxa"/>
            <w:tcBorders>
              <w:left w:val="nil"/>
            </w:tcBorders>
            <w:vAlign w:val="center"/>
          </w:tcPr>
          <w:p>
            <w:pPr>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下寺镇修城坝</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家电维修</w:t>
            </w:r>
          </w:p>
        </w:tc>
        <w:tc>
          <w:tcPr>
            <w:tcW w:w="2085" w:type="dxa"/>
            <w:tcBorders>
              <w:left w:val="nil"/>
            </w:tcBorders>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705" w:type="dxa"/>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lang w:val="en-US" w:eastAsia="zh-CN"/>
              </w:rPr>
              <w:t>5</w:t>
            </w:r>
          </w:p>
        </w:tc>
        <w:tc>
          <w:tcPr>
            <w:tcW w:w="307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剑阁县蕾奇尔洗衣店</w:t>
            </w:r>
          </w:p>
        </w:tc>
        <w:tc>
          <w:tcPr>
            <w:tcW w:w="1305"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郑艾霖</w:t>
            </w:r>
          </w:p>
        </w:tc>
        <w:tc>
          <w:tcPr>
            <w:tcW w:w="2175" w:type="dxa"/>
            <w:tcBorders>
              <w:left w:val="nil"/>
            </w:tcBorders>
            <w:vAlign w:val="center"/>
          </w:tcPr>
          <w:p>
            <w:pPr>
              <w:ind w:firstLine="630" w:firstLineChars="3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普安镇</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洗染</w:t>
            </w:r>
          </w:p>
        </w:tc>
        <w:tc>
          <w:tcPr>
            <w:tcW w:w="2085" w:type="dxa"/>
            <w:tcBorders>
              <w:left w:val="nil"/>
            </w:tcBorders>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705" w:type="dxa"/>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lang w:val="en-US" w:eastAsia="zh-CN"/>
              </w:rPr>
              <w:t>6</w:t>
            </w:r>
          </w:p>
        </w:tc>
        <w:tc>
          <w:tcPr>
            <w:tcW w:w="3075" w:type="dxa"/>
            <w:tcBorders>
              <w:left w:val="nil"/>
            </w:tcBorders>
            <w:vAlign w:val="center"/>
          </w:tcPr>
          <w:p>
            <w:pPr>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剑阁县博东家政服务有限公司</w:t>
            </w:r>
          </w:p>
        </w:tc>
        <w:tc>
          <w:tcPr>
            <w:tcW w:w="1305"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岳安东</w:t>
            </w:r>
          </w:p>
        </w:tc>
        <w:tc>
          <w:tcPr>
            <w:tcW w:w="2175" w:type="dxa"/>
            <w:tcBorders>
              <w:left w:val="nil"/>
            </w:tcBorders>
            <w:vAlign w:val="center"/>
          </w:tcPr>
          <w:p>
            <w:pPr>
              <w:ind w:firstLine="630" w:firstLineChars="3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下寺镇</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私企</w:t>
            </w:r>
          </w:p>
        </w:tc>
        <w:tc>
          <w:tcPr>
            <w:tcW w:w="1470"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家政服务</w:t>
            </w:r>
          </w:p>
        </w:tc>
        <w:tc>
          <w:tcPr>
            <w:tcW w:w="2085" w:type="dxa"/>
            <w:tcBorders>
              <w:left w:val="nil"/>
            </w:tcBorders>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atLeast"/>
        </w:trPr>
        <w:tc>
          <w:tcPr>
            <w:tcW w:w="705" w:type="dxa"/>
            <w:vAlign w:val="center"/>
          </w:tcPr>
          <w:p>
            <w:pPr>
              <w:jc w:val="center"/>
              <w:rPr>
                <w:rFonts w:hint="eastAsia" w:ascii="宋体" w:eastAsia="宋体" w:cs="宋体"/>
                <w:lang w:eastAsia="zh-CN"/>
              </w:rPr>
            </w:pPr>
            <w:r>
              <w:rPr>
                <w:rFonts w:hint="eastAsia" w:ascii="宋体" w:hAnsi="宋体" w:cs="宋体"/>
                <w:kern w:val="0"/>
                <w:sz w:val="20"/>
                <w:szCs w:val="20"/>
                <w:lang w:val="en-US" w:eastAsia="zh-CN"/>
              </w:rPr>
              <w:t>7</w:t>
            </w:r>
          </w:p>
        </w:tc>
        <w:tc>
          <w:tcPr>
            <w:tcW w:w="3075" w:type="dxa"/>
            <w:tcBorders>
              <w:left w:val="nil"/>
            </w:tcBorders>
            <w:vAlign w:val="center"/>
          </w:tcPr>
          <w:p>
            <w:pPr>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剑阁县翰莉保洁服务有限公司</w:t>
            </w:r>
          </w:p>
        </w:tc>
        <w:tc>
          <w:tcPr>
            <w:tcW w:w="1305" w:type="dxa"/>
            <w:tcBorders>
              <w:left w:val="nil"/>
            </w:tcBorders>
            <w:vAlign w:val="center"/>
          </w:tcPr>
          <w:p>
            <w:pPr>
              <w:ind w:firstLine="210" w:firstLineChars="1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苗在洪</w:t>
            </w:r>
          </w:p>
        </w:tc>
        <w:tc>
          <w:tcPr>
            <w:tcW w:w="2175" w:type="dxa"/>
            <w:tcBorders>
              <w:left w:val="nil"/>
            </w:tcBorders>
            <w:vAlign w:val="center"/>
          </w:tcPr>
          <w:p>
            <w:pPr>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普安镇</w:t>
            </w:r>
          </w:p>
        </w:tc>
        <w:tc>
          <w:tcPr>
            <w:tcW w:w="1305" w:type="dxa"/>
            <w:tcBorders>
              <w:left w:val="nil"/>
            </w:tcBorders>
            <w:vAlign w:val="center"/>
          </w:tcPr>
          <w:p>
            <w:pPr>
              <w:ind w:firstLine="420" w:firstLineChars="20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私企</w:t>
            </w:r>
          </w:p>
        </w:tc>
        <w:tc>
          <w:tcPr>
            <w:tcW w:w="1470" w:type="dxa"/>
            <w:tcBorders>
              <w:left w:val="nil"/>
            </w:tcBorders>
            <w:vAlign w:val="center"/>
          </w:tcPr>
          <w:p>
            <w:pPr>
              <w:ind w:firstLine="210" w:firstLineChars="1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家政服务</w:t>
            </w:r>
          </w:p>
        </w:tc>
        <w:tc>
          <w:tcPr>
            <w:tcW w:w="2085" w:type="dxa"/>
            <w:tcBorders>
              <w:left w:val="nil"/>
            </w:tcBorders>
            <w:vAlign w:val="center"/>
          </w:tcPr>
          <w:p>
            <w:pPr>
              <w:jc w:val="both"/>
              <w:rPr>
                <w:rFonts w:hint="eastAsia" w:ascii="仿宋_GB2312" w:hAnsi="仿宋_GB2312" w:eastAsia="仿宋_GB2312" w:cs="仿宋_GB2312"/>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atLeast"/>
        </w:trPr>
        <w:tc>
          <w:tcPr>
            <w:tcW w:w="705" w:type="dxa"/>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lang w:val="en-US" w:eastAsia="zh-CN"/>
              </w:rPr>
              <w:t>8</w:t>
            </w:r>
          </w:p>
        </w:tc>
        <w:tc>
          <w:tcPr>
            <w:tcW w:w="3075" w:type="dxa"/>
            <w:tcBorders>
              <w:left w:val="nil"/>
            </w:tcBorders>
            <w:vAlign w:val="center"/>
          </w:tcPr>
          <w:p>
            <w:pPr>
              <w:ind w:firstLine="420" w:firstLineChars="200"/>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剑阁县合家欢餐饮店</w:t>
            </w:r>
          </w:p>
        </w:tc>
        <w:tc>
          <w:tcPr>
            <w:tcW w:w="1305"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神清平</w:t>
            </w:r>
          </w:p>
        </w:tc>
        <w:tc>
          <w:tcPr>
            <w:tcW w:w="2175" w:type="dxa"/>
            <w:tcBorders>
              <w:left w:val="nil"/>
            </w:tcBorders>
            <w:vAlign w:val="center"/>
          </w:tcPr>
          <w:p>
            <w:pPr>
              <w:ind w:firstLine="630" w:firstLineChars="3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普安镇</w:t>
            </w:r>
          </w:p>
        </w:tc>
        <w:tc>
          <w:tcPr>
            <w:tcW w:w="1305" w:type="dxa"/>
            <w:tcBorders>
              <w:left w:val="nil"/>
            </w:tcBorders>
            <w:vAlign w:val="center"/>
          </w:tcPr>
          <w:p>
            <w:pPr>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餐饮服务</w:t>
            </w:r>
          </w:p>
        </w:tc>
        <w:tc>
          <w:tcPr>
            <w:tcW w:w="2085" w:type="dxa"/>
            <w:tcBorders>
              <w:left w:val="nil"/>
            </w:tcBorders>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trPr>
        <w:tc>
          <w:tcPr>
            <w:tcW w:w="705" w:type="dxa"/>
            <w:vAlign w:val="center"/>
          </w:tcPr>
          <w:p>
            <w:pPr>
              <w:jc w:val="center"/>
              <w:rPr>
                <w:rFonts w:hint="eastAsia" w:ascii="宋体" w:eastAsia="宋体" w:cs="宋体"/>
                <w:lang w:eastAsia="zh-CN"/>
              </w:rPr>
            </w:pPr>
            <w:r>
              <w:rPr>
                <w:rFonts w:hint="eastAsia" w:ascii="宋体" w:hAnsi="宋体" w:cs="宋体"/>
                <w:kern w:val="0"/>
                <w:sz w:val="20"/>
                <w:szCs w:val="20"/>
                <w:lang w:val="en-US" w:eastAsia="zh-CN"/>
              </w:rPr>
              <w:t>9</w:t>
            </w:r>
          </w:p>
        </w:tc>
        <w:tc>
          <w:tcPr>
            <w:tcW w:w="3075" w:type="dxa"/>
            <w:tcBorders>
              <w:left w:val="nil"/>
            </w:tcBorders>
            <w:vAlign w:val="center"/>
          </w:tcPr>
          <w:p>
            <w:pPr>
              <w:ind w:firstLine="420" w:firstLineChars="2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剑阁县又一村火锅店</w:t>
            </w:r>
          </w:p>
        </w:tc>
        <w:tc>
          <w:tcPr>
            <w:tcW w:w="1305" w:type="dxa"/>
            <w:tcBorders>
              <w:left w:val="nil"/>
            </w:tcBorders>
            <w:vAlign w:val="center"/>
          </w:tcPr>
          <w:p>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张洪兵</w:t>
            </w:r>
          </w:p>
        </w:tc>
        <w:tc>
          <w:tcPr>
            <w:tcW w:w="2175" w:type="dxa"/>
            <w:tcBorders>
              <w:left w:val="nil"/>
            </w:tcBorders>
            <w:vAlign w:val="center"/>
          </w:tcPr>
          <w:p>
            <w:pPr>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普安镇</w:t>
            </w:r>
          </w:p>
        </w:tc>
        <w:tc>
          <w:tcPr>
            <w:tcW w:w="1305" w:type="dxa"/>
            <w:tcBorders>
              <w:left w:val="nil"/>
            </w:tcBorders>
            <w:vAlign w:val="center"/>
          </w:tcPr>
          <w:p>
            <w:pPr>
              <w:jc w:val="center"/>
              <w:rPr>
                <w:rFonts w:hint="eastAsia" w:ascii="仿宋_GB2312" w:hAnsi="仿宋_GB2312" w:eastAsia="仿宋_GB2312" w:cs="仿宋_GB2312"/>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ind w:firstLine="210" w:firstLineChars="1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餐饮服务</w:t>
            </w:r>
          </w:p>
        </w:tc>
        <w:tc>
          <w:tcPr>
            <w:tcW w:w="2085" w:type="dxa"/>
            <w:tcBorders>
              <w:left w:val="nil"/>
            </w:tcBorders>
            <w:vAlign w:val="center"/>
          </w:tcPr>
          <w:p>
            <w:pPr>
              <w:jc w:val="both"/>
              <w:rPr>
                <w:rFonts w:hint="eastAsia" w:ascii="仿宋_GB2312" w:hAnsi="仿宋_GB2312" w:eastAsia="仿宋_GB2312" w:cs="仿宋_GB2312"/>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asci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trPr>
        <w:tc>
          <w:tcPr>
            <w:tcW w:w="705" w:type="dxa"/>
            <w:vAlign w:val="center"/>
          </w:tcPr>
          <w:p>
            <w:pPr>
              <w:jc w:val="center"/>
              <w:rPr>
                <w:rFonts w:hint="default" w:ascii="宋体" w:eastAsia="宋体" w:cs="宋体"/>
                <w:lang w:val="en-US" w:eastAsia="zh-CN"/>
              </w:rPr>
            </w:pPr>
            <w:r>
              <w:rPr>
                <w:rFonts w:hint="eastAsia" w:ascii="宋体" w:hAnsi="宋体" w:cs="宋体"/>
                <w:kern w:val="0"/>
                <w:sz w:val="20"/>
                <w:szCs w:val="20"/>
                <w:lang w:val="en-US" w:eastAsia="zh-CN"/>
              </w:rPr>
              <w:t>10</w:t>
            </w:r>
          </w:p>
        </w:tc>
        <w:tc>
          <w:tcPr>
            <w:tcW w:w="3075" w:type="dxa"/>
            <w:tcBorders>
              <w:left w:val="nil"/>
            </w:tcBorders>
            <w:vAlign w:val="center"/>
          </w:tcPr>
          <w:p>
            <w:pPr>
              <w:ind w:firstLine="420" w:firstLineChars="2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剑阁县帅府大酒楼</w:t>
            </w:r>
          </w:p>
        </w:tc>
        <w:tc>
          <w:tcPr>
            <w:tcW w:w="1305" w:type="dxa"/>
            <w:tcBorders>
              <w:left w:val="nil"/>
            </w:tcBorders>
            <w:vAlign w:val="center"/>
          </w:tcPr>
          <w:p>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卫少能</w:t>
            </w:r>
          </w:p>
        </w:tc>
        <w:tc>
          <w:tcPr>
            <w:tcW w:w="2175" w:type="dxa"/>
            <w:tcBorders>
              <w:left w:val="nil"/>
            </w:tcBorders>
            <w:vAlign w:val="center"/>
          </w:tcPr>
          <w:p>
            <w:pPr>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剑门关镇</w:t>
            </w:r>
          </w:p>
        </w:tc>
        <w:tc>
          <w:tcPr>
            <w:tcW w:w="1305" w:type="dxa"/>
            <w:tcBorders>
              <w:left w:val="nil"/>
            </w:tcBorders>
            <w:vAlign w:val="center"/>
          </w:tcPr>
          <w:p>
            <w:pPr>
              <w:jc w:val="center"/>
              <w:rPr>
                <w:rFonts w:hint="eastAsia" w:ascii="仿宋_GB2312" w:hAnsi="仿宋_GB2312" w:eastAsia="仿宋_GB2312" w:cs="仿宋_GB2312"/>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ind w:firstLine="210" w:firstLineChars="100"/>
              <w:jc w:val="both"/>
              <w:rPr>
                <w:rFonts w:hint="eastAsia" w:ascii="仿宋_GB2312" w:hAnsi="仿宋_GB2312" w:eastAsia="仿宋_GB2312" w:cs="仿宋_GB2312"/>
                <w:lang w:eastAsia="zh-CN"/>
              </w:rPr>
            </w:pPr>
            <w:r>
              <w:rPr>
                <w:rFonts w:hint="eastAsia" w:ascii="仿宋_GB2312" w:hAnsi="仿宋_GB2312" w:eastAsia="仿宋_GB2312" w:cs="仿宋_GB2312"/>
                <w:lang w:eastAsia="zh-CN"/>
              </w:rPr>
              <w:t>餐饮服务</w:t>
            </w:r>
          </w:p>
        </w:tc>
        <w:tc>
          <w:tcPr>
            <w:tcW w:w="2085" w:type="dxa"/>
            <w:tcBorders>
              <w:left w:val="nil"/>
            </w:tcBorders>
            <w:vAlign w:val="center"/>
          </w:tcPr>
          <w:p>
            <w:pPr>
              <w:jc w:val="both"/>
              <w:rPr>
                <w:rFonts w:hint="eastAsia" w:ascii="仿宋_GB2312" w:hAnsi="仿宋_GB2312" w:eastAsia="仿宋_GB2312" w:cs="仿宋_GB2312"/>
              </w:rPr>
            </w:pPr>
            <w:r>
              <w:rPr>
                <w:rFonts w:hint="eastAsia" w:ascii="仿宋_GB2312" w:hAnsi="仿宋_GB2312" w:eastAsia="仿宋_GB2312" w:cs="仿宋_GB2312"/>
                <w:sz w:val="21"/>
                <w:szCs w:val="21"/>
                <w:lang w:eastAsia="zh-CN"/>
              </w:rPr>
              <w:t>剑阁县市场监管局</w:t>
            </w:r>
          </w:p>
        </w:tc>
        <w:tc>
          <w:tcPr>
            <w:tcW w:w="1890" w:type="dxa"/>
            <w:tcBorders>
              <w:left w:val="nil"/>
            </w:tcBorders>
            <w:vAlign w:val="center"/>
          </w:tcPr>
          <w:p>
            <w:pPr>
              <w:jc w:val="center"/>
              <w:rPr>
                <w:rFonts w:ascii="宋体" w:cs="宋体"/>
              </w:rPr>
            </w:pPr>
          </w:p>
        </w:tc>
      </w:tr>
    </w:tbl>
    <w:p>
      <w:pPr>
        <w:rPr>
          <w:rFonts w:ascii="新宋体" w:hAnsi="新宋体" w:eastAsia="新宋体" w:cs="Times New Roman"/>
          <w:sz w:val="32"/>
          <w:szCs w:val="32"/>
        </w:rPr>
      </w:pPr>
    </w:p>
    <w:tbl>
      <w:tblPr>
        <w:tblStyle w:val="7"/>
        <w:tblW w:w="14205"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3691"/>
        <w:gridCol w:w="1335"/>
        <w:gridCol w:w="2460"/>
        <w:gridCol w:w="1530"/>
        <w:gridCol w:w="1470"/>
        <w:gridCol w:w="2010"/>
        <w:gridCol w:w="9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11</w:t>
            </w:r>
          </w:p>
        </w:tc>
        <w:tc>
          <w:tcPr>
            <w:tcW w:w="3691" w:type="dxa"/>
            <w:tcBorders>
              <w:left w:val="nil"/>
            </w:tcBorders>
            <w:vAlign w:val="center"/>
          </w:tcPr>
          <w:p>
            <w:pPr>
              <w:spacing w:line="240" w:lineRule="exact"/>
              <w:ind w:firstLine="840" w:firstLineChars="4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剑阁县上品火锅店</w:t>
            </w:r>
          </w:p>
        </w:tc>
        <w:tc>
          <w:tcPr>
            <w:tcW w:w="1335"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肖军</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下寺镇修城坝</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12</w:t>
            </w:r>
          </w:p>
        </w:tc>
        <w:tc>
          <w:tcPr>
            <w:tcW w:w="3691"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剑阁县下寺镇友记稻花香餐馆</w:t>
            </w:r>
          </w:p>
        </w:tc>
        <w:tc>
          <w:tcPr>
            <w:tcW w:w="1335"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陈新燕</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下寺镇修城坝</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13</w:t>
            </w:r>
          </w:p>
        </w:tc>
        <w:tc>
          <w:tcPr>
            <w:tcW w:w="3691" w:type="dxa"/>
            <w:tcBorders>
              <w:left w:val="nil"/>
            </w:tcBorders>
            <w:vAlign w:val="center"/>
          </w:tcPr>
          <w:p>
            <w:pPr>
              <w:spacing w:line="240" w:lineRule="exact"/>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四川天赐剑门关温泉开发有限公司</w:t>
            </w:r>
          </w:p>
        </w:tc>
        <w:tc>
          <w:tcPr>
            <w:tcW w:w="1335"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杜永贵</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下寺镇修城坝</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洗浴</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14</w:t>
            </w:r>
          </w:p>
        </w:tc>
        <w:tc>
          <w:tcPr>
            <w:tcW w:w="3691" w:type="dxa"/>
            <w:tcBorders>
              <w:left w:val="nil"/>
            </w:tcBorders>
            <w:vAlign w:val="center"/>
          </w:tcPr>
          <w:p>
            <w:pPr>
              <w:spacing w:line="240" w:lineRule="exact"/>
              <w:ind w:firstLine="630" w:firstLineChars="3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剑门关国际温泉大酒店</w:t>
            </w:r>
          </w:p>
        </w:tc>
        <w:tc>
          <w:tcPr>
            <w:tcW w:w="1335"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李世平</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剑阁县下寺镇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洗浴</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15</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剑阁县旭日汽车销售有限公司</w:t>
            </w:r>
          </w:p>
        </w:tc>
        <w:tc>
          <w:tcPr>
            <w:tcW w:w="1335"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郑玉强</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汽车销售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16</w:t>
            </w:r>
          </w:p>
        </w:tc>
        <w:tc>
          <w:tcPr>
            <w:tcW w:w="3691"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剑阁县三合汽车销售有限公司</w:t>
            </w:r>
          </w:p>
        </w:tc>
        <w:tc>
          <w:tcPr>
            <w:tcW w:w="1335"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陈国贤</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汽车销售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17</w:t>
            </w:r>
          </w:p>
        </w:tc>
        <w:tc>
          <w:tcPr>
            <w:tcW w:w="3691" w:type="dxa"/>
            <w:tcBorders>
              <w:left w:val="nil"/>
            </w:tcBorders>
            <w:vAlign w:val="center"/>
          </w:tcPr>
          <w:p>
            <w:pPr>
              <w:tabs>
                <w:tab w:val="left" w:pos="1033"/>
              </w:tabs>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剑阁县众汇铭城汽车销售有限公司</w:t>
            </w:r>
          </w:p>
        </w:tc>
        <w:tc>
          <w:tcPr>
            <w:tcW w:w="1335"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吴志刚</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汽车销售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18</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广元市瑞山酒店管理有限责任公司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贾良熊</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18</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剑阁县红升商贸有限公司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范红斌</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19</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剑阁县衡瑞商贸有限公司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李泽生</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批发</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20</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剑阁县康安药业</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兰松</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私企</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批发零售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21</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剑阁县精诚电器行</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姜小丽</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电器销售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22</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剑阁县互惠百货购物中心</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何彬</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23</w:t>
            </w:r>
          </w:p>
        </w:tc>
        <w:tc>
          <w:tcPr>
            <w:tcW w:w="3691" w:type="dxa"/>
            <w:tcBorders>
              <w:left w:val="nil"/>
            </w:tcBorders>
            <w:vAlign w:val="bottom"/>
          </w:tcPr>
          <w:p>
            <w:pPr>
              <w:keepNext w:val="0"/>
              <w:keepLines w:val="0"/>
              <w:widowControl/>
              <w:suppressLineNumbers w:val="0"/>
              <w:jc w:val="both"/>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四川省剑阁县药业有限责任公司</w:t>
            </w:r>
          </w:p>
        </w:tc>
        <w:tc>
          <w:tcPr>
            <w:tcW w:w="1335"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李总</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批发零售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24</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四川华盛医药有限公司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李尚银</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批发零售</w:t>
            </w:r>
          </w:p>
        </w:tc>
        <w:tc>
          <w:tcPr>
            <w:tcW w:w="2010" w:type="dxa"/>
            <w:tcBorders>
              <w:left w:val="nil"/>
            </w:tcBorders>
            <w:vAlign w:val="center"/>
          </w:tcPr>
          <w:p>
            <w:pPr>
              <w:spacing w:line="24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25</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剑阁县博来电器销售有限公司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李志生</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电器销售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26</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剑阁县好日子火锅楼</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梁奉全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27</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剑阁县军城电器行</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王家军</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电器销售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28</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剑阁县金心家电城</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毛金亮</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电器销售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29</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default" w:ascii="仿宋_GB2312" w:hAnsi="宋体" w:eastAsia="仿宋_GB2312" w:cs="仿宋_GB2312"/>
                <w:i w:val="0"/>
                <w:color w:val="000000"/>
                <w:kern w:val="2"/>
                <w:sz w:val="24"/>
                <w:szCs w:val="24"/>
                <w:u w:val="none"/>
                <w:lang w:val="en-US" w:eastAsia="zh-CN" w:bidi="ar-SA"/>
              </w:rPr>
              <w:t>剑阁县世纪华联超市（加盟店）</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default" w:ascii="仿宋_GB2312" w:hAnsi="宋体" w:eastAsia="仿宋_GB2312" w:cs="仿宋_GB2312"/>
                <w:i w:val="0"/>
                <w:color w:val="000000"/>
                <w:kern w:val="2"/>
                <w:sz w:val="24"/>
                <w:szCs w:val="24"/>
                <w:u w:val="none"/>
                <w:lang w:val="en-US" w:eastAsia="zh-CN" w:bidi="ar-SA"/>
              </w:rPr>
              <w:t>李从安</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30</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剑阁县明华家电行</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唐明华</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电器销售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31</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剑阁县德广购物中心普安旗舰店（加盟店）</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罗久富</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32</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剑阁县全友家居商场</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孙建蓉</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家居销售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33</w:t>
            </w:r>
          </w:p>
        </w:tc>
        <w:tc>
          <w:tcPr>
            <w:tcW w:w="3691" w:type="dxa"/>
            <w:tcBorders>
              <w:left w:val="nil"/>
            </w:tcBorders>
            <w:vAlign w:val="center"/>
          </w:tcPr>
          <w:p>
            <w:pPr>
              <w:keepNext w:val="0"/>
              <w:keepLines w:val="0"/>
              <w:widowControl/>
              <w:suppressLineNumbers w:val="0"/>
              <w:ind w:firstLine="960" w:firstLineChars="400"/>
              <w:jc w:val="both"/>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名门酒店</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余兴伟</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34</w:t>
            </w:r>
          </w:p>
        </w:tc>
        <w:tc>
          <w:tcPr>
            <w:tcW w:w="3691" w:type="dxa"/>
            <w:tcBorders>
              <w:left w:val="nil"/>
            </w:tcBorders>
            <w:vAlign w:val="bottom"/>
          </w:tcPr>
          <w:p>
            <w:pPr>
              <w:keepNext w:val="0"/>
              <w:keepLines w:val="0"/>
              <w:widowControl/>
              <w:suppressLineNumbers w:val="0"/>
              <w:ind w:firstLine="720" w:firstLineChars="300"/>
              <w:jc w:val="both"/>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剑阁县陶陶酒店</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陶剑</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35</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广元市皇都大酒店管理有限公司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钟小金</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36</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剑阁县精</w:t>
            </w:r>
            <w:r>
              <w:rPr>
                <w:rStyle w:val="36"/>
                <w:lang w:val="en-US" w:eastAsia="zh-CN" w:bidi="ar"/>
              </w:rPr>
              <w:t>逹</w:t>
            </w:r>
            <w:r>
              <w:rPr>
                <w:rStyle w:val="37"/>
                <w:rFonts w:hAnsi="宋体"/>
                <w:lang w:val="en-US" w:eastAsia="zh-CN" w:bidi="ar"/>
              </w:rPr>
              <w:t>商贸有限公司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杜永贵</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37</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剑阁县红升商贸有限公司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范红斌</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普安</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38</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剑阁县三分田有限公司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王晓云</w:t>
            </w:r>
          </w:p>
        </w:tc>
        <w:tc>
          <w:tcPr>
            <w:tcW w:w="2460" w:type="dxa"/>
            <w:tcBorders>
              <w:left w:val="nil"/>
            </w:tcBorders>
            <w:vAlign w:val="center"/>
          </w:tcPr>
          <w:p>
            <w:pPr>
              <w:spacing w:line="24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私企</w:t>
            </w:r>
          </w:p>
        </w:tc>
        <w:tc>
          <w:tcPr>
            <w:tcW w:w="1470" w:type="dxa"/>
            <w:tcBorders>
              <w:left w:val="nil"/>
            </w:tcBorders>
            <w:vAlign w:val="center"/>
          </w:tcPr>
          <w:p>
            <w:pPr>
              <w:spacing w:line="240" w:lineRule="exact"/>
              <w:ind w:firstLine="420" w:firstLineChars="200"/>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销售</w:t>
            </w:r>
          </w:p>
        </w:tc>
        <w:tc>
          <w:tcPr>
            <w:tcW w:w="2010" w:type="dxa"/>
            <w:tcBorders>
              <w:left w:val="nil"/>
            </w:tcBorders>
            <w:vAlign w:val="center"/>
          </w:tcPr>
          <w:p>
            <w:pPr>
              <w:spacing w:line="24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39</w:t>
            </w:r>
          </w:p>
        </w:tc>
        <w:tc>
          <w:tcPr>
            <w:tcW w:w="3691" w:type="dxa"/>
            <w:tcBorders>
              <w:left w:val="nil"/>
            </w:tcBorders>
            <w:vAlign w:val="bottom"/>
          </w:tcPr>
          <w:p>
            <w:pPr>
              <w:keepNext w:val="0"/>
              <w:keepLines w:val="0"/>
              <w:widowControl/>
              <w:suppressLineNumbers w:val="0"/>
              <w:ind w:firstLine="480" w:firstLineChars="200"/>
              <w:jc w:val="both"/>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剑阁县双虎家私商场</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孙建蓉</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家居销售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40</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剑阁县姜尚购物中心</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唐明华</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41</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剑阁县七天连锁酒店</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李春全</w:t>
            </w:r>
          </w:p>
        </w:tc>
        <w:tc>
          <w:tcPr>
            <w:tcW w:w="2460" w:type="dxa"/>
            <w:tcBorders>
              <w:left w:val="nil"/>
            </w:tcBorders>
            <w:vAlign w:val="center"/>
          </w:tcPr>
          <w:p>
            <w:pPr>
              <w:spacing w:line="240" w:lineRule="exact"/>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住宿</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42</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剑阁县明翠柴房土鸡餐馆</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任大江</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43</w:t>
            </w:r>
          </w:p>
        </w:tc>
        <w:tc>
          <w:tcPr>
            <w:tcW w:w="3691" w:type="dxa"/>
            <w:tcBorders>
              <w:left w:val="nil"/>
            </w:tcBorders>
            <w:vAlign w:val="center"/>
          </w:tcPr>
          <w:p>
            <w:pPr>
              <w:keepNext w:val="0"/>
              <w:keepLines w:val="0"/>
              <w:widowControl/>
              <w:suppressLineNumbers w:val="0"/>
              <w:ind w:firstLine="480" w:firstLineChars="200"/>
              <w:jc w:val="both"/>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剑阁县下寺镇涨盈电器</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肖松</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44</w:t>
            </w:r>
          </w:p>
        </w:tc>
        <w:tc>
          <w:tcPr>
            <w:tcW w:w="3691" w:type="dxa"/>
            <w:tcBorders>
              <w:left w:val="nil"/>
            </w:tcBorders>
            <w:vAlign w:val="bottom"/>
          </w:tcPr>
          <w:p>
            <w:pPr>
              <w:keepNext w:val="0"/>
              <w:keepLines w:val="0"/>
              <w:widowControl/>
              <w:suppressLineNumbers w:val="0"/>
              <w:jc w:val="both"/>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剑阁县下寺镇五丁电器经营部</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唐明华</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家电销售</w:t>
            </w:r>
          </w:p>
        </w:tc>
        <w:tc>
          <w:tcPr>
            <w:tcW w:w="2010" w:type="dxa"/>
            <w:tcBorders>
              <w:left w:val="nil"/>
            </w:tcBorders>
            <w:vAlign w:val="center"/>
          </w:tcPr>
          <w:p>
            <w:pPr>
              <w:spacing w:line="24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45</w:t>
            </w:r>
          </w:p>
        </w:tc>
        <w:tc>
          <w:tcPr>
            <w:tcW w:w="3691" w:type="dxa"/>
            <w:tcBorders>
              <w:left w:val="nil"/>
            </w:tcBorders>
            <w:vAlign w:val="bottom"/>
          </w:tcPr>
          <w:p>
            <w:pPr>
              <w:keepNext w:val="0"/>
              <w:keepLines w:val="0"/>
              <w:widowControl/>
              <w:suppressLineNumbers w:val="0"/>
              <w:ind w:firstLine="240" w:firstLineChars="100"/>
              <w:jc w:val="both"/>
              <w:textAlignment w:val="bottom"/>
              <w:rPr>
                <w:rFonts w:hint="default" w:ascii="仿宋_GB2312" w:hAnsi="宋体" w:eastAsia="仿宋_GB2312" w:cs="仿宋_GB2312"/>
                <w:i w:val="0"/>
                <w:color w:val="000000"/>
                <w:kern w:val="2"/>
                <w:sz w:val="24"/>
                <w:szCs w:val="24"/>
                <w:u w:val="none"/>
                <w:lang w:val="en-US" w:eastAsia="zh-CN" w:bidi="ar-SA"/>
              </w:rPr>
            </w:pPr>
            <w:r>
              <w:rPr>
                <w:rFonts w:hint="default" w:ascii="仿宋_GB2312" w:hAnsi="宋体" w:eastAsia="仿宋_GB2312" w:cs="仿宋_GB2312"/>
                <w:i w:val="0"/>
                <w:color w:val="000000"/>
                <w:kern w:val="2"/>
                <w:sz w:val="24"/>
                <w:szCs w:val="24"/>
                <w:u w:val="none"/>
                <w:lang w:val="en-US" w:eastAsia="zh-CN" w:bidi="ar-SA"/>
              </w:rPr>
              <w:t>剑阁县下寺镇明珠商场</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李春全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46</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剑阁县世纪华联购物超市（下寺）</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项凯莉</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47</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剑阁县下寺镇全友家居馆（加盟店）</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李春全</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家居销售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48</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剑阁县剑门关酒店有限责任公司</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苏经理</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49</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default" w:ascii="仿宋_GB2312" w:hAnsi="宋体" w:eastAsia="仿宋_GB2312" w:cs="仿宋_GB2312"/>
                <w:i w:val="0"/>
                <w:color w:val="000000"/>
                <w:kern w:val="2"/>
                <w:sz w:val="24"/>
                <w:szCs w:val="24"/>
                <w:u w:val="none"/>
                <w:lang w:val="en-US" w:eastAsia="zh-CN" w:bidi="ar-SA"/>
              </w:rPr>
              <w:t>紫金酒店</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default" w:ascii="仿宋_GB2312" w:hAnsi="宋体" w:eastAsia="仿宋_GB2312" w:cs="仿宋_GB2312"/>
                <w:i w:val="0"/>
                <w:color w:val="000000"/>
                <w:kern w:val="2"/>
                <w:sz w:val="24"/>
                <w:szCs w:val="24"/>
                <w:u w:val="none"/>
                <w:lang w:val="en-US" w:eastAsia="zh-CN" w:bidi="ar-SA"/>
              </w:rPr>
              <w:t>王宇攀</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50</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剑阁县润弘商贸有限公司</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杜永贵</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下寺</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私企</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51</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剑阁县剑门关熊氏家电行</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熊朝科</w:t>
            </w:r>
          </w:p>
        </w:tc>
        <w:tc>
          <w:tcPr>
            <w:tcW w:w="2460" w:type="dxa"/>
            <w:tcBorders>
              <w:left w:val="nil"/>
            </w:tcBorders>
            <w:vAlign w:val="center"/>
          </w:tcPr>
          <w:p>
            <w:pPr>
              <w:spacing w:line="240" w:lineRule="exact"/>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剑门关镇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52</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四川蜀门客栈管理有限公司</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蔡玉寿</w:t>
            </w:r>
          </w:p>
        </w:tc>
        <w:tc>
          <w:tcPr>
            <w:tcW w:w="246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w:t>
            </w: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剑门关镇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餐饮住宿</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53</w:t>
            </w:r>
          </w:p>
        </w:tc>
        <w:tc>
          <w:tcPr>
            <w:tcW w:w="3691" w:type="dxa"/>
            <w:tcBorders>
              <w:left w:val="nil"/>
            </w:tcBorders>
            <w:vAlign w:val="center"/>
          </w:tcPr>
          <w:p>
            <w:pPr>
              <w:keepNext w:val="0"/>
              <w:keepLines w:val="0"/>
              <w:widowControl/>
              <w:suppressLineNumbers w:val="0"/>
              <w:ind w:firstLine="240" w:firstLineChars="100"/>
              <w:jc w:val="both"/>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剑阁县剑门关镇黄忠豆腐店</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2"/>
                <w:sz w:val="24"/>
                <w:szCs w:val="24"/>
                <w:u w:val="none"/>
                <w:lang w:val="en-US" w:eastAsia="zh-CN" w:bidi="ar-SA"/>
              </w:rPr>
              <w:t>黄忠</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剑门关</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54</w:t>
            </w:r>
          </w:p>
        </w:tc>
        <w:tc>
          <w:tcPr>
            <w:tcW w:w="3691" w:type="dxa"/>
            <w:tcBorders>
              <w:left w:val="nil"/>
            </w:tcBorders>
            <w:vAlign w:val="bottom"/>
          </w:tcPr>
          <w:p>
            <w:pPr>
              <w:keepNext w:val="0"/>
              <w:keepLines w:val="0"/>
              <w:widowControl/>
              <w:suppressLineNumbers w:val="0"/>
              <w:ind w:firstLine="240" w:firstLineChars="100"/>
              <w:jc w:val="both"/>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剑阁县白龙镇聚贤庄酒楼</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赵文金</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白龙</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餐饮服务</w:t>
            </w:r>
          </w:p>
        </w:tc>
        <w:tc>
          <w:tcPr>
            <w:tcW w:w="2010" w:type="dxa"/>
            <w:tcBorders>
              <w:left w:val="nil"/>
            </w:tcBorders>
            <w:vAlign w:val="center"/>
          </w:tcPr>
          <w:p>
            <w:pPr>
              <w:spacing w:line="24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55</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剑阁县白龙镇华泰时代购物广场</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廖国军</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白龙</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56</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剑阁县白龙镇华泰超市</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廖东</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白龙</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57</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剑阁县白龙五交化</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徐泽虎</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白龙</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58</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武连镇华泰超市</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王燕会</w:t>
            </w:r>
          </w:p>
        </w:tc>
        <w:tc>
          <w:tcPr>
            <w:tcW w:w="2460" w:type="dxa"/>
            <w:tcBorders>
              <w:left w:val="nil"/>
            </w:tcBorders>
            <w:vAlign w:val="bottom"/>
          </w:tcPr>
          <w:p>
            <w:pPr>
              <w:keepNext w:val="0"/>
              <w:keepLines w:val="0"/>
              <w:widowControl/>
              <w:suppressLineNumbers w:val="0"/>
              <w:jc w:val="center"/>
              <w:textAlignment w:val="bottom"/>
              <w:rPr>
                <w:rFonts w:hint="eastAsia" w:ascii="仿宋_GB2312" w:hAnsi="仿宋_GB2312" w:eastAsia="仿宋_GB2312" w:cs="仿宋_GB2312"/>
                <w:sz w:val="21"/>
                <w:szCs w:val="21"/>
              </w:rPr>
            </w:pPr>
            <w:r>
              <w:rPr>
                <w:rFonts w:hint="eastAsia" w:ascii="仿宋_GB2312" w:hAnsi="宋体" w:eastAsia="仿宋_GB2312" w:cs="仿宋_GB2312"/>
                <w:i w:val="0"/>
                <w:color w:val="000000"/>
                <w:kern w:val="0"/>
                <w:sz w:val="24"/>
                <w:szCs w:val="24"/>
                <w:u w:val="none"/>
                <w:lang w:val="en-US" w:eastAsia="zh-CN" w:bidi="ar"/>
              </w:rPr>
              <w:t>剑阁县武连镇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59</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剑阁县肖聪家电</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肖聪</w:t>
            </w:r>
          </w:p>
        </w:tc>
        <w:tc>
          <w:tcPr>
            <w:tcW w:w="2460" w:type="dxa"/>
            <w:tcBorders>
              <w:left w:val="nil"/>
            </w:tcBorders>
            <w:vAlign w:val="center"/>
          </w:tcPr>
          <w:p>
            <w:pPr>
              <w:spacing w:line="240" w:lineRule="exact"/>
              <w:ind w:firstLine="480" w:firstLineChars="200"/>
              <w:jc w:val="both"/>
              <w:rPr>
                <w:rFonts w:hint="eastAsia" w:ascii="仿宋_GB2312" w:hAnsi="仿宋_GB2312" w:eastAsia="仿宋_GB2312" w:cs="仿宋_GB2312"/>
                <w:sz w:val="21"/>
                <w:szCs w:val="21"/>
              </w:rPr>
            </w:pPr>
            <w:r>
              <w:rPr>
                <w:rFonts w:hint="eastAsia" w:ascii="仿宋_GB2312" w:hAnsi="宋体" w:eastAsia="仿宋_GB2312" w:cs="仿宋_GB2312"/>
                <w:i w:val="0"/>
                <w:color w:val="000000"/>
                <w:kern w:val="0"/>
                <w:sz w:val="24"/>
                <w:szCs w:val="24"/>
                <w:u w:val="none"/>
                <w:lang w:val="en-US" w:eastAsia="zh-CN" w:bidi="ar"/>
              </w:rPr>
              <w:t>剑阁县武连镇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序号</w:t>
            </w:r>
          </w:p>
        </w:tc>
        <w:tc>
          <w:tcPr>
            <w:tcW w:w="3691"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企业名称</w:t>
            </w:r>
          </w:p>
        </w:tc>
        <w:tc>
          <w:tcPr>
            <w:tcW w:w="1335"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法人代表</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企业地址</w:t>
            </w:r>
          </w:p>
        </w:tc>
        <w:tc>
          <w:tcPr>
            <w:tcW w:w="153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企业类型</w:t>
            </w:r>
          </w:p>
        </w:tc>
        <w:tc>
          <w:tcPr>
            <w:tcW w:w="147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所属行业</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登记机关</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60</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剑阁县开封镇林家大酒楼</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林建勇</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开封</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餐饮服务</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61</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剑阁县开封镇华泰超市</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王燕会</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开封</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62</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剑阁县开封镇凯达家电行</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王谊</w:t>
            </w:r>
          </w:p>
        </w:tc>
        <w:tc>
          <w:tcPr>
            <w:tcW w:w="2460" w:type="dxa"/>
            <w:tcBorders>
              <w:left w:val="nil"/>
            </w:tcBorders>
            <w:vAlign w:val="center"/>
          </w:tcPr>
          <w:p>
            <w:pPr>
              <w:spacing w:line="240" w:lineRule="exact"/>
              <w:ind w:firstLine="420" w:firstLineChars="200"/>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开封</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ind w:firstLine="210" w:firstLineChars="10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63</w:t>
            </w:r>
          </w:p>
        </w:tc>
        <w:tc>
          <w:tcPr>
            <w:tcW w:w="3691"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鑫乐旅馆</w:t>
            </w:r>
          </w:p>
        </w:tc>
        <w:tc>
          <w:tcPr>
            <w:tcW w:w="1335" w:type="dxa"/>
            <w:tcBorders>
              <w:left w:val="nil"/>
            </w:tcBorders>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王华</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开封</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住宿</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trPr>
        <w:tc>
          <w:tcPr>
            <w:tcW w:w="749" w:type="dxa"/>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64</w:t>
            </w:r>
          </w:p>
        </w:tc>
        <w:tc>
          <w:tcPr>
            <w:tcW w:w="3691" w:type="dxa"/>
            <w:tcBorders>
              <w:left w:val="nil"/>
            </w:tcBorders>
            <w:vAlign w:val="bottom"/>
          </w:tcPr>
          <w:p>
            <w:pPr>
              <w:keepNext w:val="0"/>
              <w:keepLines w:val="0"/>
              <w:widowControl/>
              <w:suppressLineNumbers w:val="0"/>
              <w:jc w:val="center"/>
              <w:textAlignment w:val="bottom"/>
              <w:rPr>
                <w:rFonts w:hint="eastAsia"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剑阁县华泰超市</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王海芳</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元山</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零售</w:t>
            </w:r>
          </w:p>
        </w:tc>
        <w:tc>
          <w:tcPr>
            <w:tcW w:w="2010" w:type="dxa"/>
            <w:tcBorders>
              <w:left w:val="nil"/>
            </w:tcBorders>
            <w:vAlign w:val="center"/>
          </w:tcPr>
          <w:p>
            <w:pPr>
              <w:spacing w:line="24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65</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剑阁县元山镇嘉宇商务宾馆</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韩碧珍</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元山</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住宿</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66</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剑阁县元山镇逸园宾馆</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杨晓</w:t>
            </w:r>
          </w:p>
        </w:tc>
        <w:tc>
          <w:tcPr>
            <w:tcW w:w="2460" w:type="dxa"/>
            <w:tcBorders>
              <w:left w:val="nil"/>
            </w:tcBorders>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元山</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住宿餐饮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67</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剑阁县鹤龄小宋家电</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杨秀梅</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鹤龄</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个体</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sz w:val="21"/>
                <w:szCs w:val="21"/>
                <w:lang w:val="en-US" w:eastAsia="zh-CN"/>
              </w:rPr>
              <w:t xml:space="preserve"> 家电销售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68</w:t>
            </w:r>
          </w:p>
        </w:tc>
        <w:tc>
          <w:tcPr>
            <w:tcW w:w="3691"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剑阁县鹤龄镇德广购物中心（加盟店）</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梁建忠</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鹤龄</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49" w:type="dxa"/>
            <w:vAlign w:val="center"/>
          </w:tcPr>
          <w:p>
            <w:pPr>
              <w:spacing w:line="240" w:lineRule="exact"/>
              <w:jc w:val="center"/>
              <w:rPr>
                <w:rFonts w:hint="eastAsia" w:ascii="仿宋_GB2312" w:hAnsi="仿宋_GB2312" w:eastAsia="仿宋_GB2312" w:cs="仿宋_GB2312"/>
                <w:sz w:val="21"/>
                <w:szCs w:val="21"/>
              </w:rPr>
            </w:pPr>
          </w:p>
          <w:p>
            <w:pPr>
              <w:spacing w:line="2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0"/>
                <w:sz w:val="21"/>
                <w:szCs w:val="21"/>
                <w:lang w:val="en-US" w:eastAsia="zh-CN"/>
              </w:rPr>
              <w:t>69</w:t>
            </w:r>
          </w:p>
        </w:tc>
        <w:tc>
          <w:tcPr>
            <w:tcW w:w="3691" w:type="dxa"/>
            <w:tcBorders>
              <w:left w:val="nil"/>
            </w:tcBorders>
            <w:vAlign w:val="bottom"/>
          </w:tcPr>
          <w:p>
            <w:pPr>
              <w:keepNext w:val="0"/>
              <w:keepLines w:val="0"/>
              <w:widowControl/>
              <w:suppressLineNumbers w:val="0"/>
              <w:jc w:val="center"/>
              <w:textAlignment w:val="bottom"/>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剑阁县公兴镇德广购物中心</w:t>
            </w:r>
          </w:p>
        </w:tc>
        <w:tc>
          <w:tcPr>
            <w:tcW w:w="1335" w:type="dxa"/>
            <w:tcBorders>
              <w:left w:val="nil"/>
            </w:tcBorders>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4"/>
                <w:szCs w:val="24"/>
                <w:u w:val="none"/>
                <w:lang w:val="en-US" w:eastAsia="zh-CN" w:bidi="ar-SA"/>
              </w:rPr>
            </w:pPr>
            <w:r>
              <w:rPr>
                <w:rFonts w:hint="eastAsia" w:ascii="仿宋_GB2312" w:hAnsi="宋体" w:eastAsia="仿宋_GB2312" w:cs="仿宋_GB2312"/>
                <w:i w:val="0"/>
                <w:color w:val="000000"/>
                <w:kern w:val="0"/>
                <w:sz w:val="24"/>
                <w:szCs w:val="24"/>
                <w:u w:val="none"/>
                <w:lang w:val="en-US" w:eastAsia="zh-CN" w:bidi="ar"/>
              </w:rPr>
              <w:t>罗久富</w:t>
            </w:r>
          </w:p>
        </w:tc>
        <w:tc>
          <w:tcPr>
            <w:tcW w:w="2460" w:type="dxa"/>
            <w:tcBorders>
              <w:left w:val="nil"/>
            </w:tcBorders>
            <w:vAlign w:val="center"/>
          </w:tcPr>
          <w:p>
            <w:pPr>
              <w:spacing w:line="240" w:lineRule="exact"/>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剑阁县</w:t>
            </w:r>
            <w:r>
              <w:rPr>
                <w:rFonts w:hint="eastAsia" w:ascii="仿宋_GB2312" w:hAnsi="仿宋_GB2312" w:eastAsia="仿宋_GB2312" w:cs="仿宋_GB2312"/>
                <w:kern w:val="0"/>
                <w:sz w:val="21"/>
                <w:szCs w:val="21"/>
                <w:lang w:eastAsia="zh-CN"/>
              </w:rPr>
              <w:t>公兴</w:t>
            </w:r>
            <w:r>
              <w:rPr>
                <w:rFonts w:hint="eastAsia" w:ascii="仿宋_GB2312" w:hAnsi="仿宋_GB2312" w:eastAsia="仿宋_GB2312" w:cs="仿宋_GB2312"/>
                <w:kern w:val="0"/>
                <w:sz w:val="21"/>
                <w:szCs w:val="21"/>
              </w:rPr>
              <w:t>镇</w:t>
            </w:r>
          </w:p>
        </w:tc>
        <w:tc>
          <w:tcPr>
            <w:tcW w:w="1530" w:type="dxa"/>
            <w:tcBorders>
              <w:left w:val="nil"/>
            </w:tcBorders>
            <w:vAlign w:val="center"/>
          </w:tcPr>
          <w:p>
            <w:pPr>
              <w:spacing w:line="24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 xml:space="preserve">    私企</w:t>
            </w:r>
          </w:p>
        </w:tc>
        <w:tc>
          <w:tcPr>
            <w:tcW w:w="1470" w:type="dxa"/>
            <w:tcBorders>
              <w:left w:val="nil"/>
            </w:tcBorders>
            <w:vAlign w:val="center"/>
          </w:tcPr>
          <w:p>
            <w:pPr>
              <w:spacing w:line="240" w:lineRule="exact"/>
              <w:jc w:val="both"/>
              <w:rPr>
                <w:rFonts w:hint="default"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零售</w:t>
            </w:r>
          </w:p>
        </w:tc>
        <w:tc>
          <w:tcPr>
            <w:tcW w:w="2010" w:type="dxa"/>
            <w:tcBorders>
              <w:left w:val="nil"/>
            </w:tcBorders>
            <w:vAlign w:val="center"/>
          </w:tcPr>
          <w:p>
            <w:pPr>
              <w:spacing w:line="2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剑阁县市场监管局</w:t>
            </w:r>
          </w:p>
        </w:tc>
        <w:tc>
          <w:tcPr>
            <w:tcW w:w="960" w:type="dxa"/>
            <w:tcBorders>
              <w:left w:val="nil"/>
            </w:tcBorders>
            <w:vAlign w:val="center"/>
          </w:tcPr>
          <w:p>
            <w:pPr>
              <w:spacing w:line="240" w:lineRule="exact"/>
              <w:jc w:val="center"/>
              <w:rPr>
                <w:rFonts w:hint="eastAsia" w:ascii="仿宋_GB2312" w:hAnsi="仿宋_GB2312" w:eastAsia="仿宋_GB2312" w:cs="仿宋_GB2312"/>
                <w:sz w:val="21"/>
                <w:szCs w:val="21"/>
              </w:rPr>
            </w:pPr>
          </w:p>
        </w:tc>
      </w:tr>
    </w:tbl>
    <w:p>
      <w:pPr>
        <w:ind w:firstLine="840" w:firstLineChars="300"/>
        <w:rPr>
          <w:rFonts w:hint="default" w:ascii="新宋体" w:hAnsi="新宋体" w:eastAsia="仿宋_GB2312" w:cs="Times New Roman"/>
          <w:sz w:val="28"/>
          <w:szCs w:val="32"/>
          <w:lang w:val="en-US" w:eastAsia="zh-CN"/>
        </w:rPr>
      </w:pPr>
      <w:r>
        <w:rPr>
          <w:rFonts w:hint="eastAsia" w:ascii="新宋体" w:hAnsi="新宋体" w:eastAsia="仿宋_GB2312" w:cs="新宋体"/>
          <w:kern w:val="0"/>
          <w:sz w:val="28"/>
        </w:rPr>
        <w:t>填报人：</w:t>
      </w:r>
      <w:r>
        <w:rPr>
          <w:rFonts w:ascii="新宋体" w:hAnsi="新宋体" w:eastAsia="仿宋_GB2312" w:cs="新宋体"/>
          <w:kern w:val="0"/>
          <w:sz w:val="28"/>
        </w:rPr>
        <w:t xml:space="preserve"> </w:t>
      </w:r>
      <w:r>
        <w:rPr>
          <w:rFonts w:hint="eastAsia" w:ascii="新宋体" w:hAnsi="新宋体" w:eastAsia="仿宋_GB2312" w:cs="新宋体"/>
          <w:kern w:val="0"/>
          <w:sz w:val="28"/>
          <w:lang w:eastAsia="zh-CN"/>
        </w:rPr>
        <w:t>何佳侄</w:t>
      </w:r>
      <w:r>
        <w:rPr>
          <w:rFonts w:ascii="新宋体" w:hAnsi="新宋体" w:eastAsia="仿宋_GB2312" w:cs="新宋体"/>
          <w:kern w:val="0"/>
          <w:sz w:val="28"/>
        </w:rPr>
        <w:t xml:space="preserve">                                 </w:t>
      </w:r>
      <w:r>
        <w:rPr>
          <w:rFonts w:hint="eastAsia" w:ascii="新宋体" w:hAnsi="新宋体" w:eastAsia="仿宋_GB2312" w:cs="新宋体"/>
          <w:kern w:val="0"/>
          <w:sz w:val="28"/>
          <w:lang w:val="en-US" w:eastAsia="zh-CN"/>
        </w:rPr>
        <w:t xml:space="preserve">           </w:t>
      </w:r>
      <w:r>
        <w:rPr>
          <w:rFonts w:ascii="新宋体" w:hAnsi="新宋体" w:eastAsia="仿宋_GB2312" w:cs="新宋体"/>
          <w:kern w:val="0"/>
          <w:sz w:val="28"/>
        </w:rPr>
        <w:t xml:space="preserve"> </w:t>
      </w:r>
      <w:r>
        <w:rPr>
          <w:rFonts w:hint="eastAsia" w:ascii="新宋体" w:hAnsi="新宋体" w:eastAsia="仿宋_GB2312" w:cs="新宋体"/>
          <w:kern w:val="0"/>
          <w:sz w:val="28"/>
        </w:rPr>
        <w:t>联系电话：</w:t>
      </w:r>
      <w:r>
        <w:rPr>
          <w:rFonts w:hint="eastAsia" w:ascii="新宋体" w:hAnsi="新宋体" w:eastAsia="仿宋_GB2312" w:cs="新宋体"/>
          <w:kern w:val="0"/>
          <w:sz w:val="28"/>
          <w:lang w:val="en-US" w:eastAsia="zh-CN"/>
        </w:rPr>
        <w:t>18011155190</w:t>
      </w:r>
    </w:p>
    <w:p>
      <w:pPr>
        <w:rPr>
          <w:rFonts w:hint="eastAsia" w:ascii="??_GB2312" w:hAnsi="??_GB2312" w:cs="宋体"/>
          <w:b/>
          <w:bCs/>
          <w:sz w:val="32"/>
          <w:szCs w:val="32"/>
        </w:rPr>
      </w:pPr>
      <w:r>
        <w:rPr>
          <w:rFonts w:ascii="新宋体" w:hAnsi="新宋体" w:eastAsia="新宋体" w:cs="新宋体"/>
          <w:sz w:val="32"/>
          <w:szCs w:val="32"/>
        </w:rPr>
        <w:t>3</w:t>
      </w:r>
      <w:r>
        <w:rPr>
          <w:rFonts w:hint="eastAsia" w:ascii="新宋体" w:hAnsi="新宋体" w:eastAsia="新宋体" w:cs="新宋体"/>
          <w:sz w:val="32"/>
          <w:szCs w:val="32"/>
        </w:rPr>
        <w:t>、</w:t>
      </w:r>
      <w:r>
        <w:rPr>
          <w:rFonts w:ascii="??_GB2312" w:hAnsi="??_GB2312" w:cs="??_GB2312"/>
          <w:b/>
          <w:bCs/>
          <w:sz w:val="32"/>
          <w:szCs w:val="32"/>
        </w:rPr>
        <w:t>2020</w:t>
      </w:r>
      <w:r>
        <w:rPr>
          <w:rFonts w:hint="eastAsia" w:ascii="??_GB2312" w:hAnsi="??_GB2312" w:cs="宋体"/>
          <w:b/>
          <w:bCs/>
          <w:sz w:val="32"/>
          <w:szCs w:val="32"/>
        </w:rPr>
        <w:t>年双随机抽查计划</w:t>
      </w:r>
    </w:p>
    <w:tbl>
      <w:tblPr>
        <w:tblStyle w:val="7"/>
        <w:tblW w:w="14218" w:type="dxa"/>
        <w:jc w:val="center"/>
        <w:tblLayout w:type="autofit"/>
        <w:tblCellMar>
          <w:top w:w="0" w:type="dxa"/>
          <w:left w:w="0" w:type="dxa"/>
          <w:bottom w:w="0" w:type="dxa"/>
          <w:right w:w="0" w:type="dxa"/>
        </w:tblCellMar>
      </w:tblPr>
      <w:tblGrid>
        <w:gridCol w:w="2048"/>
        <w:gridCol w:w="5526"/>
        <w:gridCol w:w="1261"/>
        <w:gridCol w:w="1276"/>
        <w:gridCol w:w="1156"/>
        <w:gridCol w:w="2013"/>
        <w:gridCol w:w="938"/>
      </w:tblGrid>
      <w:tr>
        <w:tblPrEx>
          <w:tblCellMar>
            <w:top w:w="0" w:type="dxa"/>
            <w:left w:w="0" w:type="dxa"/>
            <w:bottom w:w="0" w:type="dxa"/>
            <w:right w:w="0" w:type="dxa"/>
          </w:tblCellMar>
        </w:tblPrEx>
        <w:trPr>
          <w:trHeight w:val="507" w:hRule="atLeast"/>
          <w:jc w:val="center"/>
        </w:trPr>
        <w:tc>
          <w:tcPr>
            <w:tcW w:w="204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检查对象 </w:t>
            </w:r>
          </w:p>
        </w:tc>
        <w:tc>
          <w:tcPr>
            <w:tcW w:w="552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检查依据 </w:t>
            </w:r>
          </w:p>
        </w:tc>
        <w:tc>
          <w:tcPr>
            <w:tcW w:w="126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执行科室 </w:t>
            </w:r>
          </w:p>
        </w:tc>
        <w:tc>
          <w:tcPr>
            <w:tcW w:w="127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检查比例 </w:t>
            </w:r>
          </w:p>
        </w:tc>
        <w:tc>
          <w:tcPr>
            <w:tcW w:w="115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检查频次 </w:t>
            </w:r>
          </w:p>
        </w:tc>
        <w:tc>
          <w:tcPr>
            <w:tcW w:w="201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初步检查时间 </w:t>
            </w:r>
          </w:p>
        </w:tc>
        <w:tc>
          <w:tcPr>
            <w:tcW w:w="938"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备注 </w:t>
            </w:r>
          </w:p>
        </w:tc>
      </w:tr>
      <w:tr>
        <w:tblPrEx>
          <w:tblCellMar>
            <w:top w:w="0" w:type="dxa"/>
            <w:left w:w="0" w:type="dxa"/>
            <w:bottom w:w="0" w:type="dxa"/>
            <w:right w:w="0" w:type="dxa"/>
          </w:tblCellMar>
        </w:tblPrEx>
        <w:trPr>
          <w:trHeight w:val="713" w:hRule="atLeast"/>
          <w:jc w:val="center"/>
        </w:trPr>
        <w:tc>
          <w:tcPr>
            <w:tcW w:w="204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县</w:t>
            </w:r>
            <w:r>
              <w:rPr>
                <w:rFonts w:hint="eastAsia" w:ascii="仿宋_GB2312" w:hAnsi="仿宋_GB2312" w:eastAsia="仿宋_GB2312" w:cs="仿宋_GB2312"/>
                <w:sz w:val="24"/>
                <w:szCs w:val="24"/>
                <w:lang w:eastAsia="zh-CN"/>
              </w:rPr>
              <w:t>内餐饮企业</w:t>
            </w:r>
          </w:p>
        </w:tc>
        <w:tc>
          <w:tcPr>
            <w:tcW w:w="552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《餐饮业经营管理办法（试行）》（国家发展改革委 商务部令2014年第4号）</w:t>
            </w:r>
            <w:r>
              <w:rPr>
                <w:rFonts w:hint="eastAsia" w:ascii="仿宋_GB2312" w:hAnsi="仿宋_GB2312" w:eastAsia="仿宋_GB2312" w:cs="仿宋_GB2312"/>
                <w:sz w:val="24"/>
                <w:szCs w:val="24"/>
                <w:lang w:eastAsia="zh-CN"/>
              </w:rPr>
              <w:t>第三条、第二十一条</w:t>
            </w:r>
          </w:p>
        </w:tc>
        <w:tc>
          <w:tcPr>
            <w:tcW w:w="126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秩序股</w:t>
            </w:r>
          </w:p>
        </w:tc>
        <w:tc>
          <w:tcPr>
            <w:tcW w:w="127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val="en-US" w:eastAsia="zh-CN"/>
              </w:rPr>
              <w:t>7</w:t>
            </w:r>
            <w:r>
              <w:rPr>
                <w:rFonts w:hint="eastAsia" w:ascii="仿宋_GB2312" w:hAnsi="仿宋_GB2312" w:eastAsia="仿宋_GB2312" w:cs="仿宋_GB2312"/>
                <w:kern w:val="0"/>
                <w:sz w:val="24"/>
                <w:szCs w:val="24"/>
              </w:rPr>
              <w:t>0% </w:t>
            </w:r>
          </w:p>
        </w:tc>
        <w:tc>
          <w:tcPr>
            <w:tcW w:w="115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1 </w:t>
            </w:r>
          </w:p>
        </w:tc>
        <w:tc>
          <w:tcPr>
            <w:tcW w:w="201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2020.5-2020.12 </w:t>
            </w:r>
          </w:p>
        </w:tc>
        <w:tc>
          <w:tcPr>
            <w:tcW w:w="938" w:type="dxa"/>
            <w:tcBorders>
              <w:top w:val="single" w:color="000000" w:sz="8" w:space="0"/>
              <w:left w:val="nil"/>
              <w:bottom w:val="single" w:color="000000" w:sz="8" w:space="0"/>
              <w:right w:val="single" w:color="000000" w:sz="8" w:space="0"/>
            </w:tcBorders>
            <w:vAlign w:val="center"/>
          </w:tcPr>
          <w:p>
            <w:pPr>
              <w:rPr>
                <w:rFonts w:hint="eastAsia" w:ascii="仿宋_GB2312" w:hAnsi="仿宋_GB2312" w:eastAsia="仿宋_GB2312" w:cs="仿宋_GB2312"/>
                <w:sz w:val="24"/>
                <w:szCs w:val="24"/>
              </w:rPr>
            </w:pPr>
          </w:p>
        </w:tc>
      </w:tr>
      <w:tr>
        <w:tblPrEx>
          <w:tblCellMar>
            <w:top w:w="0" w:type="dxa"/>
            <w:left w:w="0" w:type="dxa"/>
            <w:bottom w:w="0" w:type="dxa"/>
            <w:right w:w="0" w:type="dxa"/>
          </w:tblCellMar>
        </w:tblPrEx>
        <w:trPr>
          <w:trHeight w:val="654" w:hRule="atLeast"/>
          <w:jc w:val="center"/>
        </w:trPr>
        <w:tc>
          <w:tcPr>
            <w:tcW w:w="204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ind w:firstLine="480" w:firstLineChars="200"/>
              <w:jc w:val="both"/>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县内展会</w:t>
            </w:r>
          </w:p>
        </w:tc>
        <w:tc>
          <w:tcPr>
            <w:tcW w:w="5526" w:type="dxa"/>
            <w:tcBorders>
              <w:top w:val="single" w:color="000000" w:sz="8" w:space="0"/>
              <w:left w:val="nil"/>
              <w:bottom w:val="single" w:color="000000" w:sz="8" w:space="0"/>
              <w:right w:val="single" w:color="000000" w:sz="8" w:space="0"/>
            </w:tcBorders>
            <w:vAlign w:val="center"/>
          </w:tcPr>
          <w:p>
            <w:pPr>
              <w:adjustRightInd w:val="0"/>
              <w:snapToGrid w:val="0"/>
              <w:spacing w:line="24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《四川省加强管理服务促进会展业发展的规定》（省政府第252号令）</w:t>
            </w:r>
            <w:r>
              <w:rPr>
                <w:rFonts w:hint="eastAsia" w:ascii="仿宋_GB2312" w:hAnsi="仿宋_GB2312" w:eastAsia="仿宋_GB2312" w:cs="仿宋_GB2312"/>
                <w:sz w:val="24"/>
                <w:szCs w:val="24"/>
                <w:lang w:eastAsia="zh-CN"/>
              </w:rPr>
              <w:t>第三十四条、第三十五条</w:t>
            </w:r>
          </w:p>
        </w:tc>
        <w:tc>
          <w:tcPr>
            <w:tcW w:w="126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eastAsia="zh-CN"/>
              </w:rPr>
              <w:t>秩序股</w:t>
            </w:r>
          </w:p>
        </w:tc>
        <w:tc>
          <w:tcPr>
            <w:tcW w:w="127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lang w:val="en-US" w:eastAsia="zh-CN"/>
              </w:rPr>
              <w:t>7</w:t>
            </w:r>
            <w:r>
              <w:rPr>
                <w:rFonts w:hint="eastAsia" w:ascii="仿宋_GB2312" w:hAnsi="仿宋_GB2312" w:eastAsia="仿宋_GB2312" w:cs="仿宋_GB2312"/>
                <w:kern w:val="0"/>
                <w:sz w:val="24"/>
                <w:szCs w:val="24"/>
              </w:rPr>
              <w:t>0% </w:t>
            </w:r>
          </w:p>
        </w:tc>
        <w:tc>
          <w:tcPr>
            <w:tcW w:w="115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rPr>
              <w:t>1 </w:t>
            </w:r>
          </w:p>
        </w:tc>
        <w:tc>
          <w:tcPr>
            <w:tcW w:w="201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rPr>
              <w:t>2020.5-2020.12 </w:t>
            </w:r>
          </w:p>
        </w:tc>
        <w:tc>
          <w:tcPr>
            <w:tcW w:w="938" w:type="dxa"/>
            <w:tcBorders>
              <w:top w:val="single" w:color="000000" w:sz="8" w:space="0"/>
              <w:left w:val="nil"/>
              <w:bottom w:val="single" w:color="000000" w:sz="8" w:space="0"/>
              <w:right w:val="single" w:color="000000" w:sz="8" w:space="0"/>
            </w:tcBorders>
            <w:vAlign w:val="center"/>
          </w:tcPr>
          <w:p>
            <w:pPr>
              <w:rPr>
                <w:rFonts w:hint="eastAsia" w:ascii="仿宋_GB2312" w:hAnsi="仿宋_GB2312" w:eastAsia="仿宋_GB2312" w:cs="仿宋_GB2312"/>
                <w:sz w:val="24"/>
                <w:szCs w:val="24"/>
              </w:rPr>
            </w:pPr>
          </w:p>
        </w:tc>
      </w:tr>
      <w:tr>
        <w:tblPrEx>
          <w:tblCellMar>
            <w:top w:w="0" w:type="dxa"/>
            <w:left w:w="0" w:type="dxa"/>
            <w:bottom w:w="0" w:type="dxa"/>
            <w:right w:w="0" w:type="dxa"/>
          </w:tblCellMar>
        </w:tblPrEx>
        <w:trPr>
          <w:trHeight w:val="664" w:hRule="atLeast"/>
          <w:jc w:val="center"/>
        </w:trPr>
        <w:tc>
          <w:tcPr>
            <w:tcW w:w="204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both"/>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县内汽车销售企业</w:t>
            </w:r>
          </w:p>
        </w:tc>
        <w:tc>
          <w:tcPr>
            <w:tcW w:w="552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汽车销售管理</w:t>
            </w:r>
            <w:r>
              <w:rPr>
                <w:rFonts w:hint="eastAsia" w:ascii="仿宋_GB2312" w:hAnsi="仿宋_GB2312" w:eastAsia="仿宋_GB2312" w:cs="仿宋_GB2312"/>
                <w:sz w:val="24"/>
                <w:szCs w:val="24"/>
              </w:rPr>
              <w:t>办法》（商务部令2</w:t>
            </w:r>
            <w:r>
              <w:rPr>
                <w:rFonts w:hint="eastAsia" w:ascii="仿宋_GB2312" w:hAnsi="仿宋_GB2312" w:eastAsia="仿宋_GB2312" w:cs="仿宋_GB2312"/>
                <w:sz w:val="24"/>
                <w:szCs w:val="24"/>
                <w:lang w:val="en-US" w:eastAsia="zh-CN"/>
              </w:rPr>
              <w:t>017</w:t>
            </w:r>
            <w:r>
              <w:rPr>
                <w:rFonts w:hint="eastAsia" w:ascii="仿宋_GB2312" w:hAnsi="仿宋_GB2312" w:eastAsia="仿宋_GB2312" w:cs="仿宋_GB2312"/>
                <w:sz w:val="24"/>
                <w:szCs w:val="24"/>
              </w:rPr>
              <w:t>年第</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号）</w:t>
            </w:r>
            <w:r>
              <w:rPr>
                <w:rFonts w:hint="eastAsia" w:ascii="仿宋_GB2312" w:hAnsi="仿宋_GB2312" w:eastAsia="仿宋_GB2312" w:cs="仿宋_GB2312"/>
                <w:sz w:val="24"/>
                <w:szCs w:val="24"/>
                <w:lang w:eastAsia="zh-CN"/>
              </w:rPr>
              <w:t>第七条、第十条、第十二条、第二十七条等</w:t>
            </w:r>
          </w:p>
        </w:tc>
        <w:tc>
          <w:tcPr>
            <w:tcW w:w="126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秩序股</w:t>
            </w:r>
            <w:r>
              <w:rPr>
                <w:rFonts w:hint="eastAsia" w:ascii="仿宋_GB2312" w:hAnsi="仿宋_GB2312" w:eastAsia="仿宋_GB2312" w:cs="仿宋_GB2312"/>
                <w:kern w:val="0"/>
                <w:sz w:val="24"/>
                <w:szCs w:val="24"/>
              </w:rPr>
              <w:t> </w:t>
            </w:r>
          </w:p>
        </w:tc>
        <w:tc>
          <w:tcPr>
            <w:tcW w:w="127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val="en-US" w:eastAsia="zh-CN"/>
              </w:rPr>
              <w:t>7</w:t>
            </w:r>
            <w:r>
              <w:rPr>
                <w:rFonts w:hint="eastAsia" w:ascii="仿宋_GB2312" w:hAnsi="仿宋_GB2312" w:eastAsia="仿宋_GB2312" w:cs="仿宋_GB2312"/>
                <w:kern w:val="0"/>
                <w:sz w:val="24"/>
                <w:szCs w:val="24"/>
              </w:rPr>
              <w:t>0% </w:t>
            </w:r>
          </w:p>
        </w:tc>
        <w:tc>
          <w:tcPr>
            <w:tcW w:w="115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1 </w:t>
            </w:r>
          </w:p>
        </w:tc>
        <w:tc>
          <w:tcPr>
            <w:tcW w:w="201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2020.5-2020.12 </w:t>
            </w:r>
          </w:p>
        </w:tc>
        <w:tc>
          <w:tcPr>
            <w:tcW w:w="938" w:type="dxa"/>
            <w:tcBorders>
              <w:top w:val="single" w:color="000000" w:sz="8" w:space="0"/>
              <w:left w:val="nil"/>
              <w:bottom w:val="single" w:color="000000" w:sz="8" w:space="0"/>
              <w:right w:val="single" w:color="000000" w:sz="8" w:space="0"/>
            </w:tcBorders>
            <w:vAlign w:val="center"/>
          </w:tcPr>
          <w:p>
            <w:pPr>
              <w:rPr>
                <w:rFonts w:hint="eastAsia" w:ascii="仿宋_GB2312" w:hAnsi="仿宋_GB2312" w:eastAsia="仿宋_GB2312" w:cs="仿宋_GB2312"/>
                <w:sz w:val="24"/>
                <w:szCs w:val="24"/>
              </w:rPr>
            </w:pPr>
          </w:p>
        </w:tc>
      </w:tr>
      <w:tr>
        <w:tblPrEx>
          <w:tblCellMar>
            <w:top w:w="0" w:type="dxa"/>
            <w:left w:w="0" w:type="dxa"/>
            <w:bottom w:w="0" w:type="dxa"/>
            <w:right w:w="0" w:type="dxa"/>
          </w:tblCellMar>
        </w:tblPrEx>
        <w:trPr>
          <w:trHeight w:val="648" w:hRule="atLeast"/>
          <w:jc w:val="center"/>
        </w:trPr>
        <w:tc>
          <w:tcPr>
            <w:tcW w:w="204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ind w:firstLine="240" w:firstLineChars="100"/>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县内洗染行业</w:t>
            </w:r>
          </w:p>
        </w:tc>
        <w:tc>
          <w:tcPr>
            <w:tcW w:w="552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《洗染业管理办法》（商务部令2007第5号）第三条</w:t>
            </w:r>
            <w:r>
              <w:rPr>
                <w:rFonts w:hint="eastAsia" w:ascii="仿宋_GB2312" w:hAnsi="仿宋_GB2312" w:eastAsia="仿宋_GB2312" w:cs="仿宋_GB2312"/>
                <w:kern w:val="0"/>
                <w:sz w:val="24"/>
                <w:szCs w:val="24"/>
              </w:rPr>
              <w:t> </w:t>
            </w:r>
            <w:r>
              <w:rPr>
                <w:rFonts w:hint="eastAsia" w:ascii="仿宋_GB2312" w:hAnsi="仿宋_GB2312" w:eastAsia="仿宋_GB2312" w:cs="仿宋_GB2312"/>
                <w:kern w:val="0"/>
                <w:sz w:val="24"/>
                <w:szCs w:val="24"/>
                <w:lang w:eastAsia="zh-CN"/>
              </w:rPr>
              <w:t>、第二十二条</w:t>
            </w:r>
          </w:p>
        </w:tc>
        <w:tc>
          <w:tcPr>
            <w:tcW w:w="1261"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秩序股</w:t>
            </w:r>
          </w:p>
        </w:tc>
        <w:tc>
          <w:tcPr>
            <w:tcW w:w="127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val="en-US" w:eastAsia="zh-CN"/>
              </w:rPr>
              <w:t>7</w:t>
            </w:r>
            <w:r>
              <w:rPr>
                <w:rFonts w:hint="eastAsia" w:ascii="仿宋_GB2312" w:hAnsi="仿宋_GB2312" w:eastAsia="仿宋_GB2312" w:cs="仿宋_GB2312"/>
                <w:kern w:val="0"/>
                <w:sz w:val="24"/>
                <w:szCs w:val="24"/>
              </w:rPr>
              <w:t>0% </w:t>
            </w:r>
          </w:p>
        </w:tc>
        <w:tc>
          <w:tcPr>
            <w:tcW w:w="1156"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1 </w:t>
            </w:r>
          </w:p>
        </w:tc>
        <w:tc>
          <w:tcPr>
            <w:tcW w:w="2013"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rPr>
              <w:t>2020.5-2020.10 </w:t>
            </w:r>
          </w:p>
        </w:tc>
        <w:tc>
          <w:tcPr>
            <w:tcW w:w="938" w:type="dxa"/>
            <w:tcBorders>
              <w:top w:val="single" w:color="000000" w:sz="8" w:space="0"/>
              <w:left w:val="nil"/>
              <w:bottom w:val="single" w:color="000000" w:sz="8" w:space="0"/>
              <w:right w:val="single" w:color="000000" w:sz="8" w:space="0"/>
            </w:tcBorders>
            <w:vAlign w:val="center"/>
          </w:tcPr>
          <w:p>
            <w:pPr>
              <w:rPr>
                <w:rFonts w:hint="eastAsia" w:ascii="仿宋_GB2312" w:hAnsi="仿宋_GB2312" w:eastAsia="仿宋_GB2312" w:cs="仿宋_GB2312"/>
                <w:sz w:val="24"/>
                <w:szCs w:val="24"/>
              </w:rPr>
            </w:pPr>
          </w:p>
        </w:tc>
      </w:tr>
      <w:tr>
        <w:tblPrEx>
          <w:tblCellMar>
            <w:top w:w="0" w:type="dxa"/>
            <w:left w:w="0" w:type="dxa"/>
            <w:bottom w:w="0" w:type="dxa"/>
            <w:right w:w="0" w:type="dxa"/>
          </w:tblCellMar>
        </w:tblPrEx>
        <w:trPr>
          <w:trHeight w:val="565" w:hRule="atLeast"/>
          <w:jc w:val="center"/>
        </w:trPr>
        <w:tc>
          <w:tcPr>
            <w:tcW w:w="2048"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rPr>
                <w:rFonts w:hint="eastAsia" w:ascii="??_GB2312" w:hAnsi="??_GB2312" w:eastAsia="仿宋_GB2312" w:cs="??_GB2312"/>
                <w:sz w:val="24"/>
                <w:szCs w:val="24"/>
                <w:lang w:eastAsia="zh-CN"/>
              </w:rPr>
            </w:pPr>
            <w:r>
              <w:rPr>
                <w:rFonts w:hint="eastAsia" w:ascii="仿宋_GB2312" w:hAnsi="仿宋_GB2312" w:eastAsia="仿宋_GB2312" w:cs="仿宋_GB2312"/>
                <w:kern w:val="0"/>
                <w:sz w:val="24"/>
                <w:szCs w:val="24"/>
                <w:lang w:eastAsia="zh-CN"/>
              </w:rPr>
              <w:t>县内零售业</w:t>
            </w:r>
          </w:p>
        </w:tc>
        <w:tc>
          <w:tcPr>
            <w:tcW w:w="5526" w:type="dxa"/>
            <w:tcBorders>
              <w:top w:val="single" w:color="000000" w:sz="8" w:space="0"/>
              <w:left w:val="single" w:color="000000" w:sz="8" w:space="0"/>
              <w:bottom w:val="single" w:color="000000" w:sz="8" w:space="0"/>
              <w:right w:val="single" w:color="000000" w:sz="8" w:space="0"/>
            </w:tcBorders>
          </w:tcPr>
          <w:p>
            <w:pPr>
              <w:adjustRightInd w:val="0"/>
              <w:snapToGrid w:val="0"/>
              <w:spacing w:line="2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sz w:val="24"/>
                <w:szCs w:val="24"/>
              </w:rPr>
              <w:t>《零售商促销行为管理办法》(商务部令2006年第18号)</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第二十条、第二十一条、第二十三条</w:t>
            </w:r>
          </w:p>
        </w:tc>
        <w:tc>
          <w:tcPr>
            <w:tcW w:w="1261"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240" w:firstLineChars="100"/>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秩序股</w:t>
            </w:r>
          </w:p>
        </w:tc>
        <w:tc>
          <w:tcPr>
            <w:tcW w:w="127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lang w:val="en-US" w:eastAsia="zh-CN"/>
              </w:rPr>
              <w:t>7</w:t>
            </w:r>
            <w:r>
              <w:rPr>
                <w:rFonts w:hint="eastAsia" w:ascii="仿宋_GB2312" w:hAnsi="仿宋_GB2312" w:eastAsia="仿宋_GB2312" w:cs="仿宋_GB2312"/>
                <w:kern w:val="0"/>
                <w:sz w:val="24"/>
                <w:szCs w:val="24"/>
              </w:rPr>
              <w:t>0% </w:t>
            </w:r>
          </w:p>
        </w:tc>
        <w:tc>
          <w:tcPr>
            <w:tcW w:w="115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rPr>
              <w:t>1 </w:t>
            </w:r>
          </w:p>
        </w:tc>
        <w:tc>
          <w:tcPr>
            <w:tcW w:w="20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0"/>
                <w:sz w:val="24"/>
                <w:szCs w:val="24"/>
              </w:rPr>
              <w:t>2020.5-2020.10 </w:t>
            </w:r>
          </w:p>
        </w:tc>
        <w:tc>
          <w:tcPr>
            <w:tcW w:w="938" w:type="dxa"/>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480" w:firstLineChars="200"/>
              <w:rPr>
                <w:rFonts w:hint="eastAsia" w:ascii="仿宋_GB2312" w:hAnsi="仿宋_GB2312" w:eastAsia="仿宋_GB2312" w:cs="仿宋_GB2312"/>
                <w:kern w:val="0"/>
                <w:sz w:val="24"/>
                <w:szCs w:val="24"/>
              </w:rPr>
            </w:pPr>
          </w:p>
        </w:tc>
      </w:tr>
    </w:tbl>
    <w:tbl>
      <w:tblPr>
        <w:tblStyle w:val="8"/>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9" w:hRule="atLeast"/>
        </w:trPr>
        <w:tc>
          <w:tcPr>
            <w:tcW w:w="14218" w:type="dxa"/>
          </w:tcPr>
          <w:p>
            <w:pPr>
              <w:widowControl/>
              <w:autoSpaceDE w:val="0"/>
              <w:spacing w:line="52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按照县政府办“双随机”工作的有关要求，行政检查职能股室应当于当年一季度制定当年检查初步计划，汇总后公示。 </w:t>
            </w:r>
          </w:p>
          <w:p>
            <w:pPr>
              <w:widowControl/>
              <w:autoSpaceDE w:val="0"/>
              <w:spacing w:line="520" w:lineRule="exact"/>
              <w:ind w:firstLine="560" w:firstLineChars="200"/>
              <w:rPr>
                <w:rFonts w:ascii="??_GB2312" w:hAnsi="宋体" w:cs="Times New Roman"/>
                <w:b/>
                <w:bCs/>
                <w:kern w:val="0"/>
                <w:sz w:val="32"/>
                <w:szCs w:val="32"/>
                <w:vertAlign w:val="baseline"/>
              </w:rPr>
            </w:pPr>
            <w:r>
              <w:rPr>
                <w:rFonts w:hint="eastAsia" w:ascii="仿宋_GB2312" w:hAnsi="仿宋_GB2312" w:eastAsia="仿宋_GB2312" w:cs="仿宋_GB2312"/>
                <w:b/>
                <w:bCs/>
                <w:kern w:val="0"/>
                <w:sz w:val="28"/>
                <w:szCs w:val="28"/>
              </w:rPr>
              <w:t>抽查工作注意事项</w:t>
            </w:r>
            <w:r>
              <w:rPr>
                <w:rFonts w:hint="eastAsia" w:ascii="仿宋_GB2312" w:hAnsi="仿宋_GB2312" w:eastAsia="仿宋_GB2312" w:cs="仿宋_GB2312"/>
                <w:kern w:val="0"/>
                <w:sz w:val="28"/>
                <w:szCs w:val="28"/>
              </w:rPr>
              <w:t>：每年随机抽查事项不低于抽查事项总数的50%，抽查对象不少于全部抽查对象的70%。原则上同一年度对同一管理对象的抽查次数不超过2次。对社会关注度高、被投诉举报多、有严重违纪违规记录、失信等级高的</w:t>
            </w:r>
            <w:r>
              <w:rPr>
                <w:rFonts w:hint="eastAsia" w:ascii="仿宋_GB2312" w:hAnsi="仿宋_GB2312" w:eastAsia="仿宋_GB2312" w:cs="仿宋_GB2312"/>
                <w:kern w:val="0"/>
                <w:sz w:val="28"/>
                <w:szCs w:val="28"/>
                <w:lang w:eastAsia="zh-CN"/>
              </w:rPr>
              <w:t>企业</w:t>
            </w:r>
            <w:r>
              <w:rPr>
                <w:rFonts w:hint="eastAsia" w:ascii="仿宋_GB2312" w:hAnsi="仿宋_GB2312" w:eastAsia="仿宋_GB2312" w:cs="仿宋_GB2312"/>
                <w:kern w:val="0"/>
                <w:sz w:val="28"/>
                <w:szCs w:val="28"/>
              </w:rPr>
              <w:t>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20日前将工作开展情况汇总，经局领导审签后报县政府办。</w:t>
            </w:r>
          </w:p>
        </w:tc>
      </w:tr>
    </w:tbl>
    <w:p>
      <w:pPr>
        <w:rPr>
          <w:rFonts w:ascii="??_GB2312" w:hAnsi="宋体" w:cs="Times New Roman"/>
          <w:b/>
          <w:bCs/>
          <w:kern w:val="0"/>
          <w:sz w:val="32"/>
          <w:szCs w:val="32"/>
        </w:rPr>
        <w:sectPr>
          <w:pgSz w:w="16838" w:h="11906" w:orient="landscape"/>
          <w:pgMar w:top="1701" w:right="1418" w:bottom="1701" w:left="1418" w:header="851" w:footer="1418" w:gutter="0"/>
          <w:pgBorders>
            <w:top w:val="none" w:sz="0" w:space="0"/>
            <w:left w:val="none" w:sz="0" w:space="0"/>
            <w:bottom w:val="none" w:sz="0" w:space="0"/>
            <w:right w:val="none" w:sz="0" w:space="0"/>
          </w:pgBorders>
          <w:pgNumType w:fmt="decimal"/>
          <w:cols w:space="425" w:num="1"/>
          <w:docGrid w:type="linesAndChars" w:linePitch="312" w:charSpace="0"/>
        </w:sectPr>
      </w:pPr>
    </w:p>
    <w:p>
      <w:pPr>
        <w:autoSpaceDE w:val="0"/>
        <w:spacing w:line="576" w:lineRule="exact"/>
        <w:ind w:firstLine="640" w:firstLineChars="200"/>
        <w:rPr>
          <w:rFonts w:eastAsia="黑体" w:cs="Times New Roman"/>
          <w:b w:val="0"/>
          <w:bCs/>
          <w:sz w:val="32"/>
          <w:szCs w:val="24"/>
        </w:rPr>
      </w:pPr>
      <w:r>
        <w:rPr>
          <w:rFonts w:hint="eastAsia" w:ascii="??_GB2312" w:hAnsi="??_GB2312" w:eastAsia="黑体" w:cs="宋体"/>
          <w:b w:val="0"/>
          <w:bCs/>
          <w:sz w:val="32"/>
          <w:szCs w:val="32"/>
        </w:rPr>
        <w:t>八、剑阁县</w:t>
      </w:r>
      <w:r>
        <w:rPr>
          <w:rFonts w:hint="eastAsia" w:ascii="??_GB2312" w:hAnsi="??_GB2312" w:eastAsia="黑体" w:cs="宋体"/>
          <w:b w:val="0"/>
          <w:bCs/>
          <w:sz w:val="32"/>
          <w:szCs w:val="32"/>
          <w:lang w:eastAsia="zh-CN"/>
        </w:rPr>
        <w:t>商务和经济合作局</w:t>
      </w:r>
      <w:r>
        <w:rPr>
          <w:rFonts w:hint="eastAsia" w:ascii="??_GB2312" w:hAnsi="??_GB2312" w:eastAsia="黑体" w:cs="宋体"/>
          <w:b w:val="0"/>
          <w:bCs/>
          <w:sz w:val="32"/>
          <w:szCs w:val="32"/>
        </w:rPr>
        <w:t>行政执法文书样式、行政执法案卷评查制度</w:t>
      </w:r>
    </w:p>
    <w:p>
      <w:pPr>
        <w:pStyle w:val="2"/>
        <w:keepNext w:val="0"/>
        <w:keepLines w:val="0"/>
        <w:widowControl/>
        <w:suppressLineNumbers w:val="0"/>
        <w:spacing w:before="0" w:beforeAutospacing="0" w:after="0" w:afterAutospacing="0" w:line="23" w:lineRule="atLeast"/>
        <w:ind w:right="0" w:firstLine="640" w:firstLineChars="200"/>
        <w:rPr>
          <w:rFonts w:hint="eastAsia" w:ascii="楷体_GB2312" w:hAnsi="宋体" w:eastAsia="仿宋_GB2312"/>
          <w:b w:val="0"/>
          <w:bCs/>
          <w:sz w:val="32"/>
        </w:rPr>
      </w:pPr>
      <w:r>
        <w:rPr>
          <w:rFonts w:hint="eastAsia" w:eastAsia="仿宋_GB2312"/>
          <w:b w:val="0"/>
          <w:bCs/>
          <w:color w:val="000000"/>
          <w:sz w:val="32"/>
          <w:lang w:eastAsia="zh-CN"/>
        </w:rPr>
        <w:t>（一）</w:t>
      </w:r>
      <w:r>
        <w:rPr>
          <w:rFonts w:eastAsia="仿宋_GB2312"/>
          <w:b w:val="0"/>
          <w:bCs/>
          <w:color w:val="000000"/>
          <w:sz w:val="32"/>
        </w:rPr>
        <w:t>商务部令2012年第6号《商务行政处罚程序规定》</w:t>
      </w:r>
      <w:r>
        <w:rPr>
          <w:rFonts w:hint="eastAsia" w:eastAsia="仿宋_GB2312"/>
          <w:b w:val="0"/>
          <w:bCs/>
          <w:color w:val="000000"/>
          <w:sz w:val="32"/>
          <w:lang w:eastAsia="zh-CN"/>
        </w:rPr>
        <w:t>及</w:t>
      </w:r>
      <w:r>
        <w:rPr>
          <w:rFonts w:hint="eastAsia" w:ascii="楷体_GB2312" w:hAnsi="宋体" w:eastAsia="仿宋_GB2312"/>
          <w:b w:val="0"/>
          <w:bCs/>
          <w:sz w:val="32"/>
        </w:rPr>
        <w:t>商务行政执法文书示范格式</w:t>
      </w:r>
    </w:p>
    <w:p>
      <w:pPr>
        <w:autoSpaceDE w:val="0"/>
        <w:spacing w:line="576" w:lineRule="exact"/>
        <w:ind w:firstLine="640" w:firstLineChars="200"/>
        <w:rPr>
          <w:rFonts w:hint="eastAsia" w:ascii="??_GB2312" w:hAnsi="??_GB2312" w:eastAsia="黑体" w:cs="宋体"/>
          <w:b w:val="0"/>
          <w:bCs/>
          <w:sz w:val="32"/>
          <w:szCs w:val="32"/>
          <w:lang w:val="en-US" w:eastAsia="zh-CN"/>
        </w:rPr>
      </w:pPr>
      <w:r>
        <w:rPr>
          <w:rFonts w:hint="eastAsia" w:ascii="??_GB2312" w:hAnsi="??_GB2312" w:eastAsia="黑体" w:cs="宋体"/>
          <w:b w:val="0"/>
          <w:bCs/>
          <w:sz w:val="32"/>
          <w:szCs w:val="32"/>
        </w:rPr>
        <w:t>九、县</w:t>
      </w:r>
      <w:r>
        <w:rPr>
          <w:rFonts w:hint="eastAsia" w:ascii="??_GB2312" w:hAnsi="??_GB2312" w:eastAsia="黑体" w:cs="宋体"/>
          <w:b w:val="0"/>
          <w:bCs/>
          <w:sz w:val="32"/>
          <w:szCs w:val="32"/>
          <w:lang w:eastAsia="zh-CN"/>
        </w:rPr>
        <w:t>商合</w:t>
      </w:r>
      <w:r>
        <w:rPr>
          <w:rFonts w:hint="eastAsia" w:ascii="??_GB2312" w:hAnsi="??_GB2312" w:eastAsia="黑体" w:cs="宋体"/>
          <w:b w:val="0"/>
          <w:bCs/>
          <w:sz w:val="32"/>
          <w:szCs w:val="32"/>
        </w:rPr>
        <w:t>局上年度双随机抽查结果、行政许可和处罚决定、上年度本机关行政执法数据总体情况</w:t>
      </w:r>
      <w:r>
        <w:rPr>
          <w:rFonts w:hint="eastAsia" w:ascii="??_GB2312" w:hAnsi="??_GB2312" w:eastAsia="黑体" w:cs="宋体"/>
          <w:b w:val="0"/>
          <w:bCs/>
          <w:sz w:val="32"/>
          <w:szCs w:val="32"/>
          <w:lang w:eastAsia="zh-CN"/>
        </w:rPr>
        <w:t>）</w:t>
      </w:r>
      <w:r>
        <w:rPr>
          <w:rFonts w:hint="eastAsia" w:ascii="??_GB2312" w:hAnsi="??_GB2312" w:eastAsia="黑体" w:cs="宋体"/>
          <w:b w:val="0"/>
          <w:bCs/>
          <w:sz w:val="32"/>
          <w:szCs w:val="32"/>
          <w:lang w:val="en-US" w:eastAsia="zh-CN"/>
        </w:rPr>
        <w:t xml:space="preserve"> </w:t>
      </w:r>
    </w:p>
    <w:p>
      <w:pPr>
        <w:autoSpaceDE w:val="0"/>
        <w:spacing w:line="576" w:lineRule="exact"/>
        <w:ind w:firstLine="640" w:firstLineChars="200"/>
        <w:rPr>
          <w:rFonts w:hint="eastAsia" w:ascii="楷体_GB2312" w:hAnsi="宋体" w:eastAsia="仿宋_GB2312"/>
          <w:b w:val="0"/>
          <w:bCs/>
          <w:sz w:val="32"/>
          <w:lang w:val="en-US" w:eastAsia="zh-CN"/>
        </w:rPr>
      </w:pPr>
      <w:r>
        <w:rPr>
          <w:rFonts w:hint="eastAsia" w:ascii="楷体_GB2312" w:hAnsi="宋体" w:eastAsia="仿宋_GB2312"/>
          <w:b w:val="0"/>
          <w:bCs/>
          <w:sz w:val="32"/>
          <w:lang w:val="en-US" w:eastAsia="zh-CN"/>
        </w:rPr>
        <w:t>（一）上年度本机关行政执法数据总体情况</w:t>
      </w:r>
    </w:p>
    <w:p>
      <w:pPr>
        <w:autoSpaceDE w:val="0"/>
        <w:spacing w:line="576" w:lineRule="exact"/>
        <w:ind w:firstLine="640" w:firstLineChars="200"/>
        <w:rPr>
          <w:rFonts w:hint="eastAsia" w:ascii="??_GB2312" w:hAnsi="??_GB2312" w:eastAsia="黑体" w:cs="宋体"/>
          <w:b w:val="0"/>
          <w:bCs/>
          <w:sz w:val="32"/>
          <w:szCs w:val="32"/>
        </w:rPr>
      </w:pPr>
      <w:r>
        <w:rPr>
          <w:rFonts w:hint="eastAsia" w:ascii="??_GB2312" w:hAnsi="??_GB2312" w:eastAsia="黑体" w:cs="宋体"/>
          <w:b w:val="0"/>
          <w:bCs/>
          <w:sz w:val="32"/>
          <w:szCs w:val="32"/>
        </w:rPr>
        <w:fldChar w:fldCharType="begin"/>
      </w:r>
      <w:r>
        <w:rPr>
          <w:rFonts w:hint="eastAsia" w:ascii="??_GB2312" w:hAnsi="??_GB2312" w:eastAsia="黑体" w:cs="宋体"/>
          <w:b w:val="0"/>
          <w:bCs/>
          <w:sz w:val="32"/>
          <w:szCs w:val="32"/>
        </w:rPr>
        <w:instrText xml:space="preserve"> HYPERLINK "http://gysjgx.sczwfw.gov.cn/app/qixianShop/10003?areaId=1985&amp;areaCode=510823000000" </w:instrText>
      </w:r>
      <w:r>
        <w:rPr>
          <w:rFonts w:hint="eastAsia" w:ascii="??_GB2312" w:hAnsi="??_GB2312" w:eastAsia="黑体" w:cs="宋体"/>
          <w:b w:val="0"/>
          <w:bCs/>
          <w:sz w:val="32"/>
          <w:szCs w:val="32"/>
        </w:rPr>
        <w:fldChar w:fldCharType="separate"/>
      </w:r>
      <w:r>
        <w:rPr>
          <w:rStyle w:val="14"/>
          <w:rFonts w:hint="eastAsia" w:ascii="??_GB2312" w:hAnsi="??_GB2312" w:eastAsia="黑体" w:cs="宋体"/>
          <w:b w:val="0"/>
          <w:bCs/>
          <w:sz w:val="32"/>
          <w:szCs w:val="32"/>
        </w:rPr>
        <w:t>http://gysjgx.sczwfw.gov.cn/app/qixianShop/10003?areaId=1985&amp;areaCode=510823000000</w:t>
      </w:r>
      <w:r>
        <w:rPr>
          <w:rFonts w:hint="eastAsia" w:ascii="??_GB2312" w:hAnsi="??_GB2312" w:eastAsia="黑体" w:cs="宋体"/>
          <w:b w:val="0"/>
          <w:bCs/>
          <w:sz w:val="32"/>
          <w:szCs w:val="32"/>
        </w:rPr>
        <w:fldChar w:fldCharType="end"/>
      </w:r>
    </w:p>
    <w:p>
      <w:pPr>
        <w:autoSpaceDE w:val="0"/>
        <w:spacing w:line="576" w:lineRule="exact"/>
        <w:ind w:firstLine="640" w:firstLineChars="200"/>
        <w:rPr>
          <w:rFonts w:hint="eastAsia" w:ascii="??_GB2312" w:hAnsi="??_GB2312" w:eastAsia="黑体" w:cs="宋体"/>
          <w:b w:val="0"/>
          <w:bCs/>
          <w:sz w:val="32"/>
          <w:szCs w:val="32"/>
          <w:lang w:val="en-US" w:eastAsia="zh-CN"/>
        </w:rPr>
      </w:pPr>
      <w:r>
        <w:rPr>
          <w:rFonts w:hint="eastAsia" w:ascii="楷体_GB2312" w:hAnsi="宋体" w:eastAsia="仿宋_GB2312"/>
          <w:b w:val="0"/>
          <w:bCs/>
          <w:sz w:val="32"/>
          <w:lang w:val="en-US" w:eastAsia="zh-CN"/>
        </w:rPr>
        <w:t>（二）行政许可和行政处罚决定情况</w:t>
      </w:r>
    </w:p>
    <w:p>
      <w:pPr>
        <w:autoSpaceDE w:val="0"/>
        <w:spacing w:line="576" w:lineRule="exact"/>
        <w:ind w:firstLine="640" w:firstLineChars="200"/>
        <w:rPr>
          <w:rFonts w:hint="eastAsia" w:ascii="??_GB2312" w:hAnsi="??_GB2312" w:eastAsia="黑体" w:cs="宋体"/>
          <w:b w:val="0"/>
          <w:bCs/>
          <w:sz w:val="32"/>
          <w:szCs w:val="32"/>
        </w:rPr>
      </w:pPr>
      <w:r>
        <w:rPr>
          <w:rFonts w:hint="eastAsia" w:ascii="??_GB2312" w:hAnsi="??_GB2312" w:eastAsia="黑体" w:cs="宋体"/>
          <w:b w:val="0"/>
          <w:bCs/>
          <w:sz w:val="32"/>
          <w:szCs w:val="32"/>
        </w:rPr>
        <w:fldChar w:fldCharType="begin"/>
      </w:r>
      <w:r>
        <w:rPr>
          <w:rFonts w:hint="eastAsia" w:ascii="??_GB2312" w:hAnsi="??_GB2312" w:eastAsia="黑体" w:cs="宋体"/>
          <w:b w:val="0"/>
          <w:bCs/>
          <w:sz w:val="32"/>
          <w:szCs w:val="32"/>
        </w:rPr>
        <w:instrText xml:space="preserve"> HYPERLINK "http://gysjgx.sczwfw.gov.cn/app/qixianShop/10003?areaId=1985&amp;areaCode=510823000000" </w:instrText>
      </w:r>
      <w:r>
        <w:rPr>
          <w:rFonts w:hint="eastAsia" w:ascii="??_GB2312" w:hAnsi="??_GB2312" w:eastAsia="黑体" w:cs="宋体"/>
          <w:b w:val="0"/>
          <w:bCs/>
          <w:sz w:val="32"/>
          <w:szCs w:val="32"/>
        </w:rPr>
        <w:fldChar w:fldCharType="separate"/>
      </w:r>
      <w:r>
        <w:rPr>
          <w:rStyle w:val="14"/>
          <w:rFonts w:hint="eastAsia" w:ascii="??_GB2312" w:hAnsi="??_GB2312" w:eastAsia="黑体" w:cs="宋体"/>
          <w:b w:val="0"/>
          <w:bCs/>
          <w:sz w:val="32"/>
          <w:szCs w:val="32"/>
        </w:rPr>
        <w:t>http://gysjgx.sczwfw.gov.cn/app/qixianShop/10003?areaId=1985&amp;areaCode=510823000000</w:t>
      </w:r>
      <w:r>
        <w:rPr>
          <w:rFonts w:hint="eastAsia" w:ascii="??_GB2312" w:hAnsi="??_GB2312" w:eastAsia="黑体" w:cs="宋体"/>
          <w:b w:val="0"/>
          <w:bCs/>
          <w:sz w:val="32"/>
          <w:szCs w:val="32"/>
        </w:rPr>
        <w:fldChar w:fldCharType="end"/>
      </w:r>
    </w:p>
    <w:p>
      <w:pPr>
        <w:numPr>
          <w:ilvl w:val="0"/>
          <w:numId w:val="0"/>
        </w:numPr>
        <w:autoSpaceDE w:val="0"/>
        <w:spacing w:line="576" w:lineRule="exact"/>
        <w:ind w:firstLine="640" w:firstLineChars="200"/>
        <w:rPr>
          <w:rFonts w:ascii="??_GB2312" w:hAnsi="??_GB2312" w:cs="??_GB2312"/>
          <w:b/>
          <w:bCs/>
          <w:sz w:val="32"/>
          <w:szCs w:val="32"/>
        </w:rPr>
      </w:pPr>
      <w:r>
        <w:rPr>
          <w:rFonts w:hint="eastAsia" w:ascii="??_GB2312" w:hAnsi="??_GB2312" w:eastAsia="黑体" w:cs="宋体"/>
          <w:b w:val="0"/>
          <w:bCs/>
          <w:sz w:val="32"/>
          <w:szCs w:val="32"/>
          <w:lang w:eastAsia="zh-CN"/>
        </w:rPr>
        <w:t>十、</w:t>
      </w:r>
      <w:r>
        <w:rPr>
          <w:rFonts w:hint="eastAsia" w:ascii="??_GB2312" w:hAnsi="??_GB2312" w:eastAsia="黑体" w:cs="宋体"/>
          <w:b w:val="0"/>
          <w:bCs/>
          <w:sz w:val="32"/>
          <w:szCs w:val="32"/>
        </w:rPr>
        <w:t>县</w:t>
      </w:r>
      <w:r>
        <w:rPr>
          <w:rFonts w:hint="eastAsia" w:ascii="??_GB2312" w:hAnsi="??_GB2312" w:eastAsia="黑体" w:cs="宋体"/>
          <w:b w:val="0"/>
          <w:bCs/>
          <w:sz w:val="32"/>
          <w:szCs w:val="32"/>
          <w:lang w:eastAsia="zh-CN"/>
        </w:rPr>
        <w:t>商合局</w:t>
      </w:r>
      <w:r>
        <w:rPr>
          <w:rFonts w:hint="eastAsia" w:ascii="??_GB2312" w:hAnsi="??_GB2312" w:eastAsia="黑体" w:cs="宋体"/>
          <w:b w:val="0"/>
          <w:bCs/>
          <w:sz w:val="32"/>
          <w:szCs w:val="32"/>
        </w:rPr>
        <w:t>实行</w:t>
      </w:r>
      <w:r>
        <w:rPr>
          <w:rFonts w:hint="eastAsia" w:ascii="??_GB2312" w:hAnsi="??_GB2312" w:eastAsia="黑体" w:cs="宋体"/>
          <w:b w:val="0"/>
          <w:bCs/>
          <w:sz w:val="32"/>
          <w:szCs w:val="32"/>
          <w:lang w:eastAsia="zh-CN"/>
        </w:rPr>
        <w:t>行</w:t>
      </w:r>
      <w:r>
        <w:rPr>
          <w:rFonts w:hint="eastAsia" w:ascii="??_GB2312" w:hAnsi="??_GB2312" w:eastAsia="黑体" w:cs="宋体"/>
          <w:b w:val="0"/>
          <w:bCs/>
          <w:sz w:val="32"/>
          <w:szCs w:val="32"/>
        </w:rPr>
        <w:t>政执法三项制度方案</w:t>
      </w:r>
    </w:p>
    <w:p>
      <w:pPr>
        <w:autoSpaceDE w:val="0"/>
        <w:spacing w:line="576" w:lineRule="exact"/>
        <w:ind w:firstLine="640" w:firstLineChars="200"/>
        <w:rPr>
          <w:rFonts w:ascii="??_GB2312" w:hAnsi="??_GB2312" w:cs="??_GB2312"/>
          <w:sz w:val="32"/>
          <w:szCs w:val="32"/>
        </w:rPr>
      </w:pPr>
      <w:r>
        <w:rPr>
          <w:rFonts w:hint="eastAsia" w:ascii="??_GB2312" w:hAnsi="??_GB2312" w:cs="宋体"/>
          <w:sz w:val="32"/>
          <w:szCs w:val="32"/>
        </w:rPr>
        <w:t>比照县三项制度印发《剑阁县</w:t>
      </w:r>
      <w:r>
        <w:rPr>
          <w:rFonts w:hint="eastAsia" w:ascii="??_GB2312" w:hAnsi="??_GB2312" w:cs="宋体"/>
          <w:sz w:val="32"/>
          <w:szCs w:val="32"/>
          <w:lang w:eastAsia="zh-CN"/>
        </w:rPr>
        <w:t>商合</w:t>
      </w:r>
      <w:r>
        <w:rPr>
          <w:rFonts w:hint="eastAsia" w:ascii="??_GB2312" w:hAnsi="??_GB2312" w:cs="宋体"/>
          <w:sz w:val="32"/>
          <w:szCs w:val="32"/>
        </w:rPr>
        <w:t>局</w:t>
      </w:r>
      <w:r>
        <w:rPr>
          <w:rFonts w:hint="eastAsia" w:ascii="??_GB2312" w:hAnsi="??_GB2312" w:cs="宋体"/>
          <w:sz w:val="32"/>
          <w:szCs w:val="32"/>
          <w:lang w:eastAsia="zh-CN"/>
        </w:rPr>
        <w:t>关于</w:t>
      </w:r>
      <w:r>
        <w:rPr>
          <w:rFonts w:hint="eastAsia" w:ascii="??_GB2312" w:hAnsi="??_GB2312" w:cs="宋体"/>
          <w:sz w:val="32"/>
          <w:szCs w:val="32"/>
        </w:rPr>
        <w:t>推行</w:t>
      </w:r>
      <w:r>
        <w:rPr>
          <w:rFonts w:hint="eastAsia" w:ascii="??_GB2312" w:hAnsi="??_GB2312" w:cs="宋体"/>
          <w:sz w:val="32"/>
          <w:szCs w:val="32"/>
          <w:lang w:eastAsia="zh-CN"/>
        </w:rPr>
        <w:t>“</w:t>
      </w:r>
      <w:r>
        <w:rPr>
          <w:rFonts w:hint="eastAsia" w:ascii="??_GB2312" w:hAnsi="??_GB2312" w:cs="宋体"/>
          <w:sz w:val="32"/>
          <w:szCs w:val="32"/>
        </w:rPr>
        <w:t>行政执法公示制度</w:t>
      </w:r>
      <w:r>
        <w:rPr>
          <w:rFonts w:hint="eastAsia" w:ascii="??_GB2312" w:hAnsi="??_GB2312" w:cs="宋体"/>
          <w:sz w:val="32"/>
          <w:szCs w:val="32"/>
          <w:lang w:eastAsia="zh-CN"/>
        </w:rPr>
        <w:t>、</w:t>
      </w:r>
      <w:r>
        <w:rPr>
          <w:rFonts w:hint="eastAsia" w:ascii="??_GB2312" w:hAnsi="??_GB2312" w:cs="宋体"/>
          <w:sz w:val="32"/>
          <w:szCs w:val="32"/>
        </w:rPr>
        <w:t>执法全过程记录制度</w:t>
      </w:r>
      <w:r>
        <w:rPr>
          <w:rFonts w:hint="eastAsia" w:ascii="??_GB2312" w:hAnsi="??_GB2312" w:cs="宋体"/>
          <w:sz w:val="32"/>
          <w:szCs w:val="32"/>
          <w:lang w:eastAsia="zh-CN"/>
        </w:rPr>
        <w:t>、</w:t>
      </w:r>
      <w:r>
        <w:rPr>
          <w:rFonts w:hint="eastAsia" w:ascii="??_GB2312" w:hAnsi="??_GB2312" w:cs="宋体"/>
          <w:sz w:val="32"/>
          <w:szCs w:val="32"/>
        </w:rPr>
        <w:t>重大执法决定法制审核制度</w:t>
      </w:r>
      <w:r>
        <w:rPr>
          <w:rFonts w:hint="eastAsia" w:ascii="??_GB2312" w:hAnsi="??_GB2312" w:cs="宋体"/>
          <w:sz w:val="32"/>
          <w:szCs w:val="32"/>
          <w:lang w:eastAsia="zh-CN"/>
        </w:rPr>
        <w:t>”</w:t>
      </w:r>
      <w:r>
        <w:rPr>
          <w:rFonts w:hint="eastAsia" w:ascii="??_GB2312" w:hAnsi="??_GB2312" w:cs="宋体"/>
          <w:sz w:val="32"/>
          <w:szCs w:val="32"/>
        </w:rPr>
        <w:t>实施</w:t>
      </w:r>
      <w:r>
        <w:rPr>
          <w:rFonts w:hint="eastAsia" w:ascii="??_GB2312" w:hAnsi="??_GB2312" w:cs="宋体"/>
          <w:sz w:val="32"/>
          <w:szCs w:val="32"/>
          <w:lang w:eastAsia="zh-CN"/>
        </w:rPr>
        <w:t>方案</w:t>
      </w:r>
      <w:r>
        <w:rPr>
          <w:rFonts w:hint="eastAsia" w:ascii="??_GB2312" w:hAnsi="??_GB2312" w:cs="宋体"/>
          <w:sz w:val="32"/>
          <w:szCs w:val="32"/>
        </w:rPr>
        <w:t>》的通知</w:t>
      </w:r>
    </w:p>
    <w:sectPr>
      <w:pgSz w:w="11906" w:h="16838"/>
      <w:pgMar w:top="2098" w:right="1474" w:bottom="1814" w:left="1588" w:header="851" w:footer="1588"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FD4DE"/>
    <w:multiLevelType w:val="singleLevel"/>
    <w:tmpl w:val="AE1FD4DE"/>
    <w:lvl w:ilvl="0" w:tentative="0">
      <w:start w:val="4"/>
      <w:numFmt w:val="chineseCounting"/>
      <w:suff w:val="nothing"/>
      <w:lvlText w:val="%1、"/>
      <w:lvlJc w:val="left"/>
      <w:rPr>
        <w:rFonts w:hint="eastAsia"/>
      </w:rPr>
    </w:lvl>
  </w:abstractNum>
  <w:abstractNum w:abstractNumId="1">
    <w:nsid w:val="42B91072"/>
    <w:multiLevelType w:val="singleLevel"/>
    <w:tmpl w:val="42B9107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5578"/>
    <w:rsid w:val="00292C79"/>
    <w:rsid w:val="003C4D35"/>
    <w:rsid w:val="0053234A"/>
    <w:rsid w:val="00701931"/>
    <w:rsid w:val="008A10C7"/>
    <w:rsid w:val="008C60A4"/>
    <w:rsid w:val="00940E78"/>
    <w:rsid w:val="009A4077"/>
    <w:rsid w:val="009E3903"/>
    <w:rsid w:val="00AC007B"/>
    <w:rsid w:val="00CB5D38"/>
    <w:rsid w:val="00CC57BE"/>
    <w:rsid w:val="045F237E"/>
    <w:rsid w:val="06D06865"/>
    <w:rsid w:val="070969E2"/>
    <w:rsid w:val="08543F6C"/>
    <w:rsid w:val="0D2D60B3"/>
    <w:rsid w:val="151F1F98"/>
    <w:rsid w:val="15525B2A"/>
    <w:rsid w:val="16112EB8"/>
    <w:rsid w:val="1FD45A77"/>
    <w:rsid w:val="235B6121"/>
    <w:rsid w:val="24B53D7D"/>
    <w:rsid w:val="272D4796"/>
    <w:rsid w:val="2FAB79C0"/>
    <w:rsid w:val="2FF97731"/>
    <w:rsid w:val="31B241F8"/>
    <w:rsid w:val="31FB07E1"/>
    <w:rsid w:val="359A3B20"/>
    <w:rsid w:val="35C6437A"/>
    <w:rsid w:val="37C33203"/>
    <w:rsid w:val="38925333"/>
    <w:rsid w:val="39C27522"/>
    <w:rsid w:val="3E811C15"/>
    <w:rsid w:val="3F3A1F94"/>
    <w:rsid w:val="45885F05"/>
    <w:rsid w:val="461B08E1"/>
    <w:rsid w:val="46B678F7"/>
    <w:rsid w:val="4B5A7535"/>
    <w:rsid w:val="4D6E34F0"/>
    <w:rsid w:val="51771E96"/>
    <w:rsid w:val="5472222E"/>
    <w:rsid w:val="548242F7"/>
    <w:rsid w:val="56066300"/>
    <w:rsid w:val="58EF599D"/>
    <w:rsid w:val="5A3616B4"/>
    <w:rsid w:val="5E5203D0"/>
    <w:rsid w:val="669944C7"/>
    <w:rsid w:val="6FDD7F00"/>
    <w:rsid w:val="72831EB3"/>
    <w:rsid w:val="7BC8581E"/>
    <w:rsid w:val="7CED5A22"/>
    <w:rsid w:val="7F7A6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5"/>
    <w:qFormat/>
    <w:uiPriority w:val="99"/>
    <w:pPr>
      <w:spacing w:before="100" w:beforeAutospacing="1" w:after="100" w:afterAutospacing="1"/>
      <w:jc w:val="left"/>
      <w:outlineLvl w:val="0"/>
    </w:pPr>
    <w:rPr>
      <w:rFonts w:ascii="宋体" w:hAnsi="宋体" w:cs="宋体"/>
      <w:b/>
      <w:bCs/>
      <w:kern w:val="44"/>
      <w:sz w:val="48"/>
      <w:szCs w:val="48"/>
    </w:rPr>
  </w:style>
  <w:style w:type="paragraph" w:styleId="3">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4"/>
    <w:qFormat/>
    <w:uiPriority w:val="99"/>
    <w:pPr>
      <w:tabs>
        <w:tab w:val="center" w:pos="4153"/>
        <w:tab w:val="right" w:pos="8306"/>
      </w:tabs>
      <w:snapToGrid w:val="0"/>
      <w:jc w:val="left"/>
    </w:pPr>
    <w:rPr>
      <w:sz w:val="18"/>
      <w:szCs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locked/>
    <w:uiPriority w:val="0"/>
    <w:rPr>
      <w:b/>
    </w:rPr>
  </w:style>
  <w:style w:type="character" w:styleId="11">
    <w:name w:val="page number"/>
    <w:basedOn w:val="9"/>
    <w:qFormat/>
    <w:uiPriority w:val="99"/>
  </w:style>
  <w:style w:type="character" w:styleId="12">
    <w:name w:val="FollowedHyperlink"/>
    <w:basedOn w:val="9"/>
    <w:semiHidden/>
    <w:unhideWhenUsed/>
    <w:uiPriority w:val="99"/>
    <w:rPr>
      <w:color w:val="000000"/>
      <w:u w:val="none"/>
    </w:rPr>
  </w:style>
  <w:style w:type="character" w:styleId="13">
    <w:name w:val="Emphasis"/>
    <w:basedOn w:val="9"/>
    <w:qFormat/>
    <w:locked/>
    <w:uiPriority w:val="0"/>
  </w:style>
  <w:style w:type="character" w:styleId="14">
    <w:name w:val="Hyperlink"/>
    <w:basedOn w:val="9"/>
    <w:qFormat/>
    <w:uiPriority w:val="99"/>
    <w:rPr>
      <w:color w:val="000000"/>
      <w:u w:val="none"/>
    </w:rPr>
  </w:style>
  <w:style w:type="character" w:customStyle="1" w:styleId="15">
    <w:name w:val="Heading 1 Char"/>
    <w:basedOn w:val="9"/>
    <w:link w:val="2"/>
    <w:qFormat/>
    <w:locked/>
    <w:uiPriority w:val="99"/>
    <w:rPr>
      <w:rFonts w:ascii="宋体" w:hAnsi="宋体" w:eastAsia="宋体" w:cs="宋体"/>
      <w:b/>
      <w:bCs/>
      <w:kern w:val="44"/>
      <w:sz w:val="48"/>
      <w:szCs w:val="48"/>
    </w:rPr>
  </w:style>
  <w:style w:type="paragraph" w:customStyle="1" w:styleId="16">
    <w:name w:val="_Style 19"/>
    <w:basedOn w:val="1"/>
    <w:next w:val="1"/>
    <w:qFormat/>
    <w:uiPriority w:val="99"/>
    <w:pPr>
      <w:pBdr>
        <w:top w:val="single" w:color="auto" w:sz="6" w:space="1"/>
      </w:pBdr>
      <w:jc w:val="center"/>
    </w:pPr>
    <w:rPr>
      <w:rFonts w:ascii="Arial" w:cs="Arial"/>
      <w:vanish/>
      <w:sz w:val="16"/>
      <w:szCs w:val="16"/>
    </w:rPr>
  </w:style>
  <w:style w:type="paragraph" w:customStyle="1" w:styleId="17">
    <w:name w:val="_Style 18"/>
    <w:basedOn w:val="1"/>
    <w:next w:val="1"/>
    <w:qFormat/>
    <w:uiPriority w:val="99"/>
    <w:pPr>
      <w:pBdr>
        <w:bottom w:val="single" w:color="auto" w:sz="6" w:space="1"/>
      </w:pBdr>
      <w:jc w:val="center"/>
    </w:pPr>
    <w:rPr>
      <w:rFonts w:ascii="Arial" w:cs="Arial"/>
      <w:vanish/>
      <w:sz w:val="16"/>
      <w:szCs w:val="16"/>
    </w:rPr>
  </w:style>
  <w:style w:type="character" w:customStyle="1" w:styleId="18">
    <w:name w:val="15"/>
    <w:basedOn w:val="9"/>
    <w:qFormat/>
    <w:uiPriority w:val="99"/>
    <w:rPr>
      <w:rFonts w:ascii="Calibri" w:hAnsi="Calibri" w:cs="Calibri"/>
      <w:color w:val="0000FF"/>
    </w:rPr>
  </w:style>
  <w:style w:type="character" w:customStyle="1" w:styleId="19">
    <w:name w:val="wenda-abstract-listnum"/>
    <w:basedOn w:val="9"/>
    <w:qFormat/>
    <w:uiPriority w:val="99"/>
  </w:style>
  <w:style w:type="character" w:customStyle="1" w:styleId="20">
    <w:name w:val="font81"/>
    <w:basedOn w:val="9"/>
    <w:qFormat/>
    <w:uiPriority w:val="99"/>
    <w:rPr>
      <w:rFonts w:ascii="宋体" w:hAnsi="宋体" w:eastAsia="宋体" w:cs="宋体"/>
      <w:color w:val="auto"/>
      <w:sz w:val="20"/>
      <w:szCs w:val="20"/>
      <w:u w:val="none"/>
    </w:rPr>
  </w:style>
  <w:style w:type="character" w:customStyle="1" w:styleId="21">
    <w:name w:val="font51"/>
    <w:basedOn w:val="9"/>
    <w:qFormat/>
    <w:uiPriority w:val="99"/>
    <w:rPr>
      <w:rFonts w:ascii="宋体" w:hAnsi="宋体" w:eastAsia="宋体" w:cs="宋体"/>
      <w:color w:val="000000"/>
      <w:sz w:val="20"/>
      <w:szCs w:val="20"/>
      <w:u w:val="none"/>
    </w:rPr>
  </w:style>
  <w:style w:type="character" w:customStyle="1" w:styleId="22">
    <w:name w:val="font41"/>
    <w:basedOn w:val="9"/>
    <w:qFormat/>
    <w:uiPriority w:val="99"/>
    <w:rPr>
      <w:rFonts w:ascii="宋体" w:hAnsi="宋体" w:eastAsia="宋体" w:cs="宋体"/>
      <w:color w:val="000000"/>
      <w:sz w:val="20"/>
      <w:szCs w:val="20"/>
      <w:u w:val="none"/>
    </w:rPr>
  </w:style>
  <w:style w:type="character" w:customStyle="1" w:styleId="23">
    <w:name w:val="font31"/>
    <w:basedOn w:val="9"/>
    <w:qFormat/>
    <w:uiPriority w:val="99"/>
    <w:rPr>
      <w:rFonts w:ascii="宋体" w:hAnsi="宋体" w:eastAsia="宋体" w:cs="宋体"/>
      <w:b/>
      <w:bCs/>
      <w:color w:val="000000"/>
      <w:sz w:val="20"/>
      <w:szCs w:val="20"/>
      <w:u w:val="none"/>
    </w:rPr>
  </w:style>
  <w:style w:type="character" w:customStyle="1" w:styleId="24">
    <w:name w:val="Footer Char"/>
    <w:basedOn w:val="9"/>
    <w:link w:val="4"/>
    <w:semiHidden/>
    <w:qFormat/>
    <w:uiPriority w:val="99"/>
    <w:rPr>
      <w:rFonts w:cs="Calibri"/>
      <w:sz w:val="18"/>
      <w:szCs w:val="18"/>
    </w:rPr>
  </w:style>
  <w:style w:type="character" w:customStyle="1" w:styleId="25">
    <w:name w:val="ewm"/>
    <w:basedOn w:val="9"/>
    <w:qFormat/>
    <w:uiPriority w:val="0"/>
  </w:style>
  <w:style w:type="character" w:customStyle="1" w:styleId="26">
    <w:name w:val="z-crt"/>
    <w:basedOn w:val="9"/>
    <w:qFormat/>
    <w:uiPriority w:val="0"/>
    <w:rPr>
      <w:color w:val="FFFFFF"/>
      <w:bdr w:val="single" w:color="5294E5" w:sz="6" w:space="0"/>
      <w:shd w:val="clear" w:fill="5294E5"/>
    </w:rPr>
  </w:style>
  <w:style w:type="character" w:customStyle="1" w:styleId="27">
    <w:name w:val="z-crt1"/>
    <w:basedOn w:val="9"/>
    <w:qFormat/>
    <w:uiPriority w:val="0"/>
    <w:rPr>
      <w:color w:val="FFFFFF"/>
      <w:bdr w:val="single" w:color="5295E6" w:sz="6" w:space="0"/>
      <w:shd w:val="clear" w:fill="5295E6"/>
    </w:rPr>
  </w:style>
  <w:style w:type="character" w:customStyle="1" w:styleId="28">
    <w:name w:val="hover34"/>
    <w:basedOn w:val="9"/>
    <w:qFormat/>
    <w:uiPriority w:val="0"/>
    <w:rPr>
      <w:color w:val="FFFFFF"/>
      <w:bdr w:val="single" w:color="5294E5" w:sz="6" w:space="0"/>
      <w:shd w:val="clear" w:fill="5294E5"/>
    </w:rPr>
  </w:style>
  <w:style w:type="character" w:customStyle="1" w:styleId="29">
    <w:name w:val="first-child2"/>
    <w:basedOn w:val="9"/>
    <w:qFormat/>
    <w:uiPriority w:val="0"/>
  </w:style>
  <w:style w:type="character" w:customStyle="1" w:styleId="30">
    <w:name w:val="r-search"/>
    <w:basedOn w:val="9"/>
    <w:qFormat/>
    <w:uiPriority w:val="0"/>
  </w:style>
  <w:style w:type="character" w:customStyle="1" w:styleId="31">
    <w:name w:val="r-search1"/>
    <w:basedOn w:val="9"/>
    <w:qFormat/>
    <w:uiPriority w:val="0"/>
  </w:style>
  <w:style w:type="character" w:customStyle="1" w:styleId="32">
    <w:name w:val="first-child"/>
    <w:basedOn w:val="9"/>
    <w:qFormat/>
    <w:uiPriority w:val="0"/>
  </w:style>
  <w:style w:type="character" w:customStyle="1" w:styleId="33">
    <w:name w:val="z-crt3"/>
    <w:basedOn w:val="9"/>
    <w:qFormat/>
    <w:uiPriority w:val="0"/>
    <w:rPr>
      <w:color w:val="FFFFFF"/>
      <w:bdr w:val="single" w:color="5295E6" w:sz="6" w:space="0"/>
      <w:shd w:val="clear" w:fill="5295E6"/>
    </w:rPr>
  </w:style>
  <w:style w:type="character" w:customStyle="1" w:styleId="34">
    <w:name w:val="z-crt4"/>
    <w:basedOn w:val="9"/>
    <w:qFormat/>
    <w:uiPriority w:val="0"/>
    <w:rPr>
      <w:color w:val="FFFFFF"/>
      <w:bdr w:val="single" w:color="5294E5" w:sz="6" w:space="0"/>
      <w:shd w:val="clear" w:fill="5294E5"/>
    </w:rPr>
  </w:style>
  <w:style w:type="character" w:customStyle="1" w:styleId="35">
    <w:name w:val="z-crt2"/>
    <w:basedOn w:val="9"/>
    <w:qFormat/>
    <w:uiPriority w:val="0"/>
    <w:rPr>
      <w:color w:val="FFFFFF"/>
      <w:bdr w:val="single" w:color="5294E5" w:sz="6" w:space="0"/>
      <w:shd w:val="clear" w:fill="5294E5"/>
    </w:rPr>
  </w:style>
  <w:style w:type="character" w:customStyle="1" w:styleId="36">
    <w:name w:val="font11"/>
    <w:basedOn w:val="9"/>
    <w:qFormat/>
    <w:uiPriority w:val="0"/>
    <w:rPr>
      <w:rFonts w:hint="eastAsia" w:ascii="宋体" w:hAnsi="宋体" w:eastAsia="宋体" w:cs="宋体"/>
      <w:color w:val="000000"/>
      <w:sz w:val="24"/>
      <w:szCs w:val="24"/>
      <w:u w:val="none"/>
    </w:rPr>
  </w:style>
  <w:style w:type="character" w:customStyle="1" w:styleId="37">
    <w:name w:val="font01"/>
    <w:basedOn w:val="9"/>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1440</Words>
  <Characters>8209</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2020-05-26T01:34:00Z</dcterms:created>
  <dc:creator>Sky123.Org</dc:creator>
  <cp:lastModifiedBy>沉淀</cp:lastModifiedBy>
  <cp:lastPrinted>2020-06-15T07:54:00Z</cp:lastPrinted>
  <dcterms:modified xsi:type="dcterms:W3CDTF">2020-06-15T08:03:40Z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