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249FD">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剑阁县人民政府国防动员办公室</w:t>
      </w:r>
    </w:p>
    <w:p w14:paraId="2D69A4FE">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lang w:eastAsia="zh-CN"/>
        </w:rPr>
        <w:t>行政执法集中公示目录</w:t>
      </w:r>
    </w:p>
    <w:p w14:paraId="40FC6B3D">
      <w:pPr>
        <w:widowControl w:val="0"/>
        <w:ind w:leftChars="100" w:rightChars="100"/>
        <w:jc w:val="both"/>
        <w:rPr>
          <w:rFonts w:hint="eastAsia" w:ascii="Calibri" w:hAnsi="Calibri" w:eastAsia="宋体" w:cs="Times New Roman"/>
          <w:kern w:val="2"/>
          <w:sz w:val="21"/>
          <w:szCs w:val="24"/>
          <w:lang w:val="en-US" w:eastAsia="zh-CN" w:bidi="ar-SA"/>
        </w:rPr>
      </w:pPr>
    </w:p>
    <w:p w14:paraId="289B22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一</w:t>
      </w:r>
      <w:r>
        <w:rPr>
          <w:rFonts w:hint="eastAsia" w:ascii="仿宋_GB2312" w:hAnsi="华文仿宋" w:eastAsia="仿宋_GB2312" w:cs="仿宋_GB2312"/>
          <w:sz w:val="32"/>
          <w:szCs w:val="32"/>
          <w:lang w:eastAsia="zh-CN"/>
        </w:rPr>
        <w:t>、剑阁县人民政府国防动员办公室行政执法主体</w:t>
      </w:r>
    </w:p>
    <w:p w14:paraId="6815BA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二、剑阁县人民政府国防动员办公室行政执法人员清单</w:t>
      </w:r>
    </w:p>
    <w:p w14:paraId="0350614F">
      <w:pPr>
        <w:keepNext w:val="0"/>
        <w:keepLines w:val="0"/>
        <w:pageBreakBefore w:val="0"/>
        <w:widowControl w:val="0"/>
        <w:kinsoku/>
        <w:wordWrap/>
        <w:overflowPunct/>
        <w:topLinePunct w:val="0"/>
        <w:autoSpaceDE/>
        <w:autoSpaceDN/>
        <w:bidi w:val="0"/>
        <w:adjustRightInd/>
        <w:snapToGrid/>
        <w:spacing w:line="560" w:lineRule="exact"/>
        <w:ind w:firstLine="596" w:firstLineChars="200"/>
        <w:textAlignment w:val="auto"/>
        <w:rPr>
          <w:rFonts w:hint="eastAsia" w:ascii="仿宋_GB2312" w:hAnsi="华文仿宋" w:eastAsia="仿宋_GB2312" w:cs="仿宋_GB2312"/>
          <w:spacing w:val="-11"/>
          <w:sz w:val="32"/>
          <w:szCs w:val="32"/>
          <w:lang w:eastAsia="zh-CN"/>
        </w:rPr>
      </w:pPr>
      <w:r>
        <w:rPr>
          <w:rFonts w:hint="eastAsia" w:ascii="仿宋_GB2312" w:hAnsi="华文仿宋" w:eastAsia="仿宋_GB2312" w:cs="仿宋_GB2312"/>
          <w:spacing w:val="-11"/>
          <w:sz w:val="32"/>
          <w:szCs w:val="32"/>
          <w:lang w:eastAsia="zh-CN"/>
        </w:rPr>
        <w:t>三、剑阁县人民政府国防动员办公室行政执法</w:t>
      </w:r>
      <w:r>
        <w:rPr>
          <w:rFonts w:hint="eastAsia" w:ascii="仿宋_GB2312" w:hAnsi="华文仿宋" w:eastAsia="仿宋_GB2312" w:cs="仿宋_GB2312"/>
          <w:spacing w:val="-11"/>
          <w:sz w:val="32"/>
          <w:szCs w:val="32"/>
          <w:lang w:val="en-US" w:eastAsia="zh-CN"/>
        </w:rPr>
        <w:t>权力、责任</w:t>
      </w:r>
      <w:r>
        <w:rPr>
          <w:rFonts w:hint="eastAsia" w:ascii="仿宋_GB2312" w:hAnsi="华文仿宋" w:eastAsia="仿宋_GB2312" w:cs="仿宋_GB2312"/>
          <w:spacing w:val="-11"/>
          <w:sz w:val="32"/>
          <w:szCs w:val="32"/>
          <w:lang w:eastAsia="zh-CN"/>
        </w:rPr>
        <w:t>清单</w:t>
      </w:r>
    </w:p>
    <w:p w14:paraId="0CDC8E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四、剑阁县人民政府国防动员办公室重大行政执法审核目录清单</w:t>
      </w:r>
    </w:p>
    <w:p w14:paraId="36BFCB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五、剑阁县人民政府国防动员办公室行政执法（监督信息）救济渠道、行政执法责任制</w:t>
      </w:r>
    </w:p>
    <w:p w14:paraId="799968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六、剑阁县人民政府国防动员办公室行政执法裁量权标准</w:t>
      </w:r>
    </w:p>
    <w:p w14:paraId="1270B0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七、剑阁县人民政府国防动员办公室随机抽查事项清单、检查对象库、202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14:paraId="5708FE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八、剑阁县人民政府国防动员办公室行政执法文书样式、行政执法案件评查制度</w:t>
      </w:r>
    </w:p>
    <w:p w14:paraId="346D2F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九、剑阁县人民政府国防动员办公室上年度双随机抽查结果、行政许可和处罚决定、上年度本机关行政执法数据总体情况</w:t>
      </w:r>
    </w:p>
    <w:p w14:paraId="5E4812EC">
      <w:pPr>
        <w:keepNext w:val="0"/>
        <w:keepLines w:val="0"/>
        <w:pageBreakBefore w:val="0"/>
        <w:widowControl w:val="0"/>
        <w:kinsoku/>
        <w:wordWrap/>
        <w:overflowPunct/>
        <w:topLinePunct w:val="0"/>
        <w:autoSpaceDE/>
        <w:autoSpaceDN/>
        <w:bidi w:val="0"/>
        <w:adjustRightInd/>
        <w:snapToGrid/>
        <w:spacing w:line="560" w:lineRule="exact"/>
        <w:ind w:firstLine="596" w:firstLineChars="200"/>
        <w:textAlignment w:val="auto"/>
        <w:rPr>
          <w:rFonts w:hint="eastAsia" w:ascii="仿宋_GB2312" w:hAnsi="华文仿宋" w:eastAsia="仿宋_GB2312" w:cs="仿宋_GB2312"/>
          <w:spacing w:val="-11"/>
          <w:sz w:val="32"/>
          <w:szCs w:val="32"/>
          <w:lang w:eastAsia="zh-CN"/>
        </w:rPr>
      </w:pPr>
      <w:r>
        <w:rPr>
          <w:rFonts w:hint="eastAsia" w:ascii="仿宋_GB2312" w:hAnsi="华文仿宋" w:eastAsia="仿宋_GB2312" w:cs="仿宋_GB2312"/>
          <w:spacing w:val="-11"/>
          <w:sz w:val="32"/>
          <w:szCs w:val="32"/>
          <w:lang w:eastAsia="zh-CN"/>
        </w:rPr>
        <w:t>十、剑阁县人民政府国防动员办公室实行行政执法“三项制度”方案</w:t>
      </w:r>
    </w:p>
    <w:p w14:paraId="79DD96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十一、</w:t>
      </w:r>
      <w:r>
        <w:rPr>
          <w:rFonts w:hint="eastAsia" w:ascii="仿宋_GB2312" w:hAnsi="华文仿宋" w:eastAsia="仿宋_GB2312" w:cs="仿宋_GB2312"/>
          <w:spacing w:val="-11"/>
          <w:sz w:val="32"/>
          <w:szCs w:val="32"/>
          <w:lang w:eastAsia="zh-CN"/>
        </w:rPr>
        <w:t>剑阁县人民政府国防动员办公室</w:t>
      </w:r>
      <w:r>
        <w:rPr>
          <w:rFonts w:hint="eastAsia" w:ascii="仿宋_GB2312" w:hAnsi="华文仿宋" w:eastAsia="仿宋_GB2312" w:cs="仿宋_GB2312"/>
          <w:sz w:val="32"/>
          <w:szCs w:val="32"/>
          <w:lang w:eastAsia="zh-CN"/>
        </w:rPr>
        <w:t>分类检查事项目录</w:t>
      </w:r>
      <w:r>
        <w:rPr>
          <w:rFonts w:hint="eastAsia" w:ascii="仿宋_GB2312" w:hAnsi="华文仿宋" w:eastAsia="仿宋_GB2312" w:cs="仿宋_GB2312"/>
          <w:sz w:val="32"/>
          <w:szCs w:val="32"/>
        </w:rPr>
        <w:t>和不予、免予</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从轻、减轻、从重行政处罚清单</w:t>
      </w:r>
    </w:p>
    <w:p w14:paraId="3109C0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十二、</w:t>
      </w:r>
      <w:r>
        <w:rPr>
          <w:rFonts w:hint="eastAsia" w:ascii="仿宋_GB2312" w:hAnsi="华文仿宋" w:eastAsia="仿宋_GB2312" w:cs="仿宋_GB2312"/>
          <w:sz w:val="32"/>
          <w:szCs w:val="32"/>
          <w:lang w:eastAsia="zh-CN"/>
        </w:rPr>
        <w:t>剑阁县人民政府国防动员办公室</w:t>
      </w:r>
      <w:r>
        <w:rPr>
          <w:rFonts w:hint="eastAsia" w:ascii="仿宋_GB2312" w:hAnsi="华文仿宋" w:eastAsia="仿宋_GB2312" w:cs="仿宋_GB2312"/>
          <w:sz w:val="32"/>
          <w:szCs w:val="32"/>
          <w:lang w:val="en-US" w:eastAsia="zh-CN"/>
        </w:rPr>
        <w:t>行政执法事项目录</w:t>
      </w:r>
    </w:p>
    <w:p w14:paraId="50751226">
      <w:pPr>
        <w:keepNext w:val="0"/>
        <w:keepLines w:val="0"/>
        <w:pageBreakBefore w:val="0"/>
        <w:widowControl w:val="0"/>
        <w:kinsoku/>
        <w:wordWrap/>
        <w:overflowPunct/>
        <w:topLinePunct w:val="0"/>
        <w:autoSpaceDE/>
        <w:autoSpaceDN/>
        <w:bidi w:val="0"/>
        <w:adjustRightInd/>
        <w:snapToGrid/>
        <w:spacing w:line="560" w:lineRule="exact"/>
        <w:ind w:firstLine="883" w:firstLineChars="200"/>
        <w:textAlignment w:val="auto"/>
        <w:rPr>
          <w:rFonts w:hint="eastAsia" w:ascii="CESI小标宋-GB13000" w:hAnsi="CESI小标宋-GB13000" w:eastAsia="CESI小标宋-GB13000" w:cs="CESI小标宋-GB13000"/>
          <w:b/>
          <w:bCs/>
          <w:color w:val="C00000"/>
          <w:sz w:val="44"/>
          <w:szCs w:val="44"/>
          <w:lang w:eastAsia="zh-CN"/>
        </w:rPr>
      </w:pPr>
    </w:p>
    <w:p w14:paraId="43FA7AD0">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剑阁县人民政府国防动员办公室</w:t>
      </w:r>
    </w:p>
    <w:p w14:paraId="2FB5DE19">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14:paraId="19DEA0C9">
      <w:pPr>
        <w:keepNext w:val="0"/>
        <w:keepLines w:val="0"/>
        <w:pageBreakBefore w:val="0"/>
        <w:widowControl w:val="0"/>
        <w:kinsoku/>
        <w:wordWrap/>
        <w:overflowPunct/>
        <w:topLinePunct w:val="0"/>
        <w:autoSpaceDE/>
        <w:autoSpaceDN/>
        <w:bidi w:val="0"/>
        <w:adjustRightInd/>
        <w:snapToGrid/>
        <w:spacing w:line="576" w:lineRule="exact"/>
        <w:textAlignment w:val="auto"/>
        <w:rPr>
          <w:rFonts w:ascii="黑体" w:hAnsi="黑体" w:eastAsia="黑体" w:cs="Times New Roman"/>
          <w:sz w:val="32"/>
          <w:szCs w:val="32"/>
        </w:rPr>
      </w:pPr>
    </w:p>
    <w:p w14:paraId="2BB54215">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eastAsia="zh-CN"/>
        </w:rPr>
        <w:t>剑阁县人民政府国防动员办公室</w:t>
      </w:r>
      <w:r>
        <w:rPr>
          <w:rFonts w:hint="eastAsia" w:ascii="黑体" w:hAnsi="黑体" w:eastAsia="黑体" w:cs="黑体"/>
          <w:b w:val="0"/>
          <w:bCs w:val="0"/>
          <w:sz w:val="32"/>
          <w:szCs w:val="32"/>
        </w:rPr>
        <w:t>行政执法主体</w:t>
      </w:r>
    </w:p>
    <w:p w14:paraId="5FD9499D">
      <w:pPr>
        <w:pStyle w:val="20"/>
        <w:keepNext w:val="0"/>
        <w:keepLines w:val="0"/>
        <w:pageBreakBefore w:val="0"/>
        <w:widowControl w:val="0"/>
        <w:kinsoku/>
        <w:wordWrap/>
        <w:overflowPunct/>
        <w:topLinePunct w:val="0"/>
        <w:autoSpaceDE/>
        <w:bidi w:val="0"/>
        <w:adjustRightInd/>
        <w:snapToGrid/>
        <w:spacing w:line="576" w:lineRule="exact"/>
        <w:ind w:firstLine="640" w:firstLineChars="200"/>
        <w:jc w:val="both"/>
        <w:textAlignment w:val="auto"/>
        <w:rPr>
          <w:rFonts w:cs="Times New Roman"/>
        </w:rPr>
      </w:pPr>
      <w:r>
        <w:rPr>
          <w:rFonts w:hint="eastAsia" w:ascii="??_GB2312" w:hAnsi="??_GB2312" w:cs="宋体"/>
          <w:sz w:val="32"/>
          <w:szCs w:val="32"/>
        </w:rPr>
        <w:t>剑阁县经济信息化和科学技术局</w:t>
      </w:r>
    </w:p>
    <w:p w14:paraId="2E66E747">
      <w:pPr>
        <w:keepNext w:val="0"/>
        <w:keepLines w:val="0"/>
        <w:pageBreakBefore w:val="0"/>
        <w:widowControl w:val="0"/>
        <w:numPr>
          <w:ilvl w:val="0"/>
          <w:numId w:val="0"/>
        </w:numPr>
        <w:kinsoku/>
        <w:wordWrap/>
        <w:overflowPunct/>
        <w:topLinePunct w:val="0"/>
        <w:autoSpaceDE/>
        <w:bidi w:val="0"/>
        <w:adjustRightInd/>
        <w:snapToGrid/>
        <w:spacing w:line="576"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行政执法主体1个</w:t>
      </w:r>
    </w:p>
    <w:p w14:paraId="0E5BB143">
      <w:pPr>
        <w:keepNext w:val="0"/>
        <w:keepLines w:val="0"/>
        <w:pageBreakBefore w:val="0"/>
        <w:widowControl w:val="0"/>
        <w:numPr>
          <w:ilvl w:val="0"/>
          <w:numId w:val="0"/>
        </w:numPr>
        <w:kinsoku/>
        <w:wordWrap/>
        <w:overflowPunct/>
        <w:topLinePunct w:val="0"/>
        <w:autoSpaceDE/>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剑阁县人民政府国防动员办公室</w:t>
      </w:r>
      <w:r>
        <w:rPr>
          <w:rFonts w:hint="eastAsia" w:ascii="仿宋_GB2312" w:hAnsi="仿宋_GB2312" w:eastAsia="仿宋_GB2312" w:cs="仿宋_GB2312"/>
          <w:sz w:val="32"/>
          <w:szCs w:val="32"/>
        </w:rPr>
        <w:t xml:space="preserve">    </w:t>
      </w:r>
    </w:p>
    <w:p w14:paraId="3CE774CA">
      <w:pPr>
        <w:keepNext w:val="0"/>
        <w:keepLines w:val="0"/>
        <w:pageBreakBefore w:val="0"/>
        <w:widowControl w:val="0"/>
        <w:numPr>
          <w:ilvl w:val="0"/>
          <w:numId w:val="0"/>
        </w:numPr>
        <w:kinsoku/>
        <w:wordWrap/>
        <w:overflowPunct/>
        <w:topLinePunct w:val="0"/>
        <w:autoSpaceDE/>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四川省广元市剑阁县</w:t>
      </w:r>
      <w:r>
        <w:rPr>
          <w:rFonts w:hint="eastAsia" w:ascii="仿宋_GB2312" w:hAnsi="仿宋_GB2312" w:eastAsia="仿宋_GB2312" w:cs="仿宋_GB2312"/>
          <w:sz w:val="32"/>
          <w:szCs w:val="32"/>
          <w:lang w:eastAsia="zh-CN"/>
        </w:rPr>
        <w:t>剑门关大道北段</w:t>
      </w:r>
      <w:r>
        <w:rPr>
          <w:rFonts w:hint="eastAsia" w:ascii="仿宋_GB2312" w:hAnsi="仿宋_GB2312" w:eastAsia="仿宋_GB2312" w:cs="仿宋_GB2312"/>
          <w:sz w:val="32"/>
          <w:szCs w:val="32"/>
          <w:lang w:val="en-US" w:eastAsia="zh-CN"/>
        </w:rPr>
        <w:t>389号</w:t>
      </w:r>
      <w:r>
        <w:rPr>
          <w:rFonts w:hint="eastAsia" w:ascii="仿宋_GB2312" w:hAnsi="仿宋_GB2312" w:eastAsia="仿宋_GB2312" w:cs="仿宋_GB2312"/>
          <w:sz w:val="32"/>
          <w:szCs w:val="32"/>
        </w:rPr>
        <w:t xml:space="preserve">  </w:t>
      </w:r>
    </w:p>
    <w:p w14:paraId="3FA7E261">
      <w:pPr>
        <w:keepNext w:val="0"/>
        <w:keepLines w:val="0"/>
        <w:pageBreakBefore w:val="0"/>
        <w:widowControl w:val="0"/>
        <w:numPr>
          <w:ilvl w:val="0"/>
          <w:numId w:val="0"/>
        </w:numPr>
        <w:kinsoku/>
        <w:wordWrap/>
        <w:overflowPunct/>
        <w:topLinePunct w:val="0"/>
        <w:autoSpaceDE/>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628317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电话0839-6601613   </w:t>
      </w:r>
    </w:p>
    <w:p w14:paraId="7D9A2FB7">
      <w:pPr>
        <w:keepNext w:val="0"/>
        <w:keepLines w:val="0"/>
        <w:pageBreakBefore w:val="0"/>
        <w:widowControl w:val="0"/>
        <w:numPr>
          <w:ilvl w:val="0"/>
          <w:numId w:val="0"/>
        </w:numPr>
        <w:kinsoku/>
        <w:wordWrap/>
        <w:overflowPunct/>
        <w:topLinePunct w:val="0"/>
        <w:autoSpaceDE/>
        <w:bidi w:val="0"/>
        <w:adjustRightInd/>
        <w:snapToGrid/>
        <w:spacing w:line="576"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（二）行政执法机构设置</w:t>
      </w: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lang w:eastAsia="zh-CN"/>
        </w:rPr>
        <w:t>个</w:t>
      </w:r>
    </w:p>
    <w:p w14:paraId="570EC220">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eastAsia"/>
        </w:rPr>
      </w:pPr>
      <w:r>
        <w:rPr>
          <w:rFonts w:hint="eastAsia" w:ascii="仿宋_GB2312" w:hAnsi="仿宋_GB2312" w:eastAsia="仿宋_GB2312" w:cs="仿宋_GB2312"/>
          <w:sz w:val="32"/>
          <w:szCs w:val="32"/>
        </w:rPr>
        <w:t>行政执法股室：</w:t>
      </w:r>
      <w:r>
        <w:rPr>
          <w:rFonts w:hint="eastAsia" w:ascii="仿宋_GB2312" w:hAnsi="仿宋_GB2312" w:eastAsia="仿宋_GB2312" w:cs="仿宋_GB2312"/>
          <w:sz w:val="32"/>
          <w:szCs w:val="32"/>
          <w:lang w:eastAsia="zh-CN"/>
        </w:rPr>
        <w:t>国动</w:t>
      </w:r>
      <w:r>
        <w:rPr>
          <w:rFonts w:hint="eastAsia" w:ascii="仿宋_GB2312" w:hAnsi="仿宋_GB2312" w:eastAsia="仿宋_GB2312" w:cs="仿宋_GB2312"/>
          <w:sz w:val="32"/>
          <w:szCs w:val="32"/>
        </w:rPr>
        <w:t>股</w:t>
      </w:r>
    </w:p>
    <w:p w14:paraId="1DE55BEB">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责：编制全县人民防空工程建设总体规划；承担人民防空工程的维护管理工作；指导城市建设、基本建设和城市开发利用地下空间贯彻人民防空要求并对执行情况进行监督检查；负责人防工程建设、管理和开发利用，承办报废人防工程的审核手续；负责贯彻人防工程的战术技术标准；组织修建人民防空指挥工程、公用的人员掩蔽工程和疏散干道工程；会同有关部门抓好人防工程计划、设计、施工、质量、竣工验收等工作；负责人防工程专业技术人员的培训和科研成果的交流、推广、应用以及专用防护设备的技术管理；拟订平战结合的政策、规章；承办有关行政审批事项。</w:t>
      </w:r>
    </w:p>
    <w:p w14:paraId="57A36488">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default"/>
          <w:lang w:val="en-US"/>
        </w:rPr>
      </w:pPr>
      <w:r>
        <w:rPr>
          <w:rFonts w:hint="eastAsia" w:ascii="仿宋_GB2312" w:hAnsi="仿宋_GB2312" w:eastAsia="仿宋_GB2312" w:cs="仿宋_GB2312"/>
          <w:sz w:val="32"/>
          <w:szCs w:val="32"/>
          <w:lang w:eastAsia="zh-CN"/>
        </w:rPr>
        <w:t>股室负责人：刘敏</w:t>
      </w:r>
      <w:r>
        <w:rPr>
          <w:rFonts w:hint="eastAsia" w:ascii="仿宋_GB2312" w:hAnsi="仿宋_GB2312" w:eastAsia="仿宋_GB2312" w:cs="仿宋_GB2312"/>
          <w:sz w:val="32"/>
          <w:szCs w:val="32"/>
          <w:lang w:val="en-US" w:eastAsia="zh-CN"/>
        </w:rPr>
        <w:t xml:space="preserve">         联系电话：0839-6601613</w:t>
      </w:r>
    </w:p>
    <w:p w14:paraId="3150DDA2">
      <w:pPr>
        <w:keepNext w:val="0"/>
        <w:keepLines w:val="0"/>
        <w:pageBreakBefore w:val="0"/>
        <w:widowControl w:val="0"/>
        <w:kinsoku/>
        <w:wordWrap/>
        <w:overflowPunct/>
        <w:topLinePunct w:val="0"/>
        <w:autoSpaceDE/>
        <w:bidi w:val="0"/>
        <w:adjustRightInd/>
        <w:snapToGrid/>
        <w:spacing w:line="576" w:lineRule="exact"/>
        <w:ind w:firstLine="707" w:firstLineChars="221"/>
        <w:textAlignment w:val="auto"/>
        <w:rPr>
          <w:rFonts w:ascii="黑体" w:hAnsi="黑体" w:eastAsia="黑体" w:cs="Times New Roman"/>
          <w:sz w:val="32"/>
          <w:szCs w:val="32"/>
        </w:rPr>
      </w:pPr>
      <w:r>
        <w:rPr>
          <w:rFonts w:hint="eastAsia" w:ascii="黑体" w:hAnsi="黑体" w:eastAsia="黑体" w:cs="黑体"/>
          <w:sz w:val="32"/>
          <w:szCs w:val="32"/>
        </w:rPr>
        <w:t>二、</w:t>
      </w:r>
      <w:r>
        <w:rPr>
          <w:rFonts w:hint="eastAsia" w:ascii="黑体" w:hAnsi="黑体" w:eastAsia="黑体" w:cs="黑体"/>
          <w:sz w:val="32"/>
          <w:szCs w:val="32"/>
          <w:lang w:eastAsia="zh-CN"/>
        </w:rPr>
        <w:t>剑阁县人民政府国防动员办公室行</w:t>
      </w:r>
      <w:r>
        <w:rPr>
          <w:rFonts w:hint="eastAsia" w:ascii="黑体" w:hAnsi="黑体" w:eastAsia="黑体" w:cs="黑体"/>
          <w:sz w:val="32"/>
          <w:szCs w:val="32"/>
        </w:rPr>
        <w:t>政执法人员清单</w:t>
      </w:r>
    </w:p>
    <w:tbl>
      <w:tblPr>
        <w:tblStyle w:val="10"/>
        <w:tblpPr w:leftFromText="180" w:rightFromText="180" w:vertAnchor="text" w:horzAnchor="page" w:tblpX="1765" w:tblpY="356"/>
        <w:tblOverlap w:val="never"/>
        <w:tblW w:w="8638" w:type="dxa"/>
        <w:tblInd w:w="0" w:type="dxa"/>
        <w:tblLayout w:type="fixed"/>
        <w:tblCellMar>
          <w:top w:w="0" w:type="dxa"/>
          <w:left w:w="108" w:type="dxa"/>
          <w:bottom w:w="0" w:type="dxa"/>
          <w:right w:w="108" w:type="dxa"/>
        </w:tblCellMar>
      </w:tblPr>
      <w:tblGrid>
        <w:gridCol w:w="1752"/>
        <w:gridCol w:w="2643"/>
        <w:gridCol w:w="4243"/>
      </w:tblGrid>
      <w:tr w14:paraId="268EAEA5">
        <w:tblPrEx>
          <w:tblCellMar>
            <w:top w:w="0" w:type="dxa"/>
            <w:left w:w="108" w:type="dxa"/>
            <w:bottom w:w="0" w:type="dxa"/>
            <w:right w:w="108" w:type="dxa"/>
          </w:tblCellMar>
        </w:tblPrEx>
        <w:trPr>
          <w:trHeight w:val="402" w:hRule="atLeast"/>
          <w:tblHeader/>
        </w:trPr>
        <w:tc>
          <w:tcPr>
            <w:tcW w:w="1752" w:type="dxa"/>
            <w:tcBorders>
              <w:top w:val="single" w:color="auto" w:sz="4" w:space="0"/>
              <w:left w:val="single" w:color="auto" w:sz="4" w:space="0"/>
              <w:bottom w:val="single" w:color="auto" w:sz="4" w:space="0"/>
              <w:right w:val="single" w:color="auto" w:sz="4" w:space="0"/>
            </w:tcBorders>
            <w:vAlign w:val="center"/>
          </w:tcPr>
          <w:p w14:paraId="0B7BE513">
            <w:pPr>
              <w:keepNext w:val="0"/>
              <w:keepLines w:val="0"/>
              <w:pageBreakBefore w:val="0"/>
              <w:widowControl w:val="0"/>
              <w:kinsoku/>
              <w:wordWrap/>
              <w:overflowPunct/>
              <w:topLinePunct w:val="0"/>
              <w:autoSpaceDE/>
              <w:bidi w:val="0"/>
              <w:adjustRightInd/>
              <w:snapToGrid/>
              <w:spacing w:line="576"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序号</w:t>
            </w:r>
          </w:p>
        </w:tc>
        <w:tc>
          <w:tcPr>
            <w:tcW w:w="2643" w:type="dxa"/>
            <w:tcBorders>
              <w:top w:val="single" w:color="auto" w:sz="4" w:space="0"/>
              <w:left w:val="nil"/>
              <w:bottom w:val="single" w:color="auto" w:sz="4" w:space="0"/>
              <w:right w:val="single" w:color="auto" w:sz="4" w:space="0"/>
            </w:tcBorders>
            <w:vAlign w:val="center"/>
          </w:tcPr>
          <w:p w14:paraId="2FDFF11F">
            <w:pPr>
              <w:keepNext w:val="0"/>
              <w:keepLines w:val="0"/>
              <w:pageBreakBefore w:val="0"/>
              <w:widowControl w:val="0"/>
              <w:kinsoku/>
              <w:wordWrap/>
              <w:overflowPunct/>
              <w:topLinePunct w:val="0"/>
              <w:autoSpaceDE/>
              <w:bidi w:val="0"/>
              <w:adjustRightInd/>
              <w:snapToGrid/>
              <w:spacing w:line="576"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姓名</w:t>
            </w:r>
          </w:p>
        </w:tc>
        <w:tc>
          <w:tcPr>
            <w:tcW w:w="4243" w:type="dxa"/>
            <w:tcBorders>
              <w:top w:val="single" w:color="auto" w:sz="4" w:space="0"/>
              <w:left w:val="nil"/>
              <w:bottom w:val="single" w:color="auto" w:sz="4" w:space="0"/>
              <w:right w:val="single" w:color="auto" w:sz="4" w:space="0"/>
            </w:tcBorders>
            <w:vAlign w:val="center"/>
          </w:tcPr>
          <w:p w14:paraId="2E220380">
            <w:pPr>
              <w:keepNext w:val="0"/>
              <w:keepLines w:val="0"/>
              <w:pageBreakBefore w:val="0"/>
              <w:widowControl w:val="0"/>
              <w:kinsoku/>
              <w:wordWrap/>
              <w:overflowPunct/>
              <w:topLinePunct w:val="0"/>
              <w:autoSpaceDE/>
              <w:bidi w:val="0"/>
              <w:adjustRightInd/>
              <w:snapToGrid/>
              <w:spacing w:line="576"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证件编号</w:t>
            </w:r>
          </w:p>
        </w:tc>
      </w:tr>
      <w:tr w14:paraId="78F7C874">
        <w:tblPrEx>
          <w:tblCellMar>
            <w:top w:w="0" w:type="dxa"/>
            <w:left w:w="108" w:type="dxa"/>
            <w:bottom w:w="0" w:type="dxa"/>
            <w:right w:w="108" w:type="dxa"/>
          </w:tblCellMar>
        </w:tblPrEx>
        <w:trPr>
          <w:trHeight w:val="402" w:hRule="atLeast"/>
        </w:trPr>
        <w:tc>
          <w:tcPr>
            <w:tcW w:w="1752" w:type="dxa"/>
            <w:tcBorders>
              <w:top w:val="single" w:color="auto" w:sz="4" w:space="0"/>
              <w:left w:val="single" w:color="auto" w:sz="4" w:space="0"/>
              <w:bottom w:val="single" w:color="auto" w:sz="4" w:space="0"/>
              <w:right w:val="single" w:color="auto" w:sz="4" w:space="0"/>
            </w:tcBorders>
            <w:vAlign w:val="center"/>
          </w:tcPr>
          <w:p w14:paraId="37CB938A">
            <w:pPr>
              <w:keepNext w:val="0"/>
              <w:keepLines w:val="0"/>
              <w:pageBreakBefore w:val="0"/>
              <w:widowControl w:val="0"/>
              <w:kinsoku/>
              <w:wordWrap/>
              <w:overflowPunct/>
              <w:topLinePunct w:val="0"/>
              <w:autoSpaceDE/>
              <w:bidi w:val="0"/>
              <w:adjustRightInd/>
              <w:snapToGrid/>
              <w:spacing w:line="576" w:lineRule="exact"/>
              <w:jc w:val="center"/>
              <w:textAlignment w:val="auto"/>
              <w:rPr>
                <w:rFonts w:hint="eastAsia" w:ascii="宋体" w:hAnsi="宋体" w:eastAsia="宋体" w:cs="宋体"/>
                <w:sz w:val="32"/>
                <w:szCs w:val="32"/>
              </w:rPr>
            </w:pPr>
            <w:r>
              <w:rPr>
                <w:rFonts w:hint="eastAsia" w:ascii="宋体" w:hAnsi="宋体" w:eastAsia="宋体" w:cs="宋体"/>
                <w:sz w:val="32"/>
                <w:szCs w:val="32"/>
              </w:rPr>
              <w:t>1</w:t>
            </w:r>
          </w:p>
        </w:tc>
        <w:tc>
          <w:tcPr>
            <w:tcW w:w="2643" w:type="dxa"/>
            <w:tcBorders>
              <w:top w:val="single" w:color="auto" w:sz="4" w:space="0"/>
              <w:left w:val="nil"/>
              <w:bottom w:val="single" w:color="auto" w:sz="4" w:space="0"/>
              <w:right w:val="single" w:color="auto" w:sz="4" w:space="0"/>
            </w:tcBorders>
            <w:vAlign w:val="center"/>
          </w:tcPr>
          <w:p w14:paraId="3F151A33">
            <w:pPr>
              <w:keepNext w:val="0"/>
              <w:keepLines w:val="0"/>
              <w:pageBreakBefore w:val="0"/>
              <w:widowControl w:val="0"/>
              <w:kinsoku/>
              <w:wordWrap/>
              <w:overflowPunct/>
              <w:topLinePunct w:val="0"/>
              <w:autoSpaceDE/>
              <w:bidi w:val="0"/>
              <w:adjustRightInd/>
              <w:snapToGrid/>
              <w:spacing w:line="576" w:lineRule="exact"/>
              <w:jc w:val="center"/>
              <w:textAlignment w:val="auto"/>
              <w:rPr>
                <w:rFonts w:hint="eastAsia" w:ascii="宋体" w:hAnsi="宋体" w:eastAsia="宋体" w:cs="宋体"/>
                <w:sz w:val="32"/>
                <w:szCs w:val="32"/>
              </w:rPr>
            </w:pPr>
            <w:r>
              <w:rPr>
                <w:rFonts w:hint="eastAsia" w:ascii="宋体" w:hAnsi="宋体" w:eastAsia="宋体" w:cs="宋体"/>
                <w:sz w:val="32"/>
                <w:szCs w:val="32"/>
              </w:rPr>
              <w:t>祁学强</w:t>
            </w:r>
          </w:p>
        </w:tc>
        <w:tc>
          <w:tcPr>
            <w:tcW w:w="4243" w:type="dxa"/>
            <w:tcBorders>
              <w:top w:val="single" w:color="auto" w:sz="4" w:space="0"/>
              <w:left w:val="nil"/>
              <w:bottom w:val="single" w:color="auto" w:sz="4" w:space="0"/>
              <w:right w:val="single" w:color="auto" w:sz="4" w:space="0"/>
            </w:tcBorders>
            <w:vAlign w:val="center"/>
          </w:tcPr>
          <w:p w14:paraId="2F36A6AD">
            <w:pPr>
              <w:keepNext w:val="0"/>
              <w:keepLines w:val="0"/>
              <w:pageBreakBefore w:val="0"/>
              <w:widowControl w:val="0"/>
              <w:kinsoku/>
              <w:wordWrap/>
              <w:overflowPunct/>
              <w:topLinePunct w:val="0"/>
              <w:autoSpaceDE/>
              <w:bidi w:val="0"/>
              <w:adjustRightInd/>
              <w:snapToGrid/>
              <w:spacing w:line="576" w:lineRule="exact"/>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23070380022</w:t>
            </w:r>
          </w:p>
        </w:tc>
      </w:tr>
      <w:tr w14:paraId="0359E9FD">
        <w:tblPrEx>
          <w:tblCellMar>
            <w:top w:w="0" w:type="dxa"/>
            <w:left w:w="108" w:type="dxa"/>
            <w:bottom w:w="0" w:type="dxa"/>
            <w:right w:w="108" w:type="dxa"/>
          </w:tblCellMar>
        </w:tblPrEx>
        <w:trPr>
          <w:trHeight w:val="402" w:hRule="atLeast"/>
        </w:trPr>
        <w:tc>
          <w:tcPr>
            <w:tcW w:w="1752" w:type="dxa"/>
            <w:tcBorders>
              <w:top w:val="single" w:color="auto" w:sz="4" w:space="0"/>
              <w:left w:val="single" w:color="auto" w:sz="4" w:space="0"/>
              <w:bottom w:val="single" w:color="auto" w:sz="4" w:space="0"/>
              <w:right w:val="single" w:color="auto" w:sz="4" w:space="0"/>
            </w:tcBorders>
            <w:vAlign w:val="center"/>
          </w:tcPr>
          <w:p w14:paraId="5AFA40D8">
            <w:pPr>
              <w:keepNext w:val="0"/>
              <w:keepLines w:val="0"/>
              <w:pageBreakBefore w:val="0"/>
              <w:widowControl w:val="0"/>
              <w:kinsoku/>
              <w:wordWrap/>
              <w:overflowPunct/>
              <w:topLinePunct w:val="0"/>
              <w:autoSpaceDE/>
              <w:bidi w:val="0"/>
              <w:adjustRightInd/>
              <w:snapToGrid/>
              <w:spacing w:line="576" w:lineRule="exact"/>
              <w:jc w:val="center"/>
              <w:textAlignment w:val="auto"/>
              <w:rPr>
                <w:rFonts w:hint="eastAsia" w:ascii="宋体" w:hAnsi="宋体" w:eastAsia="宋体" w:cs="宋体"/>
                <w:sz w:val="32"/>
                <w:szCs w:val="32"/>
              </w:rPr>
            </w:pPr>
            <w:r>
              <w:rPr>
                <w:rFonts w:hint="eastAsia" w:ascii="宋体" w:hAnsi="宋体" w:eastAsia="宋体" w:cs="宋体"/>
                <w:sz w:val="32"/>
                <w:szCs w:val="32"/>
              </w:rPr>
              <w:t>2</w:t>
            </w:r>
          </w:p>
        </w:tc>
        <w:tc>
          <w:tcPr>
            <w:tcW w:w="2643" w:type="dxa"/>
            <w:tcBorders>
              <w:top w:val="single" w:color="auto" w:sz="4" w:space="0"/>
              <w:left w:val="nil"/>
              <w:bottom w:val="single" w:color="auto" w:sz="4" w:space="0"/>
              <w:right w:val="single" w:color="auto" w:sz="4" w:space="0"/>
            </w:tcBorders>
            <w:vAlign w:val="center"/>
          </w:tcPr>
          <w:p w14:paraId="1C1FC136">
            <w:pPr>
              <w:keepNext w:val="0"/>
              <w:keepLines w:val="0"/>
              <w:pageBreakBefore w:val="0"/>
              <w:widowControl w:val="0"/>
              <w:kinsoku/>
              <w:wordWrap/>
              <w:overflowPunct/>
              <w:topLinePunct w:val="0"/>
              <w:autoSpaceDE/>
              <w:bidi w:val="0"/>
              <w:adjustRightInd/>
              <w:snapToGrid/>
              <w:spacing w:line="576" w:lineRule="exact"/>
              <w:jc w:val="center"/>
              <w:textAlignment w:val="auto"/>
              <w:rPr>
                <w:rFonts w:hint="eastAsia" w:ascii="宋体" w:hAnsi="宋体" w:eastAsia="宋体" w:cs="宋体"/>
                <w:sz w:val="32"/>
                <w:szCs w:val="32"/>
                <w:lang w:eastAsia="zh-CN"/>
              </w:rPr>
            </w:pPr>
            <w:r>
              <w:rPr>
                <w:rFonts w:hint="eastAsia" w:ascii="宋体" w:hAnsi="宋体" w:eastAsia="宋体" w:cs="宋体"/>
                <w:sz w:val="32"/>
                <w:szCs w:val="32"/>
                <w:lang w:eastAsia="zh-CN"/>
              </w:rPr>
              <w:t>侯玉强</w:t>
            </w:r>
          </w:p>
        </w:tc>
        <w:tc>
          <w:tcPr>
            <w:tcW w:w="4243" w:type="dxa"/>
            <w:tcBorders>
              <w:top w:val="single" w:color="auto" w:sz="4" w:space="0"/>
              <w:left w:val="nil"/>
              <w:bottom w:val="single" w:color="auto" w:sz="4" w:space="0"/>
              <w:right w:val="single" w:color="auto" w:sz="4" w:space="0"/>
            </w:tcBorders>
            <w:vAlign w:val="center"/>
          </w:tcPr>
          <w:p w14:paraId="565A56E0">
            <w:pPr>
              <w:keepNext w:val="0"/>
              <w:keepLines w:val="0"/>
              <w:pageBreakBefore w:val="0"/>
              <w:widowControl w:val="0"/>
              <w:kinsoku/>
              <w:wordWrap/>
              <w:overflowPunct/>
              <w:topLinePunct w:val="0"/>
              <w:autoSpaceDE/>
              <w:bidi w:val="0"/>
              <w:adjustRightInd/>
              <w:snapToGrid/>
              <w:spacing w:line="576" w:lineRule="exact"/>
              <w:jc w:val="center"/>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23070380025</w:t>
            </w:r>
          </w:p>
        </w:tc>
      </w:tr>
    </w:tbl>
    <w:p w14:paraId="0370A921">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三、</w:t>
      </w:r>
      <w:r>
        <w:rPr>
          <w:rFonts w:hint="eastAsia" w:ascii="黑体" w:hAnsi="黑体" w:eastAsia="黑体" w:cs="黑体"/>
          <w:sz w:val="32"/>
          <w:szCs w:val="32"/>
          <w:lang w:eastAsia="zh-CN"/>
        </w:rPr>
        <w:t>剑阁县人民政府国防动员办公室</w:t>
      </w:r>
      <w:r>
        <w:rPr>
          <w:rFonts w:hint="eastAsia" w:ascii="黑体" w:hAnsi="黑体" w:eastAsia="黑体" w:cs="黑体"/>
          <w:sz w:val="32"/>
          <w:szCs w:val="32"/>
        </w:rPr>
        <w:t>行政执法权力、责任清单</w:t>
      </w:r>
    </w:p>
    <w:p w14:paraId="0DDAA7E5">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四川政务服务网、剑阁县人民政府网 </w:t>
      </w:r>
    </w:p>
    <w:p w14:paraId="30549BD8">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default" w:ascii="仿宋_GB2312" w:hAnsi="仿宋_GB2312" w:eastAsia="仿宋_GB2312" w:cs="仿宋_GB2312"/>
          <w:sz w:val="32"/>
          <w:szCs w:val="32"/>
          <w:lang w:val="en"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"http://gysjgx.sczwfw.gov.cn/app/qixianShop/11100?areaId=1985&amp;areaCode=510823000000"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"http://www.cnjg.gov.cn/"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http://www.cnjg.gov.cn</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 w:eastAsia="zh-CN"/>
        </w:rPr>
        <w:t>new/detail/202</w:t>
      </w:r>
      <w:r>
        <w:rPr>
          <w:rFonts w:hint="eastAsia" w:ascii="仿宋_GB2312" w:hAnsi="仿宋_GB2312" w:eastAsia="仿宋_GB2312" w:cs="仿宋_GB2312"/>
          <w:sz w:val="32"/>
          <w:szCs w:val="32"/>
          <w:lang w:val="en-US" w:eastAsia="zh-CN"/>
        </w:rPr>
        <w:t>30303111510267</w:t>
      </w:r>
      <w:r>
        <w:rPr>
          <w:rFonts w:hint="default" w:ascii="仿宋_GB2312" w:hAnsi="仿宋_GB2312" w:eastAsia="仿宋_GB2312" w:cs="仿宋_GB2312"/>
          <w:sz w:val="32"/>
          <w:szCs w:val="32"/>
          <w:lang w:val="en" w:eastAsia="zh-CN"/>
        </w:rPr>
        <w:t>.html</w:t>
      </w:r>
    </w:p>
    <w:p w14:paraId="28DAC74C">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rPr>
        <w:fldChar w:fldCharType="end"/>
      </w:r>
      <w:r>
        <w:rPr>
          <w:rFonts w:hint="default"/>
          <w:lang w:val="en"/>
        </w:rPr>
        <w:t xml:space="preserve"> </w:t>
      </w:r>
      <w:r>
        <w:rPr>
          <w:rFonts w:hint="eastAsia" w:ascii="黑体" w:hAnsi="黑体" w:eastAsia="黑体" w:cs="黑体"/>
          <w:sz w:val="32"/>
          <w:szCs w:val="32"/>
        </w:rPr>
        <w:t>四、</w:t>
      </w:r>
      <w:r>
        <w:rPr>
          <w:rFonts w:hint="eastAsia" w:ascii="黑体" w:hAnsi="黑体" w:eastAsia="黑体" w:cs="黑体"/>
          <w:sz w:val="32"/>
          <w:szCs w:val="32"/>
          <w:lang w:eastAsia="zh-CN"/>
        </w:rPr>
        <w:t>剑阁县人民政府国防动员办公室</w:t>
      </w:r>
      <w:r>
        <w:rPr>
          <w:rFonts w:hint="eastAsia" w:ascii="黑体" w:hAnsi="黑体" w:eastAsia="黑体" w:cs="黑体"/>
          <w:sz w:val="32"/>
          <w:szCs w:val="32"/>
        </w:rPr>
        <w:t>重大行政执法责任清单（共2项）</w:t>
      </w:r>
    </w:p>
    <w:p w14:paraId="088BAAD4">
      <w:pPr>
        <w:keepNext w:val="0"/>
        <w:keepLines w:val="0"/>
        <w:pageBreakBefore w:val="0"/>
        <w:widowControl w:val="0"/>
        <w:kinsoku/>
        <w:wordWrap/>
        <w:overflowPunct/>
        <w:topLinePunct w:val="0"/>
        <w:autoSpaceDE/>
        <w:bidi w:val="0"/>
        <w:adjustRightInd/>
        <w:snapToGrid/>
        <w:spacing w:line="576"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重大行政许可</w:t>
      </w:r>
    </w:p>
    <w:p w14:paraId="50FCC948">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应建防空地下室的民用建筑项目报建</w:t>
      </w:r>
      <w:r>
        <w:rPr>
          <w:rFonts w:hint="eastAsia" w:ascii="仿宋_GB2312" w:eastAsia="仿宋_GB2312"/>
          <w:sz w:val="32"/>
          <w:szCs w:val="32"/>
          <w:lang w:eastAsia="zh-CN"/>
        </w:rPr>
        <w:t>审批</w:t>
      </w:r>
      <w:r>
        <w:rPr>
          <w:rFonts w:hint="eastAsia" w:ascii="仿宋_GB2312" w:eastAsia="仿宋_GB2312"/>
          <w:sz w:val="32"/>
          <w:szCs w:val="32"/>
        </w:rPr>
        <w:t>；</w:t>
      </w:r>
    </w:p>
    <w:p w14:paraId="2C790B29">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拆除人</w:t>
      </w:r>
      <w:r>
        <w:rPr>
          <w:rFonts w:hint="eastAsia" w:ascii="仿宋_GB2312" w:eastAsia="仿宋_GB2312"/>
          <w:sz w:val="32"/>
          <w:szCs w:val="32"/>
          <w:lang w:eastAsia="zh-CN"/>
        </w:rPr>
        <w:t>民</w:t>
      </w:r>
      <w:r>
        <w:rPr>
          <w:rFonts w:hint="eastAsia" w:ascii="仿宋_GB2312" w:eastAsia="仿宋_GB2312"/>
          <w:sz w:val="32"/>
          <w:szCs w:val="32"/>
        </w:rPr>
        <w:t>防</w:t>
      </w:r>
      <w:r>
        <w:rPr>
          <w:rFonts w:hint="eastAsia" w:ascii="仿宋_GB2312" w:eastAsia="仿宋_GB2312"/>
          <w:sz w:val="32"/>
          <w:szCs w:val="32"/>
          <w:lang w:eastAsia="zh-CN"/>
        </w:rPr>
        <w:t>空</w:t>
      </w:r>
      <w:r>
        <w:rPr>
          <w:rFonts w:hint="eastAsia" w:ascii="仿宋_GB2312" w:eastAsia="仿宋_GB2312"/>
          <w:sz w:val="32"/>
          <w:szCs w:val="32"/>
        </w:rPr>
        <w:t>工程</w:t>
      </w:r>
      <w:r>
        <w:rPr>
          <w:rFonts w:hint="eastAsia" w:ascii="仿宋_GB2312" w:eastAsia="仿宋_GB2312"/>
          <w:sz w:val="32"/>
          <w:szCs w:val="32"/>
          <w:lang w:eastAsia="zh-CN"/>
        </w:rPr>
        <w:t>审批</w:t>
      </w:r>
      <w:r>
        <w:rPr>
          <w:rFonts w:hint="eastAsia" w:ascii="仿宋_GB2312" w:eastAsia="仿宋_GB2312"/>
          <w:sz w:val="32"/>
          <w:szCs w:val="32"/>
        </w:rPr>
        <w:t>；</w:t>
      </w:r>
    </w:p>
    <w:p w14:paraId="6397DAF5">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法律法规规章和规范性文件规定以及行政机关认定的其他重大行政许可事项。</w:t>
      </w:r>
    </w:p>
    <w:p w14:paraId="01BC92C1">
      <w:pPr>
        <w:keepNext w:val="0"/>
        <w:keepLines w:val="0"/>
        <w:pageBreakBefore w:val="0"/>
        <w:widowControl w:val="0"/>
        <w:kinsoku/>
        <w:wordWrap/>
        <w:overflowPunct/>
        <w:topLinePunct w:val="0"/>
        <w:autoSpaceDE/>
        <w:bidi w:val="0"/>
        <w:adjustRightInd/>
        <w:snapToGrid/>
        <w:spacing w:line="576"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重大行政处罚</w:t>
      </w:r>
    </w:p>
    <w:p w14:paraId="7E85E6BB">
      <w:pPr>
        <w:keepNext w:val="0"/>
        <w:keepLines w:val="0"/>
        <w:pageBreakBefore w:val="0"/>
        <w:widowControl w:val="0"/>
        <w:kinsoku/>
        <w:wordWrap/>
        <w:overflowPunct/>
        <w:topLinePunct w:val="0"/>
        <w:autoSpaceDE/>
        <w:autoSpaceDN w:val="0"/>
        <w:bidi w:val="0"/>
        <w:adjustRightInd/>
        <w:snapToGrid/>
        <w:spacing w:line="576"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对城市新建民用建筑不修建防空地下室的处罚；</w:t>
      </w:r>
    </w:p>
    <w:p w14:paraId="10FAAE72">
      <w:pPr>
        <w:keepNext w:val="0"/>
        <w:keepLines w:val="0"/>
        <w:pageBreakBefore w:val="0"/>
        <w:widowControl w:val="0"/>
        <w:kinsoku/>
        <w:wordWrap/>
        <w:overflowPunct/>
        <w:topLinePunct w:val="0"/>
        <w:autoSpaceDE/>
        <w:autoSpaceDN w:val="0"/>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ascii="仿宋_GB2312" w:eastAsia="仿宋_GB2312"/>
          <w:bCs/>
          <w:sz w:val="32"/>
          <w:szCs w:val="32"/>
        </w:rPr>
        <w:t>对危害人民防空安全行为的处罚</w:t>
      </w:r>
      <w:r>
        <w:rPr>
          <w:rFonts w:hint="eastAsia" w:ascii="仿宋_GB2312" w:eastAsia="仿宋_GB2312"/>
          <w:sz w:val="32"/>
          <w:szCs w:val="32"/>
        </w:rPr>
        <w:t>。</w:t>
      </w:r>
    </w:p>
    <w:p w14:paraId="2F17BB55">
      <w:pPr>
        <w:keepNext w:val="0"/>
        <w:keepLines w:val="0"/>
        <w:pageBreakBefore w:val="0"/>
        <w:widowControl w:val="0"/>
        <w:kinsoku/>
        <w:wordWrap/>
        <w:overflowPunct/>
        <w:topLinePunct w:val="0"/>
        <w:autoSpaceDE/>
        <w:autoSpaceDN w:val="0"/>
        <w:bidi w:val="0"/>
        <w:adjustRightInd/>
        <w:snapToGrid/>
        <w:spacing w:line="576"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五、</w:t>
      </w:r>
      <w:r>
        <w:rPr>
          <w:rFonts w:hint="eastAsia" w:ascii="黑体" w:hAnsi="黑体" w:eastAsia="黑体" w:cs="黑体"/>
          <w:sz w:val="32"/>
          <w:szCs w:val="32"/>
          <w:lang w:eastAsia="zh-CN"/>
        </w:rPr>
        <w:t>剑阁县人民政府国防动员办公室</w:t>
      </w:r>
      <w:r>
        <w:rPr>
          <w:rFonts w:hint="eastAsia" w:ascii="黑体" w:hAnsi="黑体" w:eastAsia="黑体" w:cs="黑体"/>
          <w:sz w:val="32"/>
          <w:szCs w:val="32"/>
        </w:rPr>
        <w:t>行政执法（监督信息）救济渠道、行政执法责任制</w:t>
      </w:r>
    </w:p>
    <w:p w14:paraId="79B157B2">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（一）当事人依法享有的权利、救济途径、方式</w:t>
      </w:r>
    </w:p>
    <w:p w14:paraId="4774BF07">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1.依法享有的权利</w:t>
      </w:r>
    </w:p>
    <w:p w14:paraId="0E49BB84">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当事人依法享有申请回避、陈述、申辩、复议、诉讼等权利，详见相应法律法规。</w:t>
      </w:r>
    </w:p>
    <w:p w14:paraId="4995E195">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2.救济途径</w:t>
      </w:r>
    </w:p>
    <w:p w14:paraId="78899855">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（1）行政复议</w:t>
      </w:r>
    </w:p>
    <w:p w14:paraId="38F466D0">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属地复议机关：剑阁县人民政府</w:t>
      </w:r>
    </w:p>
    <w:p w14:paraId="196A9F38">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复议办案机关：剑阁县司法局</w:t>
      </w:r>
    </w:p>
    <w:p w14:paraId="005E301C">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复议承办股室：行政复议与应诉股</w:t>
      </w:r>
    </w:p>
    <w:p w14:paraId="6CD0BCE4">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地址：剑阁县下寺镇隆庆街2号（剑阁县司法局二楼）</w:t>
      </w:r>
    </w:p>
    <w:p w14:paraId="726638DC">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联系电话：0839-5208080</w:t>
      </w:r>
    </w:p>
    <w:p w14:paraId="7B114573">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（2）行政诉讼</w:t>
      </w:r>
    </w:p>
    <w:p w14:paraId="3315DC13">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部门名称：剑阁县人民法院</w:t>
      </w:r>
    </w:p>
    <w:p w14:paraId="501A84C8">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地址：剑阁县下寺镇剑门关大道北段502号</w:t>
      </w:r>
    </w:p>
    <w:p w14:paraId="50CD517E">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联系电话：0839-5208429</w:t>
      </w:r>
    </w:p>
    <w:p w14:paraId="751A4971">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（二）对行政执法的监督投诉举报的方式、途径</w:t>
      </w:r>
    </w:p>
    <w:p w14:paraId="52655716">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 w:hAnsi="仿宋" w:eastAsia="仿宋" w:cs="仿宋"/>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.县级监督部门：剑阁县司法局</w:t>
      </w:r>
    </w:p>
    <w:p w14:paraId="02F651AB">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承办股室：行政执法协调监督股</w:t>
      </w:r>
    </w:p>
    <w:p w14:paraId="26EF95F4">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14:paraId="4813109C">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投诉电话：0839-5208080</w:t>
      </w:r>
    </w:p>
    <w:p w14:paraId="36ECFB34">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2.部门：剑阁县人民政府国防动员办公室</w:t>
      </w:r>
    </w:p>
    <w:p w14:paraId="69580466">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地址：剑阁县下寺镇剑门关大道497号                           </w:t>
      </w:r>
    </w:p>
    <w:p w14:paraId="48920399">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default" w:ascii="仿宋_GB2312" w:hAnsi="仿宋_GB2312" w:eastAsia="仿宋_GB2312" w:cs="仿宋_GB2312"/>
          <w:color w:val="C00000"/>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电话：083</w:t>
      </w:r>
      <w:r>
        <w:rPr>
          <w:rFonts w:hint="eastAsia" w:ascii="仿宋_GB2312" w:hAnsi="仿宋_GB2312" w:eastAsia="仿宋_GB2312" w:cs="仿宋_GB2312"/>
          <w:kern w:val="2"/>
          <w:sz w:val="32"/>
          <w:szCs w:val="32"/>
          <w:lang w:val="en-US" w:eastAsia="zh-CN" w:bidi="ar-SA"/>
        </w:rPr>
        <w:t>9-6601613</w:t>
      </w:r>
    </w:p>
    <w:p w14:paraId="01744461">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（三）行政执法责任制</w:t>
      </w:r>
    </w:p>
    <w:p w14:paraId="2E333E6E">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2005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37号）</w:t>
      </w:r>
      <w:r>
        <w:rPr>
          <w:rFonts w:hint="eastAsia" w:ascii="仿宋_GB2312" w:hAnsi="仿宋_GB2312" w:eastAsia="仿宋_GB2312" w:cs="仿宋_GB2312"/>
          <w:sz w:val="32"/>
          <w:szCs w:val="32"/>
          <w:lang w:eastAsia="zh-CN"/>
        </w:rPr>
        <w:t>、</w:t>
      </w:r>
      <w:bookmarkStart w:id="0" w:name="_GoBack"/>
      <w:bookmarkEnd w:id="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四川省行政执法监督条例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行政机关公务员处分条例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事业单位工作人员处分规定</w:t>
      </w:r>
      <w:r>
        <w:rPr>
          <w:rFonts w:hint="eastAsia" w:ascii="仿宋_GB2312" w:hAnsi="仿宋_GB2312" w:eastAsia="仿宋_GB2312" w:cs="仿宋_GB2312"/>
          <w:sz w:val="32"/>
          <w:szCs w:val="32"/>
          <w:lang w:eastAsia="zh-CN"/>
        </w:rPr>
        <w:t>》。</w:t>
      </w:r>
    </w:p>
    <w:p w14:paraId="5C57F8E2">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六、</w:t>
      </w:r>
      <w:r>
        <w:rPr>
          <w:rFonts w:hint="eastAsia" w:ascii="黑体" w:hAnsi="黑体" w:eastAsia="黑体" w:cs="黑体"/>
          <w:sz w:val="32"/>
          <w:szCs w:val="32"/>
          <w:lang w:eastAsia="zh-CN"/>
        </w:rPr>
        <w:t>剑阁县人民政府国防动员办公室</w:t>
      </w:r>
      <w:r>
        <w:rPr>
          <w:rFonts w:hint="eastAsia" w:ascii="黑体" w:hAnsi="黑体" w:eastAsia="黑体" w:cs="黑体"/>
          <w:sz w:val="32"/>
          <w:szCs w:val="32"/>
        </w:rPr>
        <w:t>行政执法裁量</w:t>
      </w:r>
      <w:r>
        <w:rPr>
          <w:rFonts w:hint="eastAsia" w:ascii="黑体" w:hAnsi="黑体" w:eastAsia="黑体" w:cs="黑体"/>
          <w:sz w:val="32"/>
          <w:szCs w:val="32"/>
          <w:lang w:eastAsia="zh-CN"/>
        </w:rPr>
        <w:t>权</w:t>
      </w:r>
      <w:r>
        <w:rPr>
          <w:rFonts w:hint="eastAsia" w:ascii="黑体" w:hAnsi="黑体" w:eastAsia="黑体" w:cs="黑体"/>
          <w:sz w:val="32"/>
          <w:szCs w:val="32"/>
        </w:rPr>
        <w:t>标准</w:t>
      </w:r>
    </w:p>
    <w:p w14:paraId="5D01664D">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四川省人民防空行政处罚自由裁量权的实施标准</w:t>
      </w:r>
      <w:r>
        <w:rPr>
          <w:rFonts w:hint="eastAsia" w:ascii="仿宋_GB2312" w:hAnsi="仿宋_GB2312" w:eastAsia="仿宋_GB2312" w:cs="仿宋_GB2312"/>
          <w:sz w:val="32"/>
          <w:szCs w:val="32"/>
          <w:lang w:eastAsia="zh-CN"/>
        </w:rPr>
        <w:t>》四川省人民防空办公室公布（</w:t>
      </w:r>
      <w:r>
        <w:rPr>
          <w:rFonts w:hint="eastAsia" w:ascii="仿宋_GB2312" w:hAnsi="仿宋_GB2312" w:eastAsia="仿宋_GB2312" w:cs="仿宋_GB2312"/>
          <w:sz w:val="32"/>
          <w:szCs w:val="32"/>
          <w:lang w:val="en-US" w:eastAsia="zh-CN"/>
        </w:rPr>
        <w:t>2014年12月</w:t>
      </w:r>
      <w:r>
        <w:rPr>
          <w:rFonts w:hint="eastAsia" w:ascii="仿宋_GB2312" w:hAnsi="仿宋_GB2312" w:eastAsia="仿宋_GB2312" w:cs="仿宋_GB2312"/>
          <w:sz w:val="32"/>
          <w:szCs w:val="32"/>
          <w:lang w:eastAsia="zh-CN"/>
        </w:rPr>
        <w:t>）。</w:t>
      </w:r>
    </w:p>
    <w:p w14:paraId="0E2C7CC6">
      <w:pPr>
        <w:keepNext w:val="0"/>
        <w:keepLines w:val="0"/>
        <w:pageBreakBefore w:val="0"/>
        <w:widowControl w:val="0"/>
        <w:kinsoku/>
        <w:wordWrap/>
        <w:overflowPunct/>
        <w:topLinePunct w:val="0"/>
        <w:autoSpaceDE/>
        <w:bidi w:val="0"/>
        <w:adjustRightInd/>
        <w:snapToGrid/>
        <w:spacing w:line="576" w:lineRule="exact"/>
        <w:ind w:firstLine="566" w:firstLineChars="177"/>
        <w:textAlignment w:val="auto"/>
        <w:rPr>
          <w:rFonts w:ascii="黑体" w:hAnsi="黑体" w:eastAsia="黑体" w:cs="Times New Roman"/>
          <w:b w:val="0"/>
          <w:bCs w:val="0"/>
          <w:sz w:val="32"/>
          <w:szCs w:val="32"/>
        </w:rPr>
      </w:pPr>
      <w:r>
        <w:rPr>
          <w:rFonts w:hint="eastAsia" w:ascii="黑体" w:hAnsi="黑体" w:eastAsia="黑体" w:cs="黑体"/>
          <w:b w:val="0"/>
          <w:bCs w:val="0"/>
          <w:sz w:val="32"/>
          <w:szCs w:val="32"/>
        </w:rPr>
        <w:t>七、</w:t>
      </w:r>
      <w:r>
        <w:rPr>
          <w:rFonts w:hint="eastAsia" w:ascii="黑体" w:hAnsi="黑体" w:eastAsia="黑体" w:cs="黑体"/>
          <w:b w:val="0"/>
          <w:bCs w:val="0"/>
          <w:sz w:val="32"/>
          <w:szCs w:val="32"/>
          <w:lang w:eastAsia="zh-CN"/>
        </w:rPr>
        <w:t>剑阁县人民政府国防动员办公室</w:t>
      </w:r>
      <w:r>
        <w:rPr>
          <w:rFonts w:hint="eastAsia" w:ascii="黑体" w:hAnsi="黑体" w:eastAsia="黑体" w:cs="黑体"/>
          <w:b w:val="0"/>
          <w:bCs w:val="0"/>
          <w:sz w:val="32"/>
          <w:szCs w:val="32"/>
        </w:rPr>
        <w:t>随机抽查事项清单、检查对象库、</w:t>
      </w:r>
      <w:r>
        <w:rPr>
          <w:rFonts w:ascii="黑体" w:hAnsi="黑体" w:eastAsia="黑体" w:cs="黑体"/>
          <w:b w:val="0"/>
          <w:bCs w:val="0"/>
          <w:sz w:val="32"/>
          <w:szCs w:val="32"/>
        </w:rPr>
        <w:t>202</w:t>
      </w:r>
      <w:r>
        <w:rPr>
          <w:rFonts w:hint="eastAsia" w:ascii="黑体" w:hAnsi="黑体" w:eastAsia="黑体" w:cs="黑体"/>
          <w:b w:val="0"/>
          <w:bCs w:val="0"/>
          <w:sz w:val="32"/>
          <w:szCs w:val="32"/>
          <w:lang w:val="en-US" w:eastAsia="zh-CN"/>
        </w:rPr>
        <w:t>4</w:t>
      </w:r>
      <w:r>
        <w:rPr>
          <w:rFonts w:hint="eastAsia" w:ascii="黑体" w:hAnsi="黑体" w:eastAsia="黑体" w:cs="黑体"/>
          <w:b w:val="0"/>
          <w:bCs w:val="0"/>
          <w:sz w:val="32"/>
          <w:szCs w:val="32"/>
        </w:rPr>
        <w:t>年抽查计划</w:t>
      </w:r>
    </w:p>
    <w:p w14:paraId="67C09E88">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县</w:t>
      </w:r>
      <w:r>
        <w:rPr>
          <w:rFonts w:hint="eastAsia" w:ascii="楷体_GB2312" w:hAnsi="楷体_GB2312" w:eastAsia="楷体_GB2312" w:cs="楷体_GB2312"/>
          <w:sz w:val="32"/>
          <w:szCs w:val="32"/>
          <w:lang w:eastAsia="zh-CN"/>
        </w:rPr>
        <w:t>国动</w:t>
      </w:r>
      <w:r>
        <w:rPr>
          <w:rFonts w:hint="eastAsia" w:ascii="楷体_GB2312" w:hAnsi="楷体_GB2312" w:eastAsia="楷体_GB2312" w:cs="楷体_GB2312"/>
          <w:sz w:val="32"/>
          <w:szCs w:val="32"/>
        </w:rPr>
        <w:t>办随机抽查检查事项清单</w:t>
      </w:r>
    </w:p>
    <w:p w14:paraId="146097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color="auto" w:fill="FFFFFF"/>
          <w:lang w:val="en-US" w:eastAsia="zh-CN" w:bidi="ar"/>
        </w:rPr>
        <w:t>1.</w:t>
      </w: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对城市和经济目标的人民防空建设进行监督检查</w:t>
      </w:r>
    </w:p>
    <w:p w14:paraId="2D2111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检查依据：《中华人民共和国人民防空法》第17条、 《四川省＜中华人民共和国人民防空法＞实施办法》第9条。</w:t>
      </w:r>
    </w:p>
    <w:p w14:paraId="0B0B41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检查对象：水电站、粮食储备库、广电、燃气、电力、通讯等重要经济目标防护单位。</w:t>
      </w:r>
    </w:p>
    <w:p w14:paraId="556BF3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检查内容：民用建筑项目、经济目标的报批资料、建筑实体，防空防护预案。</w:t>
      </w:r>
    </w:p>
    <w:p w14:paraId="70D29A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left"/>
        <w:textAlignment w:val="auto"/>
        <w:rPr>
          <w:rFonts w:hint="eastAsia" w:ascii="仿宋_GB2312" w:hAnsi="仿宋_GB2312" w:eastAsia="仿宋_GB2312" w:cs="仿宋_GB2312"/>
          <w:b w:val="0"/>
          <w:bCs w:val="0"/>
          <w:i w:val="0"/>
          <w:iCs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color="auto" w:fill="FFFFFF"/>
          <w:lang w:val="en-US" w:eastAsia="zh-CN" w:bidi="ar"/>
        </w:rPr>
        <w:t>2.对人民防空工程维护管理进行监督检查</w:t>
      </w:r>
    </w:p>
    <w:p w14:paraId="7EC1F8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检查依据：《中华人民共和国人民防空法》第25条</w:t>
      </w:r>
    </w:p>
    <w:p w14:paraId="132422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jc w:val="left"/>
        <w:textAlignment w:val="auto"/>
        <w:rPr>
          <w:rFonts w:hint="eastAsia" w:ascii="仿宋_GB2312" w:hAnsi="仿宋_GB2312" w:eastAsia="仿宋_GB2312" w:cs="仿宋_GB2312"/>
          <w:i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检查内容：防护设备厂家资质审查、建筑主体隐蔽工程质量监督；公共、单位工程，疏散干道的维护管理使用的隶属和使用单位。</w:t>
      </w:r>
    </w:p>
    <w:p w14:paraId="4FBD8532">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（二）检查对象</w:t>
      </w:r>
      <w:r>
        <w:rPr>
          <w:rFonts w:hint="eastAsia" w:ascii="楷体_GB2312" w:hAnsi="楷体_GB2312" w:eastAsia="楷体_GB2312" w:cs="楷体_GB2312"/>
          <w:sz w:val="32"/>
          <w:szCs w:val="32"/>
        </w:rPr>
        <w:t>名录库</w:t>
      </w:r>
    </w:p>
    <w:p w14:paraId="61260674">
      <w:pPr>
        <w:keepNext w:val="0"/>
        <w:keepLines w:val="0"/>
        <w:pageBreakBefore w:val="0"/>
        <w:widowControl w:val="0"/>
        <w:kinsoku/>
        <w:wordWrap/>
        <w:overflowPunct/>
        <w:topLinePunct w:val="0"/>
        <w:autoSpaceDE/>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全县检查对象</w:t>
      </w:r>
      <w:r>
        <w:rPr>
          <w:rFonts w:hint="eastAsia" w:ascii="仿宋_GB2312" w:hAnsi="仿宋_GB2312" w:eastAsia="仿宋_GB2312" w:cs="仿宋_GB2312"/>
          <w:sz w:val="32"/>
          <w:szCs w:val="32"/>
          <w:lang w:val="en-US" w:eastAsia="zh-CN"/>
        </w:rPr>
        <w:t>25个。</w:t>
      </w:r>
    </w:p>
    <w:p w14:paraId="0E22A886">
      <w:pPr>
        <w:keepNext w:val="0"/>
        <w:keepLines w:val="0"/>
        <w:pageBreakBefore w:val="0"/>
        <w:widowControl w:val="0"/>
        <w:kinsoku/>
        <w:wordWrap/>
        <w:overflowPunct/>
        <w:topLinePunct w:val="0"/>
        <w:autoSpaceDE/>
        <w:bidi w:val="0"/>
        <w:adjustRightInd/>
        <w:snapToGrid/>
        <w:spacing w:line="576" w:lineRule="atLeas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（三）</w:t>
      </w: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4</w:t>
      </w:r>
      <w:r>
        <w:rPr>
          <w:rFonts w:hint="eastAsia" w:ascii="楷体_GB2312" w:hAnsi="楷体_GB2312" w:eastAsia="楷体_GB2312" w:cs="楷体_GB2312"/>
          <w:sz w:val="32"/>
          <w:szCs w:val="32"/>
        </w:rPr>
        <w:t>年双随机抽查计划</w:t>
      </w:r>
    </w:p>
    <w:tbl>
      <w:tblPr>
        <w:tblStyle w:val="10"/>
        <w:tblW w:w="8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24"/>
        <w:gridCol w:w="2000"/>
        <w:gridCol w:w="1059"/>
        <w:gridCol w:w="930"/>
        <w:gridCol w:w="1074"/>
        <w:gridCol w:w="1692"/>
        <w:gridCol w:w="844"/>
      </w:tblGrid>
      <w:tr w14:paraId="6408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324" w:type="dxa"/>
            <w:noWrap w:val="0"/>
            <w:vAlign w:val="center"/>
          </w:tcPr>
          <w:p w14:paraId="3FD078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检查事项</w:t>
            </w:r>
          </w:p>
        </w:tc>
        <w:tc>
          <w:tcPr>
            <w:tcW w:w="2000" w:type="dxa"/>
            <w:noWrap w:val="0"/>
            <w:vAlign w:val="center"/>
          </w:tcPr>
          <w:p w14:paraId="2E4392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检查依据</w:t>
            </w:r>
          </w:p>
        </w:tc>
        <w:tc>
          <w:tcPr>
            <w:tcW w:w="1059" w:type="dxa"/>
            <w:noWrap w:val="0"/>
            <w:vAlign w:val="center"/>
          </w:tcPr>
          <w:p w14:paraId="069FCA0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执行股室</w:t>
            </w:r>
          </w:p>
        </w:tc>
        <w:tc>
          <w:tcPr>
            <w:tcW w:w="930" w:type="dxa"/>
            <w:noWrap w:val="0"/>
            <w:vAlign w:val="center"/>
          </w:tcPr>
          <w:p w14:paraId="2AE76E6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检查比例</w:t>
            </w:r>
          </w:p>
        </w:tc>
        <w:tc>
          <w:tcPr>
            <w:tcW w:w="1074" w:type="dxa"/>
            <w:noWrap w:val="0"/>
            <w:vAlign w:val="center"/>
          </w:tcPr>
          <w:p w14:paraId="3438AF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检查频次</w:t>
            </w:r>
          </w:p>
        </w:tc>
        <w:tc>
          <w:tcPr>
            <w:tcW w:w="1692" w:type="dxa"/>
            <w:noWrap w:val="0"/>
            <w:vAlign w:val="center"/>
          </w:tcPr>
          <w:p w14:paraId="237AD8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初步检查时间</w:t>
            </w:r>
          </w:p>
        </w:tc>
        <w:tc>
          <w:tcPr>
            <w:tcW w:w="844" w:type="dxa"/>
            <w:noWrap w:val="0"/>
            <w:vAlign w:val="center"/>
          </w:tcPr>
          <w:p w14:paraId="7F1E0F6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备注</w:t>
            </w:r>
          </w:p>
        </w:tc>
      </w:tr>
      <w:tr w14:paraId="73E15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78" w:hRule="atLeast"/>
          <w:jc w:val="center"/>
        </w:trPr>
        <w:tc>
          <w:tcPr>
            <w:tcW w:w="1324" w:type="dxa"/>
            <w:noWrap w:val="0"/>
            <w:vAlign w:val="center"/>
          </w:tcPr>
          <w:p w14:paraId="35064E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对城市和经济目标的人民防空建设进行监督检查</w:t>
            </w:r>
          </w:p>
        </w:tc>
        <w:tc>
          <w:tcPr>
            <w:tcW w:w="2000" w:type="dxa"/>
            <w:noWrap w:val="0"/>
            <w:vAlign w:val="center"/>
          </w:tcPr>
          <w:p w14:paraId="191027F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《中华人民共和国人民防空法》第17条、 《 四川省＜中华人民共和国人民防空法＞实施办法》第9条</w:t>
            </w:r>
          </w:p>
        </w:tc>
        <w:tc>
          <w:tcPr>
            <w:tcW w:w="1059" w:type="dxa"/>
            <w:noWrap w:val="0"/>
            <w:vAlign w:val="center"/>
          </w:tcPr>
          <w:p w14:paraId="7EB7C69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国动股</w:t>
            </w:r>
          </w:p>
        </w:tc>
        <w:tc>
          <w:tcPr>
            <w:tcW w:w="930" w:type="dxa"/>
            <w:noWrap w:val="0"/>
            <w:vAlign w:val="center"/>
          </w:tcPr>
          <w:p w14:paraId="022C83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30%</w:t>
            </w:r>
          </w:p>
        </w:tc>
        <w:tc>
          <w:tcPr>
            <w:tcW w:w="1074" w:type="dxa"/>
            <w:noWrap w:val="0"/>
            <w:vAlign w:val="center"/>
          </w:tcPr>
          <w:p w14:paraId="459B4D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p>
        </w:tc>
        <w:tc>
          <w:tcPr>
            <w:tcW w:w="1692" w:type="dxa"/>
            <w:noWrap w:val="0"/>
            <w:vAlign w:val="center"/>
          </w:tcPr>
          <w:p w14:paraId="6D6006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2024.8-2024.12</w:t>
            </w:r>
          </w:p>
        </w:tc>
        <w:tc>
          <w:tcPr>
            <w:tcW w:w="844" w:type="dxa"/>
            <w:noWrap w:val="0"/>
            <w:vAlign w:val="center"/>
          </w:tcPr>
          <w:p w14:paraId="39D57E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p>
        </w:tc>
      </w:tr>
      <w:tr w14:paraId="7192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324" w:type="dxa"/>
            <w:noWrap w:val="0"/>
            <w:vAlign w:val="center"/>
          </w:tcPr>
          <w:p w14:paraId="24BF4E1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对人民防空工程维护管理进行监督检查</w:t>
            </w:r>
          </w:p>
        </w:tc>
        <w:tc>
          <w:tcPr>
            <w:tcW w:w="2000" w:type="dxa"/>
            <w:noWrap w:val="0"/>
            <w:vAlign w:val="center"/>
          </w:tcPr>
          <w:p w14:paraId="0B65C9B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《中华人民共和国人民防空法》第25条</w:t>
            </w:r>
          </w:p>
          <w:p w14:paraId="4A1624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p>
        </w:tc>
        <w:tc>
          <w:tcPr>
            <w:tcW w:w="1059" w:type="dxa"/>
            <w:noWrap w:val="0"/>
            <w:vAlign w:val="center"/>
          </w:tcPr>
          <w:p w14:paraId="4344D14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国动股</w:t>
            </w:r>
          </w:p>
        </w:tc>
        <w:tc>
          <w:tcPr>
            <w:tcW w:w="930" w:type="dxa"/>
            <w:noWrap w:val="0"/>
            <w:vAlign w:val="center"/>
          </w:tcPr>
          <w:p w14:paraId="628A1F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30%</w:t>
            </w:r>
          </w:p>
        </w:tc>
        <w:tc>
          <w:tcPr>
            <w:tcW w:w="1074" w:type="dxa"/>
            <w:noWrap w:val="0"/>
            <w:vAlign w:val="center"/>
          </w:tcPr>
          <w:p w14:paraId="3A72E4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p>
        </w:tc>
        <w:tc>
          <w:tcPr>
            <w:tcW w:w="1692" w:type="dxa"/>
            <w:noWrap w:val="0"/>
            <w:vAlign w:val="center"/>
          </w:tcPr>
          <w:p w14:paraId="49A0ED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2024.8-2024.12</w:t>
            </w:r>
          </w:p>
        </w:tc>
        <w:tc>
          <w:tcPr>
            <w:tcW w:w="844" w:type="dxa"/>
            <w:noWrap w:val="0"/>
            <w:vAlign w:val="center"/>
          </w:tcPr>
          <w:p w14:paraId="146F86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sz w:val="21"/>
                <w:szCs w:val="21"/>
                <w:lang w:eastAsia="zh-CN"/>
              </w:rPr>
            </w:pPr>
          </w:p>
        </w:tc>
      </w:tr>
    </w:tbl>
    <w:p w14:paraId="3BAFACBC">
      <w:pPr>
        <w:keepNext w:val="0"/>
        <w:keepLines w:val="0"/>
        <w:pageBreakBefore w:val="0"/>
        <w:widowControl w:val="0"/>
        <w:kinsoku/>
        <w:wordWrap/>
        <w:overflowPunct/>
        <w:topLinePunct w:val="0"/>
        <w:autoSpaceDE/>
        <w:bidi w:val="0"/>
        <w:adjustRightInd/>
        <w:snapToGrid/>
        <w:spacing w:line="576" w:lineRule="atLeas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w:t>
      </w:r>
      <w:r>
        <w:rPr>
          <w:rFonts w:hint="eastAsia" w:ascii="黑体" w:hAnsi="黑体" w:eastAsia="黑体" w:cs="黑体"/>
          <w:sz w:val="32"/>
          <w:szCs w:val="32"/>
          <w:lang w:eastAsia="zh-CN"/>
        </w:rPr>
        <w:t>剑阁县人民政府国防动员办公室</w:t>
      </w:r>
      <w:r>
        <w:rPr>
          <w:rFonts w:hint="eastAsia" w:ascii="黑体" w:hAnsi="黑体" w:eastAsia="黑体" w:cs="黑体"/>
          <w:sz w:val="32"/>
          <w:szCs w:val="32"/>
        </w:rPr>
        <w:t>行政执法文书样式、行政执法案卷评查制度</w:t>
      </w:r>
    </w:p>
    <w:p w14:paraId="2BCECD53">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w:t>
      </w:r>
    </w:p>
    <w:p w14:paraId="331FE509">
      <w:pPr>
        <w:keepNext w:val="0"/>
        <w:keepLines w:val="0"/>
        <w:pageBreakBefore w:val="0"/>
        <w:widowControl w:val="0"/>
        <w:kinsoku/>
        <w:wordWrap/>
        <w:overflowPunct/>
        <w:topLinePunct w:val="0"/>
        <w:autoSpaceDE/>
        <w:bidi w:val="0"/>
        <w:adjustRightInd/>
        <w:snapToGrid/>
        <w:spacing w:line="576" w:lineRule="atLeast"/>
        <w:ind w:firstLine="566" w:firstLineChars="177"/>
        <w:textAlignment w:val="auto"/>
        <w:rPr>
          <w:rFonts w:hint="eastAsia" w:ascii="黑体" w:hAnsi="黑体" w:eastAsia="黑体" w:cs="黑体"/>
          <w:sz w:val="32"/>
          <w:szCs w:val="32"/>
        </w:rPr>
      </w:pPr>
      <w:r>
        <w:rPr>
          <w:rFonts w:hint="eastAsia" w:ascii="黑体" w:hAnsi="黑体" w:eastAsia="黑体" w:cs="黑体"/>
          <w:sz w:val="32"/>
          <w:szCs w:val="32"/>
        </w:rPr>
        <w:t>九、</w:t>
      </w:r>
      <w:r>
        <w:rPr>
          <w:rFonts w:hint="eastAsia" w:ascii="黑体" w:hAnsi="黑体" w:eastAsia="黑体" w:cs="黑体"/>
          <w:sz w:val="32"/>
          <w:szCs w:val="32"/>
          <w:lang w:eastAsia="zh-CN"/>
        </w:rPr>
        <w:t>剑阁县人民政府国防动员办公室</w:t>
      </w:r>
      <w:r>
        <w:rPr>
          <w:rFonts w:hint="eastAsia" w:ascii="黑体" w:hAnsi="黑体" w:eastAsia="黑体" w:cs="黑体"/>
          <w:sz w:val="32"/>
          <w:szCs w:val="32"/>
          <w:lang w:val="en-US" w:eastAsia="zh-CN"/>
        </w:rPr>
        <w:t>上</w:t>
      </w:r>
      <w:r>
        <w:rPr>
          <w:rFonts w:hint="eastAsia" w:ascii="黑体" w:hAnsi="黑体" w:eastAsia="黑体" w:cs="黑体"/>
          <w:sz w:val="32"/>
          <w:szCs w:val="32"/>
        </w:rPr>
        <w:t>年度双随机抽查结果、行政许可和处罚决定、上年度本机关行政执法数据总体情况</w:t>
      </w:r>
    </w:p>
    <w:p w14:paraId="1322813C">
      <w:pPr>
        <w:keepNext w:val="0"/>
        <w:keepLines w:val="0"/>
        <w:pageBreakBefore w:val="0"/>
        <w:widowControl w:val="0"/>
        <w:kinsoku/>
        <w:wordWrap/>
        <w:overflowPunct/>
        <w:topLinePunct w:val="0"/>
        <w:autoSpaceDE/>
        <w:bidi w:val="0"/>
        <w:adjustRightInd/>
        <w:snapToGrid/>
        <w:spacing w:line="576" w:lineRule="atLeas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上年度双随机共抽查2次、抽查对象3个；办理行政许可12件、行政征收8件；开展行政检查13次。</w:t>
      </w:r>
    </w:p>
    <w:p w14:paraId="5C6B1973">
      <w:pPr>
        <w:keepNext w:val="0"/>
        <w:keepLines w:val="0"/>
        <w:pageBreakBefore w:val="0"/>
        <w:widowControl w:val="0"/>
        <w:kinsoku/>
        <w:wordWrap/>
        <w:overflowPunct/>
        <w:topLinePunct w:val="0"/>
        <w:autoSpaceDE/>
        <w:bidi w:val="0"/>
        <w:adjustRightInd/>
        <w:snapToGrid/>
        <w:spacing w:line="576" w:lineRule="atLeas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w:t>
      </w:r>
      <w:r>
        <w:rPr>
          <w:rFonts w:hint="eastAsia" w:ascii="黑体" w:hAnsi="黑体" w:eastAsia="黑体" w:cs="黑体"/>
          <w:sz w:val="32"/>
          <w:szCs w:val="32"/>
          <w:lang w:eastAsia="zh-CN"/>
        </w:rPr>
        <w:t>剑阁县人民政府国防动员办公室</w:t>
      </w:r>
      <w:r>
        <w:rPr>
          <w:rFonts w:hint="eastAsia" w:ascii="黑体" w:hAnsi="黑体" w:eastAsia="黑体" w:cs="黑体"/>
          <w:sz w:val="32"/>
          <w:szCs w:val="32"/>
        </w:rPr>
        <w:t>实行行政执法</w:t>
      </w:r>
      <w:r>
        <w:rPr>
          <w:rFonts w:hint="eastAsia" w:ascii="黑体" w:hAnsi="黑体" w:eastAsia="黑体" w:cs="黑体"/>
          <w:sz w:val="32"/>
          <w:szCs w:val="32"/>
          <w:lang w:eastAsia="zh-CN"/>
        </w:rPr>
        <w:t>“</w:t>
      </w:r>
      <w:r>
        <w:rPr>
          <w:rFonts w:hint="eastAsia" w:ascii="黑体" w:hAnsi="黑体" w:eastAsia="黑体" w:cs="黑体"/>
          <w:sz w:val="32"/>
          <w:szCs w:val="32"/>
        </w:rPr>
        <w:t>三项制度</w:t>
      </w:r>
      <w:r>
        <w:rPr>
          <w:rFonts w:hint="eastAsia" w:ascii="黑体" w:hAnsi="黑体" w:eastAsia="黑体" w:cs="黑体"/>
          <w:sz w:val="32"/>
          <w:szCs w:val="32"/>
          <w:lang w:eastAsia="zh-CN"/>
        </w:rPr>
        <w:t>”</w:t>
      </w:r>
      <w:r>
        <w:rPr>
          <w:rFonts w:hint="eastAsia" w:ascii="黑体" w:hAnsi="黑体" w:eastAsia="黑体" w:cs="黑体"/>
          <w:sz w:val="32"/>
          <w:szCs w:val="32"/>
        </w:rPr>
        <w:t>方案</w:t>
      </w:r>
    </w:p>
    <w:p w14:paraId="4CB84595">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both"/>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执行《四川省行政执法公示办法》《四川省行政执法全过程记录办法》《四川省重大行政执法决定法制审核办法》。</w:t>
      </w:r>
    </w:p>
    <w:p w14:paraId="4662208C">
      <w:pPr>
        <w:pStyle w:val="4"/>
        <w:keepNext w:val="0"/>
        <w:keepLines w:val="0"/>
        <w:pageBreakBefore w:val="0"/>
        <w:widowControl w:val="0"/>
        <w:numPr>
          <w:ilvl w:val="0"/>
          <w:numId w:val="1"/>
        </w:numPr>
        <w:kinsoku/>
        <w:wordWrap/>
        <w:overflowPunct/>
        <w:topLinePunct w:val="0"/>
        <w:autoSpaceDE/>
        <w:autoSpaceDN/>
        <w:bidi w:val="0"/>
        <w:adjustRightInd/>
        <w:snapToGrid/>
        <w:spacing w:line="576" w:lineRule="atLeast"/>
        <w:ind w:leftChars="0" w:firstLine="640" w:firstLineChars="200"/>
        <w:textAlignment w:val="auto"/>
        <w:rPr>
          <w:rFonts w:hint="eastAsia" w:ascii="黑体" w:hAnsi="黑体" w:eastAsia="黑体" w:cs="黑体"/>
          <w:b w:val="0"/>
          <w:bCs w:val="0"/>
          <w:i w:val="0"/>
          <w:caps w:val="0"/>
          <w:color w:val="000000"/>
          <w:spacing w:val="0"/>
          <w:kern w:val="0"/>
          <w:sz w:val="32"/>
          <w:szCs w:val="32"/>
          <w:shd w:val="clear" w:color="auto" w:fill="FFFFFF"/>
          <w:lang w:val="en-US" w:eastAsia="zh-CN" w:bidi="ar"/>
        </w:rPr>
      </w:pPr>
      <w:r>
        <w:rPr>
          <w:rFonts w:hint="eastAsia" w:ascii="黑体" w:hAnsi="黑体" w:eastAsia="黑体" w:cs="黑体"/>
          <w:b w:val="0"/>
          <w:bCs w:val="0"/>
          <w:i w:val="0"/>
          <w:caps w:val="0"/>
          <w:color w:val="000000"/>
          <w:spacing w:val="0"/>
          <w:kern w:val="0"/>
          <w:sz w:val="32"/>
          <w:szCs w:val="32"/>
          <w:shd w:val="clear" w:color="auto" w:fill="FFFFFF"/>
          <w:lang w:val="en-US" w:eastAsia="zh-CN" w:bidi="ar"/>
        </w:rPr>
        <w:t>剑阁县人民政府国防动员办公室</w:t>
      </w:r>
      <w:r>
        <w:rPr>
          <w:rFonts w:hint="eastAsia" w:ascii="黑体" w:hAnsi="黑体" w:eastAsia="黑体" w:cs="黑体"/>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分类检查事项目录和不予、免予、从轻、减轻</w:t>
      </w:r>
      <w:r>
        <w:rPr>
          <w:rFonts w:hint="eastAsia" w:ascii="黑体" w:hAnsi="黑体" w:eastAsia="黑体" w:cs="黑体"/>
          <w:b w:val="0"/>
          <w:bCs w:val="0"/>
          <w:i w:val="0"/>
          <w:caps w:val="0"/>
          <w:color w:val="000000"/>
          <w:spacing w:val="0"/>
          <w:kern w:val="0"/>
          <w:sz w:val="32"/>
          <w:szCs w:val="32"/>
          <w:shd w:val="clear" w:color="auto" w:fill="FFFFFF"/>
          <w:lang w:val="en-US" w:eastAsia="zh-CN" w:bidi="ar"/>
        </w:rPr>
        <w:t>、从重行政处罚清单</w:t>
      </w:r>
    </w:p>
    <w:p w14:paraId="2746E074">
      <w:pPr>
        <w:pStyle w:val="4"/>
        <w:keepNext w:val="0"/>
        <w:keepLines w:val="0"/>
        <w:pageBreakBefore w:val="0"/>
        <w:widowControl w:val="0"/>
        <w:numPr>
          <w:ilvl w:val="0"/>
          <w:numId w:val="2"/>
        </w:numPr>
        <w:kinsoku/>
        <w:wordWrap/>
        <w:overflowPunct/>
        <w:topLinePunct w:val="0"/>
        <w:autoSpaceDE/>
        <w:autoSpaceDN/>
        <w:bidi w:val="0"/>
        <w:adjustRightInd/>
        <w:snapToGrid/>
        <w:spacing w:line="576" w:lineRule="atLeast"/>
        <w:ind w:leftChars="200" w:right="210" w:rightChars="100"/>
        <w:textAlignment w:val="auto"/>
        <w:rPr>
          <w:rFonts w:hint="eastAsia" w:ascii="楷体_GB2312" w:hAnsi="楷体_GB2312" w:eastAsia="楷体_GB2312" w:cs="楷体_GB2312"/>
          <w:i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剑阁县人民政府国防动员办公室分类检查事项目录</w:t>
      </w:r>
    </w:p>
    <w:tbl>
      <w:tblPr>
        <w:tblStyle w:val="11"/>
        <w:tblW w:w="88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549"/>
        <w:gridCol w:w="1719"/>
        <w:gridCol w:w="1785"/>
        <w:gridCol w:w="1740"/>
      </w:tblGrid>
      <w:tr w14:paraId="6D67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1098" w:type="dxa"/>
            <w:vAlign w:val="center"/>
          </w:tcPr>
          <w:p w14:paraId="384E59B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序号</w:t>
            </w:r>
          </w:p>
        </w:tc>
        <w:tc>
          <w:tcPr>
            <w:tcW w:w="2549" w:type="dxa"/>
            <w:vAlign w:val="center"/>
          </w:tcPr>
          <w:p w14:paraId="45D34B6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检查事项名称</w:t>
            </w:r>
          </w:p>
        </w:tc>
        <w:tc>
          <w:tcPr>
            <w:tcW w:w="1719" w:type="dxa"/>
            <w:vAlign w:val="center"/>
          </w:tcPr>
          <w:p w14:paraId="03B158E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检查事项划分</w:t>
            </w:r>
          </w:p>
        </w:tc>
        <w:tc>
          <w:tcPr>
            <w:tcW w:w="1785" w:type="dxa"/>
            <w:vAlign w:val="center"/>
          </w:tcPr>
          <w:p w14:paraId="682C283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对象划分</w:t>
            </w:r>
          </w:p>
        </w:tc>
        <w:tc>
          <w:tcPr>
            <w:tcW w:w="1740" w:type="dxa"/>
            <w:vAlign w:val="center"/>
          </w:tcPr>
          <w:p w14:paraId="0059C7B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监管方式</w:t>
            </w:r>
          </w:p>
        </w:tc>
      </w:tr>
      <w:tr w14:paraId="108B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98" w:type="dxa"/>
            <w:vAlign w:val="center"/>
          </w:tcPr>
          <w:p w14:paraId="671F68A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2549" w:type="dxa"/>
            <w:vAlign w:val="center"/>
          </w:tcPr>
          <w:p w14:paraId="24303C9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对城市和经济目标的人民防空建设进行监督检查</w:t>
            </w:r>
          </w:p>
        </w:tc>
        <w:tc>
          <w:tcPr>
            <w:tcW w:w="1719" w:type="dxa"/>
            <w:vAlign w:val="center"/>
          </w:tcPr>
          <w:p w14:paraId="097C815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重点检查事项</w:t>
            </w:r>
          </w:p>
        </w:tc>
        <w:tc>
          <w:tcPr>
            <w:tcW w:w="1785" w:type="dxa"/>
            <w:vAlign w:val="center"/>
          </w:tcPr>
          <w:p w14:paraId="2D1FE4B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重点检查对象</w:t>
            </w:r>
          </w:p>
        </w:tc>
        <w:tc>
          <w:tcPr>
            <w:tcW w:w="1740" w:type="dxa"/>
            <w:vAlign w:val="center"/>
          </w:tcPr>
          <w:p w14:paraId="10C7460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现场检查</w:t>
            </w:r>
          </w:p>
        </w:tc>
      </w:tr>
      <w:tr w14:paraId="22DA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98" w:type="dxa"/>
            <w:vAlign w:val="center"/>
          </w:tcPr>
          <w:p w14:paraId="1A3D735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2549" w:type="dxa"/>
            <w:vAlign w:val="center"/>
          </w:tcPr>
          <w:p w14:paraId="0701C56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对人民防空工程维护管理进行监督检查</w:t>
            </w:r>
          </w:p>
        </w:tc>
        <w:tc>
          <w:tcPr>
            <w:tcW w:w="1719" w:type="dxa"/>
            <w:vAlign w:val="center"/>
          </w:tcPr>
          <w:p w14:paraId="634CF5A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重点检查事项</w:t>
            </w:r>
          </w:p>
        </w:tc>
        <w:tc>
          <w:tcPr>
            <w:tcW w:w="1785" w:type="dxa"/>
            <w:vAlign w:val="center"/>
          </w:tcPr>
          <w:p w14:paraId="2CEFFEA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重点检查对象</w:t>
            </w:r>
          </w:p>
        </w:tc>
        <w:tc>
          <w:tcPr>
            <w:tcW w:w="1740" w:type="dxa"/>
            <w:vAlign w:val="center"/>
          </w:tcPr>
          <w:p w14:paraId="2361E71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现场检查</w:t>
            </w:r>
          </w:p>
        </w:tc>
      </w:tr>
    </w:tbl>
    <w:p w14:paraId="37FB843A">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atLeast"/>
        <w:ind w:right="210" w:rightChars="100"/>
        <w:textAlignment w:val="auto"/>
        <w:rPr>
          <w:rFonts w:hint="eastAsia" w:ascii="楷体_GB2312" w:hAnsi="楷体_GB2312" w:eastAsia="楷体_GB2312" w:cs="楷体_GB2312"/>
          <w:i w:val="0"/>
          <w:caps w:val="0"/>
          <w:color w:val="000000"/>
          <w:spacing w:val="-20"/>
          <w:kern w:val="0"/>
          <w:sz w:val="32"/>
          <w:szCs w:val="32"/>
          <w:shd w:val="clear" w:color="auto" w:fill="FFFFFF"/>
          <w:lang w:val="en-US" w:eastAsia="zh-CN" w:bidi="ar"/>
        </w:rPr>
      </w:pPr>
    </w:p>
    <w:p w14:paraId="6B46B92B">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atLeast"/>
        <w:ind w:right="210" w:rightChars="100" w:firstLine="560" w:firstLineChars="200"/>
        <w:textAlignment w:val="auto"/>
        <w:rPr>
          <w:rFonts w:hint="eastAsia" w:ascii="楷体_GB2312" w:hAnsi="楷体_GB2312" w:eastAsia="楷体_GB2312" w:cs="楷体_GB2312"/>
          <w:i w:val="0"/>
          <w:caps w:val="0"/>
          <w:color w:val="000000"/>
          <w:spacing w:val="-20"/>
          <w:kern w:val="0"/>
          <w:sz w:val="32"/>
          <w:szCs w:val="32"/>
          <w:shd w:val="clear" w:color="auto" w:fill="FFFFFF"/>
          <w:lang w:val="en-US" w:eastAsia="zh-CN" w:bidi="ar"/>
        </w:rPr>
      </w:pPr>
      <w:r>
        <w:rPr>
          <w:rFonts w:hint="eastAsia" w:ascii="楷体_GB2312" w:hAnsi="楷体_GB2312" w:eastAsia="楷体_GB2312" w:cs="楷体_GB2312"/>
          <w:i w:val="0"/>
          <w:caps w:val="0"/>
          <w:color w:val="000000"/>
          <w:spacing w:val="-20"/>
          <w:kern w:val="0"/>
          <w:sz w:val="32"/>
          <w:szCs w:val="32"/>
          <w:shd w:val="clear" w:color="auto" w:fill="FFFFFF"/>
          <w:lang w:val="en-US" w:eastAsia="zh-CN" w:bidi="ar"/>
        </w:rPr>
        <w:t>（二）剑阁县人民政府国防动员办公室不予处罚（首违不罚）清单</w:t>
      </w:r>
    </w:p>
    <w:tbl>
      <w:tblPr>
        <w:tblStyle w:val="10"/>
        <w:tblW w:w="8529" w:type="dxa"/>
        <w:tblInd w:w="3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8"/>
        <w:gridCol w:w="1638"/>
        <w:gridCol w:w="3713"/>
        <w:gridCol w:w="2440"/>
      </w:tblGrid>
      <w:tr w14:paraId="75B05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738" w:type="dxa"/>
            <w:tcBorders>
              <w:top w:val="single" w:color="000000" w:sz="4" w:space="0"/>
              <w:left w:val="single" w:color="000000" w:sz="4" w:space="0"/>
              <w:bottom w:val="single" w:color="000000" w:sz="4" w:space="0"/>
              <w:right w:val="single" w:color="000000" w:sz="4" w:space="0"/>
            </w:tcBorders>
            <w:noWrap w:val="0"/>
            <w:vAlign w:val="center"/>
          </w:tcPr>
          <w:p w14:paraId="61E31CB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序号</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7ADC8EA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违法行为</w:t>
            </w:r>
          </w:p>
        </w:tc>
        <w:tc>
          <w:tcPr>
            <w:tcW w:w="3713" w:type="dxa"/>
            <w:tcBorders>
              <w:top w:val="single" w:color="000000" w:sz="4" w:space="0"/>
              <w:left w:val="single" w:color="000000" w:sz="4" w:space="0"/>
              <w:bottom w:val="single" w:color="000000" w:sz="4" w:space="0"/>
              <w:right w:val="single" w:color="000000" w:sz="4" w:space="0"/>
            </w:tcBorders>
            <w:noWrap w:val="0"/>
            <w:vAlign w:val="center"/>
          </w:tcPr>
          <w:p w14:paraId="16CF826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处罚规定</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14:paraId="668B32D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适用条件</w:t>
            </w:r>
          </w:p>
        </w:tc>
      </w:tr>
      <w:tr w14:paraId="3BB5A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738" w:type="dxa"/>
            <w:tcBorders>
              <w:top w:val="single" w:color="000000" w:sz="4" w:space="0"/>
              <w:left w:val="single" w:color="000000" w:sz="4" w:space="0"/>
              <w:bottom w:val="single" w:color="000000" w:sz="4" w:space="0"/>
              <w:right w:val="single" w:color="000000" w:sz="4" w:space="0"/>
            </w:tcBorders>
            <w:noWrap w:val="0"/>
            <w:vAlign w:val="center"/>
          </w:tcPr>
          <w:p w14:paraId="02CDF29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4F4095F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侵占人民防空工程的</w:t>
            </w:r>
          </w:p>
        </w:tc>
        <w:tc>
          <w:tcPr>
            <w:tcW w:w="3713" w:type="dxa"/>
            <w:tcBorders>
              <w:top w:val="single" w:color="000000" w:sz="4" w:space="0"/>
              <w:left w:val="single" w:color="000000" w:sz="4" w:space="0"/>
              <w:bottom w:val="single" w:color="000000" w:sz="4" w:space="0"/>
              <w:right w:val="single" w:color="000000" w:sz="4" w:space="0"/>
            </w:tcBorders>
            <w:noWrap w:val="0"/>
            <w:vAlign w:val="center"/>
          </w:tcPr>
          <w:p w14:paraId="619121D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华人民共和国人民防空法》第四十九条：有下列行为之一的，由县级以上人民政府人民防空主管部门对当事人给予警告，并责令限期改正违法行为，可以对个人并处五千元以下的罚款、对单位并处一万元至五万元的罚款；造成损失的，应当依法赔偿损失。</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14:paraId="135E435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1.首次违反；</w:t>
            </w:r>
          </w:p>
          <w:p w14:paraId="75DA231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2.未造成人防工程结构、设备设施损害；</w:t>
            </w:r>
          </w:p>
          <w:p w14:paraId="669778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3.占用人防工程面积在1平方米以内，经告知后主动改正并消除违法后果。</w:t>
            </w:r>
          </w:p>
        </w:tc>
      </w:tr>
      <w:tr w14:paraId="7E8F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6" w:hRule="atLeast"/>
        </w:trPr>
        <w:tc>
          <w:tcPr>
            <w:tcW w:w="738" w:type="dxa"/>
            <w:tcBorders>
              <w:top w:val="single" w:color="000000" w:sz="4" w:space="0"/>
              <w:left w:val="single" w:color="000000" w:sz="4" w:space="0"/>
              <w:bottom w:val="single" w:color="000000" w:sz="4" w:space="0"/>
              <w:right w:val="single" w:color="000000" w:sz="4" w:space="0"/>
            </w:tcBorders>
            <w:noWrap w:val="0"/>
            <w:vAlign w:val="center"/>
          </w:tcPr>
          <w:p w14:paraId="0A4664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2E12F3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向人民防空工程内排入废水、废气或者倾倒废弃物的</w:t>
            </w:r>
          </w:p>
        </w:tc>
        <w:tc>
          <w:tcPr>
            <w:tcW w:w="3713" w:type="dxa"/>
            <w:tcBorders>
              <w:top w:val="single" w:color="000000" w:sz="4" w:space="0"/>
              <w:left w:val="single" w:color="000000" w:sz="4" w:space="0"/>
              <w:bottom w:val="single" w:color="000000" w:sz="4" w:space="0"/>
              <w:right w:val="single" w:color="000000" w:sz="4" w:space="0"/>
            </w:tcBorders>
            <w:noWrap w:val="0"/>
            <w:vAlign w:val="center"/>
          </w:tcPr>
          <w:p w14:paraId="66E4A83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华人民共和国人民防空法》第四十九条：有下列行为之一的，由县级以上人民政府人民防空主管部门对当事人给予警告，并责令限期改正违法行为，可以对个人并处五千元以下的罚款、对单位并处一万元至五万元的罚款；造成损失的，应当依法赔偿损失。</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14:paraId="4F5A0CC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1.首次违反；</w:t>
            </w:r>
          </w:p>
          <w:p w14:paraId="543EB5C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2.未影响人防工程正常使用；</w:t>
            </w:r>
          </w:p>
          <w:p w14:paraId="7CBD704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3.主动改正并消除违法后果。</w:t>
            </w:r>
          </w:p>
        </w:tc>
      </w:tr>
      <w:tr w14:paraId="7E40B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0" w:hRule="atLeast"/>
        </w:trPr>
        <w:tc>
          <w:tcPr>
            <w:tcW w:w="738" w:type="dxa"/>
            <w:tcBorders>
              <w:top w:val="single" w:color="000000" w:sz="4" w:space="0"/>
              <w:left w:val="single" w:color="000000" w:sz="4" w:space="0"/>
              <w:bottom w:val="single" w:color="000000" w:sz="4" w:space="0"/>
              <w:right w:val="single" w:color="000000" w:sz="4" w:space="0"/>
            </w:tcBorders>
            <w:noWrap w:val="0"/>
            <w:vAlign w:val="center"/>
          </w:tcPr>
          <w:p w14:paraId="4AFDECA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7AD22F0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占用人民防空通信专用频率、使用与防空警报相同的音响信号或者擅自拆除人民防空通信、警报设备设施的</w:t>
            </w:r>
          </w:p>
        </w:tc>
        <w:tc>
          <w:tcPr>
            <w:tcW w:w="3713" w:type="dxa"/>
            <w:tcBorders>
              <w:top w:val="single" w:color="000000" w:sz="4" w:space="0"/>
              <w:left w:val="single" w:color="000000" w:sz="4" w:space="0"/>
              <w:bottom w:val="single" w:color="000000" w:sz="4" w:space="0"/>
              <w:right w:val="single" w:color="000000" w:sz="4" w:space="0"/>
            </w:tcBorders>
            <w:noWrap w:val="0"/>
            <w:vAlign w:val="center"/>
          </w:tcPr>
          <w:p w14:paraId="6CB1A7A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华人民共和国人民防空法》第四十九条：有下列行为之一的，由县级以上人民政府人民防空主管部门对当事人给予警告，并责令限期改正违法行为，可以对个人并处五千元以下的罚款、对单位并处一万元至五万元的罚款；造成损失的，应当依法赔偿损失。</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14:paraId="32803BC2">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1.首次违反；</w:t>
            </w:r>
          </w:p>
          <w:p w14:paraId="3ED8674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2.非故意占用人民防空通信专用频率或使用与防空警报相同的音响信号；</w:t>
            </w:r>
          </w:p>
          <w:p w14:paraId="464B370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3.未对人防指挥通信造成影响，并主动纠正。</w:t>
            </w:r>
          </w:p>
        </w:tc>
      </w:tr>
      <w:tr w14:paraId="329C3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5" w:hRule="atLeast"/>
        </w:trPr>
        <w:tc>
          <w:tcPr>
            <w:tcW w:w="738" w:type="dxa"/>
            <w:tcBorders>
              <w:top w:val="single" w:color="000000" w:sz="4" w:space="0"/>
              <w:left w:val="single" w:color="000000" w:sz="4" w:space="0"/>
              <w:bottom w:val="single" w:color="000000" w:sz="4" w:space="0"/>
              <w:right w:val="single" w:color="000000" w:sz="4" w:space="0"/>
            </w:tcBorders>
            <w:noWrap w:val="0"/>
            <w:vAlign w:val="center"/>
          </w:tcPr>
          <w:p w14:paraId="1C6C4BB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7003AB5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阻挠安装人民防空通信、警报设施的</w:t>
            </w:r>
          </w:p>
        </w:tc>
        <w:tc>
          <w:tcPr>
            <w:tcW w:w="3713" w:type="dxa"/>
            <w:tcBorders>
              <w:top w:val="single" w:color="000000" w:sz="4" w:space="0"/>
              <w:left w:val="single" w:color="000000" w:sz="4" w:space="0"/>
              <w:bottom w:val="single" w:color="000000" w:sz="4" w:space="0"/>
              <w:right w:val="single" w:color="000000" w:sz="4" w:space="0"/>
            </w:tcBorders>
            <w:noWrap w:val="0"/>
            <w:vAlign w:val="center"/>
          </w:tcPr>
          <w:p w14:paraId="6910A3C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华人民共和国人民防空法》第四十九条：有下列行为之一的，由县级以上人民政府人民防空主管部门对当事人给予警告，并责令限期改正违法行为，可以对个人并处五千元以下的罚款、对单位并处一万元至五万元的罚款；造成损失的，应当依法赔偿损失。</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14:paraId="3931084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1.首次违反；</w:t>
            </w:r>
          </w:p>
          <w:p w14:paraId="626FBA8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2.经劝导后主动改正；</w:t>
            </w:r>
          </w:p>
          <w:p w14:paraId="4849E63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3.未对人防指挥通信造成影响。</w:t>
            </w:r>
          </w:p>
        </w:tc>
      </w:tr>
    </w:tbl>
    <w:p w14:paraId="0BE938F6">
      <w:pPr>
        <w:keepNext w:val="0"/>
        <w:keepLines w:val="0"/>
        <w:pageBreakBefore w:val="0"/>
        <w:widowControl w:val="0"/>
        <w:kinsoku/>
        <w:wordWrap/>
        <w:overflowPunct/>
        <w:topLinePunct w:val="0"/>
        <w:autoSpaceDE/>
        <w:bidi w:val="0"/>
        <w:adjustRightInd/>
        <w:snapToGrid/>
        <w:spacing w:line="576" w:lineRule="atLeast"/>
        <w:textAlignment w:val="auto"/>
        <w:rPr>
          <w:rFonts w:hint="eastAsia" w:ascii="仿宋" w:hAnsi="仿宋" w:eastAsia="仿宋" w:cs="宋体"/>
          <w:sz w:val="13"/>
          <w:szCs w:val="13"/>
          <w:lang w:val="en-US" w:eastAsia="zh-CN"/>
        </w:rPr>
      </w:pPr>
    </w:p>
    <w:tbl>
      <w:tblPr>
        <w:tblStyle w:val="10"/>
        <w:tblW w:w="8636" w:type="dxa"/>
        <w:tblInd w:w="2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
        <w:gridCol w:w="1313"/>
        <w:gridCol w:w="202"/>
        <w:gridCol w:w="3753"/>
        <w:gridCol w:w="345"/>
        <w:gridCol w:w="2258"/>
      </w:tblGrid>
      <w:tr w14:paraId="76239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636" w:type="dxa"/>
            <w:gridSpan w:val="6"/>
            <w:tcBorders>
              <w:top w:val="nil"/>
              <w:left w:val="nil"/>
              <w:bottom w:val="nil"/>
              <w:right w:val="nil"/>
            </w:tcBorders>
            <w:noWrap/>
            <w:vAlign w:val="center"/>
          </w:tcPr>
          <w:p w14:paraId="19A9DA97">
            <w:pPr>
              <w:keepNext w:val="0"/>
              <w:keepLines w:val="0"/>
              <w:pageBreakBefore w:val="0"/>
              <w:widowControl w:val="0"/>
              <w:kinsoku/>
              <w:wordWrap/>
              <w:overflowPunct/>
              <w:topLinePunct w:val="0"/>
              <w:autoSpaceDE/>
              <w:bidi w:val="0"/>
              <w:adjustRightInd/>
              <w:snapToGrid/>
              <w:spacing w:line="576" w:lineRule="atLeast"/>
              <w:ind w:firstLine="640" w:firstLineChars="200"/>
              <w:textAlignment w:val="auto"/>
              <w:rPr>
                <w:rFonts w:hint="eastAsia" w:ascii="仿宋" w:hAnsi="仿宋" w:eastAsia="仿宋" w:cs="宋体"/>
                <w:sz w:val="21"/>
                <w:szCs w:val="21"/>
              </w:rPr>
            </w:pP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（三）剑阁县人民政府国防动员办公室从轻处罚清单</w:t>
            </w:r>
          </w:p>
        </w:tc>
      </w:tr>
      <w:tr w14:paraId="6F191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765" w:type="dxa"/>
            <w:tcBorders>
              <w:top w:val="single" w:color="000000" w:sz="4" w:space="0"/>
              <w:left w:val="single" w:color="000000" w:sz="4" w:space="0"/>
              <w:bottom w:val="single" w:color="000000" w:sz="4" w:space="0"/>
              <w:right w:val="single" w:color="000000" w:sz="4" w:space="0"/>
            </w:tcBorders>
            <w:noWrap w:val="0"/>
            <w:vAlign w:val="center"/>
          </w:tcPr>
          <w:p w14:paraId="53CBC37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序号</w:t>
            </w:r>
          </w:p>
        </w:tc>
        <w:tc>
          <w:tcPr>
            <w:tcW w:w="1515" w:type="dxa"/>
            <w:gridSpan w:val="2"/>
            <w:tcBorders>
              <w:top w:val="single" w:color="000000" w:sz="4" w:space="0"/>
              <w:left w:val="single" w:color="000000" w:sz="4" w:space="0"/>
              <w:bottom w:val="single" w:color="000000" w:sz="4" w:space="0"/>
              <w:right w:val="single" w:color="000000" w:sz="4" w:space="0"/>
            </w:tcBorders>
            <w:noWrap w:val="0"/>
            <w:vAlign w:val="center"/>
          </w:tcPr>
          <w:p w14:paraId="1619C25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违法行为</w:t>
            </w:r>
          </w:p>
        </w:tc>
        <w:tc>
          <w:tcPr>
            <w:tcW w:w="3753" w:type="dxa"/>
            <w:tcBorders>
              <w:top w:val="single" w:color="000000" w:sz="4" w:space="0"/>
              <w:left w:val="single" w:color="000000" w:sz="4" w:space="0"/>
              <w:bottom w:val="single" w:color="000000" w:sz="4" w:space="0"/>
              <w:right w:val="single" w:color="000000" w:sz="4" w:space="0"/>
            </w:tcBorders>
            <w:noWrap w:val="0"/>
            <w:vAlign w:val="center"/>
          </w:tcPr>
          <w:p w14:paraId="018498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处罚依据</w:t>
            </w:r>
          </w:p>
        </w:tc>
        <w:tc>
          <w:tcPr>
            <w:tcW w:w="2603" w:type="dxa"/>
            <w:gridSpan w:val="2"/>
            <w:tcBorders>
              <w:top w:val="single" w:color="000000" w:sz="4" w:space="0"/>
              <w:left w:val="single" w:color="000000" w:sz="4" w:space="0"/>
              <w:bottom w:val="single" w:color="000000" w:sz="4" w:space="0"/>
              <w:right w:val="single" w:color="000000" w:sz="4" w:space="0"/>
            </w:tcBorders>
            <w:noWrap w:val="0"/>
            <w:vAlign w:val="center"/>
          </w:tcPr>
          <w:p w14:paraId="3DD162E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适用条件</w:t>
            </w:r>
          </w:p>
        </w:tc>
      </w:tr>
      <w:tr w14:paraId="14711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trPr>
        <w:tc>
          <w:tcPr>
            <w:tcW w:w="765" w:type="dxa"/>
            <w:tcBorders>
              <w:top w:val="single" w:color="000000" w:sz="4" w:space="0"/>
              <w:left w:val="single" w:color="000000" w:sz="4" w:space="0"/>
              <w:bottom w:val="single" w:color="000000" w:sz="4" w:space="0"/>
              <w:right w:val="single" w:color="000000" w:sz="4" w:space="0"/>
            </w:tcBorders>
            <w:noWrap w:val="0"/>
            <w:vAlign w:val="center"/>
          </w:tcPr>
          <w:p w14:paraId="361EFFB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1515" w:type="dxa"/>
            <w:gridSpan w:val="2"/>
            <w:tcBorders>
              <w:top w:val="single" w:color="000000" w:sz="4" w:space="0"/>
              <w:left w:val="single" w:color="000000" w:sz="4" w:space="0"/>
              <w:bottom w:val="single" w:color="000000" w:sz="4" w:space="0"/>
              <w:right w:val="single" w:color="000000" w:sz="4" w:space="0"/>
            </w:tcBorders>
            <w:noWrap w:val="0"/>
            <w:vAlign w:val="center"/>
          </w:tcPr>
          <w:p w14:paraId="2FFEAD4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侵占人民防空工程的</w:t>
            </w:r>
          </w:p>
        </w:tc>
        <w:tc>
          <w:tcPr>
            <w:tcW w:w="3753" w:type="dxa"/>
            <w:tcBorders>
              <w:top w:val="single" w:color="000000" w:sz="4" w:space="0"/>
              <w:left w:val="single" w:color="000000" w:sz="4" w:space="0"/>
              <w:bottom w:val="single" w:color="000000" w:sz="4" w:space="0"/>
              <w:right w:val="single" w:color="000000" w:sz="4" w:space="0"/>
            </w:tcBorders>
            <w:noWrap w:val="0"/>
            <w:vAlign w:val="center"/>
          </w:tcPr>
          <w:p w14:paraId="401E35F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华人民共和国人民防空法》第四十九条：有下列行为之一的，由县级以上人民政府人民防空主管部门对当事人给予警告，并责令限期改正违法行为，可以对个人并处五千元以下的罚款、对单位并处一万元至五万元的罚款；造成损失的，应当依法赔偿损失。</w:t>
            </w:r>
          </w:p>
        </w:tc>
        <w:tc>
          <w:tcPr>
            <w:tcW w:w="2603" w:type="dxa"/>
            <w:gridSpan w:val="2"/>
            <w:tcBorders>
              <w:top w:val="single" w:color="000000" w:sz="4" w:space="0"/>
              <w:left w:val="single" w:color="000000" w:sz="4" w:space="0"/>
              <w:bottom w:val="single" w:color="000000" w:sz="4" w:space="0"/>
              <w:right w:val="single" w:color="000000" w:sz="4" w:space="0"/>
            </w:tcBorders>
            <w:noWrap w:val="0"/>
            <w:vAlign w:val="center"/>
          </w:tcPr>
          <w:p w14:paraId="72119EB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占用人防工程面积在100-200平方米以内，经查实后主动改正并消除违法后果。</w:t>
            </w:r>
          </w:p>
        </w:tc>
      </w:tr>
      <w:tr w14:paraId="3B8D6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trPr>
        <w:tc>
          <w:tcPr>
            <w:tcW w:w="765" w:type="dxa"/>
            <w:tcBorders>
              <w:top w:val="single" w:color="000000" w:sz="4" w:space="0"/>
              <w:left w:val="single" w:color="000000" w:sz="4" w:space="0"/>
              <w:bottom w:val="single" w:color="000000" w:sz="4" w:space="0"/>
              <w:right w:val="single" w:color="000000" w:sz="4" w:space="0"/>
            </w:tcBorders>
            <w:noWrap w:val="0"/>
            <w:vAlign w:val="center"/>
          </w:tcPr>
          <w:p w14:paraId="355536E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1515" w:type="dxa"/>
            <w:gridSpan w:val="2"/>
            <w:tcBorders>
              <w:top w:val="single" w:color="000000" w:sz="4" w:space="0"/>
              <w:left w:val="single" w:color="000000" w:sz="4" w:space="0"/>
              <w:bottom w:val="single" w:color="000000" w:sz="4" w:space="0"/>
              <w:right w:val="single" w:color="000000" w:sz="4" w:space="0"/>
            </w:tcBorders>
            <w:noWrap w:val="0"/>
            <w:vAlign w:val="center"/>
          </w:tcPr>
          <w:p w14:paraId="3E60FDE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向人民防空工程内排入废水、废气或者倾倒废弃物的</w:t>
            </w:r>
          </w:p>
        </w:tc>
        <w:tc>
          <w:tcPr>
            <w:tcW w:w="3753" w:type="dxa"/>
            <w:tcBorders>
              <w:top w:val="single" w:color="000000" w:sz="4" w:space="0"/>
              <w:left w:val="single" w:color="000000" w:sz="4" w:space="0"/>
              <w:bottom w:val="single" w:color="000000" w:sz="4" w:space="0"/>
              <w:right w:val="single" w:color="000000" w:sz="4" w:space="0"/>
            </w:tcBorders>
            <w:noWrap w:val="0"/>
            <w:vAlign w:val="center"/>
          </w:tcPr>
          <w:p w14:paraId="21CF3E6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华人民共和国人民防空法》第四十九条：有下列行为之一的，由县级以上人民政府人民防空主管部门对当事人给予警告，并责令限期改正违法行为，可以对个人并处五千元以下的罚款、对单位并处一万元至五万元的罚款；造成损失的，应当依法赔偿损失。</w:t>
            </w:r>
          </w:p>
        </w:tc>
        <w:tc>
          <w:tcPr>
            <w:tcW w:w="2603" w:type="dxa"/>
            <w:gridSpan w:val="2"/>
            <w:tcBorders>
              <w:top w:val="single" w:color="000000" w:sz="4" w:space="0"/>
              <w:left w:val="single" w:color="000000" w:sz="4" w:space="0"/>
              <w:bottom w:val="single" w:color="000000" w:sz="4" w:space="0"/>
              <w:right w:val="single" w:color="000000" w:sz="4" w:space="0"/>
            </w:tcBorders>
            <w:noWrap w:val="0"/>
            <w:vAlign w:val="center"/>
          </w:tcPr>
          <w:p w14:paraId="0C4E470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具有造成人防设备设施污损或其他影响使用的情节，经查实后主动改正并消除违法后果。</w:t>
            </w:r>
          </w:p>
        </w:tc>
      </w:tr>
      <w:tr w14:paraId="09251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636" w:type="dxa"/>
            <w:gridSpan w:val="6"/>
            <w:tcBorders>
              <w:top w:val="nil"/>
              <w:left w:val="nil"/>
              <w:bottom w:val="nil"/>
              <w:right w:val="nil"/>
            </w:tcBorders>
            <w:noWrap/>
            <w:vAlign w:val="center"/>
          </w:tcPr>
          <w:p w14:paraId="1AA395AC">
            <w:pPr>
              <w:keepNext w:val="0"/>
              <w:keepLines w:val="0"/>
              <w:pageBreakBefore w:val="0"/>
              <w:widowControl w:val="0"/>
              <w:kinsoku/>
              <w:wordWrap/>
              <w:overflowPunct/>
              <w:topLinePunct w:val="0"/>
              <w:autoSpaceDE/>
              <w:bidi w:val="0"/>
              <w:adjustRightInd/>
              <w:snapToGrid/>
              <w:spacing w:line="576" w:lineRule="atLeast"/>
              <w:textAlignment w:val="auto"/>
              <w:rPr>
                <w:rFonts w:hint="eastAsia" w:ascii="楷体_GB2312" w:hAnsi="楷体_GB2312" w:eastAsia="楷体_GB2312" w:cs="楷体_GB2312"/>
                <w:i w:val="0"/>
                <w:caps w:val="0"/>
                <w:color w:val="000000"/>
                <w:spacing w:val="0"/>
                <w:kern w:val="0"/>
                <w:sz w:val="11"/>
                <w:szCs w:val="11"/>
                <w:shd w:val="clear" w:color="auto" w:fill="FFFFFF"/>
                <w:lang w:val="en-US" w:eastAsia="zh-CN" w:bidi="ar"/>
              </w:rPr>
            </w:pPr>
          </w:p>
          <w:p w14:paraId="5FF5BD84">
            <w:pPr>
              <w:keepNext w:val="0"/>
              <w:keepLines w:val="0"/>
              <w:pageBreakBefore w:val="0"/>
              <w:widowControl w:val="0"/>
              <w:kinsoku/>
              <w:wordWrap/>
              <w:overflowPunct/>
              <w:topLinePunct w:val="0"/>
              <w:autoSpaceDE/>
              <w:bidi w:val="0"/>
              <w:adjustRightInd/>
              <w:snapToGrid/>
              <w:spacing w:line="576" w:lineRule="atLeast"/>
              <w:ind w:firstLine="320" w:firstLineChars="100"/>
              <w:textAlignment w:val="auto"/>
              <w:rPr>
                <w:rFonts w:hint="eastAsia" w:ascii="仿宋" w:hAnsi="仿宋" w:eastAsia="仿宋" w:cs="宋体"/>
                <w:sz w:val="21"/>
                <w:szCs w:val="21"/>
              </w:rPr>
            </w:pPr>
            <w:r>
              <w:rPr>
                <w:rFonts w:hint="eastAsia" w:ascii="楷体_GB2312" w:hAnsi="楷体_GB2312" w:eastAsia="楷体_GB2312" w:cs="楷体_GB2312"/>
                <w:i w:val="0"/>
                <w:caps w:val="0"/>
                <w:color w:val="000000"/>
                <w:spacing w:val="0"/>
                <w:kern w:val="0"/>
                <w:sz w:val="32"/>
                <w:szCs w:val="32"/>
                <w:shd w:val="clear" w:color="auto" w:fill="FFFFFF"/>
                <w:lang w:val="en-US" w:eastAsia="zh-CN" w:bidi="ar"/>
              </w:rPr>
              <w:t>（四）剑阁县人民政府国防动员办公室减轻处罚清单</w:t>
            </w:r>
          </w:p>
        </w:tc>
      </w:tr>
      <w:tr w14:paraId="0A9D7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765" w:type="dxa"/>
            <w:tcBorders>
              <w:top w:val="single" w:color="000000" w:sz="4" w:space="0"/>
              <w:left w:val="single" w:color="000000" w:sz="4" w:space="0"/>
              <w:bottom w:val="single" w:color="000000" w:sz="4" w:space="0"/>
              <w:right w:val="single" w:color="000000" w:sz="4" w:space="0"/>
            </w:tcBorders>
            <w:noWrap w:val="0"/>
            <w:vAlign w:val="center"/>
          </w:tcPr>
          <w:p w14:paraId="39F6027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序号</w:t>
            </w:r>
          </w:p>
        </w:tc>
        <w:tc>
          <w:tcPr>
            <w:tcW w:w="1313" w:type="dxa"/>
            <w:tcBorders>
              <w:top w:val="single" w:color="000000" w:sz="4" w:space="0"/>
              <w:left w:val="single" w:color="000000" w:sz="4" w:space="0"/>
              <w:bottom w:val="single" w:color="000000" w:sz="4" w:space="0"/>
              <w:right w:val="single" w:color="000000" w:sz="4" w:space="0"/>
            </w:tcBorders>
            <w:noWrap w:val="0"/>
            <w:vAlign w:val="center"/>
          </w:tcPr>
          <w:p w14:paraId="08C4E36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违法行为</w:t>
            </w:r>
          </w:p>
        </w:tc>
        <w:tc>
          <w:tcPr>
            <w:tcW w:w="4300" w:type="dxa"/>
            <w:gridSpan w:val="3"/>
            <w:tcBorders>
              <w:top w:val="single" w:color="000000" w:sz="4" w:space="0"/>
              <w:left w:val="single" w:color="000000" w:sz="4" w:space="0"/>
              <w:bottom w:val="single" w:color="000000" w:sz="4" w:space="0"/>
              <w:right w:val="single" w:color="000000" w:sz="4" w:space="0"/>
            </w:tcBorders>
            <w:noWrap w:val="0"/>
            <w:vAlign w:val="center"/>
          </w:tcPr>
          <w:p w14:paraId="360A658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处罚依据</w:t>
            </w:r>
          </w:p>
        </w:tc>
        <w:tc>
          <w:tcPr>
            <w:tcW w:w="2258" w:type="dxa"/>
            <w:tcBorders>
              <w:top w:val="single" w:color="000000" w:sz="4" w:space="0"/>
              <w:left w:val="single" w:color="000000" w:sz="4" w:space="0"/>
              <w:bottom w:val="single" w:color="000000" w:sz="4" w:space="0"/>
              <w:right w:val="single" w:color="000000" w:sz="4" w:space="0"/>
            </w:tcBorders>
            <w:noWrap w:val="0"/>
            <w:vAlign w:val="center"/>
          </w:tcPr>
          <w:p w14:paraId="6711CEC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适用条件</w:t>
            </w:r>
          </w:p>
        </w:tc>
      </w:tr>
      <w:tr w14:paraId="7FAFE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2" w:hRule="atLeast"/>
        </w:trPr>
        <w:tc>
          <w:tcPr>
            <w:tcW w:w="765" w:type="dxa"/>
            <w:tcBorders>
              <w:top w:val="single" w:color="000000" w:sz="4" w:space="0"/>
              <w:left w:val="single" w:color="000000" w:sz="4" w:space="0"/>
              <w:bottom w:val="single" w:color="000000" w:sz="4" w:space="0"/>
              <w:right w:val="single" w:color="000000" w:sz="4" w:space="0"/>
            </w:tcBorders>
            <w:noWrap w:val="0"/>
            <w:vAlign w:val="center"/>
          </w:tcPr>
          <w:p w14:paraId="1DB258D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1515" w:type="dxa"/>
            <w:gridSpan w:val="2"/>
            <w:tcBorders>
              <w:top w:val="single" w:color="000000" w:sz="4" w:space="0"/>
              <w:left w:val="single" w:color="000000" w:sz="4" w:space="0"/>
              <w:bottom w:val="single" w:color="000000" w:sz="4" w:space="0"/>
              <w:right w:val="single" w:color="000000" w:sz="4" w:space="0"/>
            </w:tcBorders>
            <w:noWrap w:val="0"/>
            <w:vAlign w:val="center"/>
          </w:tcPr>
          <w:p w14:paraId="650FD08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侵占人民防空工程的</w:t>
            </w:r>
          </w:p>
        </w:tc>
        <w:tc>
          <w:tcPr>
            <w:tcW w:w="4098" w:type="dxa"/>
            <w:gridSpan w:val="2"/>
            <w:tcBorders>
              <w:top w:val="single" w:color="000000" w:sz="4" w:space="0"/>
              <w:left w:val="single" w:color="000000" w:sz="4" w:space="0"/>
              <w:bottom w:val="single" w:color="000000" w:sz="4" w:space="0"/>
              <w:right w:val="single" w:color="000000" w:sz="4" w:space="0"/>
            </w:tcBorders>
            <w:noWrap w:val="0"/>
            <w:vAlign w:val="center"/>
          </w:tcPr>
          <w:p w14:paraId="260D885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华人民共和国人民防空法》第四十九条：有下列行为之一的，由县级以上人民政府人民防空主管部门对当事人给予警告，并责令限期改正违法行为，可以对个人并处五千元以下的罚款、对单位并处一万元至五万元的罚款；造成损失的，应当依法赔偿损失。</w:t>
            </w:r>
          </w:p>
        </w:tc>
        <w:tc>
          <w:tcPr>
            <w:tcW w:w="2258" w:type="dxa"/>
            <w:tcBorders>
              <w:top w:val="single" w:color="000000" w:sz="4" w:space="0"/>
              <w:left w:val="single" w:color="000000" w:sz="4" w:space="0"/>
              <w:bottom w:val="single" w:color="000000" w:sz="4" w:space="0"/>
              <w:right w:val="single" w:color="000000" w:sz="4" w:space="0"/>
            </w:tcBorders>
            <w:noWrap w:val="0"/>
            <w:vAlign w:val="center"/>
          </w:tcPr>
          <w:p w14:paraId="422E59F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占用人防工程面积在1-100平方米以内，经查实后主动改正并消除违法后果。</w:t>
            </w:r>
          </w:p>
        </w:tc>
      </w:tr>
    </w:tbl>
    <w:p w14:paraId="68B50919">
      <w:pPr>
        <w:pStyle w:val="4"/>
        <w:keepNext w:val="0"/>
        <w:keepLines w:val="0"/>
        <w:pageBreakBefore w:val="0"/>
        <w:widowControl w:val="0"/>
        <w:numPr>
          <w:ilvl w:val="0"/>
          <w:numId w:val="0"/>
        </w:numPr>
        <w:kinsoku/>
        <w:wordWrap/>
        <w:overflowPunct/>
        <w:topLinePunct w:val="0"/>
        <w:autoSpaceDE/>
        <w:autoSpaceDN/>
        <w:bidi w:val="0"/>
        <w:adjustRightInd/>
        <w:snapToGrid/>
        <w:spacing w:line="576" w:lineRule="atLeast"/>
        <w:ind w:right="210" w:rightChars="100" w:firstLine="560" w:firstLineChars="200"/>
        <w:textAlignment w:val="auto"/>
        <w:rPr>
          <w:rFonts w:hint="eastAsia" w:ascii="黑体" w:hAnsi="黑体" w:eastAsia="黑体" w:cs="黑体"/>
          <w:b w:val="0"/>
          <w:bCs w:val="0"/>
          <w:i w:val="0"/>
          <w:caps w:val="0"/>
          <w:color w:val="000000"/>
          <w:spacing w:val="-20"/>
          <w:kern w:val="0"/>
          <w:sz w:val="32"/>
          <w:szCs w:val="32"/>
          <w:shd w:val="clear" w:color="auto" w:fill="FFFFFF"/>
          <w:lang w:val="en-US" w:eastAsia="zh-CN" w:bidi="ar"/>
        </w:rPr>
      </w:pPr>
      <w:r>
        <w:rPr>
          <w:rFonts w:hint="eastAsia" w:ascii="黑体" w:hAnsi="黑体" w:eastAsia="黑体" w:cs="黑体"/>
          <w:b w:val="0"/>
          <w:bCs w:val="0"/>
          <w:i w:val="0"/>
          <w:caps w:val="0"/>
          <w:color w:val="000000"/>
          <w:spacing w:val="-20"/>
          <w:kern w:val="0"/>
          <w:sz w:val="32"/>
          <w:szCs w:val="32"/>
          <w:shd w:val="clear" w:color="auto" w:fill="FFFFFF"/>
          <w:lang w:val="en-US" w:eastAsia="zh-CN" w:bidi="ar"/>
        </w:rPr>
        <w:t>十二、剑阁县人民政府国防动员办公室行政执法事项目录清单</w:t>
      </w:r>
    </w:p>
    <w:tbl>
      <w:tblPr>
        <w:tblStyle w:val="11"/>
        <w:tblW w:w="0" w:type="auto"/>
        <w:tblInd w:w="2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5"/>
        <w:gridCol w:w="702"/>
        <w:gridCol w:w="1600"/>
        <w:gridCol w:w="4838"/>
      </w:tblGrid>
      <w:tr w14:paraId="0AA3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515" w:type="dxa"/>
            <w:vAlign w:val="center"/>
          </w:tcPr>
          <w:p w14:paraId="67D559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单位</w:t>
            </w:r>
          </w:p>
        </w:tc>
        <w:tc>
          <w:tcPr>
            <w:tcW w:w="702" w:type="dxa"/>
            <w:vAlign w:val="center"/>
          </w:tcPr>
          <w:p w14:paraId="012B9B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序号</w:t>
            </w:r>
          </w:p>
        </w:tc>
        <w:tc>
          <w:tcPr>
            <w:tcW w:w="1600" w:type="dxa"/>
            <w:vAlign w:val="center"/>
          </w:tcPr>
          <w:p w14:paraId="24E1A80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行政执法</w:t>
            </w:r>
          </w:p>
          <w:p w14:paraId="2406BE8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类型</w:t>
            </w:r>
          </w:p>
        </w:tc>
        <w:tc>
          <w:tcPr>
            <w:tcW w:w="4838" w:type="dxa"/>
            <w:vAlign w:val="center"/>
          </w:tcPr>
          <w:p w14:paraId="07021A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行政执法事项</w:t>
            </w:r>
          </w:p>
        </w:tc>
      </w:tr>
      <w:tr w14:paraId="4420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515" w:type="dxa"/>
            <w:vAlign w:val="center"/>
          </w:tcPr>
          <w:p w14:paraId="37F23E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20DFDA2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600" w:type="dxa"/>
            <w:vAlign w:val="center"/>
          </w:tcPr>
          <w:p w14:paraId="320D53C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行政许可</w:t>
            </w:r>
          </w:p>
        </w:tc>
        <w:tc>
          <w:tcPr>
            <w:tcW w:w="4838" w:type="dxa"/>
            <w:vAlign w:val="center"/>
          </w:tcPr>
          <w:p w14:paraId="697430A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应建防空地下室的民用建设项目报建审批</w:t>
            </w:r>
          </w:p>
        </w:tc>
      </w:tr>
      <w:tr w14:paraId="6E07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515" w:type="dxa"/>
            <w:vAlign w:val="center"/>
          </w:tcPr>
          <w:p w14:paraId="2FBEE0F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6E0027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600" w:type="dxa"/>
            <w:vAlign w:val="center"/>
          </w:tcPr>
          <w:p w14:paraId="3D3A568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行政许可</w:t>
            </w:r>
          </w:p>
        </w:tc>
        <w:tc>
          <w:tcPr>
            <w:tcW w:w="4838" w:type="dxa"/>
            <w:vAlign w:val="center"/>
          </w:tcPr>
          <w:p w14:paraId="5EF265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拆除人民防空工程审批</w:t>
            </w:r>
          </w:p>
        </w:tc>
      </w:tr>
      <w:tr w14:paraId="4B74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515" w:type="dxa"/>
            <w:vAlign w:val="center"/>
          </w:tcPr>
          <w:p w14:paraId="55B369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521B7F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00" w:type="dxa"/>
            <w:vAlign w:val="center"/>
          </w:tcPr>
          <w:p w14:paraId="7D2CBA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行政处罚</w:t>
            </w:r>
          </w:p>
        </w:tc>
        <w:tc>
          <w:tcPr>
            <w:tcW w:w="4838" w:type="dxa"/>
            <w:vAlign w:val="center"/>
          </w:tcPr>
          <w:p w14:paraId="7DF868B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对城市新建民用建筑不修建防空地下室的处罚</w:t>
            </w:r>
          </w:p>
        </w:tc>
      </w:tr>
      <w:tr w14:paraId="4004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15" w:type="dxa"/>
            <w:vAlign w:val="center"/>
          </w:tcPr>
          <w:p w14:paraId="23797BE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644964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1600" w:type="dxa"/>
            <w:vAlign w:val="center"/>
          </w:tcPr>
          <w:p w14:paraId="6868D7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行政处罚</w:t>
            </w:r>
          </w:p>
        </w:tc>
        <w:tc>
          <w:tcPr>
            <w:tcW w:w="4838" w:type="dxa"/>
            <w:vAlign w:val="center"/>
          </w:tcPr>
          <w:p w14:paraId="4DF3C8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对危害人民防空安全行为的处罚</w:t>
            </w:r>
          </w:p>
        </w:tc>
      </w:tr>
      <w:tr w14:paraId="1B97D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515" w:type="dxa"/>
            <w:vAlign w:val="center"/>
          </w:tcPr>
          <w:p w14:paraId="4A886E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540B195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600" w:type="dxa"/>
            <w:vAlign w:val="center"/>
          </w:tcPr>
          <w:p w14:paraId="36459D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行政检查</w:t>
            </w:r>
          </w:p>
        </w:tc>
        <w:tc>
          <w:tcPr>
            <w:tcW w:w="4838" w:type="dxa"/>
            <w:vAlign w:val="center"/>
          </w:tcPr>
          <w:p w14:paraId="463D79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对人民防空工程的维护管理进行监督检查</w:t>
            </w:r>
          </w:p>
        </w:tc>
      </w:tr>
      <w:tr w14:paraId="764B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vAlign w:val="center"/>
          </w:tcPr>
          <w:p w14:paraId="5216BB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58804A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600" w:type="dxa"/>
            <w:vAlign w:val="center"/>
          </w:tcPr>
          <w:p w14:paraId="1DD29D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行政检查</w:t>
            </w:r>
          </w:p>
        </w:tc>
        <w:tc>
          <w:tcPr>
            <w:tcW w:w="4838" w:type="dxa"/>
            <w:vAlign w:val="center"/>
          </w:tcPr>
          <w:p w14:paraId="1E6D1C1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对城市和重要经济目标的人民防空建设进行监督</w:t>
            </w:r>
          </w:p>
          <w:p w14:paraId="63F5E2C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检查</w:t>
            </w:r>
          </w:p>
        </w:tc>
      </w:tr>
      <w:tr w14:paraId="6FE9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vAlign w:val="center"/>
          </w:tcPr>
          <w:p w14:paraId="1489580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20B92A7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1600" w:type="dxa"/>
            <w:vAlign w:val="center"/>
          </w:tcPr>
          <w:p w14:paraId="78BB3BE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行政征收</w:t>
            </w:r>
          </w:p>
        </w:tc>
        <w:tc>
          <w:tcPr>
            <w:tcW w:w="4838" w:type="dxa"/>
            <w:vAlign w:val="center"/>
          </w:tcPr>
          <w:p w14:paraId="1A94C81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对人防工程易地建设费的征收</w:t>
            </w:r>
          </w:p>
        </w:tc>
      </w:tr>
      <w:tr w14:paraId="7D57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vAlign w:val="center"/>
          </w:tcPr>
          <w:p w14:paraId="598B34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57C8AE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1600" w:type="dxa"/>
            <w:vAlign w:val="center"/>
          </w:tcPr>
          <w:p w14:paraId="2A754C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行政强制</w:t>
            </w:r>
          </w:p>
        </w:tc>
        <w:tc>
          <w:tcPr>
            <w:tcW w:w="4838" w:type="dxa"/>
            <w:vAlign w:val="center"/>
          </w:tcPr>
          <w:p w14:paraId="55F9C82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加处罚款与加收滞纳金</w:t>
            </w:r>
          </w:p>
        </w:tc>
      </w:tr>
      <w:tr w14:paraId="30C4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vAlign w:val="center"/>
          </w:tcPr>
          <w:p w14:paraId="0EADBEB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780920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1600" w:type="dxa"/>
            <w:vAlign w:val="center"/>
          </w:tcPr>
          <w:p w14:paraId="515DB7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行政奖励</w:t>
            </w:r>
          </w:p>
        </w:tc>
        <w:tc>
          <w:tcPr>
            <w:tcW w:w="4838" w:type="dxa"/>
            <w:vAlign w:val="center"/>
          </w:tcPr>
          <w:p w14:paraId="0C13ED1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对先进单位或个人的表彰奖励</w:t>
            </w:r>
          </w:p>
        </w:tc>
      </w:tr>
      <w:tr w14:paraId="18DF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vAlign w:val="center"/>
          </w:tcPr>
          <w:p w14:paraId="4598AB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28A1BB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1600" w:type="dxa"/>
            <w:vAlign w:val="center"/>
          </w:tcPr>
          <w:p w14:paraId="6B20F7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公共服务</w:t>
            </w:r>
          </w:p>
        </w:tc>
        <w:tc>
          <w:tcPr>
            <w:tcW w:w="4838" w:type="dxa"/>
            <w:vAlign w:val="center"/>
          </w:tcPr>
          <w:p w14:paraId="53445B1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人民防空工程平时使用备案</w:t>
            </w:r>
          </w:p>
        </w:tc>
      </w:tr>
      <w:tr w14:paraId="25C77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vAlign w:val="center"/>
          </w:tcPr>
          <w:p w14:paraId="10FFECC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108D7ED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1600" w:type="dxa"/>
            <w:vAlign w:val="center"/>
          </w:tcPr>
          <w:p w14:paraId="480A2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其他行政权力</w:t>
            </w:r>
          </w:p>
        </w:tc>
        <w:tc>
          <w:tcPr>
            <w:tcW w:w="4838" w:type="dxa"/>
            <w:vAlign w:val="center"/>
          </w:tcPr>
          <w:p w14:paraId="7E447C0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城市地下空间的规划和开发利用审批</w:t>
            </w:r>
          </w:p>
        </w:tc>
      </w:tr>
      <w:tr w14:paraId="0343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515" w:type="dxa"/>
            <w:vAlign w:val="center"/>
          </w:tcPr>
          <w:p w14:paraId="7EF892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剑阁县国动办</w:t>
            </w:r>
          </w:p>
        </w:tc>
        <w:tc>
          <w:tcPr>
            <w:tcW w:w="702" w:type="dxa"/>
            <w:vAlign w:val="center"/>
          </w:tcPr>
          <w:p w14:paraId="41F7A4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1600" w:type="dxa"/>
            <w:vAlign w:val="center"/>
          </w:tcPr>
          <w:p w14:paraId="0CEBFC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其他行政权力</w:t>
            </w:r>
          </w:p>
        </w:tc>
        <w:tc>
          <w:tcPr>
            <w:tcW w:w="4838" w:type="dxa"/>
            <w:vAlign w:val="center"/>
          </w:tcPr>
          <w:p w14:paraId="2F3B409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核实落实人民防空要求</w:t>
            </w:r>
          </w:p>
        </w:tc>
      </w:tr>
    </w:tbl>
    <w:p w14:paraId="333FF488">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sz w:val="21"/>
          <w:szCs w:val="21"/>
          <w:lang w:val="en-US" w:eastAsia="zh-CN"/>
        </w:rPr>
      </w:pPr>
    </w:p>
    <w:sectPr>
      <w:footerReference r:id="rId3" w:type="default"/>
      <w:pgSz w:w="11906" w:h="16838"/>
      <w:pgMar w:top="2098" w:right="1474" w:bottom="1984" w:left="1588" w:header="851" w:footer="158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8CA973-6E4B-49C1-B46B-0FF90D3A943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C47641F6-5E0D-4D6A-8315-C8F5A5F3494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3" w:fontKey="{FEC23CF9-9752-4692-8B39-85BC9D29D2AC}"/>
  </w:font>
  <w:font w:name="仿宋_GB2312">
    <w:panose1 w:val="02010609030101010101"/>
    <w:charset w:val="86"/>
    <w:family w:val="modern"/>
    <w:pitch w:val="default"/>
    <w:sig w:usb0="00000001" w:usb1="080E0000" w:usb2="00000000" w:usb3="00000000" w:csb0="00040000" w:csb1="00000000"/>
    <w:embedRegular r:id="rId4" w:fontKey="{21FC15A0-E4EB-4CA5-AF7B-BE0CA889B2D0}"/>
  </w:font>
  <w:font w:name="华文仿宋">
    <w:panose1 w:val="02010600040101010101"/>
    <w:charset w:val="86"/>
    <w:family w:val="auto"/>
    <w:pitch w:val="default"/>
    <w:sig w:usb0="00000287" w:usb1="080F0000" w:usb2="00000000" w:usb3="00000000" w:csb0="0004009F" w:csb1="DFD70000"/>
    <w:embedRegular r:id="rId5" w:fontKey="{9BBBD2B0-898A-47CA-9AC9-DD452139F69D}"/>
  </w:font>
  <w:font w:name="CESI小标宋-GB13000">
    <w:altName w:val="宋体"/>
    <w:panose1 w:val="02000500000000000000"/>
    <w:charset w:val="86"/>
    <w:family w:val="auto"/>
    <w:pitch w:val="default"/>
    <w:sig w:usb0="00000000" w:usb1="00000000" w:usb2="00000016" w:usb3="00000000" w:csb0="0004000F" w:csb1="00000000"/>
    <w:embedRegular r:id="rId6" w:fontKey="{A378E636-D605-439A-A6BF-38AE773FE042}"/>
  </w:font>
  <w:font w:name="??_GB2312">
    <w:altName w:val="Times New Roman"/>
    <w:panose1 w:val="00000000000000000000"/>
    <w:charset w:val="00"/>
    <w:family w:val="auto"/>
    <w:pitch w:val="default"/>
    <w:sig w:usb0="00000000" w:usb1="00000000" w:usb2="00000000" w:usb3="00000000" w:csb0="00000001" w:csb1="00000000"/>
  </w:font>
  <w:font w:name="楷体_GB2312">
    <w:panose1 w:val="02010609030101010101"/>
    <w:charset w:val="86"/>
    <w:family w:val="auto"/>
    <w:pitch w:val="default"/>
    <w:sig w:usb0="00000001" w:usb1="080E0000" w:usb2="00000000" w:usb3="00000000" w:csb0="00040000" w:csb1="00000000"/>
    <w:embedRegular r:id="rId7" w:fontKey="{A5095827-BF20-4B99-9AF8-4A326F0DB767}"/>
  </w:font>
  <w:font w:name="仿宋">
    <w:panose1 w:val="02010609060101010101"/>
    <w:charset w:val="86"/>
    <w:family w:val="auto"/>
    <w:pitch w:val="default"/>
    <w:sig w:usb0="800002BF" w:usb1="38CF7CFA" w:usb2="00000016" w:usb3="00000000" w:csb0="00040001" w:csb1="00000000"/>
    <w:embedRegular r:id="rId8" w:fontKey="{AA6DA8CB-96AC-45F6-9DEF-FB3B16494D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1EE1C">
    <w:pPr>
      <w:pStyle w:val="6"/>
      <w:framePr w:wrap="around" w:vAnchor="text" w:hAnchor="margin" w:xAlign="center" w:y="1"/>
      <w:rPr>
        <w:rStyle w:val="14"/>
        <w:rFonts w:cs="Times New Roman"/>
      </w:rP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p w14:paraId="26B8CDF7">
    <w:pPr>
      <w:pStyle w:val="6"/>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274B9"/>
    <w:multiLevelType w:val="singleLevel"/>
    <w:tmpl w:val="CFF274B9"/>
    <w:lvl w:ilvl="0" w:tentative="0">
      <w:start w:val="1"/>
      <w:numFmt w:val="chineseCounting"/>
      <w:suff w:val="nothing"/>
      <w:lvlText w:val="（%1）"/>
      <w:lvlJc w:val="left"/>
      <w:rPr>
        <w:rFonts w:hint="eastAsia"/>
      </w:rPr>
    </w:lvl>
  </w:abstractNum>
  <w:abstractNum w:abstractNumId="1">
    <w:nsid w:val="F9E14C0C"/>
    <w:multiLevelType w:val="singleLevel"/>
    <w:tmpl w:val="F9E14C0C"/>
    <w:lvl w:ilvl="0" w:tentative="0">
      <w:start w:val="1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oNotHyphenateCaps/>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0172A27"/>
    <w:rsid w:val="0000748B"/>
    <w:rsid w:val="000876A9"/>
    <w:rsid w:val="000C20BA"/>
    <w:rsid w:val="000C5578"/>
    <w:rsid w:val="00155C44"/>
    <w:rsid w:val="001A0F37"/>
    <w:rsid w:val="001E6546"/>
    <w:rsid w:val="0024447D"/>
    <w:rsid w:val="00292C79"/>
    <w:rsid w:val="002A0235"/>
    <w:rsid w:val="003B1E94"/>
    <w:rsid w:val="003C4D35"/>
    <w:rsid w:val="0046145F"/>
    <w:rsid w:val="004E76B5"/>
    <w:rsid w:val="0053234A"/>
    <w:rsid w:val="005F7458"/>
    <w:rsid w:val="00670050"/>
    <w:rsid w:val="00672583"/>
    <w:rsid w:val="006850C6"/>
    <w:rsid w:val="00701931"/>
    <w:rsid w:val="00773316"/>
    <w:rsid w:val="00795042"/>
    <w:rsid w:val="00822E89"/>
    <w:rsid w:val="00871CF4"/>
    <w:rsid w:val="0087709B"/>
    <w:rsid w:val="00883892"/>
    <w:rsid w:val="008A10C7"/>
    <w:rsid w:val="008C60A4"/>
    <w:rsid w:val="00935BF9"/>
    <w:rsid w:val="00940E78"/>
    <w:rsid w:val="009A4077"/>
    <w:rsid w:val="009E3903"/>
    <w:rsid w:val="009E4AE4"/>
    <w:rsid w:val="009F12BF"/>
    <w:rsid w:val="00A82D88"/>
    <w:rsid w:val="00AC007B"/>
    <w:rsid w:val="00AE4DB6"/>
    <w:rsid w:val="00B25B70"/>
    <w:rsid w:val="00B91F5A"/>
    <w:rsid w:val="00C32413"/>
    <w:rsid w:val="00CC57BE"/>
    <w:rsid w:val="00CD4669"/>
    <w:rsid w:val="00DC7F81"/>
    <w:rsid w:val="00E0577E"/>
    <w:rsid w:val="00E554C5"/>
    <w:rsid w:val="00EB6BA9"/>
    <w:rsid w:val="00EC3FE9"/>
    <w:rsid w:val="09991865"/>
    <w:rsid w:val="15525B2A"/>
    <w:rsid w:val="16112EB8"/>
    <w:rsid w:val="2F4C2977"/>
    <w:rsid w:val="2FAB79C0"/>
    <w:rsid w:val="31FB07E1"/>
    <w:rsid w:val="33C94E55"/>
    <w:rsid w:val="38925333"/>
    <w:rsid w:val="3BC40C04"/>
    <w:rsid w:val="3D73C9F1"/>
    <w:rsid w:val="3E176813"/>
    <w:rsid w:val="3FEF8733"/>
    <w:rsid w:val="3FF90E6C"/>
    <w:rsid w:val="43241B61"/>
    <w:rsid w:val="45885F05"/>
    <w:rsid w:val="548242F7"/>
    <w:rsid w:val="56D5DD5E"/>
    <w:rsid w:val="58C5E3E1"/>
    <w:rsid w:val="58EF599D"/>
    <w:rsid w:val="5B7899BA"/>
    <w:rsid w:val="5D8A3BD6"/>
    <w:rsid w:val="62600B75"/>
    <w:rsid w:val="627120BF"/>
    <w:rsid w:val="63B791BB"/>
    <w:rsid w:val="6C5A4038"/>
    <w:rsid w:val="6FEDA3DB"/>
    <w:rsid w:val="745126A4"/>
    <w:rsid w:val="77692F57"/>
    <w:rsid w:val="7AF7BCB1"/>
    <w:rsid w:val="7B413880"/>
    <w:rsid w:val="7BC8581E"/>
    <w:rsid w:val="7CED5A22"/>
    <w:rsid w:val="7D38437C"/>
    <w:rsid w:val="7E241C5B"/>
    <w:rsid w:val="7E7F95C5"/>
    <w:rsid w:val="7F7A6062"/>
    <w:rsid w:val="94B4E018"/>
    <w:rsid w:val="A77D7934"/>
    <w:rsid w:val="BEBFF05C"/>
    <w:rsid w:val="BFEB4E52"/>
    <w:rsid w:val="C77FBD4B"/>
    <w:rsid w:val="E97BB4F7"/>
    <w:rsid w:val="EBEBD6C3"/>
    <w:rsid w:val="EF5FDD90"/>
    <w:rsid w:val="EFF2D45E"/>
    <w:rsid w:val="F74B4A35"/>
    <w:rsid w:val="F77F1E3C"/>
    <w:rsid w:val="F8CBD7AF"/>
    <w:rsid w:val="FC3C386E"/>
    <w:rsid w:val="FEF0D6DD"/>
    <w:rsid w:val="FFF7B072"/>
    <w:rsid w:val="FFFB4C2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99" w:semiHidden="0"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8"/>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unhideWhenUsed/>
    <w:qFormat/>
    <w:uiPriority w:val="99"/>
    <w:pPr>
      <w:widowControl w:val="0"/>
      <w:ind w:firstLine="200" w:firstLineChars="200"/>
      <w:jc w:val="both"/>
    </w:pPr>
    <w:rPr>
      <w:rFonts w:ascii="Times New Roman" w:hAnsi="Times New Roman" w:eastAsia="宋体" w:cs="Times New Roman"/>
      <w:kern w:val="2"/>
      <w:sz w:val="21"/>
      <w:szCs w:val="22"/>
      <w:lang w:val="en-US" w:eastAsia="zh-CN" w:bidi="ar-SA"/>
    </w:rPr>
  </w:style>
  <w:style w:type="paragraph" w:styleId="4">
    <w:name w:val="Body Text"/>
    <w:basedOn w:val="1"/>
    <w:link w:val="31"/>
    <w:qFormat/>
    <w:uiPriority w:val="0"/>
    <w:pPr>
      <w:ind w:left="100" w:leftChars="100" w:right="100" w:rightChars="100"/>
    </w:pPr>
    <w:rPr>
      <w:rFonts w:cs="Times New Roman"/>
      <w:szCs w:val="24"/>
    </w:rPr>
  </w:style>
  <w:style w:type="paragraph" w:styleId="5">
    <w:name w:val="Body Text Indent"/>
    <w:basedOn w:val="1"/>
    <w:qFormat/>
    <w:uiPriority w:val="0"/>
    <w:pPr>
      <w:ind w:left="420" w:leftChars="200"/>
    </w:pPr>
  </w:style>
  <w:style w:type="paragraph" w:styleId="6">
    <w:name w:val="footer"/>
    <w:basedOn w:val="1"/>
    <w:link w:val="27"/>
    <w:qFormat/>
    <w:uiPriority w:val="99"/>
    <w:pPr>
      <w:tabs>
        <w:tab w:val="center" w:pos="4153"/>
        <w:tab w:val="right" w:pos="8306"/>
      </w:tabs>
      <w:snapToGrid w:val="0"/>
      <w:jc w:val="left"/>
    </w:pPr>
    <w:rPr>
      <w:sz w:val="18"/>
      <w:szCs w:val="18"/>
    </w:rPr>
  </w:style>
  <w:style w:type="paragraph" w:styleId="7">
    <w:name w:val="header"/>
    <w:basedOn w:val="1"/>
    <w:link w:val="3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29"/>
    <w:qFormat/>
    <w:locked/>
    <w:uiPriority w:val="0"/>
    <w:pPr>
      <w:spacing w:before="240" w:after="60"/>
      <w:jc w:val="center"/>
      <w:outlineLvl w:val="0"/>
    </w:pPr>
    <w:rPr>
      <w:rFonts w:ascii="Cambria" w:hAnsi="Cambria" w:cs="Times New Roman"/>
      <w:b/>
      <w:bCs/>
      <w:sz w:val="32"/>
      <w:szCs w:val="32"/>
    </w:rPr>
  </w:style>
  <w:style w:type="paragraph" w:styleId="9">
    <w:name w:val="Body Text First Indent 2"/>
    <w:basedOn w:val="5"/>
    <w:qFormat/>
    <w:uiPriority w:val="0"/>
    <w:pPr>
      <w:ind w:firstLine="420" w:firstLineChars="200"/>
    </w:pPr>
  </w:style>
  <w:style w:type="table" w:styleId="11">
    <w:name w:val="Table Grid"/>
    <w:basedOn w:val="1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locked/>
    <w:uiPriority w:val="0"/>
    <w:rPr>
      <w:b/>
      <w:bCs/>
    </w:rPr>
  </w:style>
  <w:style w:type="character" w:styleId="14">
    <w:name w:val="page number"/>
    <w:basedOn w:val="12"/>
    <w:qFormat/>
    <w:uiPriority w:val="99"/>
  </w:style>
  <w:style w:type="character" w:styleId="15">
    <w:name w:val="FollowedHyperlink"/>
    <w:basedOn w:val="12"/>
    <w:semiHidden/>
    <w:unhideWhenUsed/>
    <w:qFormat/>
    <w:uiPriority w:val="99"/>
    <w:rPr>
      <w:color w:val="800080"/>
      <w:u w:val="single"/>
    </w:rPr>
  </w:style>
  <w:style w:type="character" w:styleId="16">
    <w:name w:val="Hyperlink"/>
    <w:basedOn w:val="12"/>
    <w:qFormat/>
    <w:uiPriority w:val="99"/>
    <w:rPr>
      <w:color w:val="0000FF"/>
      <w:u w:val="single"/>
    </w:rPr>
  </w:style>
  <w:style w:type="paragraph" w:customStyle="1" w:styleId="17">
    <w:name w:val="BodyText"/>
    <w:basedOn w:val="1"/>
    <w:qFormat/>
    <w:uiPriority w:val="0"/>
    <w:pPr>
      <w:spacing w:after="120"/>
    </w:pPr>
  </w:style>
  <w:style w:type="character" w:customStyle="1" w:styleId="18">
    <w:name w:val="标题 1 Char"/>
    <w:basedOn w:val="12"/>
    <w:link w:val="2"/>
    <w:qFormat/>
    <w:locked/>
    <w:uiPriority w:val="99"/>
    <w:rPr>
      <w:rFonts w:ascii="宋体" w:hAnsi="宋体" w:eastAsia="宋体" w:cs="宋体"/>
      <w:b/>
      <w:bCs/>
      <w:kern w:val="44"/>
      <w:sz w:val="48"/>
      <w:szCs w:val="48"/>
    </w:rPr>
  </w:style>
  <w:style w:type="paragraph" w:customStyle="1" w:styleId="19">
    <w:name w:val="_Style 19"/>
    <w:basedOn w:val="1"/>
    <w:next w:val="1"/>
    <w:qFormat/>
    <w:uiPriority w:val="99"/>
    <w:pPr>
      <w:pBdr>
        <w:top w:val="single" w:color="auto" w:sz="6" w:space="1"/>
      </w:pBdr>
      <w:jc w:val="center"/>
    </w:pPr>
    <w:rPr>
      <w:rFonts w:ascii="Arial" w:cs="Arial"/>
      <w:vanish/>
      <w:sz w:val="16"/>
      <w:szCs w:val="16"/>
    </w:rPr>
  </w:style>
  <w:style w:type="paragraph" w:customStyle="1" w:styleId="20">
    <w:name w:val="_Style 18"/>
    <w:basedOn w:val="1"/>
    <w:next w:val="1"/>
    <w:qFormat/>
    <w:uiPriority w:val="99"/>
    <w:pPr>
      <w:pBdr>
        <w:bottom w:val="single" w:color="auto" w:sz="6" w:space="1"/>
      </w:pBdr>
      <w:jc w:val="center"/>
    </w:pPr>
    <w:rPr>
      <w:rFonts w:ascii="Arial" w:cs="Arial"/>
      <w:vanish/>
      <w:sz w:val="16"/>
      <w:szCs w:val="16"/>
    </w:rPr>
  </w:style>
  <w:style w:type="character" w:customStyle="1" w:styleId="21">
    <w:name w:val="15"/>
    <w:basedOn w:val="12"/>
    <w:qFormat/>
    <w:uiPriority w:val="99"/>
    <w:rPr>
      <w:rFonts w:ascii="Calibri" w:hAnsi="Calibri" w:cs="Calibri"/>
      <w:color w:val="0000FF"/>
    </w:rPr>
  </w:style>
  <w:style w:type="character" w:customStyle="1" w:styleId="22">
    <w:name w:val="wenda-abstract-listnum"/>
    <w:basedOn w:val="12"/>
    <w:qFormat/>
    <w:uiPriority w:val="99"/>
  </w:style>
  <w:style w:type="character" w:customStyle="1" w:styleId="23">
    <w:name w:val="font81"/>
    <w:basedOn w:val="12"/>
    <w:qFormat/>
    <w:uiPriority w:val="99"/>
    <w:rPr>
      <w:rFonts w:ascii="宋体" w:hAnsi="宋体" w:eastAsia="宋体" w:cs="宋体"/>
      <w:color w:val="auto"/>
      <w:sz w:val="20"/>
      <w:szCs w:val="20"/>
      <w:u w:val="none"/>
    </w:rPr>
  </w:style>
  <w:style w:type="character" w:customStyle="1" w:styleId="24">
    <w:name w:val="font51"/>
    <w:basedOn w:val="12"/>
    <w:qFormat/>
    <w:uiPriority w:val="99"/>
    <w:rPr>
      <w:rFonts w:ascii="宋体" w:hAnsi="宋体" w:eastAsia="宋体" w:cs="宋体"/>
      <w:color w:val="000000"/>
      <w:sz w:val="20"/>
      <w:szCs w:val="20"/>
      <w:u w:val="none"/>
    </w:rPr>
  </w:style>
  <w:style w:type="character" w:customStyle="1" w:styleId="25">
    <w:name w:val="font41"/>
    <w:basedOn w:val="12"/>
    <w:qFormat/>
    <w:uiPriority w:val="99"/>
    <w:rPr>
      <w:rFonts w:ascii="宋体" w:hAnsi="宋体" w:eastAsia="宋体" w:cs="宋体"/>
      <w:color w:val="000000"/>
      <w:sz w:val="20"/>
      <w:szCs w:val="20"/>
      <w:u w:val="none"/>
    </w:rPr>
  </w:style>
  <w:style w:type="character" w:customStyle="1" w:styleId="26">
    <w:name w:val="font31"/>
    <w:basedOn w:val="12"/>
    <w:qFormat/>
    <w:uiPriority w:val="99"/>
    <w:rPr>
      <w:rFonts w:ascii="宋体" w:hAnsi="宋体" w:eastAsia="宋体" w:cs="宋体"/>
      <w:b/>
      <w:bCs/>
      <w:color w:val="000000"/>
      <w:sz w:val="20"/>
      <w:szCs w:val="20"/>
      <w:u w:val="none"/>
    </w:rPr>
  </w:style>
  <w:style w:type="character" w:customStyle="1" w:styleId="27">
    <w:name w:val="页脚 Char"/>
    <w:basedOn w:val="12"/>
    <w:link w:val="6"/>
    <w:semiHidden/>
    <w:qFormat/>
    <w:uiPriority w:val="99"/>
    <w:rPr>
      <w:rFonts w:cs="Calibri"/>
      <w:sz w:val="18"/>
      <w:szCs w:val="18"/>
    </w:rPr>
  </w:style>
  <w:style w:type="character" w:customStyle="1" w:styleId="28">
    <w:name w:val="ca-31"/>
    <w:basedOn w:val="12"/>
    <w:qFormat/>
    <w:uiPriority w:val="0"/>
    <w:rPr>
      <w:rFonts w:hint="eastAsia" w:ascii="宋体" w:hAnsi="宋体" w:eastAsia="宋体"/>
      <w:sz w:val="28"/>
    </w:rPr>
  </w:style>
  <w:style w:type="character" w:customStyle="1" w:styleId="29">
    <w:name w:val="标题 Char"/>
    <w:basedOn w:val="12"/>
    <w:link w:val="8"/>
    <w:qFormat/>
    <w:uiPriority w:val="0"/>
    <w:rPr>
      <w:rFonts w:ascii="Cambria" w:hAnsi="Cambria" w:cs="Times New Roman"/>
      <w:b/>
      <w:bCs/>
      <w:kern w:val="2"/>
      <w:sz w:val="32"/>
      <w:szCs w:val="32"/>
    </w:rPr>
  </w:style>
  <w:style w:type="character" w:customStyle="1" w:styleId="30">
    <w:name w:val="页眉 Char"/>
    <w:basedOn w:val="12"/>
    <w:link w:val="7"/>
    <w:semiHidden/>
    <w:qFormat/>
    <w:uiPriority w:val="99"/>
    <w:rPr>
      <w:rFonts w:ascii="Calibri" w:hAnsi="Calibri" w:cs="Calibri"/>
      <w:kern w:val="2"/>
      <w:sz w:val="18"/>
      <w:szCs w:val="18"/>
    </w:rPr>
  </w:style>
  <w:style w:type="character" w:customStyle="1" w:styleId="31">
    <w:name w:val="正文文本 Char"/>
    <w:basedOn w:val="12"/>
    <w:link w:val="4"/>
    <w:qFormat/>
    <w:uiPriority w:val="0"/>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10</Pages>
  <Words>4168</Words>
  <Characters>4435</Characters>
  <Lines>75</Lines>
  <Paragraphs>21</Paragraphs>
  <TotalTime>8</TotalTime>
  <ScaleCrop>false</ScaleCrop>
  <LinksUpToDate>false</LinksUpToDate>
  <CharactersWithSpaces>4494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2020-05-30T17:34:00Z</dcterms:created>
  <dc:creator>Sky123.Org</dc:creator>
  <cp:lastModifiedBy>WPS_1696561537</cp:lastModifiedBy>
  <cp:lastPrinted>2024-07-18T18:45:00Z</cp:lastPrinted>
  <dcterms:modified xsi:type="dcterms:W3CDTF">2024-07-30T07:15:34Z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71F7A5069B084CADB0D1EE8184969E44_13</vt:lpwstr>
  </property>
</Properties>
</file>