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E77D0A">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440" w:firstLineChars="100"/>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剑阁县</w:t>
      </w:r>
      <w:r>
        <w:rPr>
          <w:rFonts w:hint="eastAsia" w:ascii="方正小标宋简体" w:hAnsi="方正小标宋简体" w:eastAsia="方正小标宋简体" w:cs="方正小标宋简体"/>
          <w:b w:val="0"/>
          <w:bCs w:val="0"/>
          <w:sz w:val="44"/>
          <w:szCs w:val="44"/>
          <w:lang w:eastAsia="zh-CN"/>
        </w:rPr>
        <w:t>统计局</w:t>
      </w:r>
    </w:p>
    <w:p w14:paraId="3E30D60C">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440" w:firstLineChars="100"/>
        <w:jc w:val="center"/>
        <w:textAlignment w:val="auto"/>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行政执法集中公示目录</w:t>
      </w:r>
    </w:p>
    <w:p w14:paraId="7A0C8FF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华文仿宋" w:eastAsia="仿宋_GB2312" w:cs="仿宋_GB2312"/>
          <w:sz w:val="32"/>
          <w:szCs w:val="32"/>
        </w:rPr>
      </w:pPr>
    </w:p>
    <w:p w14:paraId="5FFFF4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统计局</w:t>
      </w:r>
      <w:r>
        <w:rPr>
          <w:rFonts w:hint="eastAsia" w:ascii="仿宋_GB2312" w:hAnsi="华文仿宋" w:eastAsia="仿宋_GB2312" w:cs="仿宋_GB2312"/>
          <w:sz w:val="32"/>
          <w:szCs w:val="32"/>
        </w:rPr>
        <w:t>行政执法主体</w:t>
      </w:r>
    </w:p>
    <w:p w14:paraId="450C17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统计局</w:t>
      </w:r>
      <w:r>
        <w:rPr>
          <w:rFonts w:hint="eastAsia" w:ascii="仿宋_GB2312" w:hAnsi="华文仿宋" w:eastAsia="仿宋_GB2312" w:cs="仿宋_GB2312"/>
          <w:sz w:val="32"/>
          <w:szCs w:val="32"/>
        </w:rPr>
        <w:t>行政执法人员清单</w:t>
      </w:r>
    </w:p>
    <w:p w14:paraId="0A9602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统计局</w:t>
      </w:r>
      <w:r>
        <w:rPr>
          <w:rFonts w:hint="eastAsia" w:ascii="仿宋_GB2312" w:hAnsi="华文仿宋" w:eastAsia="仿宋_GB2312" w:cs="仿宋_GB2312"/>
          <w:sz w:val="32"/>
          <w:szCs w:val="32"/>
        </w:rPr>
        <w:t>行政执法权力、责任清单</w:t>
      </w:r>
    </w:p>
    <w:p w14:paraId="32CA2A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统计局</w:t>
      </w:r>
      <w:r>
        <w:rPr>
          <w:rFonts w:hint="eastAsia" w:ascii="仿宋_GB2312" w:hAnsi="华文仿宋" w:eastAsia="仿宋_GB2312" w:cs="仿宋_GB2312"/>
          <w:sz w:val="32"/>
          <w:szCs w:val="32"/>
        </w:rPr>
        <w:t>重大行政执法审核目录清单</w:t>
      </w:r>
    </w:p>
    <w:p w14:paraId="18A617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统计局</w:t>
      </w:r>
      <w:r>
        <w:rPr>
          <w:rFonts w:hint="eastAsia" w:ascii="仿宋_GB2312" w:hAnsi="华文仿宋" w:eastAsia="仿宋_GB2312" w:cs="仿宋_GB2312"/>
          <w:sz w:val="32"/>
          <w:szCs w:val="32"/>
        </w:rPr>
        <w:t>行政执法（监督信息）救济渠道、行政执法责任制</w:t>
      </w:r>
    </w:p>
    <w:p w14:paraId="1D0A0A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color w:val="C00000"/>
          <w:sz w:val="32"/>
          <w:szCs w:val="32"/>
          <w:lang w:eastAsia="zh-CN"/>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统计局行政执法裁量权标准</w:t>
      </w:r>
    </w:p>
    <w:p w14:paraId="611DAB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华文仿宋" w:eastAsia="仿宋_GB2312" w:cs="仿宋_GB2312"/>
          <w:sz w:val="32"/>
          <w:szCs w:val="32"/>
          <w:lang w:val="en-US" w:eastAsia="zh-CN"/>
        </w:rPr>
      </w:pPr>
      <w:r>
        <w:rPr>
          <w:rFonts w:hint="eastAsia" w:ascii="仿宋_GB2312" w:hAnsi="华文仿宋" w:eastAsia="仿宋_GB2312" w:cs="仿宋_GB2312"/>
          <w:sz w:val="32"/>
          <w:szCs w:val="32"/>
        </w:rPr>
        <w:t>七、剑阁县</w:t>
      </w:r>
      <w:r>
        <w:rPr>
          <w:rFonts w:hint="eastAsia" w:ascii="仿宋_GB2312" w:hAnsi="华文仿宋" w:eastAsia="仿宋_GB2312" w:cs="仿宋_GB2312"/>
          <w:sz w:val="32"/>
          <w:szCs w:val="32"/>
          <w:lang w:eastAsia="zh-CN"/>
        </w:rPr>
        <w:t>统计局</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w:t>
      </w:r>
      <w:r>
        <w:rPr>
          <w:rFonts w:hint="eastAsia" w:ascii="仿宋_GB2312" w:hAnsi="华文仿宋" w:eastAsia="仿宋_GB2312" w:cs="仿宋_GB2312"/>
          <w:sz w:val="32"/>
          <w:szCs w:val="32"/>
          <w:lang w:val="en-US" w:eastAsia="zh-CN"/>
        </w:rPr>
        <w:t>2024年</w:t>
      </w:r>
      <w:r>
        <w:rPr>
          <w:rFonts w:hint="eastAsia" w:ascii="仿宋_GB2312" w:hAnsi="华文仿宋" w:eastAsia="仿宋_GB2312" w:cs="仿宋_GB2312"/>
          <w:sz w:val="32"/>
          <w:szCs w:val="32"/>
        </w:rPr>
        <w:t>抽查计划</w:t>
      </w:r>
    </w:p>
    <w:p w14:paraId="2AD62F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八、剑阁县</w:t>
      </w:r>
      <w:r>
        <w:rPr>
          <w:rFonts w:hint="eastAsia" w:ascii="仿宋_GB2312" w:hAnsi="华文仿宋" w:eastAsia="仿宋_GB2312" w:cs="仿宋_GB2312"/>
          <w:sz w:val="32"/>
          <w:szCs w:val="32"/>
          <w:lang w:eastAsia="zh-CN"/>
        </w:rPr>
        <w:t>财政局</w:t>
      </w:r>
      <w:r>
        <w:rPr>
          <w:rFonts w:hint="eastAsia" w:ascii="仿宋_GB2312" w:hAnsi="华文仿宋" w:eastAsia="仿宋_GB2312" w:cs="仿宋_GB2312"/>
          <w:sz w:val="32"/>
          <w:szCs w:val="32"/>
        </w:rPr>
        <w:t>行政执法文书样式、行政执法案件评查制度</w:t>
      </w:r>
    </w:p>
    <w:p w14:paraId="240982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九、剑阁县</w:t>
      </w:r>
      <w:r>
        <w:rPr>
          <w:rFonts w:hint="eastAsia" w:ascii="仿宋_GB2312" w:hAnsi="华文仿宋" w:eastAsia="仿宋_GB2312" w:cs="仿宋_GB2312"/>
          <w:sz w:val="32"/>
          <w:szCs w:val="32"/>
          <w:lang w:eastAsia="zh-CN"/>
        </w:rPr>
        <w:t>统计局</w:t>
      </w:r>
      <w:r>
        <w:rPr>
          <w:rFonts w:hint="eastAsia" w:ascii="仿宋_GB2312" w:hAnsi="华文仿宋" w:eastAsia="仿宋_GB2312" w:cs="仿宋_GB2312"/>
          <w:sz w:val="32"/>
          <w:szCs w:val="32"/>
        </w:rPr>
        <w:t>上年度双随机抽查结果、行政许可和处罚决定、上年度本机关行政执法数据总体情况</w:t>
      </w:r>
    </w:p>
    <w:p w14:paraId="7EF6DC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十、剑阁县</w:t>
      </w:r>
      <w:r>
        <w:rPr>
          <w:rFonts w:hint="eastAsia" w:ascii="仿宋_GB2312" w:hAnsi="华文仿宋" w:eastAsia="仿宋_GB2312" w:cs="仿宋_GB2312"/>
          <w:sz w:val="32"/>
          <w:szCs w:val="32"/>
          <w:lang w:eastAsia="zh-CN"/>
        </w:rPr>
        <w:t>统计局</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14:paraId="6D6A81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color w:val="auto"/>
          <w:sz w:val="32"/>
          <w:szCs w:val="32"/>
          <w:lang w:eastAsia="zh-CN"/>
        </w:rPr>
      </w:pPr>
      <w:r>
        <w:rPr>
          <w:rFonts w:hint="eastAsia" w:ascii="仿宋_GB2312" w:hAnsi="华文仿宋" w:eastAsia="仿宋_GB2312" w:cs="仿宋_GB2312"/>
          <w:color w:val="auto"/>
          <w:sz w:val="32"/>
          <w:szCs w:val="32"/>
          <w:lang w:eastAsia="zh-CN"/>
        </w:rPr>
        <w:t>十一、</w:t>
      </w:r>
      <w:r>
        <w:rPr>
          <w:rFonts w:hint="eastAsia" w:ascii="仿宋_GB2312" w:hAnsi="华文仿宋" w:eastAsia="仿宋_GB2312" w:cs="仿宋_GB2312"/>
          <w:color w:val="auto"/>
          <w:sz w:val="32"/>
          <w:szCs w:val="32"/>
        </w:rPr>
        <w:t>剑阁县</w:t>
      </w:r>
      <w:r>
        <w:rPr>
          <w:rFonts w:hint="eastAsia" w:ascii="仿宋_GB2312" w:hAnsi="华文仿宋" w:eastAsia="仿宋_GB2312" w:cs="仿宋_GB2312"/>
          <w:color w:val="auto"/>
          <w:sz w:val="32"/>
          <w:szCs w:val="32"/>
          <w:lang w:eastAsia="zh-CN"/>
        </w:rPr>
        <w:t>统计局</w:t>
      </w:r>
      <w:r>
        <w:rPr>
          <w:rFonts w:hint="eastAsia" w:ascii="仿宋_GB2312" w:hAnsi="华文仿宋" w:eastAsia="仿宋_GB2312" w:cs="仿宋_GB2312"/>
          <w:color w:val="auto"/>
          <w:sz w:val="32"/>
          <w:szCs w:val="32"/>
        </w:rPr>
        <w:t>分类检查事项目录和不予、免予</w:t>
      </w:r>
      <w:r>
        <w:rPr>
          <w:rFonts w:hint="eastAsia" w:ascii="仿宋_GB2312" w:hAnsi="华文仿宋" w:eastAsia="仿宋_GB2312" w:cs="仿宋_GB2312"/>
          <w:color w:val="auto"/>
          <w:sz w:val="32"/>
          <w:szCs w:val="32"/>
          <w:lang w:eastAsia="zh-CN"/>
        </w:rPr>
        <w:t>、</w:t>
      </w:r>
      <w:r>
        <w:rPr>
          <w:rFonts w:hint="eastAsia" w:ascii="仿宋_GB2312" w:hAnsi="华文仿宋" w:eastAsia="仿宋_GB2312" w:cs="仿宋_GB2312"/>
          <w:color w:val="auto"/>
          <w:sz w:val="32"/>
          <w:szCs w:val="32"/>
        </w:rPr>
        <w:t>从轻、减轻、从重行政处罚清单</w:t>
      </w:r>
    </w:p>
    <w:p w14:paraId="159A29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color w:val="C00000"/>
          <w:sz w:val="32"/>
          <w:szCs w:val="32"/>
          <w:lang w:val="en-US" w:eastAsia="zh-CN"/>
        </w:rPr>
      </w:pPr>
      <w:r>
        <w:rPr>
          <w:rFonts w:hint="eastAsia" w:ascii="仿宋_GB2312" w:hAnsi="华文仿宋" w:eastAsia="仿宋_GB2312" w:cs="仿宋_GB2312"/>
          <w:color w:val="auto"/>
          <w:sz w:val="32"/>
          <w:szCs w:val="32"/>
          <w:lang w:val="en-US" w:eastAsia="zh-CN"/>
        </w:rPr>
        <w:t>十二、</w:t>
      </w:r>
      <w:r>
        <w:rPr>
          <w:rFonts w:hint="eastAsia" w:ascii="仿宋_GB2312" w:hAnsi="华文仿宋" w:eastAsia="仿宋_GB2312" w:cs="仿宋_GB2312"/>
          <w:color w:val="auto"/>
          <w:sz w:val="32"/>
          <w:szCs w:val="32"/>
          <w:lang w:eastAsia="zh-CN"/>
        </w:rPr>
        <w:t>剑阁县统计局</w:t>
      </w:r>
      <w:r>
        <w:rPr>
          <w:rFonts w:hint="eastAsia" w:ascii="仿宋_GB2312" w:hAnsi="华文仿宋" w:eastAsia="仿宋_GB2312" w:cs="仿宋_GB2312"/>
          <w:color w:val="auto"/>
          <w:sz w:val="32"/>
          <w:szCs w:val="32"/>
          <w:lang w:val="en-US" w:eastAsia="zh-CN"/>
        </w:rPr>
        <w:t>行政执法事项目录</w:t>
      </w:r>
    </w:p>
    <w:p w14:paraId="2ECDE4E4">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bCs/>
          <w:color w:val="C00000"/>
          <w:sz w:val="44"/>
          <w:szCs w:val="44"/>
          <w:lang w:eastAsia="zh-CN"/>
        </w:rPr>
      </w:pPr>
    </w:p>
    <w:p w14:paraId="19D185B9">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bCs/>
          <w:sz w:val="44"/>
          <w:szCs w:val="44"/>
          <w:lang w:eastAsia="zh-CN"/>
        </w:rPr>
      </w:pPr>
    </w:p>
    <w:p w14:paraId="19FD7E5C">
      <w:pPr>
        <w:keepNext w:val="0"/>
        <w:keepLines w:val="0"/>
        <w:pageBreakBefore w:val="0"/>
        <w:widowControl w:val="0"/>
        <w:kinsoku/>
        <w:wordWrap/>
        <w:overflowPunct/>
        <w:topLinePunct w:val="0"/>
        <w:autoSpaceDE/>
        <w:autoSpaceDN/>
        <w:bidi w:val="0"/>
        <w:adjustRightInd/>
        <w:snapToGrid/>
        <w:spacing w:line="576" w:lineRule="exact"/>
        <w:ind w:firstLine="3080" w:firstLineChars="700"/>
        <w:jc w:val="both"/>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剑阁县统计局</w:t>
      </w:r>
    </w:p>
    <w:p w14:paraId="668B536E">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黑体" w:hAnsi="黑体" w:eastAsia="黑体" w:cs="黑体"/>
          <w:b w:val="0"/>
          <w:bCs w:val="0"/>
          <w:sz w:val="32"/>
          <w:szCs w:val="32"/>
          <w:lang w:eastAsia="zh-CN"/>
        </w:rPr>
      </w:pPr>
      <w:r>
        <w:rPr>
          <w:rFonts w:hint="eastAsia" w:ascii="方正小标宋简体" w:hAnsi="方正小标宋简体" w:eastAsia="方正小标宋简体" w:cs="方正小标宋简体"/>
          <w:b w:val="0"/>
          <w:bCs w:val="0"/>
          <w:sz w:val="44"/>
          <w:szCs w:val="44"/>
          <w:lang w:eastAsia="zh-CN"/>
        </w:rPr>
        <w:t>行政执法集中公示内容</w:t>
      </w:r>
    </w:p>
    <w:p w14:paraId="6C4646A5">
      <w:pPr>
        <w:keepNext w:val="0"/>
        <w:keepLines w:val="0"/>
        <w:pageBreakBefore w:val="0"/>
        <w:numPr>
          <w:ilvl w:val="0"/>
          <w:numId w:val="0"/>
        </w:numPr>
        <w:kinsoku/>
        <w:wordWrap/>
        <w:overflowPunct/>
        <w:topLinePunct w:val="0"/>
        <w:bidi w:val="0"/>
        <w:snapToGrid/>
        <w:spacing w:line="576" w:lineRule="exact"/>
        <w:ind w:firstLine="640" w:firstLineChars="200"/>
        <w:rPr>
          <w:rFonts w:hint="eastAsia" w:ascii="黑体" w:hAnsi="黑体" w:eastAsia="黑体" w:cs="黑体"/>
          <w:b w:val="0"/>
          <w:bCs w:val="0"/>
          <w:sz w:val="32"/>
          <w:szCs w:val="32"/>
          <w:lang w:eastAsia="zh-CN"/>
        </w:rPr>
      </w:pPr>
    </w:p>
    <w:p w14:paraId="71E25677">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一、剑阁县统计局行政执法主体</w:t>
      </w:r>
    </w:p>
    <w:p w14:paraId="0DAF629E">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剑阁县统计局</w:t>
      </w:r>
    </w:p>
    <w:p w14:paraId="2821A5EA">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地址：四川省广元市剑阁县下寺镇剑门大厦14楼</w:t>
      </w:r>
    </w:p>
    <w:p w14:paraId="78075E30">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邮编：628317</w:t>
      </w:r>
    </w:p>
    <w:p w14:paraId="0B2C4B86">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电话：0839-6600399</w:t>
      </w:r>
    </w:p>
    <w:p w14:paraId="25F916C5">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剑阁县统计局执法人员清单</w:t>
      </w:r>
    </w:p>
    <w:tbl>
      <w:tblPr>
        <w:tblStyle w:val="6"/>
        <w:tblW w:w="0" w:type="auto"/>
        <w:tblInd w:w="6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4"/>
        <w:gridCol w:w="2600"/>
        <w:gridCol w:w="4135"/>
      </w:tblGrid>
      <w:tr w14:paraId="23A06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184" w:type="dxa"/>
            <w:noWrap w:val="0"/>
            <w:vAlign w:val="top"/>
          </w:tcPr>
          <w:p w14:paraId="32C7DE87">
            <w:pPr>
              <w:keepNext w:val="0"/>
              <w:keepLines w:val="0"/>
              <w:pageBreakBefore w:val="0"/>
              <w:numPr>
                <w:ilvl w:val="0"/>
                <w:numId w:val="0"/>
              </w:numPr>
              <w:kinsoku/>
              <w:wordWrap/>
              <w:overflowPunct/>
              <w:topLinePunct w:val="0"/>
              <w:bidi w:val="0"/>
              <w:snapToGrid/>
              <w:spacing w:line="576" w:lineRule="exact"/>
              <w:jc w:val="center"/>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序号</w:t>
            </w:r>
          </w:p>
        </w:tc>
        <w:tc>
          <w:tcPr>
            <w:tcW w:w="2600" w:type="dxa"/>
            <w:noWrap w:val="0"/>
            <w:vAlign w:val="top"/>
          </w:tcPr>
          <w:p w14:paraId="0AA59145">
            <w:pPr>
              <w:keepNext w:val="0"/>
              <w:keepLines w:val="0"/>
              <w:pageBreakBefore w:val="0"/>
              <w:numPr>
                <w:ilvl w:val="0"/>
                <w:numId w:val="0"/>
              </w:numPr>
              <w:kinsoku/>
              <w:wordWrap/>
              <w:overflowPunct/>
              <w:topLinePunct w:val="0"/>
              <w:bidi w:val="0"/>
              <w:snapToGrid/>
              <w:spacing w:line="576" w:lineRule="exact"/>
              <w:jc w:val="center"/>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姓名</w:t>
            </w:r>
          </w:p>
        </w:tc>
        <w:tc>
          <w:tcPr>
            <w:tcW w:w="4135" w:type="dxa"/>
            <w:noWrap w:val="0"/>
            <w:vAlign w:val="top"/>
          </w:tcPr>
          <w:p w14:paraId="52B9DB87">
            <w:pPr>
              <w:keepNext w:val="0"/>
              <w:keepLines w:val="0"/>
              <w:pageBreakBefore w:val="0"/>
              <w:numPr>
                <w:ilvl w:val="0"/>
                <w:numId w:val="0"/>
              </w:numPr>
              <w:kinsoku/>
              <w:wordWrap/>
              <w:overflowPunct/>
              <w:topLinePunct w:val="0"/>
              <w:bidi w:val="0"/>
              <w:snapToGrid/>
              <w:spacing w:line="576" w:lineRule="exact"/>
              <w:jc w:val="center"/>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证件编号</w:t>
            </w:r>
          </w:p>
        </w:tc>
      </w:tr>
      <w:tr w14:paraId="34C23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184" w:type="dxa"/>
            <w:noWrap w:val="0"/>
            <w:vAlign w:val="top"/>
          </w:tcPr>
          <w:p w14:paraId="5A39BF52">
            <w:pPr>
              <w:keepNext w:val="0"/>
              <w:keepLines w:val="0"/>
              <w:pageBreakBefore w:val="0"/>
              <w:numPr>
                <w:ilvl w:val="0"/>
                <w:numId w:val="0"/>
              </w:numPr>
              <w:kinsoku/>
              <w:wordWrap/>
              <w:overflowPunct/>
              <w:topLinePunct w:val="0"/>
              <w:bidi w:val="0"/>
              <w:snapToGrid/>
              <w:spacing w:line="576" w:lineRule="exact"/>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w:t>
            </w:r>
          </w:p>
        </w:tc>
        <w:tc>
          <w:tcPr>
            <w:tcW w:w="2600" w:type="dxa"/>
            <w:noWrap w:val="0"/>
            <w:vAlign w:val="top"/>
          </w:tcPr>
          <w:p w14:paraId="792093DD">
            <w:pPr>
              <w:keepNext w:val="0"/>
              <w:keepLines w:val="0"/>
              <w:pageBreakBefore w:val="0"/>
              <w:numPr>
                <w:ilvl w:val="0"/>
                <w:numId w:val="0"/>
              </w:numPr>
              <w:kinsoku/>
              <w:wordWrap/>
              <w:overflowPunct/>
              <w:topLinePunct w:val="0"/>
              <w:bidi w:val="0"/>
              <w:snapToGrid/>
              <w:spacing w:line="576" w:lineRule="exact"/>
              <w:jc w:val="center"/>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王敏</w:t>
            </w:r>
          </w:p>
        </w:tc>
        <w:tc>
          <w:tcPr>
            <w:tcW w:w="4135" w:type="dxa"/>
            <w:noWrap w:val="0"/>
            <w:vAlign w:val="top"/>
          </w:tcPr>
          <w:p w14:paraId="240EF636">
            <w:pPr>
              <w:keepNext w:val="0"/>
              <w:keepLines w:val="0"/>
              <w:pageBreakBefore w:val="0"/>
              <w:numPr>
                <w:ilvl w:val="0"/>
                <w:numId w:val="0"/>
              </w:numPr>
              <w:kinsoku/>
              <w:wordWrap/>
              <w:overflowPunct/>
              <w:topLinePunct w:val="0"/>
              <w:bidi w:val="0"/>
              <w:snapToGrid/>
              <w:spacing w:line="576" w:lineRule="exact"/>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23070633020</w:t>
            </w:r>
          </w:p>
        </w:tc>
      </w:tr>
      <w:tr w14:paraId="53296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noWrap w:val="0"/>
            <w:vAlign w:val="top"/>
          </w:tcPr>
          <w:p w14:paraId="260A3EF5">
            <w:pPr>
              <w:keepNext w:val="0"/>
              <w:keepLines w:val="0"/>
              <w:pageBreakBefore w:val="0"/>
              <w:numPr>
                <w:ilvl w:val="0"/>
                <w:numId w:val="0"/>
              </w:numPr>
              <w:kinsoku/>
              <w:wordWrap/>
              <w:overflowPunct/>
              <w:topLinePunct w:val="0"/>
              <w:bidi w:val="0"/>
              <w:snapToGrid/>
              <w:spacing w:line="576" w:lineRule="exact"/>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w:t>
            </w:r>
          </w:p>
        </w:tc>
        <w:tc>
          <w:tcPr>
            <w:tcW w:w="2600" w:type="dxa"/>
            <w:noWrap w:val="0"/>
            <w:vAlign w:val="top"/>
          </w:tcPr>
          <w:p w14:paraId="34BA3B50">
            <w:pPr>
              <w:keepNext w:val="0"/>
              <w:keepLines w:val="0"/>
              <w:pageBreakBefore w:val="0"/>
              <w:numPr>
                <w:ilvl w:val="0"/>
                <w:numId w:val="0"/>
              </w:numPr>
              <w:kinsoku/>
              <w:wordWrap/>
              <w:overflowPunct/>
              <w:topLinePunct w:val="0"/>
              <w:bidi w:val="0"/>
              <w:snapToGrid/>
              <w:spacing w:line="576" w:lineRule="exact"/>
              <w:jc w:val="center"/>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罗雍</w:t>
            </w:r>
          </w:p>
        </w:tc>
        <w:tc>
          <w:tcPr>
            <w:tcW w:w="4135" w:type="dxa"/>
            <w:noWrap w:val="0"/>
            <w:vAlign w:val="top"/>
          </w:tcPr>
          <w:p w14:paraId="195DE5EB">
            <w:pPr>
              <w:keepNext w:val="0"/>
              <w:keepLines w:val="0"/>
              <w:pageBreakBefore w:val="0"/>
              <w:numPr>
                <w:ilvl w:val="0"/>
                <w:numId w:val="0"/>
              </w:numPr>
              <w:kinsoku/>
              <w:wordWrap/>
              <w:overflowPunct/>
              <w:topLinePunct w:val="0"/>
              <w:bidi w:val="0"/>
              <w:snapToGrid/>
              <w:spacing w:line="576" w:lineRule="exact"/>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23070633001</w:t>
            </w:r>
          </w:p>
        </w:tc>
      </w:tr>
    </w:tbl>
    <w:p w14:paraId="7A7504B2">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lang w:val="en-US" w:eastAsia="zh-CN"/>
        </w:rPr>
      </w:pPr>
      <w:r>
        <w:rPr>
          <w:rFonts w:hint="eastAsia" w:ascii="黑体" w:hAnsi="黑体" w:eastAsia="黑体" w:cs="黑体"/>
          <w:sz w:val="32"/>
          <w:szCs w:val="32"/>
          <w:lang w:val="en-US" w:eastAsia="zh-CN"/>
        </w:rPr>
        <w:t>三、剑阁县统计局行政权力、责任清单</w:t>
      </w:r>
    </w:p>
    <w:p w14:paraId="1AF9C575">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四川政务服务网、剑阁县人民政府网（含行政执法权力及责任事项的权限、职责、服务指南、法定依据、流程图、程序）</w:t>
      </w:r>
    </w:p>
    <w:p w14:paraId="4D290202">
      <w:pPr>
        <w:keepNext w:val="0"/>
        <w:keepLines w:val="0"/>
        <w:pageBreakBefore w:val="0"/>
        <w:widowControl w:val="0"/>
        <w:numPr>
          <w:ilvl w:val="0"/>
          <w:numId w:val="0"/>
        </w:numPr>
        <w:kinsoku/>
        <w:wordWrap/>
        <w:overflowPunct/>
        <w:topLinePunct w:val="0"/>
        <w:bidi w:val="0"/>
        <w:snapToGrid/>
        <w:spacing w:line="576" w:lineRule="exact"/>
        <w:ind w:leftChars="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fldChar w:fldCharType="begin"/>
      </w:r>
      <w:r>
        <w:rPr>
          <w:rFonts w:hint="eastAsia" w:ascii="仿宋" w:hAnsi="仿宋" w:eastAsia="仿宋" w:cs="仿宋"/>
          <w:sz w:val="32"/>
          <w:szCs w:val="32"/>
          <w:lang w:eastAsia="zh-CN"/>
        </w:rPr>
        <w:instrText xml:space="preserve"> HYPERLINK "http://www.cnjg.gov.cn/new/detail/f7aeae24da8749358e3c190657529dd9.html" </w:instrText>
      </w:r>
      <w:r>
        <w:rPr>
          <w:rFonts w:hint="eastAsia" w:ascii="仿宋" w:hAnsi="仿宋" w:eastAsia="仿宋" w:cs="仿宋"/>
          <w:sz w:val="32"/>
          <w:szCs w:val="32"/>
          <w:lang w:eastAsia="zh-CN"/>
        </w:rPr>
        <w:fldChar w:fldCharType="separate"/>
      </w:r>
      <w:r>
        <w:rPr>
          <w:rStyle w:val="8"/>
          <w:rFonts w:hint="eastAsia" w:ascii="仿宋" w:hAnsi="仿宋" w:eastAsia="仿宋" w:cs="仿宋"/>
          <w:sz w:val="32"/>
          <w:szCs w:val="32"/>
          <w:lang w:eastAsia="zh-CN"/>
        </w:rPr>
        <w:t>http://www.cnjg.gov.cn/new/detail/f7aeae24da8749358e3c190657529dd9.html</w:t>
      </w:r>
      <w:r>
        <w:rPr>
          <w:rFonts w:hint="eastAsia" w:ascii="仿宋" w:hAnsi="仿宋" w:eastAsia="仿宋" w:cs="仿宋"/>
          <w:sz w:val="32"/>
          <w:szCs w:val="32"/>
          <w:lang w:eastAsia="zh-CN"/>
        </w:rPr>
        <w:fldChar w:fldCharType="end"/>
      </w:r>
    </w:p>
    <w:p w14:paraId="21292A64">
      <w:pPr>
        <w:keepNext w:val="0"/>
        <w:keepLines w:val="0"/>
        <w:pageBreakBefore w:val="0"/>
        <w:widowControl w:val="0"/>
        <w:numPr>
          <w:ilvl w:val="0"/>
          <w:numId w:val="0"/>
        </w:numPr>
        <w:kinsoku/>
        <w:wordWrap/>
        <w:overflowPunct/>
        <w:topLinePunct w:val="0"/>
        <w:bidi w:val="0"/>
        <w:snapToGrid/>
        <w:spacing w:line="576" w:lineRule="exact"/>
        <w:ind w:leftChars="0" w:firstLine="640" w:firstLineChars="200"/>
        <w:textAlignment w:val="auto"/>
        <w:rPr>
          <w:rFonts w:hint="eastAsia" w:ascii="楷体" w:hAnsi="楷体" w:eastAsia="楷体" w:cs="楷体"/>
          <w:b/>
          <w:bCs/>
          <w:sz w:val="32"/>
          <w:szCs w:val="32"/>
          <w:lang w:val="en-US" w:eastAsia="zh-CN"/>
        </w:rPr>
      </w:pPr>
      <w:r>
        <w:rPr>
          <w:rFonts w:hint="eastAsia" w:ascii="黑体" w:hAnsi="黑体" w:eastAsia="黑体" w:cs="黑体"/>
          <w:sz w:val="32"/>
          <w:szCs w:val="32"/>
          <w:lang w:val="en-US" w:eastAsia="zh-CN"/>
        </w:rPr>
        <w:t>四、剑阁县统计局重大行政执法审核目录清单</w:t>
      </w:r>
    </w:p>
    <w:p w14:paraId="1109FB0B">
      <w:pPr>
        <w:spacing w:line="576" w:lineRule="exact"/>
        <w:ind w:firstLine="643" w:firstLineChars="200"/>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sz w:val="32"/>
          <w:szCs w:val="32"/>
          <w:lang w:val="en-US" w:eastAsia="zh-CN"/>
        </w:rPr>
        <w:t>（一）行政处罚类决定</w:t>
      </w:r>
    </w:p>
    <w:p w14:paraId="335A2B8A">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重大行政处罚：</w:t>
      </w:r>
      <w:r>
        <w:rPr>
          <w:rFonts w:hint="eastAsia" w:ascii="仿宋_GB2312" w:hAnsi="仿宋_GB2312" w:eastAsia="仿宋_GB2312" w:cs="仿宋_GB2312"/>
          <w:sz w:val="32"/>
          <w:szCs w:val="32"/>
          <w:lang w:val="en-US" w:eastAsia="zh-CN"/>
        </w:rPr>
        <w:t>企业事业单位或者其他组织有前款所列行为之一的，可以并处五万元以下的罚款；情节严重的，并处五万元以上二十万元以下的罚款。个体工商户迟报统计资料的，由县级以上人民政府统计机构责令改正，给予警告，可以并处一千元以下的罚款。</w:t>
      </w:r>
    </w:p>
    <w:p w14:paraId="661DE4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五、剑阁县统计局行政执法（监督信息）救济渠道、行政执法责任制</w:t>
      </w:r>
    </w:p>
    <w:p w14:paraId="7A90D692">
      <w:pPr>
        <w:keepNext w:val="0"/>
        <w:keepLines w:val="0"/>
        <w:pageBreakBefore w:val="0"/>
        <w:numPr>
          <w:ilvl w:val="0"/>
          <w:numId w:val="0"/>
        </w:numPr>
        <w:kinsoku/>
        <w:wordWrap/>
        <w:topLinePunct w:val="0"/>
        <w:bidi w:val="0"/>
        <w:snapToGrid/>
        <w:spacing w:line="576" w:lineRule="exac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（一）当事人依法享有的权利、救济途径、方式</w:t>
      </w:r>
      <w:bookmarkStart w:id="0" w:name="_GoBack"/>
      <w:bookmarkEnd w:id="0"/>
    </w:p>
    <w:p w14:paraId="1556EB31">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依法享有的权利</w:t>
      </w:r>
    </w:p>
    <w:p w14:paraId="3D14E1BA">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当事人依法享有申请回避、陈述、申辩、复议、诉讼等权利，详见相应法律法规。</w:t>
      </w:r>
    </w:p>
    <w:p w14:paraId="09588580">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救济途径</w:t>
      </w:r>
    </w:p>
    <w:p w14:paraId="42358856">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ascii="仿宋" w:hAnsi="仿宋" w:eastAsia="仿宋" w:cs="仿宋"/>
          <w:sz w:val="32"/>
          <w:szCs w:val="32"/>
        </w:rPr>
        <w:t>行政复议</w:t>
      </w:r>
    </w:p>
    <w:p w14:paraId="75ED4F2C">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sz w:val="32"/>
          <w:szCs w:val="32"/>
        </w:rPr>
        <w:t>属地复议机关</w:t>
      </w:r>
      <w:r>
        <w:rPr>
          <w:rFonts w:hint="eastAsia" w:ascii="仿宋" w:hAnsi="仿宋" w:eastAsia="仿宋" w:cs="仿宋"/>
          <w:kern w:val="0"/>
          <w:sz w:val="32"/>
          <w:szCs w:val="32"/>
        </w:rPr>
        <w:t>：剑阁县人民政府</w:t>
      </w:r>
    </w:p>
    <w:p w14:paraId="7438AEC1">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复议办案机关：剑阁县司法局</w:t>
      </w:r>
    </w:p>
    <w:p w14:paraId="417CC6FF">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lang w:eastAsia="zh-CN"/>
        </w:rPr>
        <w:t>复议承办股室：</w:t>
      </w:r>
      <w:r>
        <w:rPr>
          <w:rFonts w:hint="eastAsia" w:ascii="仿宋" w:hAnsi="仿宋" w:eastAsia="仿宋" w:cs="仿宋"/>
          <w:kern w:val="0"/>
          <w:sz w:val="32"/>
          <w:szCs w:val="32"/>
        </w:rPr>
        <w:t>行政复议与应诉股</w:t>
      </w:r>
    </w:p>
    <w:p w14:paraId="69CD9633">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地址：剑阁县下寺镇隆庆街2号（剑阁县司法局二楼）</w:t>
      </w:r>
    </w:p>
    <w:p w14:paraId="6D6AF740">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联系电话：0839-5208080</w:t>
      </w:r>
    </w:p>
    <w:p w14:paraId="2C759C26">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2</w:t>
      </w:r>
      <w:r>
        <w:rPr>
          <w:rFonts w:hint="eastAsia" w:ascii="仿宋" w:hAnsi="仿宋" w:eastAsia="仿宋" w:cs="仿宋"/>
          <w:sz w:val="32"/>
          <w:szCs w:val="32"/>
        </w:rPr>
        <w:t>）行政诉讼</w:t>
      </w:r>
    </w:p>
    <w:p w14:paraId="0D7E37A9">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部门：剑阁县人民法院</w:t>
      </w:r>
    </w:p>
    <w:p w14:paraId="4814ACB2">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地址：剑阁县</w:t>
      </w:r>
      <w:r>
        <w:rPr>
          <w:rFonts w:hint="eastAsia" w:ascii="仿宋" w:hAnsi="仿宋" w:eastAsia="仿宋" w:cs="仿宋"/>
          <w:kern w:val="0"/>
          <w:sz w:val="32"/>
          <w:szCs w:val="32"/>
          <w:lang w:eastAsia="zh-CN"/>
        </w:rPr>
        <w:t>下寺镇</w:t>
      </w:r>
      <w:r>
        <w:rPr>
          <w:rFonts w:hint="eastAsia" w:ascii="仿宋" w:hAnsi="仿宋" w:eastAsia="仿宋" w:cs="仿宋"/>
          <w:kern w:val="0"/>
          <w:sz w:val="32"/>
          <w:szCs w:val="32"/>
        </w:rPr>
        <w:t>剑门关大道北段502号</w:t>
      </w:r>
    </w:p>
    <w:p w14:paraId="6FE96D48">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rPr>
        <w:t>联系电话：0839</w:t>
      </w:r>
      <w:r>
        <w:rPr>
          <w:rFonts w:hint="eastAsia" w:ascii="仿宋" w:hAnsi="仿宋" w:eastAsia="仿宋" w:cs="仿宋"/>
          <w:kern w:val="0"/>
          <w:sz w:val="32"/>
          <w:szCs w:val="32"/>
          <w:lang w:val="en-US" w:eastAsia="zh-CN"/>
        </w:rPr>
        <w:t>-5208429</w:t>
      </w:r>
    </w:p>
    <w:p w14:paraId="59793D1C">
      <w:pPr>
        <w:keepNext w:val="0"/>
        <w:keepLines w:val="0"/>
        <w:pageBreakBefore w:val="0"/>
        <w:numPr>
          <w:ilvl w:val="0"/>
          <w:numId w:val="0"/>
        </w:numPr>
        <w:kinsoku/>
        <w:wordWrap/>
        <w:topLinePunct w:val="0"/>
        <w:bidi w:val="0"/>
        <w:snapToGrid/>
        <w:spacing w:line="576" w:lineRule="exact"/>
        <w:ind w:firstLine="643"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（二）对行政执法的监督投诉举报的方式、途径</w:t>
      </w:r>
    </w:p>
    <w:p w14:paraId="6923F395">
      <w:pPr>
        <w:keepNext w:val="0"/>
        <w:keepLines w:val="0"/>
        <w:pageBreakBefore w:val="0"/>
        <w:widowControl w:val="0"/>
        <w:numPr>
          <w:ilvl w:val="0"/>
          <w:numId w:val="0"/>
        </w:numPr>
        <w:kinsoku/>
        <w:wordWrap/>
        <w:topLinePunct w:val="0"/>
        <w:bidi w:val="0"/>
        <w:snapToGrid/>
        <w:spacing w:line="576" w:lineRule="exact"/>
        <w:ind w:firstLine="640" w:firstLineChars="200"/>
        <w:jc w:val="both"/>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县级监督部门：剑阁县司法局</w:t>
      </w:r>
    </w:p>
    <w:p w14:paraId="1F4F2C03">
      <w:pPr>
        <w:keepNext w:val="0"/>
        <w:keepLines w:val="0"/>
        <w:pageBreakBefore w:val="0"/>
        <w:widowControl w:val="0"/>
        <w:numPr>
          <w:ilvl w:val="0"/>
          <w:numId w:val="0"/>
        </w:numPr>
        <w:kinsoku/>
        <w:wordWrap/>
        <w:topLinePunct w:val="0"/>
        <w:bidi w:val="0"/>
        <w:snapToGrid/>
        <w:spacing w:line="576" w:lineRule="exact"/>
        <w:ind w:firstLine="640" w:firstLineChars="200"/>
        <w:jc w:val="both"/>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承办股室：行政执法协调监督股</w:t>
      </w:r>
    </w:p>
    <w:p w14:paraId="39F9FF4A">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地址：剑阁县下寺镇隆庆街2号（剑阁县司法局二楼）</w:t>
      </w:r>
    </w:p>
    <w:p w14:paraId="630B4D5D">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投诉电话：0839-5208080</w:t>
      </w:r>
    </w:p>
    <w:p w14:paraId="298FAC4D">
      <w:pPr>
        <w:keepNext w:val="0"/>
        <w:keepLines w:val="0"/>
        <w:pageBreakBefore w:val="0"/>
        <w:numPr>
          <w:ilvl w:val="0"/>
          <w:numId w:val="0"/>
        </w:numPr>
        <w:kinsoku/>
        <w:wordWrap/>
        <w:topLinePunct w:val="0"/>
        <w:bidi w:val="0"/>
        <w:snapToGrid/>
        <w:spacing w:line="576" w:lineRule="exact"/>
        <w:ind w:firstLine="643"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（三）行政执法责任制</w:t>
      </w:r>
    </w:p>
    <w:p w14:paraId="574787EE">
      <w:pPr>
        <w:keepNext w:val="0"/>
        <w:keepLines w:val="0"/>
        <w:pageBreakBefore w:val="0"/>
        <w:widowControl w:val="0"/>
        <w:suppressLineNumbers w:val="0"/>
        <w:kinsoku/>
        <w:wordWrap/>
        <w:overflowPunct/>
        <w:topLinePunct w:val="0"/>
        <w:bidi w:val="0"/>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《国务院办公厅关于推行行政执法责任制的若干意见》（国办发[2005]37号）</w:t>
      </w:r>
    </w:p>
    <w:p w14:paraId="48B39614">
      <w:pPr>
        <w:keepNext w:val="0"/>
        <w:keepLines w:val="0"/>
        <w:pageBreakBefore w:val="0"/>
        <w:widowControl w:val="0"/>
        <w:suppressLineNumbers w:val="0"/>
        <w:kinsoku/>
        <w:wordWrap/>
        <w:overflowPunct/>
        <w:topLinePunct w:val="0"/>
        <w:bidi w:val="0"/>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《四川省行政执法监督条例》</w:t>
      </w:r>
    </w:p>
    <w:p w14:paraId="66744790">
      <w:pPr>
        <w:keepNext w:val="0"/>
        <w:keepLines w:val="0"/>
        <w:pageBreakBefore w:val="0"/>
        <w:widowControl w:val="0"/>
        <w:suppressLineNumbers w:val="0"/>
        <w:kinsoku/>
        <w:wordWrap/>
        <w:overflowPunct/>
        <w:topLinePunct w:val="0"/>
        <w:bidi w:val="0"/>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《行政机关公务员处分条例》</w:t>
      </w:r>
    </w:p>
    <w:p w14:paraId="2CE921DE">
      <w:pPr>
        <w:keepNext w:val="0"/>
        <w:keepLines w:val="0"/>
        <w:pageBreakBefore w:val="0"/>
        <w:widowControl w:val="0"/>
        <w:suppressLineNumbers w:val="0"/>
        <w:kinsoku/>
        <w:wordWrap/>
        <w:overflowPunct/>
        <w:topLinePunct w:val="0"/>
        <w:bidi w:val="0"/>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
        </w:rPr>
        <w:t>《事业单位工作人员处分规定》</w:t>
      </w:r>
    </w:p>
    <w:p w14:paraId="4CD05D7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六、剑阁县统计局行政执法裁量权标准</w:t>
      </w:r>
    </w:p>
    <w:p w14:paraId="66F15A3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执行《四川省行政裁量权基准管理规定》2024年1月12日四川省人民政府令第360号公布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《四川省统计行政处罚裁量权实施办法（试行）》（川统计〔2020〕20号）</w:t>
      </w:r>
      <w:r>
        <w:rPr>
          <w:rFonts w:hint="eastAsia" w:ascii="仿宋_GB2312" w:hAnsi="仿宋_GB2312" w:eastAsia="仿宋_GB2312" w:cs="仿宋_GB2312"/>
          <w:sz w:val="32"/>
          <w:szCs w:val="32"/>
          <w:lang w:eastAsia="zh-CN"/>
        </w:rPr>
        <w:t>。</w:t>
      </w:r>
    </w:p>
    <w:p w14:paraId="1B42B60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七、剑阁县统计局随机抽查事项清单、市场主体库（或检查对象库）、2024年抽查计划</w:t>
      </w:r>
    </w:p>
    <w:p w14:paraId="243FCAAA">
      <w:pPr>
        <w:keepNext w:val="0"/>
        <w:keepLines w:val="0"/>
        <w:pageBreakBefore w:val="0"/>
        <w:numPr>
          <w:ilvl w:val="0"/>
          <w:numId w:val="0"/>
        </w:numPr>
        <w:kinsoku/>
        <w:wordWrap/>
        <w:overflowPunct/>
        <w:topLinePunct w:val="0"/>
        <w:bidi w:val="0"/>
        <w:snapToGrid/>
        <w:spacing w:line="576"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（一）随机抽查事项清单</w:t>
      </w:r>
    </w:p>
    <w:p w14:paraId="59B7650A">
      <w:pPr>
        <w:ind w:firstLine="640" w:firstLineChars="200"/>
        <w:rPr>
          <w:color w:val="545454"/>
          <w:sz w:val="32"/>
          <w:szCs w:val="32"/>
        </w:rPr>
      </w:pPr>
      <w:r>
        <w:rPr>
          <w:rFonts w:hint="eastAsia" w:ascii="仿宋_GB2312" w:hAnsi="宋体" w:eastAsia="仿宋_GB2312" w:cs="仿宋_GB2312"/>
          <w:kern w:val="0"/>
          <w:sz w:val="32"/>
          <w:szCs w:val="32"/>
        </w:rPr>
        <w:t>抽查</w:t>
      </w:r>
      <w:r>
        <w:rPr>
          <w:rFonts w:ascii="仿宋_GB2312" w:hAnsi="宋体" w:eastAsia="仿宋_GB2312" w:cs="仿宋_GB2312"/>
          <w:kern w:val="0"/>
          <w:sz w:val="32"/>
          <w:szCs w:val="32"/>
        </w:rPr>
        <w:t>事项</w:t>
      </w:r>
      <w:r>
        <w:rPr>
          <w:rFonts w:hint="eastAsia" w:ascii="仿宋_GB2312" w:hAnsi="宋体" w:eastAsia="仿宋_GB2312" w:cs="仿宋_GB2312"/>
          <w:kern w:val="0"/>
          <w:sz w:val="32"/>
          <w:szCs w:val="32"/>
        </w:rPr>
        <w:t>名称</w:t>
      </w:r>
      <w:r>
        <w:rPr>
          <w:rFonts w:ascii="仿宋_GB2312" w:hAnsi="宋体" w:eastAsia="仿宋_GB2312" w:cs="仿宋_GB2312"/>
          <w:kern w:val="0"/>
          <w:sz w:val="32"/>
          <w:szCs w:val="32"/>
        </w:rPr>
        <w:t>：</w:t>
      </w:r>
      <w:r>
        <w:rPr>
          <w:rFonts w:hint="eastAsia" w:ascii="仿宋_GB2312" w:hAnsi="宋体" w:eastAsia="仿宋_GB2312" w:cs="仿宋_GB2312"/>
          <w:kern w:val="0"/>
          <w:sz w:val="32"/>
          <w:szCs w:val="32"/>
        </w:rPr>
        <w:t>核查统计数据</w:t>
      </w:r>
    </w:p>
    <w:p w14:paraId="285E3DA0">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依据：《中华人民共和国统计法》第三十二条；《中华人民共和国统计法实施条例》第三十七条、第三十九条；《四川省统计管理条例》第二十七条、第三十一条；《四川省统计执法“双随机”抽查实施办法（试行）》第七条</w:t>
      </w:r>
      <w:r>
        <w:rPr>
          <w:rFonts w:ascii="仿宋_GB2312" w:hAnsi="宋体" w:eastAsia="仿宋_GB2312" w:cs="仿宋_GB2312"/>
          <w:kern w:val="0"/>
          <w:sz w:val="32"/>
          <w:szCs w:val="32"/>
        </w:rPr>
        <w:t>、第九条。</w:t>
      </w:r>
    </w:p>
    <w:p w14:paraId="28C8F561">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检查对象：统计调查对象</w:t>
      </w:r>
    </w:p>
    <w:p w14:paraId="69D37724">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内容：（一）调查对象依法提供统计资料情况；（二）调查对象依法设置原始记录、统计台账情况；（三）调查对象依法建立并执行统计资料管理制度情况；（四）调查对象依法为履行法定填报职责提供保障情况；（五）调查对象依法配合统计调查和统计监督情况；（六）地方和部门执行遵守统计法情况；（七）地方和部门履行法定统计职责情况；（八）地方和部门执行国家统计政令和统计行政管理制度情况。</w:t>
      </w:r>
    </w:p>
    <w:p w14:paraId="00EAF05D">
      <w:pPr>
        <w:keepNext w:val="0"/>
        <w:keepLines w:val="0"/>
        <w:pageBreakBefore w:val="0"/>
        <w:numPr>
          <w:ilvl w:val="0"/>
          <w:numId w:val="0"/>
        </w:numPr>
        <w:kinsoku/>
        <w:wordWrap/>
        <w:overflowPunct/>
        <w:topLinePunct w:val="0"/>
        <w:bidi w:val="0"/>
        <w:snapToGrid/>
        <w:spacing w:line="576"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（二）202</w:t>
      </w:r>
      <w:r>
        <w:rPr>
          <w:rFonts w:hint="eastAsia" w:ascii="楷体_GB2312" w:hAnsi="楷体_GB2312" w:eastAsia="楷体_GB2312" w:cs="楷体_GB2312"/>
          <w:b/>
          <w:bCs/>
          <w:sz w:val="32"/>
          <w:szCs w:val="32"/>
          <w:lang w:val="en-US" w:eastAsia="zh-CN"/>
        </w:rPr>
        <w:t>4</w:t>
      </w:r>
      <w:r>
        <w:rPr>
          <w:rFonts w:hint="eastAsia" w:ascii="楷体_GB2312" w:hAnsi="楷体_GB2312" w:eastAsia="楷体_GB2312" w:cs="楷体_GB2312"/>
          <w:b/>
          <w:bCs/>
          <w:sz w:val="32"/>
          <w:szCs w:val="32"/>
        </w:rPr>
        <w:t>年双随机抽查计划</w:t>
      </w:r>
    </w:p>
    <w:tbl>
      <w:tblPr>
        <w:tblStyle w:val="5"/>
        <w:tblW w:w="972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33"/>
        <w:gridCol w:w="1900"/>
        <w:gridCol w:w="1272"/>
        <w:gridCol w:w="1217"/>
        <w:gridCol w:w="1066"/>
        <w:gridCol w:w="1669"/>
        <w:gridCol w:w="769"/>
      </w:tblGrid>
      <w:tr w14:paraId="6E71F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9E200">
            <w:pPr>
              <w:keepNext w:val="0"/>
              <w:keepLines w:val="0"/>
              <w:widowControl/>
              <w:suppressLineNumbers w:val="0"/>
              <w:ind w:firstLine="240" w:firstLineChars="100"/>
              <w:jc w:val="left"/>
              <w:textAlignment w:val="center"/>
              <w:rPr>
                <w:rFonts w:hint="eastAsia" w:ascii="宋体" w:hAnsi="宋体" w:eastAsia="宋体" w:cs="宋体"/>
                <w:i w:val="0"/>
                <w:iCs w:val="0"/>
                <w:color w:val="000000"/>
                <w:sz w:val="22"/>
                <w:szCs w:val="22"/>
                <w:u w:val="none"/>
              </w:rPr>
            </w:pPr>
            <w:r>
              <w:rPr>
                <w:rFonts w:hint="eastAsia" w:ascii="仿宋_GB2312" w:hAnsi="仿宋_GB2312" w:eastAsia="仿宋_GB2312" w:cs="仿宋_GB2312"/>
                <w:color w:val="000000"/>
                <w:kern w:val="0"/>
                <w:sz w:val="24"/>
                <w:szCs w:val="24"/>
                <w:lang w:bidi="ar"/>
              </w:rPr>
              <w:t>检查对象</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A42B1">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仿宋_GB2312" w:hAnsi="仿宋_GB2312" w:eastAsia="仿宋_GB2312" w:cs="仿宋_GB2312"/>
                <w:color w:val="000000"/>
                <w:kern w:val="0"/>
                <w:sz w:val="22"/>
                <w:szCs w:val="22"/>
                <w:lang w:val="en-US" w:eastAsia="zh-CN" w:bidi="ar"/>
              </w:rPr>
            </w:pPr>
            <w:r>
              <w:rPr>
                <w:rFonts w:hint="eastAsia" w:ascii="仿宋_GB2312" w:hAnsi="仿宋_GB2312" w:eastAsia="仿宋_GB2312" w:cs="仿宋_GB2312"/>
                <w:color w:val="000000"/>
                <w:kern w:val="0"/>
                <w:sz w:val="24"/>
                <w:szCs w:val="24"/>
                <w:lang w:bidi="ar"/>
              </w:rPr>
              <w:t>检查依据</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700C9">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仿宋_GB2312" w:hAnsi="仿宋_GB2312" w:eastAsia="仿宋_GB2312" w:cs="仿宋_GB2312"/>
                <w:color w:val="000000"/>
                <w:kern w:val="0"/>
                <w:sz w:val="22"/>
                <w:szCs w:val="22"/>
                <w:lang w:val="en-US" w:eastAsia="zh-CN" w:bidi="ar"/>
              </w:rPr>
            </w:pPr>
            <w:r>
              <w:rPr>
                <w:rFonts w:hint="eastAsia" w:ascii="仿宋_GB2312" w:hAnsi="仿宋_GB2312" w:eastAsia="仿宋_GB2312" w:cs="仿宋_GB2312"/>
                <w:color w:val="000000"/>
                <w:kern w:val="0"/>
                <w:sz w:val="24"/>
                <w:szCs w:val="24"/>
                <w:lang w:bidi="ar"/>
              </w:rPr>
              <w:t>执行</w:t>
            </w:r>
            <w:r>
              <w:rPr>
                <w:rFonts w:hint="eastAsia" w:ascii="仿宋_GB2312" w:hAnsi="仿宋_GB2312" w:eastAsia="仿宋_GB2312" w:cs="仿宋_GB2312"/>
                <w:color w:val="000000"/>
                <w:kern w:val="0"/>
                <w:sz w:val="24"/>
                <w:szCs w:val="24"/>
                <w:lang w:eastAsia="zh-CN" w:bidi="ar"/>
              </w:rPr>
              <w:t>股</w:t>
            </w:r>
            <w:r>
              <w:rPr>
                <w:rFonts w:hint="eastAsia" w:ascii="仿宋_GB2312" w:hAnsi="仿宋_GB2312" w:eastAsia="仿宋_GB2312" w:cs="仿宋_GB2312"/>
                <w:color w:val="000000"/>
                <w:kern w:val="0"/>
                <w:sz w:val="24"/>
                <w:szCs w:val="24"/>
                <w:lang w:bidi="ar"/>
              </w:rPr>
              <w:t>室</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7531D">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仿宋_GB2312" w:hAnsi="仿宋_GB2312" w:eastAsia="仿宋_GB2312" w:cs="仿宋_GB2312"/>
                <w:color w:val="000000"/>
                <w:kern w:val="0"/>
                <w:sz w:val="22"/>
                <w:szCs w:val="22"/>
                <w:lang w:val="en-US" w:eastAsia="zh-CN" w:bidi="ar"/>
              </w:rPr>
            </w:pPr>
            <w:r>
              <w:rPr>
                <w:rFonts w:hint="eastAsia" w:ascii="仿宋_GB2312" w:hAnsi="仿宋_GB2312" w:eastAsia="仿宋_GB2312" w:cs="仿宋_GB2312"/>
                <w:color w:val="000000"/>
                <w:kern w:val="0"/>
                <w:sz w:val="24"/>
                <w:szCs w:val="24"/>
                <w:lang w:bidi="ar"/>
              </w:rPr>
              <w:t>检查比例</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C5CE0">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仿宋_GB2312" w:hAnsi="仿宋_GB2312" w:eastAsia="仿宋_GB2312" w:cs="仿宋_GB2312"/>
                <w:color w:val="000000"/>
                <w:kern w:val="0"/>
                <w:sz w:val="22"/>
                <w:szCs w:val="22"/>
                <w:lang w:val="en-US" w:eastAsia="zh-CN" w:bidi="ar"/>
              </w:rPr>
            </w:pPr>
            <w:r>
              <w:rPr>
                <w:rFonts w:hint="eastAsia" w:ascii="宋体" w:hAnsi="宋体" w:eastAsia="宋体" w:cs="宋体"/>
                <w:i w:val="0"/>
                <w:iCs w:val="0"/>
                <w:color w:val="000000"/>
                <w:kern w:val="0"/>
                <w:sz w:val="20"/>
                <w:szCs w:val="20"/>
                <w:u w:val="none"/>
                <w:lang w:val="en-US" w:eastAsia="zh-CN" w:bidi="ar"/>
              </w:rPr>
              <w:t>检查频次</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FC665">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仿宋_GB2312" w:hAnsi="仿宋_GB2312" w:eastAsia="仿宋_GB2312" w:cs="仿宋_GB2312"/>
                <w:color w:val="000000"/>
                <w:kern w:val="0"/>
                <w:sz w:val="22"/>
                <w:szCs w:val="22"/>
                <w:lang w:val="en-US" w:eastAsia="zh-CN" w:bidi="ar"/>
              </w:rPr>
            </w:pPr>
            <w:r>
              <w:rPr>
                <w:rFonts w:hint="eastAsia" w:ascii="仿宋_GB2312" w:hAnsi="仿宋_GB2312" w:eastAsia="仿宋_GB2312" w:cs="仿宋_GB2312"/>
                <w:color w:val="000000"/>
                <w:kern w:val="0"/>
                <w:sz w:val="24"/>
                <w:szCs w:val="24"/>
                <w:lang w:bidi="ar"/>
              </w:rPr>
              <w:t>检查时间</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E1E1E">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仿宋_GB2312" w:eastAsia="仿宋_GB2312" w:cs="仿宋_GB2312"/>
                <w:color w:val="000000"/>
                <w:kern w:val="0"/>
                <w:sz w:val="24"/>
                <w:szCs w:val="24"/>
                <w:lang w:bidi="ar"/>
              </w:rPr>
              <w:t>备注</w:t>
            </w:r>
          </w:p>
        </w:tc>
      </w:tr>
      <w:tr w14:paraId="3896A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C4978">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四川友派农业科技股份有限公司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3FAF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6B10F">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政策法规股 </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546BF">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63134">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16C21">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F159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4CD9C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0A9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四川成邦药业有限公司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4FFF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B7EDC">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1493D">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8F816">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424AB">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A03F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68ADD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0EA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广元市鑫恒建材有限公司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28EB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B1454">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0F60D">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F39C7">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B042A">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4AD0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51A83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98C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剑阁县联动活塞制造有限公司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4183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04287">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政策法规股 </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6C5FB">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79E36">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9712A">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2074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21AEA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D1B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四川联美生物药业有限公司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3B0B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3DE3A">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C1687">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778BA">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7C94B">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8484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7BE82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DD9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广元市剑粮面业有限公司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4AB3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F2585">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B605B">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B357D">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9B031">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329F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26A28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146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广元世强建筑工程有限公司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78FB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086D7">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政策法规股 </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F6F27">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8B2E6">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F258F">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6C94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654E7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C29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广元市燎程天然气有限责任公司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041D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98E92">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1717D">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C4983">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C38C2">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99B5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04B06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8E2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剑阁县良友农机有限公司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B5A3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E25A3">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3D4D1">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320B0">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EAF0E">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768F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467E2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59A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剑阁县金鑫燃气有限公司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7A4F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50A34">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政策法规股 </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FA3F9">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2D87C">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31D20">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54AC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23F1E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654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剑阁县嘉信食品有限公司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FB0F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C60BA">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435DA">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325FF">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52CFA">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EE59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71539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39F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剑阁县剑门关镇志公寺食品有限公司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560C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EE404">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F08F5">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51CE3">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85383">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7F97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71476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139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广元信立包装科技有限公司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E967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CE8F2">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政策法规股 </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59F80">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88A03">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646FC">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89B8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4A492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454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剑阁县兴龙天然气有限责任公司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649A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5C27F">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5C3F3">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0F6BD">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B9E23">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A2B3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42B6C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900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剑阁县雄鹰食品有限公司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A1DD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CE1B0">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A6FCD">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81CE3">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68775">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A51E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51712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A72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广元友福农业科技有限公司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E216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F59A1">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政策法规股 </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838A8">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58846">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74C6F">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4426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7B4AC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71A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剑阁县东山生态农业有限公司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06E3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C7F23">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416B9">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B89FB">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353F0">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A802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61724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9CF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四川柏吉木业有限责任公司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7AD6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840AF">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C479F">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BE5E1">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00042">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B6F3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671A9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679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四川川煤水泥股份有限公司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8161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55D30">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政策法规股 </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A577C">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D1F6E">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5323E">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DD6D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1A636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B2A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剑阁县大地石英砂有限公司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BC1A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57DB9">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1AA67">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4C1C2">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00F2F">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8E5C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1E463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FFE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广元市百顺建材有限公司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70CA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CB842">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AFDBB">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51A49">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18D12">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A7DF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19EBC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14B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中广核（剑阁）风力发电有限公司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6327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66BE9">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政策法规股 </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87D1C">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C0F8F">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86421">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214C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4D13B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962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剑阁红日再生资源有限公司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2584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0F878">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BD474">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D5911">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D8D42">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71BC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2ACE5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A76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广元市金月光电有限公司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3A4A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B9682">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97585">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E4E43">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EB17B">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7D7B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0572C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B86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剑阁县再荣建材有限公司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9008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2F906">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政策法规股 </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984DD">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5314B">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E8FA3">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8D34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39C9F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418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中节能风力发电四川有限公司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35F3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A4BA6">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AB852">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FB059">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14CAF">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D631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083CF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FB8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四川鑫柏木业有限公司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E957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B941C">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5DF9B">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CF8F6">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1B080">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1B0F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23BCC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0D9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广元市剑阁县天然气有限责任公司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6E63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1C466">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政策法规股 </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97A1F">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5F7DE">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ED893">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EAD8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7F760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FD5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剑阁县万恒石料加工有限责任公司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8100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6E291">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C59D2">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FF214">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45231">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35B5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0A823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F34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四川杨氏木艺家具有限责任公司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7DD6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65293">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78217">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9FA4C">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A7D3E">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47E1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0C7D6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0FA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剑阁县恒立商品混凝土有限公司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BD5F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685C6">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政策法规股 </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CF48E">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D2BA0">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831B5">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88CC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7EC8E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5EC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广元市新康水业有限公司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A7C1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FB8D6">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F631B">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87885">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BED7A">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A818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2649F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A8A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剑阁县雄关机械制造有限责任公司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B6E4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02831">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4287B">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D57ED">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F161A">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4709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6DB70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11A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剑阁县禹鑫化工有限公司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AF64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B267F">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政策法规股 </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3CBD6">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B502E">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5B1B4">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BD1A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7728C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901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四川德润通生物科技有限公司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6A85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BF26D">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4D0E5">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4B24D">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02F0D">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D02D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4B810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213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四川凤源服装有限公司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63E2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0E44D">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8AE08">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3E027">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65C24">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716F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4D4F2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2EB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剑阁县百盛建材商贸有限公司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7DA8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64C44">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政策法规股 </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5A2BE">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09E06">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77F06">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04CA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18DE0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E5B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剑阁县马和尚食品有限公司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BC3E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D8F9D">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83462">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5B022">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72323">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25B8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5BD30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6F9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剑阁本欣恒沥青工程有限公司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0D18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7134E">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EE0EB">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F0FEE">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DF731">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2F04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628D9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00A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剑阁巨星农牧有限公司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33C5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C7DF8">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政策法规股 </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F020A">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5F6A9">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C4B46">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2807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17502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41D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剑阁县交通建设发展（集团）有限公司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4C34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2D02E">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63DAE">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4C5E6">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CA89C">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B232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6E7DD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01C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四川正牧生物药业有限公司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532E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91DE9">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98FC7">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6E9B6">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3417D">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3353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29FE4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838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剑阁县万欣商砼有限公司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373F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8E662">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政策法规股 </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00175">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7375F">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5201E">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F7C0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01044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BE0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四川驰恒专用汽车制造有限公司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5048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4BC18">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FFFEF">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0AD85">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249B3">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458E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17605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762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剑阁县鸿硕建材有限公司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8767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80A13">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BE7E6">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254D8">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CF760">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A880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5E1A3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4D0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广元蜀北科技有限公司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8AD0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2C493">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政策法规股 </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2C3F8">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08F1F">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C5DC6">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3993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1E009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BDC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剑阁县润源家具有限公司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99FF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9E0E8">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35622">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9BCC5">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D8887">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8660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34043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7C5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四川健之源中药有限公司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ACBB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18061">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85258">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3EB81">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6A349">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DB63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1BF19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B89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四川川老头食品科技有限公司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4AB5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28E92">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政策法规股 </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36309">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431E0">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951FB">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356B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4DB6A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6E7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四川省瑞铭亚克力制造有限公司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7933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79A25">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11E03">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0D937">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535FE">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2F82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75C3A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9C4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剑阁县成康医疗器械科技有限公司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8DAA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20232">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88B69">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B8A5C">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53B61">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953E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3B4D3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2D4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四川金驰资源再生科技有限责任公司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9E88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24381">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政策法规股 </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D8635">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0F0F8">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E4CB4">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3381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0A7EF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784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广元市华源矿业有限责任公司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E462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CC067">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92F1C">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84780">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F9486">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AE1A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31922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B9A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广元永唯鞋业有限公司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33BC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F93C0">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884C4">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13792">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CA4AE">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4352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1EFFF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3EA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四川盖瑞新材料科技有限公司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5085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78B9A">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政策法规股 </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FC333">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4E503">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D51EE">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2E64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042F8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043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剑阁县长景矿业有限责任公司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456D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8D7B3">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98A1B">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4E7AB">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8AE74">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59E8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55D89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7A9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广元治同建材有限公司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6DAC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0062B">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8933F">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373DE">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7A883">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01C1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4D56C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C18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东方电气(广元)新能源有限公司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2C1D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58F3B">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政策法规股 </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900FC">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E00AB">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76244">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624A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2EBB6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9A7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剑阁雅馨建材有限公司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B388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39F75">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324D4">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114C7">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3EBE9">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2458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27441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3BF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剑阁县水利发展（集团）有限公司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E48B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D71EE">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77754">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02A38">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F4B29">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CE5A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43DC2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00D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广元市吉亮商贸有限公司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5CC5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2B874">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政策法规股 </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BFEE6">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016B9">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8D6B8">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A201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2BF76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0" w:hRule="atLeast"/>
        </w:trPr>
        <w:tc>
          <w:tcPr>
            <w:tcW w:w="1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3ED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四川剑门优食谷食品有限公司</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F2FD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《中华人民共和国统计法》  </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1F699">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政策法规股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C5A60">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100%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ACF3D">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 xml:space="preserve">1 </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25364">
            <w:pPr>
              <w:keepNext w:val="0"/>
              <w:keepLines w:val="0"/>
              <w:pageBreakBefore w:val="0"/>
              <w:widowControl/>
              <w:kinsoku/>
              <w:wordWrap/>
              <w:overflowPunct/>
              <w:topLinePunct w:val="0"/>
              <w:bidi w:val="0"/>
              <w:snapToGrid/>
              <w:spacing w:before="100" w:beforeAutospacing="1" w:after="100" w:afterAutospacing="1" w:line="576" w:lineRule="exact"/>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eastAsia="zh-CN" w:bidi="ar"/>
              </w:rPr>
              <w:t>-202</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12</w:t>
            </w:r>
            <w:r>
              <w:rPr>
                <w:rFonts w:hint="eastAsia" w:ascii="宋体" w:hAnsi="宋体" w:eastAsia="宋体" w:cs="宋体"/>
                <w:color w:val="000000"/>
                <w:kern w:val="0"/>
                <w:sz w:val="20"/>
                <w:szCs w:val="20"/>
                <w:lang w:eastAsia="zh-CN" w:bidi="ar"/>
              </w:rPr>
              <w:t xml:space="preserve"> </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A7AC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6F153A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trHeight w:val="4126" w:hRule="atLeast"/>
          <w:jc w:val="center"/>
        </w:trPr>
        <w:tc>
          <w:tcPr>
            <w:tcW w:w="9726" w:type="dxa"/>
            <w:gridSpan w:val="7"/>
            <w:tcBorders>
              <w:top w:val="single" w:color="000000" w:sz="8" w:space="0"/>
              <w:left w:val="single" w:color="000000" w:sz="8" w:space="0"/>
              <w:bottom w:val="single" w:color="000000" w:sz="8" w:space="0"/>
              <w:right w:val="single" w:color="000000" w:sz="8" w:space="0"/>
            </w:tcBorders>
            <w:shd w:val="clear" w:color="auto" w:fill="auto"/>
            <w:noWrap w:val="0"/>
            <w:vAlign w:val="top"/>
          </w:tcPr>
          <w:p w14:paraId="6F2768D7">
            <w:pPr>
              <w:keepNext w:val="0"/>
              <w:keepLines w:val="0"/>
              <w:pageBreakBefore w:val="0"/>
              <w:widowControl/>
              <w:kinsoku/>
              <w:wordWrap/>
              <w:overflowPunct/>
              <w:topLinePunct w:val="0"/>
              <w:autoSpaceDE/>
              <w:autoSpaceDN/>
              <w:bidi w:val="0"/>
              <w:adjustRightInd/>
              <w:snapToGrid/>
              <w:spacing w:line="520" w:lineRule="exact"/>
              <w:ind w:firstLine="562" w:firstLineChars="200"/>
              <w:textAlignment w:val="auto"/>
              <w:rPr>
                <w:rFonts w:hint="eastAsia" w:ascii="仿宋_GB2312" w:hAnsi="仿宋_GB2312" w:eastAsia="仿宋_GB2312" w:cs="仿宋_GB2312"/>
                <w:color w:val="000000"/>
                <w:kern w:val="0"/>
                <w:sz w:val="22"/>
                <w:szCs w:val="22"/>
                <w:lang w:val="en-US" w:eastAsia="zh-CN" w:bidi="ar"/>
              </w:rPr>
            </w:pPr>
            <w:r>
              <w:rPr>
                <w:rFonts w:hint="eastAsia" w:ascii="仿宋_GB2312" w:hAnsi="仿宋_GB2312" w:eastAsia="仿宋_GB2312" w:cs="仿宋_GB2312"/>
                <w:b/>
                <w:color w:val="000000"/>
                <w:kern w:val="0"/>
                <w:sz w:val="28"/>
                <w:szCs w:val="28"/>
                <w:lang w:bidi="ar"/>
              </w:rPr>
              <w:t>抽查工作注意事项</w:t>
            </w:r>
            <w:r>
              <w:rPr>
                <w:rFonts w:hint="eastAsia" w:ascii="仿宋_GB2312" w:hAnsi="仿宋_GB2312" w:eastAsia="仿宋_GB2312" w:cs="仿宋_GB2312"/>
                <w:color w:val="000000"/>
                <w:kern w:val="0"/>
                <w:sz w:val="28"/>
                <w:szCs w:val="28"/>
                <w:lang w:bidi="ar"/>
              </w:rPr>
              <w:t>：每年随机抽查事项不低于抽查事项总数的50%，抽查对象不少于全部抽查对象的70%。原则上同一年度对同一管理对象的抽查次数不超过2次。对社会关注度高、被投诉举报多、有严重违纪违规记录、失信等级高的法律服务机构和人员，适度提高抽查比例和频次。检查前三天，通过机选或摇号等方式，随机抽取检查人员和检查对象。检查情况和结果由行政检查科室在五日内公示并录入一体化行权平台、市场主体信用信息共享交换平台，在每季度最后一个月的20日前将工作开展情况汇总，经局领导审签后报</w:t>
            </w:r>
            <w:r>
              <w:rPr>
                <w:rFonts w:hint="eastAsia" w:ascii="仿宋_GB2312" w:hAnsi="仿宋_GB2312" w:eastAsia="仿宋_GB2312" w:cs="仿宋_GB2312"/>
                <w:color w:val="000000"/>
                <w:kern w:val="0"/>
                <w:sz w:val="28"/>
                <w:szCs w:val="28"/>
                <w:lang w:eastAsia="zh-CN" w:bidi="ar"/>
              </w:rPr>
              <w:t>县</w:t>
            </w:r>
            <w:r>
              <w:rPr>
                <w:rFonts w:hint="eastAsia" w:ascii="仿宋_GB2312" w:hAnsi="仿宋_GB2312" w:eastAsia="仿宋_GB2312" w:cs="仿宋_GB2312"/>
                <w:color w:val="000000"/>
                <w:kern w:val="0"/>
                <w:sz w:val="28"/>
                <w:szCs w:val="28"/>
                <w:lang w:bidi="ar"/>
              </w:rPr>
              <w:t>政府办。</w:t>
            </w:r>
            <w:r>
              <w:rPr>
                <w:rFonts w:hint="eastAsia" w:ascii="仿宋_GB2312" w:hAnsi="仿宋_GB2312" w:eastAsia="仿宋_GB2312" w:cs="仿宋_GB2312"/>
                <w:color w:val="000000"/>
                <w:kern w:val="0"/>
                <w:sz w:val="27"/>
                <w:szCs w:val="27"/>
                <w:lang w:bidi="ar"/>
              </w:rPr>
              <w:t xml:space="preserve"> </w:t>
            </w:r>
            <w:r>
              <w:rPr>
                <w:rFonts w:hint="eastAsia" w:ascii="仿宋_GB2312" w:hAnsi="仿宋_GB2312" w:eastAsia="仿宋_GB2312" w:cs="仿宋_GB2312"/>
                <w:color w:val="000000"/>
                <w:kern w:val="0"/>
                <w:sz w:val="22"/>
                <w:szCs w:val="22"/>
                <w:lang w:eastAsia="zh-CN" w:bidi="ar"/>
              </w:rPr>
              <w:t xml:space="preserve"> </w:t>
            </w:r>
          </w:p>
        </w:tc>
      </w:tr>
    </w:tbl>
    <w:p w14:paraId="7BA51C33">
      <w:pPr>
        <w:keepNext w:val="0"/>
        <w:keepLines w:val="0"/>
        <w:pageBreakBefore w:val="0"/>
        <w:widowControl w:val="0"/>
        <w:numPr>
          <w:ilvl w:val="0"/>
          <w:numId w:val="0"/>
        </w:numPr>
        <w:kinsoku/>
        <w:wordWrap/>
        <w:overflowPunct/>
        <w:topLinePunct w:val="0"/>
        <w:autoSpaceDE/>
        <w:autoSpaceDN/>
        <w:bidi w:val="0"/>
        <w:adjustRightInd/>
        <w:snapToGrid/>
        <w:spacing w:line="576" w:lineRule="atLeas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（三）检查对象</w:t>
      </w:r>
      <w:r>
        <w:rPr>
          <w:rFonts w:hint="eastAsia" w:ascii="楷体_GB2312" w:hAnsi="楷体_GB2312" w:eastAsia="楷体_GB2312" w:cs="楷体_GB2312"/>
          <w:b/>
          <w:bCs/>
          <w:sz w:val="32"/>
          <w:szCs w:val="32"/>
          <w:lang w:eastAsia="zh-CN"/>
        </w:rPr>
        <w:t>库</w:t>
      </w:r>
    </w:p>
    <w:p w14:paraId="1235CD8F">
      <w:pPr>
        <w:keepNext w:val="0"/>
        <w:keepLines w:val="0"/>
        <w:pageBreakBefore w:val="0"/>
        <w:widowControl w:val="0"/>
        <w:kinsoku/>
        <w:wordWrap/>
        <w:overflowPunct/>
        <w:topLinePunct w:val="0"/>
        <w:autoSpaceDE/>
        <w:autoSpaceDN/>
        <w:bidi w:val="0"/>
        <w:adjustRightInd/>
        <w:snapToGrid/>
        <w:spacing w:line="576" w:lineRule="atLeast"/>
        <w:ind w:firstLine="70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Cs/>
          <w:color w:val="404040"/>
          <w:spacing w:val="15"/>
          <w:kern w:val="44"/>
          <w:sz w:val="32"/>
          <w:szCs w:val="32"/>
          <w:shd w:val="clear" w:color="auto" w:fill="FFFFFF"/>
        </w:rPr>
        <w:t>全</w:t>
      </w:r>
      <w:r>
        <w:rPr>
          <w:rFonts w:hint="eastAsia" w:ascii="仿宋_GB2312" w:hAnsi="仿宋_GB2312" w:eastAsia="仿宋_GB2312" w:cs="仿宋_GB2312"/>
          <w:bCs/>
          <w:color w:val="404040"/>
          <w:spacing w:val="15"/>
          <w:kern w:val="44"/>
          <w:sz w:val="32"/>
          <w:szCs w:val="32"/>
          <w:shd w:val="clear" w:color="auto" w:fill="FFFFFF"/>
          <w:lang w:eastAsia="zh-CN"/>
        </w:rPr>
        <w:t>县</w:t>
      </w:r>
      <w:r>
        <w:rPr>
          <w:rFonts w:hint="eastAsia" w:ascii="仿宋_GB2312" w:hAnsi="仿宋_GB2312" w:eastAsia="仿宋_GB2312" w:cs="仿宋_GB2312"/>
          <w:bCs/>
          <w:color w:val="404040"/>
          <w:spacing w:val="15"/>
          <w:kern w:val="44"/>
          <w:sz w:val="32"/>
          <w:szCs w:val="32"/>
          <w:shd w:val="clear" w:color="auto" w:fill="FFFFFF"/>
        </w:rPr>
        <w:t>所有企业</w:t>
      </w:r>
      <w:r>
        <w:rPr>
          <w:rFonts w:ascii="仿宋_GB2312" w:hAnsi="仿宋_GB2312" w:eastAsia="仿宋_GB2312" w:cs="仿宋_GB2312"/>
          <w:bCs/>
          <w:color w:val="404040"/>
          <w:spacing w:val="15"/>
          <w:kern w:val="44"/>
          <w:sz w:val="32"/>
          <w:szCs w:val="32"/>
          <w:shd w:val="clear" w:color="auto" w:fill="FFFFFF"/>
        </w:rPr>
        <w:t>单位、</w:t>
      </w:r>
      <w:r>
        <w:rPr>
          <w:rFonts w:hint="eastAsia" w:ascii="仿宋_GB2312" w:hAnsi="仿宋_GB2312" w:eastAsia="仿宋_GB2312" w:cs="仿宋_GB2312"/>
          <w:bCs/>
          <w:color w:val="404040"/>
          <w:spacing w:val="15"/>
          <w:kern w:val="44"/>
          <w:sz w:val="32"/>
          <w:szCs w:val="32"/>
          <w:shd w:val="clear" w:color="auto" w:fill="FFFFFF"/>
        </w:rPr>
        <w:t>组织</w:t>
      </w:r>
      <w:r>
        <w:rPr>
          <w:rFonts w:ascii="仿宋_GB2312" w:hAnsi="仿宋_GB2312" w:eastAsia="仿宋_GB2312" w:cs="仿宋_GB2312"/>
          <w:bCs/>
          <w:color w:val="404040"/>
          <w:spacing w:val="15"/>
          <w:kern w:val="44"/>
          <w:sz w:val="32"/>
          <w:szCs w:val="32"/>
          <w:shd w:val="clear" w:color="auto" w:fill="FFFFFF"/>
        </w:rPr>
        <w:t>及个体工商户</w:t>
      </w:r>
    </w:p>
    <w:p w14:paraId="12BA91CA">
      <w:pPr>
        <w:keepNext w:val="0"/>
        <w:keepLines w:val="0"/>
        <w:pageBreakBefore w:val="0"/>
        <w:widowControl w:val="0"/>
        <w:numPr>
          <w:ilvl w:val="0"/>
          <w:numId w:val="2"/>
        </w:numPr>
        <w:kinsoku/>
        <w:wordWrap/>
        <w:overflowPunct/>
        <w:topLinePunct w:val="0"/>
        <w:autoSpaceDE/>
        <w:autoSpaceDN/>
        <w:bidi w:val="0"/>
        <w:adjustRightInd/>
        <w:snapToGrid/>
        <w:spacing w:line="576" w:lineRule="atLeas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剑阁县统计局行政执法文书样式、行政执法案卷评查制度</w:t>
      </w:r>
    </w:p>
    <w:p w14:paraId="36DFD8AB">
      <w:pPr>
        <w:keepNext w:val="0"/>
        <w:keepLines w:val="0"/>
        <w:pageBreakBefore w:val="0"/>
        <w:widowControl w:val="0"/>
        <w:kinsoku/>
        <w:wordWrap/>
        <w:overflowPunct/>
        <w:topLinePunct w:val="0"/>
        <w:autoSpaceDE/>
        <w:autoSpaceDN/>
        <w:bidi w:val="0"/>
        <w:adjustRightInd/>
        <w:snapToGrid/>
        <w:spacing w:line="576" w:lineRule="atLeast"/>
        <w:ind w:firstLine="800" w:firstLineChars="250"/>
        <w:textAlignment w:val="auto"/>
        <w:rPr>
          <w:rFonts w:hint="default"/>
          <w:sz w:val="32"/>
          <w:szCs w:val="32"/>
          <w:lang w:val="en-US" w:eastAsia="zh-CN"/>
        </w:rPr>
      </w:pPr>
      <w:r>
        <w:rPr>
          <w:rFonts w:hint="eastAsia" w:ascii="仿宋_GB2312" w:hAnsi="宋体" w:eastAsia="仿宋_GB2312" w:cs="仿宋_GB2312"/>
          <w:kern w:val="0"/>
          <w:sz w:val="32"/>
          <w:szCs w:val="32"/>
        </w:rPr>
        <w:t>《国家统计局办公室关于印发常用统计</w:t>
      </w:r>
      <w:r>
        <w:rPr>
          <w:rFonts w:ascii="仿宋_GB2312" w:hAnsi="宋体" w:eastAsia="仿宋_GB2312" w:cs="仿宋_GB2312"/>
          <w:kern w:val="0"/>
          <w:sz w:val="32"/>
          <w:szCs w:val="32"/>
        </w:rPr>
        <w:t>执法文书样式</w:t>
      </w:r>
      <w:r>
        <w:rPr>
          <w:rFonts w:hint="eastAsia" w:ascii="仿宋_GB2312" w:hAnsi="宋体" w:eastAsia="仿宋_GB2312" w:cs="仿宋_GB2312"/>
          <w:kern w:val="0"/>
          <w:sz w:val="32"/>
          <w:szCs w:val="32"/>
        </w:rPr>
        <w:t>的通知》（国</w:t>
      </w:r>
      <w:r>
        <w:rPr>
          <w:rFonts w:ascii="仿宋_GB2312" w:hAnsi="宋体" w:eastAsia="仿宋_GB2312" w:cs="仿宋_GB2312"/>
          <w:kern w:val="0"/>
          <w:sz w:val="32"/>
          <w:szCs w:val="32"/>
        </w:rPr>
        <w:t>统</w:t>
      </w:r>
      <w:r>
        <w:rPr>
          <w:rFonts w:hint="eastAsia" w:ascii="仿宋_GB2312" w:hAnsi="宋体" w:eastAsia="仿宋_GB2312" w:cs="仿宋_GB2312"/>
          <w:kern w:val="0"/>
          <w:sz w:val="32"/>
          <w:szCs w:val="32"/>
        </w:rPr>
        <w:t>办</w:t>
      </w:r>
      <w:r>
        <w:rPr>
          <w:rFonts w:ascii="仿宋_GB2312" w:hAnsi="宋体" w:eastAsia="仿宋_GB2312" w:cs="仿宋_GB2312"/>
          <w:kern w:val="0"/>
          <w:sz w:val="32"/>
          <w:szCs w:val="32"/>
        </w:rPr>
        <w:t>字</w:t>
      </w:r>
      <w:r>
        <w:rPr>
          <w:rFonts w:hint="eastAsia" w:ascii="仿宋_GB2312" w:hAnsi="宋体" w:eastAsia="仿宋_GB2312" w:cs="仿宋_GB2312"/>
          <w:kern w:val="0"/>
          <w:sz w:val="32"/>
          <w:szCs w:val="32"/>
          <w:lang w:eastAsia="zh-CN"/>
        </w:rPr>
        <w:t>〔2006〕</w:t>
      </w:r>
      <w:r>
        <w:rPr>
          <w:rFonts w:ascii="仿宋_GB2312" w:hAnsi="宋体" w:eastAsia="仿宋_GB2312" w:cs="仿宋_GB2312"/>
          <w:kern w:val="0"/>
          <w:sz w:val="32"/>
          <w:szCs w:val="32"/>
        </w:rPr>
        <w:t>66</w:t>
      </w:r>
      <w:r>
        <w:rPr>
          <w:rFonts w:hint="eastAsia" w:ascii="仿宋_GB2312" w:hAnsi="宋体" w:eastAsia="仿宋_GB2312" w:cs="仿宋_GB2312"/>
          <w:kern w:val="0"/>
          <w:sz w:val="32"/>
          <w:szCs w:val="32"/>
        </w:rPr>
        <w:t>号)</w:t>
      </w:r>
      <w:r>
        <w:rPr>
          <w:rFonts w:ascii="仿宋_GB2312" w:hAnsi="宋体" w:eastAsia="仿宋_GB2312" w:cs="仿宋_GB2312"/>
          <w:kern w:val="0"/>
          <w:sz w:val="32"/>
          <w:szCs w:val="32"/>
        </w:rPr>
        <w:t xml:space="preserve"> </w:t>
      </w:r>
      <w:r>
        <w:rPr>
          <w:rFonts w:hint="eastAsia" w:ascii="仿宋_GB2312" w:hAnsi="宋体" w:eastAsia="仿宋_GB2312" w:cs="仿宋_GB2312"/>
          <w:kern w:val="0"/>
          <w:sz w:val="32"/>
          <w:szCs w:val="32"/>
          <w:lang w:eastAsia="zh-CN"/>
        </w:rPr>
        <w:t>；《广元市司法局关于印发行政执法案卷评查标准的通知》（广司发〔2022〕16号）。1.行政许可案卷评查标准；2.行政处罚（普通程序）案卷评查标准；3.行政强制执行案卷评查标准。</w:t>
      </w:r>
    </w:p>
    <w:p w14:paraId="583CFE42">
      <w:pPr>
        <w:keepNext w:val="0"/>
        <w:keepLines w:val="0"/>
        <w:pageBreakBefore w:val="0"/>
        <w:widowControl w:val="0"/>
        <w:numPr>
          <w:ilvl w:val="0"/>
          <w:numId w:val="2"/>
        </w:numPr>
        <w:kinsoku/>
        <w:wordWrap/>
        <w:overflowPunct/>
        <w:topLinePunct w:val="0"/>
        <w:autoSpaceDE/>
        <w:autoSpaceDN/>
        <w:bidi w:val="0"/>
        <w:adjustRightInd/>
        <w:snapToGrid/>
        <w:spacing w:line="576" w:lineRule="atLeas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剑阁县统计局上年度双随机抽查结果、行政许可、行政处罚决定、上年度本机关行政执法数据总体情况</w:t>
      </w:r>
    </w:p>
    <w:p w14:paraId="567BE209">
      <w:pPr>
        <w:keepNext w:val="0"/>
        <w:keepLines w:val="0"/>
        <w:pageBreakBefore w:val="0"/>
        <w:widowControl w:val="0"/>
        <w:numPr>
          <w:ilvl w:val="0"/>
          <w:numId w:val="0"/>
        </w:numPr>
        <w:kinsoku/>
        <w:wordWrap/>
        <w:overflowPunct/>
        <w:topLinePunct w:val="0"/>
        <w:autoSpaceDE/>
        <w:autoSpaceDN/>
        <w:bidi w:val="0"/>
        <w:adjustRightInd/>
        <w:snapToGrid/>
        <w:spacing w:line="576" w:lineRule="atLeast"/>
        <w:ind w:firstLine="640" w:firstLineChars="200"/>
        <w:textAlignment w:val="auto"/>
        <w:rPr>
          <w:rFonts w:hint="eastAsia" w:ascii="仿宋_GB2312" w:hAnsi="仿宋_GB2312" w:eastAsia="仿宋_GB2312" w:cs="仿宋_GB2312"/>
          <w:b w:val="0"/>
          <w:bCs w:val="0"/>
          <w:color w:val="auto"/>
          <w:kern w:val="2"/>
          <w:sz w:val="32"/>
          <w:szCs w:val="32"/>
          <w:u w:val="none"/>
          <w:lang w:val="en-US" w:eastAsia="zh-CN" w:bidi="ar-SA"/>
        </w:rPr>
      </w:pPr>
      <w:r>
        <w:rPr>
          <w:rFonts w:hint="eastAsia" w:ascii="仿宋_GB2312" w:hAnsi="仿宋_GB2312" w:eastAsia="仿宋_GB2312" w:cs="仿宋_GB2312"/>
          <w:b w:val="0"/>
          <w:bCs w:val="0"/>
          <w:color w:val="auto"/>
          <w:kern w:val="2"/>
          <w:sz w:val="32"/>
          <w:szCs w:val="32"/>
          <w:u w:val="none"/>
          <w:lang w:val="en-US" w:eastAsia="zh-CN" w:bidi="ar-SA"/>
        </w:rPr>
        <w:t>2023年本机关开展双随机检查企业3家，行政处罚0件。</w:t>
      </w:r>
    </w:p>
    <w:p w14:paraId="787D6368">
      <w:pPr>
        <w:keepNext w:val="0"/>
        <w:keepLines w:val="0"/>
        <w:pageBreakBefore w:val="0"/>
        <w:widowControl w:val="0"/>
        <w:kinsoku/>
        <w:wordWrap/>
        <w:overflowPunct/>
        <w:topLinePunct w:val="0"/>
        <w:autoSpaceDE/>
        <w:autoSpaceDN/>
        <w:bidi w:val="0"/>
        <w:adjustRightInd/>
        <w:snapToGrid/>
        <w:spacing w:line="576" w:lineRule="atLeast"/>
        <w:ind w:firstLine="64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十、剑阁县统计局实行行政执法“三项制度”方案</w:t>
      </w:r>
    </w:p>
    <w:p w14:paraId="2C2CD024">
      <w:pPr>
        <w:keepNext w:val="0"/>
        <w:keepLines w:val="0"/>
        <w:pageBreakBefore w:val="0"/>
        <w:widowControl w:val="0"/>
        <w:kinsoku/>
        <w:wordWrap/>
        <w:overflowPunct/>
        <w:topLinePunct w:val="0"/>
        <w:autoSpaceDE/>
        <w:autoSpaceDN/>
        <w:bidi w:val="0"/>
        <w:adjustRightInd/>
        <w:snapToGrid/>
        <w:spacing w:line="576" w:lineRule="atLeast"/>
        <w:ind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执行《四川省行政执法公示办法》《四川省行政执法全过程记录办法》《四川省重大行政执法决定法制审核办法》。</w:t>
      </w:r>
    </w:p>
    <w:p w14:paraId="050FC750">
      <w:pPr>
        <w:keepNext w:val="0"/>
        <w:keepLines w:val="0"/>
        <w:pageBreakBefore w:val="0"/>
        <w:widowControl w:val="0"/>
        <w:numPr>
          <w:ilvl w:val="0"/>
          <w:numId w:val="0"/>
        </w:numPr>
        <w:kinsoku/>
        <w:wordWrap/>
        <w:overflowPunct/>
        <w:topLinePunct w:val="0"/>
        <w:autoSpaceDE/>
        <w:autoSpaceDN/>
        <w:bidi w:val="0"/>
        <w:adjustRightInd/>
        <w:snapToGrid/>
        <w:spacing w:line="576" w:lineRule="atLeas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十一、剑阁县统计局分类检查事项目录和不予、免予从轻、减轻、从重行政处罚清单</w:t>
      </w:r>
    </w:p>
    <w:p w14:paraId="398E6E20">
      <w:pPr>
        <w:keepNext w:val="0"/>
        <w:keepLines w:val="0"/>
        <w:pageBreakBefore w:val="0"/>
        <w:widowControl w:val="0"/>
        <w:numPr>
          <w:ilvl w:val="0"/>
          <w:numId w:val="0"/>
        </w:numPr>
        <w:kinsoku/>
        <w:wordWrap/>
        <w:overflowPunct/>
        <w:topLinePunct w:val="0"/>
        <w:autoSpaceDE/>
        <w:autoSpaceDN/>
        <w:bidi w:val="0"/>
        <w:adjustRightInd/>
        <w:snapToGrid/>
        <w:spacing w:line="576" w:lineRule="atLeast"/>
        <w:ind w:leftChars="200"/>
        <w:textAlignment w:val="auto"/>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（一）</w:t>
      </w:r>
      <w:r>
        <w:rPr>
          <w:rFonts w:hint="eastAsia" w:ascii="楷体_GB2312" w:hAnsi="楷体_GB2312" w:eastAsia="楷体_GB2312" w:cs="楷体_GB2312"/>
          <w:color w:val="auto"/>
          <w:sz w:val="32"/>
          <w:szCs w:val="32"/>
        </w:rPr>
        <w:t>剑阁县</w:t>
      </w:r>
      <w:r>
        <w:rPr>
          <w:rFonts w:hint="eastAsia" w:ascii="楷体_GB2312" w:hAnsi="楷体_GB2312" w:eastAsia="楷体_GB2312" w:cs="楷体_GB2312"/>
          <w:color w:val="auto"/>
          <w:sz w:val="32"/>
          <w:szCs w:val="32"/>
          <w:lang w:eastAsia="zh-CN"/>
        </w:rPr>
        <w:t>统计局</w:t>
      </w:r>
      <w:r>
        <w:rPr>
          <w:rFonts w:hint="eastAsia" w:ascii="楷体_GB2312" w:hAnsi="楷体_GB2312" w:eastAsia="楷体_GB2312" w:cs="楷体_GB2312"/>
          <w:color w:val="auto"/>
          <w:sz w:val="32"/>
          <w:szCs w:val="32"/>
        </w:rPr>
        <w:t>分类检查事项目录</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6"/>
        <w:gridCol w:w="2267"/>
        <w:gridCol w:w="1167"/>
        <w:gridCol w:w="1483"/>
        <w:gridCol w:w="1017"/>
        <w:gridCol w:w="1750"/>
        <w:gridCol w:w="840"/>
      </w:tblGrid>
      <w:tr w14:paraId="771EA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dxa"/>
          </w:tcPr>
          <w:p w14:paraId="18F7F835">
            <w:pPr>
              <w:rPr>
                <w:rFonts w:hint="eastAsia"/>
                <w:lang w:eastAsia="zh-CN"/>
              </w:rPr>
            </w:pPr>
            <w:r>
              <w:rPr>
                <w:rFonts w:hint="eastAsia"/>
                <w:lang w:eastAsia="zh-CN"/>
              </w:rPr>
              <w:t>序号</w:t>
            </w:r>
          </w:p>
        </w:tc>
        <w:tc>
          <w:tcPr>
            <w:tcW w:w="2267" w:type="dxa"/>
          </w:tcPr>
          <w:p w14:paraId="6F766202">
            <w:pPr>
              <w:jc w:val="center"/>
              <w:rPr>
                <w:rFonts w:hint="eastAsia"/>
                <w:lang w:eastAsia="zh-CN"/>
              </w:rPr>
            </w:pPr>
            <w:r>
              <w:rPr>
                <w:rFonts w:hint="eastAsia"/>
                <w:lang w:eastAsia="zh-CN"/>
              </w:rPr>
              <w:t>检查事项名称</w:t>
            </w:r>
          </w:p>
        </w:tc>
        <w:tc>
          <w:tcPr>
            <w:tcW w:w="1167" w:type="dxa"/>
          </w:tcPr>
          <w:p w14:paraId="4C59F4CC">
            <w:pPr>
              <w:jc w:val="center"/>
              <w:rPr>
                <w:rFonts w:hint="eastAsia"/>
                <w:lang w:eastAsia="zh-CN"/>
              </w:rPr>
            </w:pPr>
            <w:r>
              <w:rPr>
                <w:rFonts w:hint="eastAsia"/>
                <w:lang w:eastAsia="zh-CN"/>
              </w:rPr>
              <w:t>检查事项划分</w:t>
            </w:r>
          </w:p>
        </w:tc>
        <w:tc>
          <w:tcPr>
            <w:tcW w:w="1483" w:type="dxa"/>
          </w:tcPr>
          <w:p w14:paraId="573C46F8">
            <w:pPr>
              <w:jc w:val="center"/>
              <w:rPr>
                <w:rFonts w:hint="eastAsia"/>
                <w:lang w:eastAsia="zh-CN"/>
              </w:rPr>
            </w:pPr>
            <w:r>
              <w:rPr>
                <w:rFonts w:hint="eastAsia"/>
                <w:lang w:eastAsia="zh-CN"/>
              </w:rPr>
              <w:t>检查依据</w:t>
            </w:r>
          </w:p>
        </w:tc>
        <w:tc>
          <w:tcPr>
            <w:tcW w:w="2767" w:type="dxa"/>
            <w:gridSpan w:val="2"/>
          </w:tcPr>
          <w:p w14:paraId="41388349">
            <w:pPr>
              <w:jc w:val="center"/>
              <w:rPr>
                <w:rFonts w:hint="eastAsia"/>
                <w:lang w:eastAsia="zh-CN"/>
              </w:rPr>
            </w:pPr>
            <w:r>
              <w:rPr>
                <w:rFonts w:hint="eastAsia"/>
                <w:lang w:eastAsia="zh-CN"/>
              </w:rPr>
              <w:t>检查对象划分</w:t>
            </w:r>
          </w:p>
        </w:tc>
        <w:tc>
          <w:tcPr>
            <w:tcW w:w="840" w:type="dxa"/>
          </w:tcPr>
          <w:p w14:paraId="072E43C9">
            <w:pPr>
              <w:jc w:val="center"/>
              <w:rPr>
                <w:rFonts w:hint="eastAsia"/>
                <w:lang w:eastAsia="zh-CN"/>
              </w:rPr>
            </w:pPr>
            <w:r>
              <w:rPr>
                <w:rFonts w:hint="eastAsia"/>
                <w:lang w:eastAsia="zh-CN"/>
              </w:rPr>
              <w:t>监管方式</w:t>
            </w:r>
          </w:p>
        </w:tc>
      </w:tr>
      <w:tr w14:paraId="2FACF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36" w:type="dxa"/>
          </w:tcPr>
          <w:p w14:paraId="20F2A120">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仿宋_GB2312" w:hAnsi="华文仿宋" w:eastAsia="仿宋_GB2312" w:cs="仿宋_GB2312"/>
                <w:color w:val="C00000"/>
                <w:sz w:val="32"/>
                <w:szCs w:val="32"/>
                <w:vertAlign w:val="baseline"/>
                <w:lang w:val="en-US" w:eastAsia="zh-CN"/>
              </w:rPr>
            </w:pPr>
            <w:r>
              <w:rPr>
                <w:rFonts w:hint="eastAsia"/>
                <w:lang w:val="en-US" w:eastAsia="zh-CN"/>
              </w:rPr>
              <w:t>1</w:t>
            </w:r>
          </w:p>
        </w:tc>
        <w:tc>
          <w:tcPr>
            <w:tcW w:w="2267" w:type="dxa"/>
          </w:tcPr>
          <w:p w14:paraId="2355F4C0">
            <w:pPr>
              <w:rPr>
                <w:rFonts w:hint="eastAsia"/>
                <w:lang w:eastAsia="zh-CN"/>
              </w:rPr>
            </w:pPr>
            <w:r>
              <w:rPr>
                <w:rFonts w:hint="eastAsia"/>
              </w:rPr>
              <w:t>对国家机关、企业事业单位、个体工商户或者其他组织及相关人员迟报统计资料，不按规定建立原始记录、统计台账的监管</w:t>
            </w:r>
          </w:p>
        </w:tc>
        <w:tc>
          <w:tcPr>
            <w:tcW w:w="1167" w:type="dxa"/>
          </w:tcPr>
          <w:p w14:paraId="2BB8639D">
            <w:pPr>
              <w:rPr>
                <w:rFonts w:hint="eastAsia"/>
                <w:lang w:eastAsia="zh-CN"/>
              </w:rPr>
            </w:pPr>
            <w:r>
              <w:rPr>
                <w:rFonts w:hint="eastAsia"/>
              </w:rPr>
              <w:t>一般检查事项</w:t>
            </w:r>
          </w:p>
        </w:tc>
        <w:tc>
          <w:tcPr>
            <w:tcW w:w="1483" w:type="dxa"/>
          </w:tcPr>
          <w:p w14:paraId="1967DC13">
            <w:pPr>
              <w:rPr>
                <w:rFonts w:hint="eastAsia" w:ascii="仿宋_GB2312" w:hAnsi="华文仿宋" w:eastAsia="仿宋_GB2312" w:cs="仿宋_GB2312"/>
                <w:color w:val="C00000"/>
                <w:sz w:val="32"/>
                <w:szCs w:val="32"/>
                <w:vertAlign w:val="baseline"/>
                <w:lang w:eastAsia="zh-CN"/>
              </w:rPr>
            </w:pPr>
            <w:r>
              <w:rPr>
                <w:rFonts w:hint="eastAsia"/>
              </w:rPr>
              <w:t>《中华人民共和国 统计法》第四十二条《四川省统计管理 条例》第三十四条</w:t>
            </w:r>
          </w:p>
        </w:tc>
        <w:tc>
          <w:tcPr>
            <w:tcW w:w="1017" w:type="dxa"/>
          </w:tcPr>
          <w:p w14:paraId="05E6D958">
            <w:pPr>
              <w:keepNext w:val="0"/>
              <w:keepLines w:val="0"/>
              <w:pageBreakBefore w:val="0"/>
              <w:widowControl w:val="0"/>
              <w:numPr>
                <w:ilvl w:val="0"/>
                <w:numId w:val="0"/>
              </w:numPr>
              <w:kinsoku/>
              <w:wordWrap/>
              <w:overflowPunct/>
              <w:topLinePunct w:val="0"/>
              <w:autoSpaceDE/>
              <w:autoSpaceDN/>
              <w:bidi w:val="0"/>
              <w:adjustRightInd/>
              <w:snapToGrid/>
              <w:spacing w:line="320" w:lineRule="exact"/>
              <w:textAlignment w:val="auto"/>
              <w:rPr>
                <w:rFonts w:hint="eastAsia" w:ascii="仿宋_GB2312" w:hAnsi="华文仿宋" w:eastAsia="仿宋_GB2312" w:cs="仿宋_GB2312"/>
                <w:color w:val="C00000"/>
                <w:sz w:val="32"/>
                <w:szCs w:val="32"/>
                <w:vertAlign w:val="baseline"/>
                <w:lang w:eastAsia="zh-CN"/>
              </w:rPr>
            </w:pPr>
            <w:r>
              <w:rPr>
                <w:rFonts w:hint="eastAsia"/>
                <w:lang w:eastAsia="zh-CN"/>
              </w:rPr>
              <w:t>一般检查对象</w:t>
            </w:r>
          </w:p>
        </w:tc>
        <w:tc>
          <w:tcPr>
            <w:tcW w:w="1750" w:type="dxa"/>
          </w:tcPr>
          <w:p w14:paraId="221F8BAD">
            <w:pPr>
              <w:rPr>
                <w:rFonts w:hint="eastAsia" w:ascii="仿宋_GB2312" w:hAnsi="华文仿宋" w:eastAsia="仿宋_GB2312" w:cs="仿宋_GB2312"/>
                <w:color w:val="C00000"/>
                <w:sz w:val="32"/>
                <w:szCs w:val="32"/>
                <w:vertAlign w:val="baseline"/>
                <w:lang w:eastAsia="zh-CN"/>
              </w:rPr>
            </w:pPr>
            <w:r>
              <w:rPr>
                <w:rFonts w:hint="eastAsia"/>
              </w:rPr>
              <w:t xml:space="preserve">凡有报送统计资料义务的国家机关。 企业事业单位和其 他组织以及个体工商户和个人 </w:t>
            </w:r>
          </w:p>
        </w:tc>
        <w:tc>
          <w:tcPr>
            <w:tcW w:w="840" w:type="dxa"/>
          </w:tcPr>
          <w:p w14:paraId="54058CF2">
            <w:pPr>
              <w:rPr>
                <w:rFonts w:hint="eastAsia" w:ascii="仿宋_GB2312" w:hAnsi="华文仿宋" w:eastAsia="仿宋_GB2312" w:cs="仿宋_GB2312"/>
                <w:color w:val="C00000"/>
                <w:sz w:val="32"/>
                <w:szCs w:val="32"/>
                <w:vertAlign w:val="baseline"/>
                <w:lang w:eastAsia="zh-CN"/>
              </w:rPr>
            </w:pPr>
            <w:r>
              <w:rPr>
                <w:rFonts w:hint="eastAsia"/>
              </w:rPr>
              <w:t>现场检查、书面检查、网络检查</w:t>
            </w:r>
          </w:p>
        </w:tc>
      </w:tr>
      <w:tr w14:paraId="7475A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dxa"/>
          </w:tcPr>
          <w:p w14:paraId="5A461BA7">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仿宋_GB2312" w:hAnsi="华文仿宋" w:eastAsia="仿宋_GB2312" w:cs="仿宋_GB2312"/>
                <w:color w:val="C00000"/>
                <w:sz w:val="32"/>
                <w:szCs w:val="32"/>
                <w:vertAlign w:val="baseline"/>
                <w:lang w:val="en-US" w:eastAsia="zh-CN"/>
              </w:rPr>
            </w:pPr>
            <w:r>
              <w:rPr>
                <w:rFonts w:hint="eastAsia"/>
                <w:lang w:val="en-US" w:eastAsia="zh-CN"/>
              </w:rPr>
              <w:t>2</w:t>
            </w:r>
          </w:p>
        </w:tc>
        <w:tc>
          <w:tcPr>
            <w:tcW w:w="2267" w:type="dxa"/>
          </w:tcPr>
          <w:p w14:paraId="398923F9">
            <w:pPr>
              <w:rPr>
                <w:rFonts w:hint="eastAsia" w:ascii="仿宋_GB2312" w:hAnsi="华文仿宋" w:eastAsia="仿宋_GB2312" w:cs="仿宋_GB2312"/>
                <w:color w:val="C00000"/>
                <w:sz w:val="32"/>
                <w:szCs w:val="32"/>
                <w:vertAlign w:val="baseline"/>
                <w:lang w:eastAsia="zh-CN"/>
              </w:rPr>
            </w:pPr>
            <w:r>
              <w:rPr>
                <w:rFonts w:hint="eastAsia"/>
              </w:rPr>
              <w:t>对国家机关、企业事业单位、个体工商户或者其他组织及相关人员迟报统计资料，不按规定建立原始记录、统计台账的监管</w:t>
            </w:r>
          </w:p>
        </w:tc>
        <w:tc>
          <w:tcPr>
            <w:tcW w:w="1167" w:type="dxa"/>
          </w:tcPr>
          <w:p w14:paraId="50C27284">
            <w:pPr>
              <w:rPr>
                <w:rFonts w:hint="eastAsia"/>
                <w:lang w:eastAsia="zh-CN"/>
              </w:rPr>
            </w:pPr>
            <w:r>
              <w:rPr>
                <w:rFonts w:hint="eastAsia"/>
                <w:lang w:eastAsia="zh-CN"/>
              </w:rPr>
              <w:t>重点检查事项</w:t>
            </w:r>
          </w:p>
        </w:tc>
        <w:tc>
          <w:tcPr>
            <w:tcW w:w="1483" w:type="dxa"/>
          </w:tcPr>
          <w:p w14:paraId="4C18E378">
            <w:pPr>
              <w:rPr>
                <w:rFonts w:hint="eastAsia"/>
                <w:lang w:eastAsia="zh-CN"/>
              </w:rPr>
            </w:pPr>
            <w:r>
              <w:rPr>
                <w:rFonts w:hint="eastAsia"/>
                <w:lang w:eastAsia="zh-CN"/>
              </w:rPr>
              <w:t>《中华人民共和国 统计法》第四十一条</w:t>
            </w:r>
          </w:p>
        </w:tc>
        <w:tc>
          <w:tcPr>
            <w:tcW w:w="1017" w:type="dxa"/>
          </w:tcPr>
          <w:p w14:paraId="71E9421B">
            <w:pPr>
              <w:rPr>
                <w:rFonts w:hint="eastAsia"/>
                <w:lang w:eastAsia="zh-CN"/>
              </w:rPr>
            </w:pPr>
            <w:r>
              <w:rPr>
                <w:rFonts w:hint="eastAsia"/>
                <w:lang w:eastAsia="zh-CN"/>
              </w:rPr>
              <w:t>重点检查对象</w:t>
            </w:r>
          </w:p>
        </w:tc>
        <w:tc>
          <w:tcPr>
            <w:tcW w:w="1750" w:type="dxa"/>
          </w:tcPr>
          <w:p w14:paraId="66378331">
            <w:pPr>
              <w:rPr>
                <w:rFonts w:hint="eastAsia" w:ascii="仿宋_GB2312" w:hAnsi="华文仿宋" w:eastAsia="仿宋_GB2312" w:cs="仿宋_GB2312"/>
                <w:color w:val="C00000"/>
                <w:sz w:val="32"/>
                <w:szCs w:val="32"/>
                <w:vertAlign w:val="baseline"/>
                <w:lang w:eastAsia="zh-CN"/>
              </w:rPr>
            </w:pPr>
            <w:r>
              <w:rPr>
                <w:rFonts w:hint="eastAsia"/>
              </w:rPr>
              <w:t>群众举报、领导批示、媒体披露和上级统计部门批转、存在统计违法行为的对象</w:t>
            </w:r>
          </w:p>
        </w:tc>
        <w:tc>
          <w:tcPr>
            <w:tcW w:w="840" w:type="dxa"/>
          </w:tcPr>
          <w:p w14:paraId="5A6FA7EC">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华文仿宋" w:eastAsia="仿宋_GB2312" w:cs="仿宋_GB2312"/>
                <w:color w:val="C00000"/>
                <w:sz w:val="32"/>
                <w:szCs w:val="32"/>
                <w:vertAlign w:val="baseline"/>
                <w:lang w:eastAsia="zh-CN"/>
              </w:rPr>
            </w:pPr>
            <w:r>
              <w:rPr>
                <w:rFonts w:hint="eastAsia"/>
              </w:rPr>
              <w:t>现场检查</w:t>
            </w:r>
          </w:p>
        </w:tc>
      </w:tr>
    </w:tbl>
    <w:p w14:paraId="173A545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eastAsia="zh-CN"/>
        </w:rPr>
        <w:t>（二）</w:t>
      </w:r>
      <w:r>
        <w:rPr>
          <w:rFonts w:hint="eastAsia" w:ascii="楷体_GB2312" w:hAnsi="楷体_GB2312" w:eastAsia="楷体_GB2312" w:cs="楷体_GB2312"/>
          <w:color w:val="auto"/>
          <w:sz w:val="32"/>
          <w:szCs w:val="32"/>
        </w:rPr>
        <w:t>剑阁县</w:t>
      </w:r>
      <w:r>
        <w:rPr>
          <w:rFonts w:hint="eastAsia" w:ascii="楷体_GB2312" w:hAnsi="楷体_GB2312" w:eastAsia="楷体_GB2312" w:cs="楷体_GB2312"/>
          <w:color w:val="auto"/>
          <w:sz w:val="32"/>
          <w:szCs w:val="32"/>
          <w:lang w:eastAsia="zh-CN"/>
        </w:rPr>
        <w:t>统计局</w:t>
      </w:r>
      <w:r>
        <w:rPr>
          <w:rFonts w:hint="eastAsia" w:ascii="楷体_GB2312" w:hAnsi="楷体_GB2312" w:eastAsia="楷体_GB2312" w:cs="楷体_GB2312"/>
          <w:color w:val="auto"/>
          <w:sz w:val="32"/>
          <w:szCs w:val="32"/>
        </w:rPr>
        <w:t>不予、免予从轻、减轻、从重行政处罚清单</w:t>
      </w:r>
      <w:r>
        <w:rPr>
          <w:rFonts w:hint="eastAsia" w:ascii="楷体_GB2312" w:hAnsi="楷体_GB2312" w:eastAsia="楷体_GB2312" w:cs="楷体_GB2312"/>
          <w:color w:val="auto"/>
          <w:sz w:val="32"/>
          <w:szCs w:val="32"/>
          <w:lang w:eastAsia="zh-CN"/>
        </w:rPr>
        <w:t>（无）</w:t>
      </w:r>
    </w:p>
    <w:p w14:paraId="1D937890">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方正小标宋简体" w:hAnsi="方正小标宋简体" w:eastAsia="方正小标宋简体" w:cs="方正小标宋简体"/>
          <w:i w:val="0"/>
          <w:iCs w:val="0"/>
          <w:color w:val="000000"/>
          <w:kern w:val="0"/>
          <w:sz w:val="40"/>
          <w:szCs w:val="40"/>
          <w:u w:val="none"/>
          <w:lang w:val="en-US" w:eastAsia="zh-CN" w:bidi="ar"/>
        </w:rPr>
      </w:pPr>
      <w:r>
        <w:rPr>
          <w:rFonts w:hint="eastAsia" w:ascii="黑体" w:hAnsi="黑体" w:eastAsia="黑体" w:cs="黑体"/>
          <w:b w:val="0"/>
          <w:bCs w:val="0"/>
          <w:sz w:val="32"/>
          <w:szCs w:val="32"/>
          <w:lang w:val="en-US" w:eastAsia="zh-CN"/>
        </w:rPr>
        <w:t>十二、剑阁县统计局行政执法事项目录</w:t>
      </w:r>
    </w:p>
    <w:p w14:paraId="51D71534">
      <w:pPr>
        <w:keepNext w:val="0"/>
        <w:keepLines w:val="0"/>
        <w:widowControl/>
        <w:suppressLineNumbers w:val="0"/>
        <w:ind w:firstLine="800" w:firstLineChars="200"/>
        <w:jc w:val="both"/>
        <w:textAlignment w:val="center"/>
        <w:rPr>
          <w:rFonts w:hint="eastAsia" w:ascii="方正小标宋简体" w:hAnsi="方正小标宋简体" w:eastAsia="方正小标宋简体" w:cs="方正小标宋简体"/>
          <w:i w:val="0"/>
          <w:iCs w:val="0"/>
          <w:color w:val="000000"/>
          <w:kern w:val="0"/>
          <w:sz w:val="40"/>
          <w:szCs w:val="40"/>
          <w:u w:val="none"/>
          <w:lang w:val="en-US" w:eastAsia="zh-CN" w:bidi="ar"/>
        </w:rPr>
      </w:pPr>
    </w:p>
    <w:p w14:paraId="3862A952">
      <w:pPr>
        <w:keepNext w:val="0"/>
        <w:keepLines w:val="0"/>
        <w:widowControl/>
        <w:suppressLineNumbers w:val="0"/>
        <w:ind w:firstLine="1200" w:firstLineChars="300"/>
        <w:jc w:val="both"/>
        <w:textAlignment w:val="center"/>
        <w:rPr>
          <w:rFonts w:hint="eastAsia" w:ascii="方正小标宋简体" w:hAnsi="方正小标宋简体" w:eastAsia="方正小标宋简体" w:cs="方正小标宋简体"/>
          <w:i w:val="0"/>
          <w:iCs w:val="0"/>
          <w:color w:val="000000"/>
          <w:kern w:val="0"/>
          <w:sz w:val="40"/>
          <w:szCs w:val="40"/>
          <w:u w:val="none"/>
          <w:lang w:val="en-US" w:eastAsia="zh-CN" w:bidi="ar"/>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剑阁县统计局行政执法事项目录</w:t>
      </w:r>
    </w:p>
    <w:tbl>
      <w:tblPr>
        <w:tblStyle w:val="5"/>
        <w:tblW w:w="8433" w:type="dxa"/>
        <w:tblInd w:w="1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83"/>
        <w:gridCol w:w="700"/>
        <w:gridCol w:w="1350"/>
        <w:gridCol w:w="5100"/>
      </w:tblGrid>
      <w:tr w14:paraId="27B66D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0" w:hRule="atLeast"/>
        </w:trPr>
        <w:tc>
          <w:tcPr>
            <w:tcW w:w="1283" w:type="dxa"/>
            <w:vAlign w:val="center"/>
          </w:tcPr>
          <w:p w14:paraId="2F4C52A0">
            <w:pPr>
              <w:jc w:val="center"/>
              <w:rPr>
                <w:rFonts w:hint="eastAsia" w:ascii="Times New Roman" w:hAnsi="Times New Roman" w:eastAsia="宋体" w:cs="Times New Roman"/>
                <w:b/>
                <w:bCs/>
                <w:sz w:val="24"/>
                <w:szCs w:val="24"/>
                <w:vertAlign w:val="baseline"/>
                <w:lang w:eastAsia="zh-CN"/>
              </w:rPr>
            </w:pPr>
            <w:r>
              <w:rPr>
                <w:rFonts w:hint="eastAsia" w:ascii="Times New Roman" w:hAnsi="Times New Roman" w:eastAsia="宋体" w:cs="Times New Roman"/>
                <w:b/>
                <w:bCs/>
                <w:sz w:val="24"/>
                <w:szCs w:val="24"/>
                <w:vertAlign w:val="baseline"/>
                <w:lang w:eastAsia="zh-CN"/>
              </w:rPr>
              <w:t>实施部门</w:t>
            </w:r>
          </w:p>
        </w:tc>
        <w:tc>
          <w:tcPr>
            <w:tcW w:w="700" w:type="dxa"/>
            <w:vAlign w:val="center"/>
          </w:tcPr>
          <w:p w14:paraId="663DF8AC">
            <w:pPr>
              <w:jc w:val="center"/>
              <w:rPr>
                <w:rFonts w:hint="eastAsia" w:ascii="Times New Roman" w:hAnsi="Times New Roman" w:eastAsia="宋体" w:cs="Times New Roman"/>
                <w:b/>
                <w:bCs/>
                <w:sz w:val="24"/>
                <w:szCs w:val="24"/>
                <w:vertAlign w:val="baseline"/>
                <w:lang w:eastAsia="zh-CN"/>
              </w:rPr>
            </w:pPr>
            <w:r>
              <w:rPr>
                <w:rFonts w:hint="eastAsia" w:ascii="Times New Roman" w:hAnsi="Times New Roman" w:eastAsia="宋体" w:cs="Times New Roman"/>
                <w:b/>
                <w:bCs/>
                <w:sz w:val="24"/>
                <w:szCs w:val="24"/>
                <w:vertAlign w:val="baseline"/>
                <w:lang w:eastAsia="zh-CN"/>
              </w:rPr>
              <w:t>序号</w:t>
            </w:r>
          </w:p>
        </w:tc>
        <w:tc>
          <w:tcPr>
            <w:tcW w:w="1350" w:type="dxa"/>
            <w:vAlign w:val="center"/>
          </w:tcPr>
          <w:p w14:paraId="6D323FA9">
            <w:pPr>
              <w:jc w:val="center"/>
              <w:rPr>
                <w:rFonts w:hint="eastAsia" w:ascii="Times New Roman" w:hAnsi="Times New Roman" w:eastAsia="宋体" w:cs="Times New Roman"/>
                <w:b/>
                <w:bCs/>
                <w:sz w:val="24"/>
                <w:szCs w:val="24"/>
                <w:vertAlign w:val="baseline"/>
                <w:lang w:eastAsia="zh-CN"/>
              </w:rPr>
            </w:pPr>
            <w:r>
              <w:rPr>
                <w:rFonts w:hint="eastAsia" w:ascii="Times New Roman" w:hAnsi="Times New Roman" w:eastAsia="宋体" w:cs="Times New Roman"/>
                <w:b/>
                <w:bCs/>
                <w:sz w:val="24"/>
                <w:szCs w:val="24"/>
                <w:vertAlign w:val="baseline"/>
                <w:lang w:eastAsia="zh-CN"/>
              </w:rPr>
              <w:t>权力类型</w:t>
            </w:r>
          </w:p>
        </w:tc>
        <w:tc>
          <w:tcPr>
            <w:tcW w:w="5100" w:type="dxa"/>
            <w:vAlign w:val="center"/>
          </w:tcPr>
          <w:p w14:paraId="3DFC9A21">
            <w:pPr>
              <w:jc w:val="center"/>
              <w:rPr>
                <w:rFonts w:hint="eastAsia" w:ascii="Times New Roman" w:hAnsi="Times New Roman" w:eastAsia="宋体" w:cs="Times New Roman"/>
                <w:b/>
                <w:bCs/>
                <w:sz w:val="24"/>
                <w:szCs w:val="24"/>
                <w:vertAlign w:val="baseline"/>
                <w:lang w:eastAsia="zh-CN"/>
              </w:rPr>
            </w:pPr>
            <w:r>
              <w:rPr>
                <w:rFonts w:hint="eastAsia" w:ascii="Times New Roman" w:hAnsi="Times New Roman" w:eastAsia="宋体" w:cs="Times New Roman"/>
                <w:b/>
                <w:bCs/>
                <w:sz w:val="24"/>
                <w:szCs w:val="24"/>
                <w:vertAlign w:val="baseline"/>
                <w:lang w:val="en-US" w:eastAsia="zh-CN"/>
              </w:rPr>
              <w:t>行政执法事项</w:t>
            </w:r>
          </w:p>
        </w:tc>
      </w:tr>
      <w:tr w14:paraId="78D8E4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83" w:type="dxa"/>
            <w:vAlign w:val="center"/>
          </w:tcPr>
          <w:p w14:paraId="0A4C1198">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p>
          <w:p w14:paraId="698147EF">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统计局</w:t>
            </w:r>
          </w:p>
        </w:tc>
        <w:tc>
          <w:tcPr>
            <w:tcW w:w="700" w:type="dxa"/>
            <w:vAlign w:val="center"/>
          </w:tcPr>
          <w:p w14:paraId="63E6EDF9">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1</w:t>
            </w:r>
          </w:p>
        </w:tc>
        <w:tc>
          <w:tcPr>
            <w:tcW w:w="1350" w:type="dxa"/>
            <w:vAlign w:val="center"/>
          </w:tcPr>
          <w:p w14:paraId="09725019">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w:t>
            </w:r>
          </w:p>
          <w:p w14:paraId="6C170661">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处罚</w:t>
            </w:r>
          </w:p>
        </w:tc>
        <w:tc>
          <w:tcPr>
            <w:tcW w:w="5100" w:type="dxa"/>
            <w:vAlign w:val="center"/>
          </w:tcPr>
          <w:p w14:paraId="03922061">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 xml:space="preserve">  对企业事业单位或者其他组织及相关人员、个体工商户拒绝提供统计资料或者经催报后仍未按时提供统计资料，提供不真实或者不完整的统计资料，拒绝答复或者不如实答复统计检查查询书，拒绝、阻碍统计调查、统计检查，转移、隐匿、篡改、毁弃或者拒绝提供原始记录和凭证、统计台账、统计调查表及其他相关证明和资料的处罚。</w:t>
            </w:r>
          </w:p>
        </w:tc>
      </w:tr>
      <w:tr w14:paraId="60BD66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83" w:type="dxa"/>
            <w:vAlign w:val="center"/>
          </w:tcPr>
          <w:p w14:paraId="12D02307">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p>
          <w:p w14:paraId="5C589036">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统计局</w:t>
            </w:r>
          </w:p>
        </w:tc>
        <w:tc>
          <w:tcPr>
            <w:tcW w:w="700" w:type="dxa"/>
            <w:vAlign w:val="center"/>
          </w:tcPr>
          <w:p w14:paraId="4CEC220C">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2</w:t>
            </w:r>
          </w:p>
        </w:tc>
        <w:tc>
          <w:tcPr>
            <w:tcW w:w="1350" w:type="dxa"/>
            <w:vAlign w:val="center"/>
          </w:tcPr>
          <w:p w14:paraId="38F7ABF4">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w:t>
            </w:r>
          </w:p>
          <w:p w14:paraId="05B214CE">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处罚</w:t>
            </w:r>
          </w:p>
        </w:tc>
        <w:tc>
          <w:tcPr>
            <w:tcW w:w="5100" w:type="dxa"/>
            <w:vAlign w:val="center"/>
          </w:tcPr>
          <w:p w14:paraId="06F6FA4E">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 xml:space="preserve">   对企业事业单位、个体工商户或者其他组织及相关人员迟报统计资料，不按规定建立原始记录、统计台账，安排未取得统计从业资格证书的人员从事统计工作，未按规定领取统计报表的处罚。</w:t>
            </w:r>
          </w:p>
        </w:tc>
      </w:tr>
      <w:tr w14:paraId="4A181C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3" w:hRule="atLeast"/>
        </w:trPr>
        <w:tc>
          <w:tcPr>
            <w:tcW w:w="1283" w:type="dxa"/>
            <w:tcBorders>
              <w:top w:val="single" w:color="000000" w:sz="4" w:space="0"/>
              <w:left w:val="single" w:color="000000" w:sz="4" w:space="0"/>
              <w:bottom w:val="single" w:color="000000" w:sz="4" w:space="0"/>
              <w:right w:val="single" w:color="000000" w:sz="4" w:space="0"/>
            </w:tcBorders>
            <w:vAlign w:val="center"/>
          </w:tcPr>
          <w:p w14:paraId="6271B108">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p>
          <w:p w14:paraId="281C9B70">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统计局</w:t>
            </w:r>
          </w:p>
        </w:tc>
        <w:tc>
          <w:tcPr>
            <w:tcW w:w="700" w:type="dxa"/>
            <w:tcBorders>
              <w:top w:val="single" w:color="000000" w:sz="4" w:space="0"/>
              <w:left w:val="single" w:color="000000" w:sz="4" w:space="0"/>
              <w:bottom w:val="single" w:color="000000" w:sz="4" w:space="0"/>
              <w:right w:val="single" w:color="000000" w:sz="4" w:space="0"/>
            </w:tcBorders>
            <w:vAlign w:val="center"/>
          </w:tcPr>
          <w:p w14:paraId="587CC8B6">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3</w:t>
            </w:r>
          </w:p>
        </w:tc>
        <w:tc>
          <w:tcPr>
            <w:tcW w:w="1350" w:type="dxa"/>
            <w:tcBorders>
              <w:top w:val="single" w:color="000000" w:sz="4" w:space="0"/>
              <w:left w:val="single" w:color="000000" w:sz="4" w:space="0"/>
              <w:bottom w:val="single" w:color="000000" w:sz="4" w:space="0"/>
              <w:right w:val="single" w:color="000000" w:sz="4" w:space="0"/>
            </w:tcBorders>
            <w:vAlign w:val="center"/>
          </w:tcPr>
          <w:p w14:paraId="6B7FC6AF">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w:t>
            </w:r>
          </w:p>
          <w:p w14:paraId="798389ED">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处罚</w:t>
            </w:r>
          </w:p>
        </w:tc>
        <w:tc>
          <w:tcPr>
            <w:tcW w:w="5100" w:type="dxa"/>
            <w:tcBorders>
              <w:top w:val="single" w:color="000000" w:sz="4" w:space="0"/>
              <w:left w:val="single" w:color="000000" w:sz="4" w:space="0"/>
              <w:bottom w:val="single" w:color="000000" w:sz="4" w:space="0"/>
              <w:right w:val="single" w:color="000000" w:sz="4" w:space="0"/>
            </w:tcBorders>
            <w:vAlign w:val="center"/>
          </w:tcPr>
          <w:p w14:paraId="4E3932E5">
            <w:pPr>
              <w:jc w:val="left"/>
              <w:rPr>
                <w:rFonts w:hint="eastAsia" w:ascii="Times New Roman" w:hAnsi="Times New Roman" w:eastAsia="宋体" w:cs="Times New Roman"/>
                <w:color w:val="FF0000"/>
                <w:sz w:val="24"/>
                <w:szCs w:val="24"/>
                <w:vertAlign w:val="baseline"/>
                <w:lang w:eastAsia="zh-CN"/>
              </w:rPr>
            </w:pPr>
            <w:r>
              <w:rPr>
                <w:rFonts w:hint="eastAsia" w:ascii="Times New Roman" w:hAnsi="Times New Roman" w:eastAsia="宋体" w:cs="Times New Roman"/>
                <w:color w:val="FF0000"/>
                <w:sz w:val="24"/>
                <w:szCs w:val="24"/>
                <w:vertAlign w:val="baseline"/>
                <w:lang w:eastAsia="zh-CN"/>
              </w:rPr>
              <w:t xml:space="preserve">   </w:t>
            </w:r>
            <w:r>
              <w:rPr>
                <w:rFonts w:hint="eastAsia" w:ascii="Times New Roman" w:hAnsi="Times New Roman" w:eastAsia="宋体" w:cs="Times New Roman"/>
                <w:color w:val="auto"/>
                <w:sz w:val="24"/>
                <w:szCs w:val="24"/>
                <w:vertAlign w:val="baseline"/>
                <w:lang w:eastAsia="zh-CN"/>
              </w:rPr>
              <w:t>对国家机关以外的组织或者个人擅自进行依法应当由国家机关实施的统计调查的处罚。</w:t>
            </w:r>
          </w:p>
        </w:tc>
      </w:tr>
      <w:tr w14:paraId="77C248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83" w:type="dxa"/>
            <w:tcBorders>
              <w:top w:val="single" w:color="000000" w:sz="4" w:space="0"/>
              <w:left w:val="single" w:color="000000" w:sz="4" w:space="0"/>
              <w:bottom w:val="single" w:color="000000" w:sz="4" w:space="0"/>
              <w:right w:val="single" w:color="000000" w:sz="4" w:space="0"/>
            </w:tcBorders>
            <w:vAlign w:val="center"/>
          </w:tcPr>
          <w:p w14:paraId="57C427A7">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p>
          <w:p w14:paraId="5F0F611C">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sz w:val="24"/>
                <w:szCs w:val="24"/>
                <w:vertAlign w:val="baseline"/>
                <w:lang w:eastAsia="zh-CN"/>
              </w:rPr>
              <w:t>统计局</w:t>
            </w:r>
          </w:p>
        </w:tc>
        <w:tc>
          <w:tcPr>
            <w:tcW w:w="700" w:type="dxa"/>
            <w:tcBorders>
              <w:top w:val="single" w:color="000000" w:sz="4" w:space="0"/>
              <w:left w:val="single" w:color="000000" w:sz="4" w:space="0"/>
              <w:bottom w:val="single" w:color="000000" w:sz="4" w:space="0"/>
              <w:right w:val="single" w:color="000000" w:sz="4" w:space="0"/>
            </w:tcBorders>
            <w:vAlign w:val="center"/>
          </w:tcPr>
          <w:p w14:paraId="15282FB1">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sz w:val="24"/>
                <w:szCs w:val="24"/>
                <w:vertAlign w:val="baseline"/>
                <w:lang w:val="en-US" w:eastAsia="zh-CN"/>
              </w:rPr>
              <w:t>4</w:t>
            </w:r>
          </w:p>
        </w:tc>
        <w:tc>
          <w:tcPr>
            <w:tcW w:w="1350" w:type="dxa"/>
            <w:tcBorders>
              <w:top w:val="single" w:color="000000" w:sz="4" w:space="0"/>
              <w:left w:val="single" w:color="000000" w:sz="4" w:space="0"/>
              <w:bottom w:val="single" w:color="000000" w:sz="4" w:space="0"/>
              <w:right w:val="single" w:color="000000" w:sz="4" w:space="0"/>
            </w:tcBorders>
            <w:vAlign w:val="center"/>
          </w:tcPr>
          <w:p w14:paraId="3BC3132A">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监督</w:t>
            </w:r>
          </w:p>
          <w:p w14:paraId="5363E707">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sz w:val="24"/>
                <w:szCs w:val="24"/>
                <w:vertAlign w:val="baseline"/>
                <w:lang w:eastAsia="zh-CN"/>
              </w:rPr>
              <w:t>检查</w:t>
            </w:r>
          </w:p>
        </w:tc>
        <w:tc>
          <w:tcPr>
            <w:tcW w:w="5100" w:type="dxa"/>
            <w:tcBorders>
              <w:top w:val="single" w:color="000000" w:sz="4" w:space="0"/>
              <w:left w:val="single" w:color="000000" w:sz="4" w:space="0"/>
              <w:bottom w:val="single" w:color="000000" w:sz="4" w:space="0"/>
              <w:right w:val="single" w:color="000000" w:sz="4" w:space="0"/>
            </w:tcBorders>
            <w:vAlign w:val="center"/>
          </w:tcPr>
          <w:p w14:paraId="318C212C">
            <w:pPr>
              <w:ind w:firstLine="480" w:firstLineChars="200"/>
              <w:jc w:val="left"/>
              <w:rPr>
                <w:rFonts w:hint="eastAsia" w:ascii="仿宋" w:hAnsi="仿宋" w:eastAsia="仿宋" w:cs="仿宋"/>
                <w:color w:val="C00000"/>
                <w:sz w:val="24"/>
                <w:lang w:eastAsia="zh-CN"/>
              </w:rPr>
            </w:pPr>
            <w:r>
              <w:rPr>
                <w:rFonts w:hint="eastAsia" w:ascii="Times New Roman" w:hAnsi="Times New Roman" w:eastAsia="宋体" w:cs="Times New Roman"/>
                <w:sz w:val="24"/>
                <w:szCs w:val="24"/>
                <w:vertAlign w:val="baseline"/>
                <w:lang w:eastAsia="zh-CN"/>
              </w:rPr>
              <w:t>检查企业事业单位或者其他组织及相关人员、个体工商户的有关原始记录和凭证、统计台账、统计调查表、会计资料及其他相关证明和资料。对拒绝、阻碍检查，转移、隐匿、篡改、毁弃原始记录和凭证、统计台账、统计调查表、会计资料及其他相关证明和资料的处罚。</w:t>
            </w:r>
          </w:p>
        </w:tc>
      </w:tr>
    </w:tbl>
    <w:p w14:paraId="73F3C041">
      <w:pPr>
        <w:rPr>
          <w:rFonts w:hint="eastAsia"/>
          <w:lang w:val="en-US" w:eastAsia="zh-CN"/>
        </w:rPr>
      </w:pPr>
    </w:p>
    <w:sectPr>
      <w:footerReference r:id="rId3" w:type="default"/>
      <w:pgSz w:w="11906" w:h="16838"/>
      <w:pgMar w:top="2098" w:right="1474" w:bottom="1984" w:left="1588"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208A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A2D714">
                          <w:pPr>
                            <w:pStyle w:val="4"/>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AA2D714">
                    <w:pPr>
                      <w:pStyle w:val="4"/>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1E3967"/>
    <w:multiLevelType w:val="singleLevel"/>
    <w:tmpl w:val="211E3967"/>
    <w:lvl w:ilvl="0" w:tentative="0">
      <w:start w:val="8"/>
      <w:numFmt w:val="chineseCounting"/>
      <w:suff w:val="nothing"/>
      <w:lvlText w:val="%1、"/>
      <w:lvlJc w:val="left"/>
      <w:rPr>
        <w:rFonts w:hint="eastAsia"/>
      </w:rPr>
    </w:lvl>
  </w:abstractNum>
  <w:abstractNum w:abstractNumId="1">
    <w:nsid w:val="74F305E6"/>
    <w:multiLevelType w:val="singleLevel"/>
    <w:tmpl w:val="74F305E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 w:name="KSO_WPS_MARK_KEY" w:val="8606a862-e17f-4b6a-a2ec-f8e4b4919921"/>
  </w:docVars>
  <w:rsids>
    <w:rsidRoot w:val="02F97DF9"/>
    <w:rsid w:val="02F97DF9"/>
    <w:rsid w:val="172872C1"/>
    <w:rsid w:val="19D90D46"/>
    <w:rsid w:val="23E4209D"/>
    <w:rsid w:val="26923FCD"/>
    <w:rsid w:val="2B123249"/>
    <w:rsid w:val="30564A47"/>
    <w:rsid w:val="3486062E"/>
    <w:rsid w:val="348E47AF"/>
    <w:rsid w:val="37977E1F"/>
    <w:rsid w:val="3AF235BE"/>
    <w:rsid w:val="3BE047A9"/>
    <w:rsid w:val="3EF828AD"/>
    <w:rsid w:val="3FF83425"/>
    <w:rsid w:val="41C645DE"/>
    <w:rsid w:val="4AA211FD"/>
    <w:rsid w:val="4AA44DE7"/>
    <w:rsid w:val="4D267823"/>
    <w:rsid w:val="516F72BF"/>
    <w:rsid w:val="530937E3"/>
    <w:rsid w:val="566273F2"/>
    <w:rsid w:val="568F51F0"/>
    <w:rsid w:val="57122BC6"/>
    <w:rsid w:val="580D1877"/>
    <w:rsid w:val="5B613950"/>
    <w:rsid w:val="5DD02E49"/>
    <w:rsid w:val="65D62B44"/>
    <w:rsid w:val="6AB75B07"/>
    <w:rsid w:val="747B74EE"/>
    <w:rsid w:val="7A450DFB"/>
    <w:rsid w:val="7C637A38"/>
    <w:rsid w:val="7DF25990"/>
    <w:rsid w:val="7F272E03"/>
    <w:rsid w:val="7F282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ind w:leftChars="100" w:rightChars="100"/>
    </w:pPr>
  </w:style>
  <w:style w:type="paragraph" w:styleId="4">
    <w:name w:val="footer"/>
    <w:basedOn w:val="1"/>
    <w:qFormat/>
    <w:uiPriority w:val="0"/>
    <w:pPr>
      <w:tabs>
        <w:tab w:val="center" w:pos="4153"/>
        <w:tab w:val="right" w:pos="8306"/>
      </w:tabs>
      <w:snapToGrid w:val="0"/>
      <w:jc w:val="left"/>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0"/>
    <w:rPr>
      <w:color w:val="0000FF"/>
      <w:u w:val="single"/>
    </w:rPr>
  </w:style>
  <w:style w:type="paragraph" w:customStyle="1" w:styleId="9">
    <w:name w:val="BodyText"/>
    <w:qFormat/>
    <w:uiPriority w:val="0"/>
    <w:pPr>
      <w:widowControl w:val="0"/>
      <w:spacing w:after="12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4913</Words>
  <Characters>6094</Characters>
  <Lines>0</Lines>
  <Paragraphs>0</Paragraphs>
  <TotalTime>2</TotalTime>
  <ScaleCrop>false</ScaleCrop>
  <LinksUpToDate>false</LinksUpToDate>
  <CharactersWithSpaces>6401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2024-07-23T01:42:00Z</dcterms:created>
  <dc:creator>景彡耔忈</dc:creator>
  <cp:lastModifiedBy>WPS_1696561537</cp:lastModifiedBy>
  <dcterms:modified xsi:type="dcterms:W3CDTF">2024-08-12T02:29:29Z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7F2ABFA3A2FC47E7A18DA5A5EFD47AB4_13</vt:lpwstr>
  </property>
</Properties>
</file>