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val="en-US" w:eastAsia="zh-CN"/>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剑阁县综合行政执法局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综合行政执法局行政执法裁量权标准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综合行政执法局</w:t>
      </w:r>
      <w:r>
        <w:rPr>
          <w:rFonts w:hint="eastAsia" w:ascii="仿宋_GB2312" w:hAnsi="华文仿宋" w:eastAsia="仿宋_GB2312" w:cs="仿宋_GB2312"/>
          <w:sz w:val="32"/>
          <w:szCs w:val="32"/>
        </w:rPr>
        <w:t>分类检查事项目录和不予、免予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方正小标宋简体" w:hAnsi="方正小标宋简体" w:eastAsia="方正小标宋简体" w:cs="方正小标宋简体"/>
          <w:b/>
          <w:bCs/>
          <w:sz w:val="44"/>
          <w:szCs w:val="44"/>
          <w:lang w:eastAsia="zh-CN"/>
        </w:rPr>
      </w:pPr>
      <w:r>
        <w:rPr>
          <w:rFonts w:hint="eastAsia" w:ascii="Calibri" w:hAnsi="宋体" w:eastAsia="宋体" w:cs="宋体"/>
          <w:color w:val="000000" w:themeColor="text1"/>
          <w:kern w:val="0"/>
          <w:sz w:val="32"/>
          <w:szCs w:val="32"/>
          <w:lang w:val="en-US" w:eastAsia="zh-CN"/>
          <w14:textFill>
            <w14:solidFill>
              <w14:schemeClr w14:val="tx1"/>
            </w14:solidFill>
          </w14:textFill>
        </w:rPr>
        <w:t>十二、</w:t>
      </w:r>
      <w:r>
        <w:rPr>
          <w:rFonts w:hint="eastAsia" w:ascii="仿宋_GB2312" w:hAnsi="仿宋_GB2312" w:eastAsia="仿宋_GB2312" w:cs="仿宋_GB2312"/>
          <w:b w:val="0"/>
          <w:bCs w:val="0"/>
          <w:i w:val="0"/>
          <w:iCs w:val="0"/>
          <w:caps w:val="0"/>
          <w:color w:val="000000" w:themeColor="text1"/>
          <w:spacing w:val="0"/>
          <w:sz w:val="32"/>
          <w:szCs w:val="32"/>
          <w:shd w:val="clear" w:fill="FFFFFF"/>
          <w:lang w:eastAsia="zh-CN"/>
          <w14:textFill>
            <w14:solidFill>
              <w14:schemeClr w14:val="tx1"/>
            </w14:solidFill>
          </w14:textFill>
        </w:rPr>
        <w:t>剑阁</w:t>
      </w:r>
      <w:r>
        <w:rPr>
          <w:rFonts w:hint="eastAsia" w:ascii="仿宋_GB2312" w:hAnsi="仿宋_GB2312" w:eastAsia="仿宋_GB2312" w:cs="仿宋_GB2312"/>
          <w:b w:val="0"/>
          <w:bCs w:val="0"/>
          <w:i w:val="0"/>
          <w:iCs w:val="0"/>
          <w:caps w:val="0"/>
          <w:color w:val="000000" w:themeColor="text1"/>
          <w:spacing w:val="0"/>
          <w:sz w:val="32"/>
          <w:szCs w:val="32"/>
          <w:shd w:val="clear" w:fill="FFFFFF"/>
          <w14:textFill>
            <w14:solidFill>
              <w14:schemeClr w14:val="tx1"/>
            </w14:solidFill>
          </w14:textFill>
        </w:rPr>
        <w:t>县</w:t>
      </w:r>
      <w:r>
        <w:rPr>
          <w:rFonts w:hint="eastAsia" w:ascii="仿宋_GB2312" w:hAnsi="仿宋_GB2312" w:eastAsia="仿宋_GB2312" w:cs="仿宋_GB2312"/>
          <w:b w:val="0"/>
          <w:bCs w:val="0"/>
          <w:i w:val="0"/>
          <w:iCs w:val="0"/>
          <w:caps w:val="0"/>
          <w:color w:val="000000" w:themeColor="text1"/>
          <w:spacing w:val="0"/>
          <w:sz w:val="32"/>
          <w:szCs w:val="32"/>
          <w:shd w:val="clear" w:fill="FFFFFF"/>
          <w:lang w:eastAsia="zh-CN"/>
          <w14:textFill>
            <w14:solidFill>
              <w14:schemeClr w14:val="tx1"/>
            </w14:solidFill>
          </w14:textFill>
        </w:rPr>
        <w:t>综合行政执法局</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行政执法事项目录</w:t>
      </w:r>
    </w:p>
    <w:p>
      <w:pPr>
        <w:pStyle w:val="12"/>
        <w:rPr>
          <w:rFonts w:hint="default"/>
          <w:lang w:val="en-US" w:eastAsia="zh-CN"/>
        </w:rPr>
      </w:pPr>
    </w:p>
    <w:p>
      <w:pPr>
        <w:pStyle w:val="12"/>
        <w:rPr>
          <w:rFonts w:hint="default" w:ascii="仿宋_GB2312" w:hAnsi="仿宋_GB2312" w:eastAsia="仿宋_GB2312" w:cs="仿宋_GB2312"/>
          <w:b w:val="0"/>
          <w:bCs w:val="0"/>
          <w:color w:val="auto"/>
          <w:sz w:val="32"/>
          <w:szCs w:val="32"/>
          <w:u w:val="none"/>
          <w:lang w:val="en-US" w:eastAsia="zh-CN"/>
        </w:rPr>
      </w:pPr>
    </w:p>
    <w:p>
      <w:pPr>
        <w:pStyle w:val="12"/>
        <w:rPr>
          <w:rFonts w:hint="default" w:ascii="仿宋_GB2312" w:hAnsi="仿宋_GB2312" w:eastAsia="仿宋_GB2312" w:cs="仿宋_GB2312"/>
          <w:b w:val="0"/>
          <w:bCs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32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default" w:ascii="仿宋_GB2312" w:hAnsi="仿宋_GB2312" w:eastAsia="仿宋_GB2312" w:cs="仿宋_GB2312"/>
          <w:b w:val="0"/>
          <w:bCs w:val="0"/>
          <w:color w:val="auto"/>
          <w:sz w:val="32"/>
          <w:szCs w:val="32"/>
          <w:u w:val="none"/>
          <w:lang w:val="en-US" w:eastAsia="zh-CN"/>
        </w:rPr>
        <w:fldChar w:fldCharType="begin"/>
      </w:r>
      <w:r>
        <w:rPr>
          <w:rFonts w:hint="default" w:ascii="仿宋_GB2312" w:hAnsi="仿宋_GB2312" w:eastAsia="仿宋_GB2312" w:cs="仿宋_GB2312"/>
          <w:b w:val="0"/>
          <w:bCs w:val="0"/>
          <w:color w:val="auto"/>
          <w:sz w:val="32"/>
          <w:szCs w:val="32"/>
          <w:u w:val="none"/>
          <w:lang w:val="en-US" w:eastAsia="zh-CN"/>
        </w:rPr>
        <w:instrText xml:space="preserve"> HYPERLINK "http://sfj.cngy.gov.cn/New/List/20171024122928568" </w:instrText>
      </w:r>
      <w:r>
        <w:rPr>
          <w:rFonts w:hint="default" w:ascii="仿宋_GB2312" w:hAnsi="仿宋_GB2312" w:eastAsia="仿宋_GB2312" w:cs="仿宋_GB2312"/>
          <w:b w:val="0"/>
          <w:bCs w:val="0"/>
          <w:color w:val="auto"/>
          <w:sz w:val="32"/>
          <w:szCs w:val="32"/>
          <w:u w:val="none"/>
          <w:lang w:val="en-US" w:eastAsia="zh-CN"/>
        </w:rPr>
        <w:fldChar w:fldCharType="separate"/>
      </w:r>
      <w:r>
        <w:rPr>
          <w:rFonts w:hint="eastAsia" w:ascii="方正小标宋简体" w:hAnsi="方正小标宋简体" w:eastAsia="方正小标宋简体" w:cs="方正小标宋简体"/>
          <w:b w:val="0"/>
          <w:bCs w:val="0"/>
          <w:sz w:val="44"/>
          <w:szCs w:val="44"/>
          <w:lang w:val="en-US" w:eastAsia="zh-CN"/>
        </w:rPr>
        <w:t>剑阁县综合行政执法局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行政执法集中公示内容</w:t>
      </w:r>
    </w:p>
    <w:p>
      <w:pPr>
        <w:pStyle w:val="12"/>
        <w:rPr>
          <w:rFonts w:hint="eastAsia"/>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一、剑阁县综合行政执法局行政执法主体</w:t>
      </w:r>
    </w:p>
    <w:p>
      <w:pPr>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（一）行政执法主体1个</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剑阁县综合行政执法局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地址:四川省广元市剑阁县下寺镇汉德街67号</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邮编:628300</w:t>
      </w:r>
    </w:p>
    <w:p>
      <w:pPr>
        <w:ind w:firstLine="640"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电话0839-6601362    传真:0839-6601359</w:t>
      </w:r>
    </w:p>
    <w:p>
      <w:pPr>
        <w:ind w:firstLine="64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（二）行政执法机构设置2个</w:t>
      </w:r>
    </w:p>
    <w:p>
      <w:pPr>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1.综合执法股</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主要职责：负责完成县政府组织的专项整治和重大执法活动；负责重大疑难案件的办理；承担城市管理应急突发事件的处置工作。</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股室负责人：陈小园   联系电话：0839-6601362</w:t>
      </w:r>
    </w:p>
    <w:p>
      <w:pPr>
        <w:ind w:firstLine="642" w:firstLineChars="200"/>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2.综合行政执法大队</w:t>
      </w:r>
    </w:p>
    <w:p>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职责：依法行使对经济和信息化、工业和能源管理方面法律、法规、规章规定方面违法违规行为的行政处罚；依法行使对财政、金融、国有资产监督管理方面违法违规行为的行政处罚；依法行使对商务和经济合作管理方面违法违规行为的行政处罚；依法行使对住房城乡建设领域违法违规行为的行政处罚；依法行使对发展改革、粮食、能源、价格监测方面部分违法违规行为的行政处罚；依法行使对未取得建设工程许可证或者未按照建设工程规划许可证的规定进行建设;未经批准进行建设，未按照批准内容进行临时建设，临时建筑物、构筑物超过批准时限不拆除;城市雕塑、户外广告、霓虹灯、标语牌、橱窗、宣传栏、地名牌和路牌等违反有关规定和未经批准擅自设置大型户外广告的行为的行政处罚;依法拆除不符合城市容貌标准、环境卫生标准的建筑物或者设施；依法行使对市场监督管理方面的户外公共场所无照经营、违规设置户外广告及户外公共场所食品销售和餐饮摊点无证经营、违法回收贩卖药品行为的行政处罚；依法行使对水利管理方面的向城市河道倾倒废弃物和垃圾、河道内违规采砂取土行为的行政处罚;负责城市河道违法建(构) 筑物的拆除；依法行使对环境保护管理方面在城市建成区内不按规定排放生活污水，向城区河道、水面倾倒工业废渣、城市垃圾和其他废弃物;社会生活噪声污染、建筑施工噪声污染、建筑施工扬尘污染、餐饮服务业油烟污染、露天烧烤污染、城市焚烧沥青塑料垃圾等烟尘和恶臭污染、露天焚烧秸秆落叶等大气污染的行为的行政处罚；负责县城区临时摊点的综合管理;负责路标路牌、报刊电话亭、公交站牌、非机动车停放点等市政设施设置的监督管理;负责户外广告和店招店牌的设置、宣传品张贴悬挂、城市道路挖掘、废品收购、临时占用城市道路的监督管理;负责机动车辆清洗保洁(含修车、汽车美容)活动的监督管理；负责剑阁经济开发区范围内上述违法违规行为的行政处罚；承办县综合执法局交办的其他事项。</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执法大队大队长：王顺    联系电话：0839-6261151 </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二、剑阁县综合行政执法局行政执法人员清单</w:t>
      </w:r>
    </w:p>
    <w:tbl>
      <w:tblPr>
        <w:tblStyle w:val="7"/>
        <w:tblW w:w="7264" w:type="dxa"/>
        <w:tblInd w:w="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71"/>
        <w:gridCol w:w="2283"/>
        <w:gridCol w:w="3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271" w:type="dxa"/>
            <w:shd w:val="clear" w:color="auto" w:fill="auto"/>
            <w:noWrap/>
            <w:vAlign w:val="center"/>
          </w:tcPr>
          <w:p>
            <w:pPr>
              <w:jc w:val="center"/>
              <w:rPr>
                <w:rFonts w:hint="eastAsia" w:ascii="方正黑体_GBK" w:hAnsi="方正黑体_GBK" w:eastAsia="方正黑体_GBK" w:cs="方正黑体_GBK"/>
                <w:sz w:val="28"/>
                <w:szCs w:val="28"/>
                <w:lang w:val="en-US" w:eastAsia="zh-CN"/>
              </w:rPr>
            </w:pPr>
            <w:r>
              <w:rPr>
                <w:rFonts w:hint="eastAsia" w:ascii="方正黑体_GBK" w:hAnsi="方正黑体_GBK" w:eastAsia="方正黑体_GBK" w:cs="方正黑体_GBK"/>
                <w:sz w:val="28"/>
                <w:szCs w:val="28"/>
                <w:lang w:val="en-US" w:eastAsia="zh-CN"/>
              </w:rPr>
              <w:t>序号</w:t>
            </w:r>
          </w:p>
        </w:tc>
        <w:tc>
          <w:tcPr>
            <w:tcW w:w="2283" w:type="dxa"/>
            <w:shd w:val="clear" w:color="auto" w:fill="auto"/>
            <w:noWrap/>
            <w:vAlign w:val="center"/>
          </w:tcPr>
          <w:p>
            <w:pPr>
              <w:jc w:val="center"/>
              <w:rPr>
                <w:rFonts w:hint="eastAsia" w:ascii="方正黑体_GBK" w:hAnsi="方正黑体_GBK" w:eastAsia="方正黑体_GBK" w:cs="方正黑体_GBK"/>
                <w:sz w:val="28"/>
                <w:szCs w:val="28"/>
                <w:lang w:val="en-US" w:eastAsia="zh-CN"/>
              </w:rPr>
            </w:pPr>
            <w:r>
              <w:rPr>
                <w:rFonts w:hint="eastAsia" w:ascii="方正黑体_GBK" w:hAnsi="方正黑体_GBK" w:eastAsia="方正黑体_GBK" w:cs="方正黑体_GBK"/>
                <w:sz w:val="28"/>
                <w:szCs w:val="28"/>
                <w:lang w:val="en-US" w:eastAsia="zh-CN"/>
              </w:rPr>
              <w:t>姓名</w:t>
            </w:r>
          </w:p>
        </w:tc>
        <w:tc>
          <w:tcPr>
            <w:tcW w:w="3710" w:type="dxa"/>
            <w:shd w:val="clear" w:color="auto" w:fill="auto"/>
            <w:noWrap/>
            <w:vAlign w:val="center"/>
          </w:tcPr>
          <w:p>
            <w:pPr>
              <w:ind w:firstLine="560" w:firstLineChars="200"/>
              <w:jc w:val="center"/>
              <w:rPr>
                <w:rFonts w:hint="eastAsia" w:ascii="方正黑体_GBK" w:hAnsi="方正黑体_GBK" w:eastAsia="方正黑体_GBK" w:cs="方正黑体_GBK"/>
                <w:sz w:val="28"/>
                <w:szCs w:val="28"/>
                <w:lang w:val="en-US" w:eastAsia="zh-CN"/>
              </w:rPr>
            </w:pPr>
            <w:r>
              <w:rPr>
                <w:rFonts w:hint="eastAsia" w:ascii="方正黑体_GBK" w:hAnsi="方正黑体_GBK" w:eastAsia="方正黑体_GBK" w:cs="方正黑体_GBK"/>
                <w:sz w:val="28"/>
                <w:szCs w:val="28"/>
                <w:lang w:val="en-US" w:eastAsia="zh-CN"/>
              </w:rPr>
              <w:t>执法证号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w:t>
            </w:r>
          </w:p>
        </w:tc>
        <w:tc>
          <w:tcPr>
            <w:tcW w:w="2283" w:type="dxa"/>
            <w:shd w:val="clear" w:color="auto" w:fill="auto"/>
            <w:noWrap/>
            <w:vAlign w:val="center"/>
          </w:tcPr>
          <w:p>
            <w:pPr>
              <w:jc w:val="center"/>
              <w:rPr>
                <w:rFonts w:hint="eastAsia" w:ascii="仿宋_GB2312" w:hAnsi="Calibri" w:eastAsia="仿宋_GB2312" w:cs="Times New Roman"/>
                <w:kern w:val="2"/>
                <w:sz w:val="24"/>
                <w:szCs w:val="24"/>
                <w:lang w:val="en-US" w:eastAsia="zh-CN" w:bidi="ar-SA"/>
              </w:rPr>
            </w:pPr>
            <w:r>
              <w:rPr>
                <w:rFonts w:hint="eastAsia" w:ascii="仿宋_GB2312" w:hAnsi="Calibri" w:eastAsia="仿宋_GB2312" w:cs="Times New Roman"/>
                <w:sz w:val="24"/>
                <w:szCs w:val="24"/>
                <w:lang w:val="en-US" w:eastAsia="zh-CN"/>
              </w:rPr>
              <w:t>赵新强</w:t>
            </w:r>
          </w:p>
        </w:tc>
        <w:tc>
          <w:tcPr>
            <w:tcW w:w="3710" w:type="dxa"/>
            <w:shd w:val="clear" w:color="auto" w:fill="auto"/>
            <w:noWrap/>
            <w:vAlign w:val="center"/>
          </w:tcPr>
          <w:p>
            <w:pPr>
              <w:jc w:val="center"/>
              <w:rPr>
                <w:rFonts w:hint="eastAsia" w:ascii="仿宋_GB2312" w:hAnsi="Calibri" w:eastAsia="仿宋_GB2312" w:cs="Times New Roman"/>
                <w:kern w:val="2"/>
                <w:sz w:val="24"/>
                <w:szCs w:val="24"/>
                <w:lang w:val="en-US" w:eastAsia="zh-CN" w:bidi="ar-SA"/>
              </w:rPr>
            </w:pPr>
            <w:r>
              <w:rPr>
                <w:rFonts w:hint="eastAsia" w:ascii="仿宋_GB2312" w:eastAsia="仿宋_GB2312" w:cs="Times New Roman"/>
                <w:sz w:val="24"/>
                <w:szCs w:val="24"/>
                <w:lang w:val="en-US" w:eastAsia="zh-CN"/>
              </w:rPr>
              <w:t xml:space="preserve">    </w:t>
            </w:r>
            <w:r>
              <w:rPr>
                <w:rFonts w:hint="eastAsia" w:ascii="仿宋_GB2312" w:hAnsi="Calibri" w:eastAsia="仿宋_GB2312" w:cs="Times New Roman"/>
                <w:sz w:val="24"/>
                <w:szCs w:val="24"/>
                <w:lang w:val="en-US" w:eastAsia="zh-CN"/>
              </w:rPr>
              <w:t>23070399034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杨晓军</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3</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王德秀</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4</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嘉浩添</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5</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张雄</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6</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高健</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7</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喻琳森</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8</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敬占煦</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9</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何昌茂</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10</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杨朝伟</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11</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尹晓宁</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12</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陈小园</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13</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欧小芬</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14</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申庆</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w:t>
            </w:r>
            <w:r>
              <w:rPr>
                <w:rFonts w:hint="eastAsia" w:ascii="仿宋_GB2312" w:eastAsia="仿宋_GB2312" w:cs="Times New Roman"/>
                <w:sz w:val="24"/>
                <w:szCs w:val="24"/>
                <w:lang w:val="en-US" w:eastAsia="zh-CN"/>
              </w:rPr>
              <w:t>5</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张万松</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w:t>
            </w:r>
            <w:r>
              <w:rPr>
                <w:rFonts w:hint="eastAsia" w:ascii="仿宋_GB2312" w:eastAsia="仿宋_GB2312" w:cs="Times New Roman"/>
                <w:sz w:val="24"/>
                <w:szCs w:val="24"/>
                <w:lang w:val="en-US" w:eastAsia="zh-CN"/>
              </w:rPr>
              <w:t>6</w:t>
            </w:r>
          </w:p>
        </w:tc>
        <w:tc>
          <w:tcPr>
            <w:tcW w:w="2283" w:type="dxa"/>
            <w:shd w:val="clear" w:color="auto" w:fill="auto"/>
            <w:noWrap/>
            <w:vAlign w:val="center"/>
          </w:tcPr>
          <w:p>
            <w:pPr>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唐仕波</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w:t>
            </w:r>
            <w:r>
              <w:rPr>
                <w:rFonts w:hint="eastAsia" w:ascii="仿宋_GB2312" w:eastAsia="仿宋_GB2312" w:cs="Times New Roman"/>
                <w:sz w:val="24"/>
                <w:szCs w:val="24"/>
                <w:lang w:val="en-US" w:eastAsia="zh-CN"/>
              </w:rPr>
              <w:t>7</w:t>
            </w:r>
          </w:p>
        </w:tc>
        <w:tc>
          <w:tcPr>
            <w:tcW w:w="2283"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杨海</w:t>
            </w:r>
            <w:r>
              <w:rPr>
                <w:rFonts w:hint="eastAsia" w:ascii="仿宋_GB2312" w:eastAsia="仿宋_GB2312" w:cs="Times New Roman"/>
                <w:sz w:val="24"/>
                <w:szCs w:val="24"/>
                <w:lang w:val="en-US" w:eastAsia="zh-CN"/>
              </w:rPr>
              <w:t xml:space="preserve">                           </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1</w:t>
            </w:r>
            <w:r>
              <w:rPr>
                <w:rFonts w:hint="eastAsia" w:ascii="仿宋_GB2312" w:eastAsia="仿宋_GB2312" w:cs="Times New Roman"/>
                <w:sz w:val="24"/>
                <w:szCs w:val="24"/>
                <w:lang w:val="en-US" w:eastAsia="zh-CN"/>
              </w:rPr>
              <w:t>8</w:t>
            </w:r>
          </w:p>
        </w:tc>
        <w:tc>
          <w:tcPr>
            <w:tcW w:w="2283" w:type="dxa"/>
            <w:shd w:val="clear" w:color="auto" w:fill="auto"/>
            <w:noWrap/>
            <w:vAlign w:val="center"/>
          </w:tcPr>
          <w:p>
            <w:pPr>
              <w:jc w:val="center"/>
              <w:rPr>
                <w:rFonts w:hint="eastAsia" w:ascii="仿宋_GB2312" w:hAnsi="Calibri" w:eastAsia="仿宋_GB2312" w:cs="Times New Roman"/>
                <w:kern w:val="2"/>
                <w:sz w:val="24"/>
                <w:szCs w:val="24"/>
                <w:lang w:val="en-US" w:eastAsia="zh-CN" w:bidi="ar-SA"/>
              </w:rPr>
            </w:pPr>
            <w:r>
              <w:rPr>
                <w:rFonts w:hint="eastAsia" w:ascii="仿宋_GB2312" w:hAnsi="Calibri" w:eastAsia="仿宋_GB2312" w:cs="Times New Roman"/>
                <w:sz w:val="24"/>
                <w:szCs w:val="24"/>
                <w:lang w:val="en-US" w:eastAsia="zh-CN"/>
              </w:rPr>
              <w:t>罗林</w:t>
            </w:r>
          </w:p>
        </w:tc>
        <w:tc>
          <w:tcPr>
            <w:tcW w:w="3710" w:type="dxa"/>
            <w:shd w:val="clear" w:color="auto" w:fill="auto"/>
            <w:noWrap/>
            <w:vAlign w:val="center"/>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4" w:hRule="atLeast"/>
        </w:trPr>
        <w:tc>
          <w:tcPr>
            <w:tcW w:w="1271" w:type="dxa"/>
            <w:shd w:val="clear" w:color="auto" w:fill="auto"/>
            <w:noWrap/>
            <w:vAlign w:val="center"/>
          </w:tcPr>
          <w:p>
            <w:pPr>
              <w:jc w:val="center"/>
              <w:rPr>
                <w:rFonts w:hint="default" w:ascii="仿宋_GB2312" w:hAnsi="Calibri" w:eastAsia="仿宋_GB2312" w:cs="Times New Roman"/>
                <w:sz w:val="24"/>
                <w:szCs w:val="24"/>
                <w:lang w:val="en-US" w:eastAsia="zh-CN"/>
              </w:rPr>
            </w:pPr>
            <w:r>
              <w:rPr>
                <w:rFonts w:hint="eastAsia" w:ascii="仿宋_GB2312" w:eastAsia="仿宋_GB2312" w:cs="Times New Roman"/>
                <w:sz w:val="24"/>
                <w:szCs w:val="24"/>
                <w:lang w:val="en-US" w:eastAsia="zh-CN"/>
              </w:rPr>
              <w:t>19</w:t>
            </w:r>
          </w:p>
        </w:tc>
        <w:tc>
          <w:tcPr>
            <w:tcW w:w="2283" w:type="dxa"/>
            <w:shd w:val="clear" w:color="auto" w:fill="auto"/>
            <w:noWrap/>
            <w:vAlign w:val="center"/>
          </w:tcPr>
          <w:p>
            <w:pPr>
              <w:jc w:val="center"/>
              <w:rPr>
                <w:rFonts w:hint="eastAsia" w:ascii="仿宋_GB2312" w:hAnsi="Calibri" w:eastAsia="仿宋_GB2312" w:cs="Times New Roman"/>
                <w:kern w:val="2"/>
                <w:sz w:val="24"/>
                <w:szCs w:val="24"/>
                <w:lang w:val="en-US" w:eastAsia="zh-CN" w:bidi="ar-SA"/>
              </w:rPr>
            </w:pPr>
            <w:r>
              <w:rPr>
                <w:rFonts w:hint="eastAsia" w:ascii="仿宋_GB2312" w:hAnsi="Calibri" w:eastAsia="仿宋_GB2312" w:cs="Times New Roman"/>
                <w:sz w:val="24"/>
                <w:szCs w:val="24"/>
                <w:lang w:val="en-US" w:eastAsia="zh-CN"/>
              </w:rPr>
              <w:t>黄湲堞</w:t>
            </w:r>
          </w:p>
        </w:tc>
        <w:tc>
          <w:tcPr>
            <w:tcW w:w="3710" w:type="dxa"/>
            <w:shd w:val="clear" w:color="auto" w:fill="auto"/>
            <w:noWrap/>
            <w:vAlign w:val="top"/>
          </w:tcPr>
          <w:p>
            <w:pPr>
              <w:ind w:firstLine="480" w:firstLineChars="200"/>
              <w:jc w:val="center"/>
              <w:rPr>
                <w:rFonts w:hint="eastAsia" w:ascii="仿宋_GB2312" w:hAnsi="Calibri" w:eastAsia="仿宋_GB2312" w:cs="Times New Roman"/>
                <w:sz w:val="24"/>
                <w:szCs w:val="24"/>
                <w:lang w:val="en-US" w:eastAsia="zh-CN"/>
              </w:rPr>
            </w:pPr>
            <w:r>
              <w:rPr>
                <w:rFonts w:hint="eastAsia" w:ascii="仿宋_GB2312" w:hAnsi="Calibri" w:eastAsia="仿宋_GB2312" w:cs="Times New Roman"/>
                <w:sz w:val="24"/>
                <w:szCs w:val="24"/>
                <w:lang w:val="en-US" w:eastAsia="zh-CN"/>
              </w:rPr>
              <w:t>23070399050</w:t>
            </w:r>
          </w:p>
        </w:tc>
      </w:tr>
    </w:tbl>
    <w:p>
      <w:pPr>
        <w:keepNext w:val="0"/>
        <w:keepLines w:val="0"/>
        <w:pageBreakBefore w:val="0"/>
        <w:numPr>
          <w:ilvl w:val="0"/>
          <w:numId w:val="0"/>
        </w:numPr>
        <w:kinsoku/>
        <w:wordWrap/>
        <w:overflowPunct/>
        <w:topLinePunct w:val="0"/>
        <w:autoSpaceDE/>
        <w:autoSpaceDN/>
        <w:bidi w:val="0"/>
        <w:adjustRightInd/>
        <w:snapToGrid/>
        <w:spacing w:line="400" w:lineRule="exact"/>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三、剑阁县综合行政执法局行政执法权力、责任清单</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剑阁县人民政府网（含行政执法权力及责任事项的权限、职责、服务指南、法定依据、流程图、程序）：http://www.cnjg.gov.cn/new/detail/20220812165022000.html</w:t>
      </w:r>
    </w:p>
    <w:p>
      <w:pPr>
        <w:numPr>
          <w:ilvl w:val="0"/>
          <w:numId w:val="0"/>
        </w:numPr>
        <w:ind w:firstLine="640" w:firstLineChars="200"/>
        <w:jc w:val="both"/>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四、剑阁县综合行政执法局重大行政执法审核目录清单（共4项）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（一）重大行政许可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1.适用听证的；</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2.变更、撤回、撤销行政许可决定的；</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3.其他重大行政许可事项。</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（二）重大行政处罚</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1.较大数额罚款；</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2.较大数额没收财产；</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3.责令停产停业；</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4.吊销许可证或者执照；</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5.减轻或者免除行政处罚决定；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6.其他重大行政处罚事项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较大数额，是指对非经营活动中公民的违法行为处以罚款或者没收财产2000元以上、法人或者其他组织的违法行为处以罚款或者没收财产2万元以上；对在经营活动中的违法行为处以罚款或者没收财产5万元以上。</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 xml:space="preserve">    （三）重大行政强制</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 xml:space="preserve">    1.查封经营场所使法人或者其他组织的生产经营活动、工作难以正常进行的行政强制措施</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 xml:space="preserve">    2.强制拆除建筑物、构筑物的行政强制执行；</w:t>
      </w:r>
      <w:r>
        <w:rPr>
          <w:rFonts w:hint="eastAsia" w:ascii="仿宋_GB2312" w:eastAsia="仿宋_GB2312"/>
          <w:color w:val="000000" w:themeColor="text1"/>
          <w:sz w:val="32"/>
          <w:szCs w:val="32"/>
          <w:lang w:val="en-US" w:eastAsia="zh-CN"/>
          <w14:textFill>
            <w14:solidFill>
              <w14:schemeClr w14:val="tx1"/>
            </w14:solidFill>
          </w14:textFill>
        </w:rPr>
        <w:br w:type="textWrapping"/>
      </w:r>
      <w:r>
        <w:rPr>
          <w:rFonts w:hint="eastAsia" w:ascii="仿宋_GB2312" w:eastAsia="仿宋_GB2312"/>
          <w:color w:val="000000" w:themeColor="text1"/>
          <w:sz w:val="32"/>
          <w:szCs w:val="32"/>
          <w:lang w:val="en-US" w:eastAsia="zh-CN"/>
          <w14:textFill>
            <w14:solidFill>
              <w14:schemeClr w14:val="tx1"/>
            </w14:solidFill>
          </w14:textFill>
        </w:rPr>
        <w:t xml:space="preserve">    3.其他重大行政强制事项。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320" w:firstLineChars="100"/>
        <w:jc w:val="left"/>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（四）</w:t>
      </w:r>
      <w:r>
        <w:rPr>
          <w:rFonts w:hint="eastAsia" w:ascii="楷体_GB2312" w:hAnsi="楷体_GB2312" w:eastAsia="楷体_GB2312" w:cs="楷体_GB2312"/>
          <w:color w:val="000000" w:themeColor="text1"/>
          <w:sz w:val="32"/>
          <w:szCs w:val="32"/>
          <w14:textFill>
            <w14:solidFill>
              <w14:schemeClr w14:val="tx1"/>
            </w14:solidFill>
          </w14:textFill>
        </w:rPr>
        <w:t>其他涉及国家利益、公共利益、当事人重大权益或者社会影响较大的行政执法决定</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五、剑阁县综合行政执法局行政执法（监督信息）救济渠道、行政执法责任制</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属地复议机关</w:t>
      </w:r>
      <w:r>
        <w:rPr>
          <w:rFonts w:hint="eastAsia" w:ascii="仿宋_GB2312" w:hAnsi="仿宋_GB2312" w:eastAsia="仿宋_GB2312" w:cs="仿宋_GB2312"/>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复议办案机关：剑阁县司法局</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复议承办股室：</w:t>
      </w:r>
      <w:r>
        <w:rPr>
          <w:rFonts w:hint="eastAsia" w:ascii="仿宋_GB2312" w:hAnsi="仿宋_GB2312" w:eastAsia="仿宋_GB2312" w:cs="仿宋_GB2312"/>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地址：剑阁县</w:t>
      </w:r>
      <w:r>
        <w:rPr>
          <w:rFonts w:hint="eastAsia" w:ascii="仿宋_GB2312" w:hAnsi="仿宋_GB2312" w:eastAsia="仿宋_GB2312" w:cs="仿宋_GB2312"/>
          <w:kern w:val="0"/>
          <w:sz w:val="32"/>
          <w:szCs w:val="32"/>
          <w:lang w:eastAsia="zh-CN"/>
        </w:rPr>
        <w:t>下寺镇</w:t>
      </w:r>
      <w:r>
        <w:rPr>
          <w:rFonts w:hint="eastAsia" w:ascii="仿宋_GB2312" w:hAnsi="仿宋_GB2312" w:eastAsia="仿宋_GB2312" w:cs="仿宋_GB2312"/>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联系电话：0839</w:t>
      </w:r>
      <w:r>
        <w:rPr>
          <w:rFonts w:hint="eastAsia" w:ascii="仿宋_GB2312" w:hAnsi="仿宋_GB2312" w:eastAsia="仿宋_GB2312" w:cs="仿宋_GB2312"/>
          <w:kern w:val="0"/>
          <w:sz w:val="32"/>
          <w:szCs w:val="32"/>
          <w:lang w:val="en-US" w:eastAsia="zh-CN"/>
        </w:rPr>
        <w:t>-5208429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1.县级监督部门：剑阁县司法局</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投诉电话：0839-5208080</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2.部门：剑阁综合行政执法局</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股室：</w:t>
      </w:r>
      <w:r>
        <w:rPr>
          <w:rFonts w:hint="eastAsia" w:ascii="仿宋_GB2312" w:eastAsia="仿宋_GB2312" w:cs="Times New Roman"/>
          <w:kern w:val="2"/>
          <w:sz w:val="32"/>
          <w:szCs w:val="32"/>
          <w:lang w:val="en-US" w:eastAsia="zh-CN" w:bidi="ar-SA"/>
        </w:rPr>
        <w:t>执法监督股</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地址：剑阁县汉德街67号</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default"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w:t>
      </w:r>
      <w:r>
        <w:rPr>
          <w:rFonts w:hint="eastAsia" w:ascii="仿宋_GB2312" w:eastAsia="仿宋_GB2312" w:cs="Times New Roman"/>
          <w:kern w:val="2"/>
          <w:sz w:val="32"/>
          <w:szCs w:val="32"/>
          <w:lang w:val="en-US" w:eastAsia="zh-CN" w:bidi="ar-SA"/>
        </w:rPr>
        <w:t>6601362</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kern w:val="2"/>
          <w:sz w:val="32"/>
          <w:szCs w:val="32"/>
          <w:lang w:val="en-US" w:eastAsia="zh-CN" w:bidi="ar"/>
        </w:rPr>
        <w:t>《国务院办公</w:t>
      </w:r>
      <w:r>
        <w:rPr>
          <w:rFonts w:hint="eastAsia" w:ascii="仿宋_GB2312" w:hAnsi="仿宋_GB2312" w:eastAsia="仿宋_GB2312" w:cs="仿宋_GB2312"/>
          <w:b w:val="0"/>
          <w:bCs w:val="0"/>
          <w:kern w:val="2"/>
          <w:sz w:val="32"/>
          <w:szCs w:val="32"/>
          <w:lang w:val="en-US" w:eastAsia="zh-CN" w:bidi="ar-SA"/>
        </w:rPr>
        <w:t>厅关于推行行政执法责任制的若干意见》（国办发〔2005〕37号）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sz w:val="32"/>
          <w:szCs w:val="32"/>
          <w:lang w:val="en-US" w:eastAsia="zh-CN"/>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《广元市行政执法评议考核办法（试行）》</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w:t>
      </w:r>
      <w:r>
        <w:rPr>
          <w:rFonts w:hint="eastAsia" w:ascii="黑体" w:hAnsi="黑体" w:eastAsia="黑体" w:cs="黑体"/>
          <w:b w:val="0"/>
          <w:bCs w:val="0"/>
          <w:sz w:val="32"/>
          <w:szCs w:val="32"/>
          <w:lang w:val="en-US" w:eastAsia="zh-CN"/>
        </w:rPr>
        <w:t>剑阁县综合行政执法局</w:t>
      </w:r>
      <w:r>
        <w:rPr>
          <w:rFonts w:hint="eastAsia" w:ascii="黑体" w:hAnsi="黑体" w:eastAsia="黑体" w:cs="黑体"/>
          <w:sz w:val="32"/>
          <w:szCs w:val="32"/>
          <w:lang w:val="en-US" w:eastAsia="zh-CN"/>
        </w:rPr>
        <w:t>行政执法裁量权标准</w:t>
      </w:r>
    </w:p>
    <w:p>
      <w:pPr>
        <w:keepNext w:val="0"/>
        <w:keepLines w:val="0"/>
        <w:widowControl w:val="0"/>
        <w:suppressLineNumbers w:val="0"/>
        <w:spacing w:before="0" w:beforeAutospacing="0" w:after="0" w:afterAutospacing="0"/>
        <w:ind w:left="0" w:right="0" w:firstLine="640" w:firstLineChars="200"/>
        <w:jc w:val="both"/>
        <w:rPr>
          <w:rFonts w:hint="default" w:ascii="仿宋_GB2312" w:hAnsi="仿宋_GB2312" w:eastAsia="仿宋_GB2312" w:cs="仿宋_GB2312"/>
          <w:b/>
          <w:bCs/>
          <w:color w:val="5B9BD5" w:themeColor="accent1"/>
          <w:kern w:val="2"/>
          <w:sz w:val="32"/>
          <w:szCs w:val="32"/>
          <w:highlight w:val="none"/>
          <w:lang w:val="en-US" w:eastAsia="zh-CN" w:bidi="ar"/>
          <w14:textFill>
            <w14:solidFill>
              <w14:schemeClr w14:val="accent1"/>
            </w14:solidFill>
          </w14:textFill>
        </w:rPr>
      </w:pPr>
      <w:r>
        <w:rPr>
          <w:rFonts w:hint="eastAsia" w:ascii="仿宋_GB2312" w:hAnsi="仿宋_GB2312" w:eastAsia="仿宋_GB2312" w:cs="仿宋_GB2312"/>
          <w:sz w:val="32"/>
          <w:szCs w:val="32"/>
        </w:rPr>
        <w:t>执行《四川省行政裁量权基准管理规定》2024年1月12日四川省人民政府令第360号公布</w:t>
      </w:r>
      <w:r>
        <w:rPr>
          <w:rFonts w:hint="eastAsia" w:ascii="仿宋_GB2312" w:hAnsi="仿宋_GB2312" w:eastAsia="仿宋_GB2312" w:cs="仿宋_GB2312"/>
          <w:sz w:val="32"/>
          <w:szCs w:val="32"/>
          <w:lang w:eastAsia="zh-CN"/>
        </w:rPr>
        <w:t>。</w:t>
      </w:r>
    </w:p>
    <w:p>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七、剑阁县综合行政执法局随机抽查事项清单、市场主体库（检查对象名录库）、2024年抽查计划</w:t>
      </w:r>
    </w:p>
    <w:p>
      <w:pPr>
        <w:numPr>
          <w:ilvl w:val="0"/>
          <w:numId w:val="0"/>
        </w:numPr>
        <w:ind w:firstLine="642"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kern w:val="0"/>
          <w:sz w:val="32"/>
          <w:szCs w:val="32"/>
          <w:lang w:val="en-US" w:eastAsia="zh-CN"/>
        </w:rPr>
        <w:t>（一）</w:t>
      </w:r>
      <w:r>
        <w:rPr>
          <w:rFonts w:hint="eastAsia" w:ascii="楷体_GB2312" w:hAnsi="楷体_GB2312" w:eastAsia="楷体_GB2312" w:cs="楷体_GB2312"/>
          <w:b/>
          <w:bCs/>
          <w:color w:val="auto"/>
          <w:sz w:val="32"/>
          <w:szCs w:val="32"/>
          <w:lang w:val="en-US" w:eastAsia="zh-CN"/>
        </w:rPr>
        <w:t>随机抽查事项清单（共2项）</w:t>
      </w:r>
    </w:p>
    <w:p>
      <w:pPr>
        <w:widowControl w:val="0"/>
        <w:numPr>
          <w:ilvl w:val="0"/>
          <w:numId w:val="0"/>
        </w:numPr>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1.大型户外广告及在城市建筑物、设施上悬挂、张贴宣传品审批抽查</w:t>
      </w:r>
      <w:r>
        <w:rPr>
          <w:rFonts w:hint="eastAsia" w:ascii="仿宋_GB2312" w:hAnsi="仿宋_GB2312"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检查依据：《城市市容和环境卫生管理条例》第十一条、第十七条；《四川省城乡环境综合治理条例》第二十七条；</w:t>
      </w:r>
    </w:p>
    <w:p>
      <w:pPr>
        <w:widowControl w:val="0"/>
        <w:numPr>
          <w:ilvl w:val="0"/>
          <w:numId w:val="0"/>
        </w:numPr>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检查对象：设置大型户外广告及悬挂、张贴宣传品企业或个人；</w:t>
      </w:r>
    </w:p>
    <w:p>
      <w:pPr>
        <w:widowControl w:val="0"/>
        <w:numPr>
          <w:ilvl w:val="0"/>
          <w:numId w:val="0"/>
        </w:numPr>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检查内容：大型户外广告及在城市建筑物、设施上悬挂、张贴宣传品设置时间、尺寸、位置。</w:t>
      </w:r>
    </w:p>
    <w:p>
      <w:pPr>
        <w:widowControl w:val="0"/>
        <w:numPr>
          <w:ilvl w:val="0"/>
          <w:numId w:val="0"/>
        </w:numPr>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2.对临时建筑物搭建、堆放物料、占道施工审批手续情况检查。</w:t>
      </w:r>
    </w:p>
    <w:p>
      <w:pPr>
        <w:widowControl w:val="0"/>
        <w:numPr>
          <w:ilvl w:val="0"/>
          <w:numId w:val="0"/>
        </w:numPr>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检查依据：《城市市容和环境卫生管理条例》第十四条；</w:t>
      </w:r>
    </w:p>
    <w:p>
      <w:pPr>
        <w:widowControl w:val="0"/>
        <w:numPr>
          <w:ilvl w:val="0"/>
          <w:numId w:val="0"/>
        </w:numPr>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检查对象：所有涉及事项的主体；</w:t>
      </w:r>
    </w:p>
    <w:p>
      <w:pPr>
        <w:widowControl w:val="0"/>
        <w:numPr>
          <w:ilvl w:val="0"/>
          <w:numId w:val="0"/>
        </w:numPr>
        <w:ind w:firstLine="640" w:firstLineChars="200"/>
        <w:jc w:val="both"/>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检查内容：对临时建筑物搭建、堆放物料、占道施工审批手续情况进行检查监督管理。</w:t>
      </w:r>
    </w:p>
    <w:p>
      <w:pPr>
        <w:numPr>
          <w:ilvl w:val="0"/>
          <w:numId w:val="0"/>
        </w:numPr>
        <w:ind w:firstLine="642" w:firstLineChars="200"/>
        <w:rPr>
          <w:color w:val="auto"/>
        </w:rPr>
      </w:pPr>
      <w:r>
        <w:rPr>
          <w:rFonts w:hint="eastAsia" w:ascii="仿宋_GB2312" w:hAnsi="仿宋_GB2312" w:eastAsia="仿宋_GB2312" w:cs="仿宋_GB2312"/>
          <w:b/>
          <w:bCs/>
          <w:color w:val="auto"/>
          <w:sz w:val="32"/>
          <w:szCs w:val="32"/>
          <w:lang w:val="en-US" w:eastAsia="zh-CN"/>
        </w:rPr>
        <w:t>（二）2024年双随机抽查计划</w:t>
      </w:r>
    </w:p>
    <w:tbl>
      <w:tblPr>
        <w:tblStyle w:val="7"/>
        <w:tblW w:w="9170" w:type="dxa"/>
        <w:jc w:val="center"/>
        <w:tblLayout w:type="autofit"/>
        <w:tblCellMar>
          <w:top w:w="0" w:type="dxa"/>
          <w:left w:w="0" w:type="dxa"/>
          <w:bottom w:w="0" w:type="dxa"/>
          <w:right w:w="0" w:type="dxa"/>
        </w:tblCellMar>
      </w:tblPr>
      <w:tblGrid>
        <w:gridCol w:w="427"/>
        <w:gridCol w:w="512"/>
        <w:gridCol w:w="1990"/>
        <w:gridCol w:w="1521"/>
        <w:gridCol w:w="1477"/>
        <w:gridCol w:w="563"/>
        <w:gridCol w:w="620"/>
        <w:gridCol w:w="1005"/>
        <w:gridCol w:w="1055"/>
      </w:tblGrid>
      <w:tr>
        <w:tblPrEx>
          <w:tblCellMar>
            <w:top w:w="0" w:type="dxa"/>
            <w:left w:w="0" w:type="dxa"/>
            <w:bottom w:w="0" w:type="dxa"/>
            <w:right w:w="0" w:type="dxa"/>
          </w:tblCellMar>
        </w:tblPrEx>
        <w:trPr>
          <w:trHeight w:val="699" w:hRule="atLeast"/>
          <w:jc w:val="center"/>
        </w:trPr>
        <w:tc>
          <w:tcPr>
            <w:tcW w:w="427"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hint="eastAsia" w:ascii="仿宋_GB2312" w:hAnsi="仿宋_GB2312" w:eastAsia="仿宋_GB2312" w:cs="仿宋_GB2312"/>
                <w:color w:val="auto"/>
                <w:sz w:val="21"/>
                <w:szCs w:val="21"/>
              </w:rPr>
            </w:pPr>
            <w:r>
              <w:rPr>
                <w:rFonts w:hint="eastAsia" w:ascii="仿宋_GB2312" w:eastAsia="仿宋_GB2312"/>
                <w:b/>
                <w:sz w:val="21"/>
                <w:szCs w:val="21"/>
              </w:rPr>
              <w:t>序号</w:t>
            </w:r>
          </w:p>
        </w:tc>
        <w:tc>
          <w:tcPr>
            <w:tcW w:w="512"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hint="eastAsia" w:ascii="仿宋_GB2312" w:hAnsi="仿宋_GB2312" w:eastAsia="仿宋_GB2312" w:cs="仿宋_GB2312"/>
                <w:color w:val="auto"/>
                <w:sz w:val="21"/>
                <w:szCs w:val="21"/>
                <w:lang w:eastAsia="zh-CN"/>
              </w:rPr>
            </w:pPr>
            <w:r>
              <w:rPr>
                <w:rFonts w:hint="eastAsia" w:ascii="仿宋_GB2312" w:eastAsia="仿宋_GB2312"/>
                <w:b/>
                <w:sz w:val="21"/>
                <w:szCs w:val="21"/>
                <w:lang w:eastAsia="zh-CN"/>
              </w:rPr>
              <w:t>牵头部门</w:t>
            </w:r>
          </w:p>
        </w:tc>
        <w:tc>
          <w:tcPr>
            <w:tcW w:w="1990"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hint="eastAsia" w:ascii="仿宋_GB2312" w:hAnsi="仿宋_GB2312" w:eastAsia="仿宋_GB2312" w:cs="仿宋_GB2312"/>
                <w:color w:val="auto"/>
                <w:sz w:val="21"/>
                <w:szCs w:val="21"/>
              </w:rPr>
            </w:pPr>
            <w:r>
              <w:rPr>
                <w:rFonts w:hint="eastAsia" w:ascii="仿宋_GB2312" w:eastAsia="仿宋_GB2312"/>
                <w:b/>
                <w:sz w:val="21"/>
                <w:szCs w:val="21"/>
              </w:rPr>
              <w:t>抽查计划名称</w:t>
            </w:r>
          </w:p>
        </w:tc>
        <w:tc>
          <w:tcPr>
            <w:tcW w:w="1521"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hint="eastAsia" w:ascii="仿宋_GB2312" w:hAnsi="仿宋_GB2312" w:eastAsia="仿宋_GB2312" w:cs="仿宋_GB2312"/>
                <w:color w:val="auto"/>
                <w:sz w:val="21"/>
                <w:szCs w:val="21"/>
              </w:rPr>
            </w:pPr>
            <w:r>
              <w:rPr>
                <w:rFonts w:hint="eastAsia" w:ascii="仿宋_GB2312" w:eastAsia="仿宋_GB2312"/>
                <w:b/>
                <w:sz w:val="21"/>
                <w:szCs w:val="21"/>
              </w:rPr>
              <w:t>抽查事项</w:t>
            </w:r>
          </w:p>
        </w:tc>
        <w:tc>
          <w:tcPr>
            <w:tcW w:w="1477"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hint="eastAsia" w:ascii="仿宋_GB2312" w:hAnsi="仿宋_GB2312" w:eastAsia="仿宋_GB2312" w:cs="仿宋_GB2312"/>
                <w:color w:val="auto"/>
                <w:sz w:val="21"/>
                <w:szCs w:val="21"/>
              </w:rPr>
            </w:pPr>
            <w:r>
              <w:rPr>
                <w:rFonts w:hint="eastAsia" w:ascii="仿宋_GB2312" w:eastAsia="仿宋_GB2312"/>
                <w:b/>
                <w:sz w:val="21"/>
                <w:szCs w:val="21"/>
              </w:rPr>
              <w:t>检查对象</w:t>
            </w:r>
          </w:p>
        </w:tc>
        <w:tc>
          <w:tcPr>
            <w:tcW w:w="563"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hint="eastAsia" w:ascii="仿宋_GB2312" w:hAnsi="仿宋_GB2312" w:eastAsia="仿宋_GB2312" w:cs="仿宋_GB2312"/>
                <w:color w:val="auto"/>
                <w:sz w:val="21"/>
                <w:szCs w:val="21"/>
              </w:rPr>
            </w:pPr>
            <w:r>
              <w:rPr>
                <w:rFonts w:hint="eastAsia" w:ascii="仿宋_GB2312" w:eastAsia="仿宋_GB2312"/>
                <w:b/>
                <w:sz w:val="21"/>
                <w:szCs w:val="21"/>
              </w:rPr>
              <w:t>检查方式</w:t>
            </w:r>
          </w:p>
        </w:tc>
        <w:tc>
          <w:tcPr>
            <w:tcW w:w="620"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ascii="仿宋_GB2312" w:eastAsia="仿宋_GB2312"/>
                <w:b/>
                <w:sz w:val="21"/>
                <w:szCs w:val="21"/>
              </w:rPr>
            </w:pPr>
            <w:r>
              <w:rPr>
                <w:rFonts w:hint="eastAsia" w:ascii="仿宋_GB2312" w:eastAsia="仿宋_GB2312"/>
                <w:b/>
                <w:sz w:val="21"/>
                <w:szCs w:val="21"/>
              </w:rPr>
              <w:t>抽查</w:t>
            </w:r>
          </w:p>
          <w:p>
            <w:pPr>
              <w:spacing w:line="260" w:lineRule="exact"/>
              <w:jc w:val="center"/>
              <w:rPr>
                <w:rFonts w:hint="eastAsia" w:ascii="仿宋_GB2312" w:hAnsi="仿宋_GB2312" w:eastAsia="仿宋_GB2312" w:cs="仿宋_GB2312"/>
                <w:color w:val="auto"/>
                <w:sz w:val="21"/>
                <w:szCs w:val="21"/>
              </w:rPr>
            </w:pPr>
            <w:r>
              <w:rPr>
                <w:rFonts w:hint="eastAsia" w:ascii="仿宋_GB2312" w:eastAsia="仿宋_GB2312"/>
                <w:b/>
                <w:sz w:val="21"/>
                <w:szCs w:val="21"/>
              </w:rPr>
              <w:t>比例</w:t>
            </w:r>
          </w:p>
        </w:tc>
        <w:tc>
          <w:tcPr>
            <w:tcW w:w="1005"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hint="eastAsia" w:ascii="仿宋_GB2312" w:eastAsia="仿宋_GB2312"/>
                <w:b/>
                <w:sz w:val="21"/>
                <w:szCs w:val="21"/>
              </w:rPr>
            </w:pPr>
            <w:r>
              <w:rPr>
                <w:rFonts w:hint="eastAsia" w:ascii="仿宋_GB2312" w:eastAsia="仿宋_GB2312"/>
                <w:b/>
                <w:sz w:val="21"/>
                <w:szCs w:val="21"/>
              </w:rPr>
              <w:t>参与部门</w:t>
            </w:r>
          </w:p>
        </w:tc>
        <w:tc>
          <w:tcPr>
            <w:tcW w:w="1055" w:type="dxa"/>
            <w:tcBorders>
              <w:top w:val="single" w:color="000000" w:sz="8" w:space="0"/>
              <w:left w:val="single" w:color="000000" w:sz="8" w:space="0"/>
              <w:bottom w:val="single" w:color="000000" w:sz="8" w:space="0"/>
              <w:right w:val="single" w:color="000000" w:sz="8" w:space="0"/>
            </w:tcBorders>
            <w:noWrap w:val="0"/>
            <w:vAlign w:val="center"/>
          </w:tcPr>
          <w:p>
            <w:pPr>
              <w:spacing w:line="260" w:lineRule="exact"/>
              <w:jc w:val="center"/>
              <w:rPr>
                <w:rFonts w:hint="eastAsia" w:ascii="仿宋_GB2312" w:eastAsia="仿宋_GB2312"/>
                <w:b/>
                <w:sz w:val="21"/>
                <w:szCs w:val="21"/>
              </w:rPr>
            </w:pPr>
            <w:r>
              <w:rPr>
                <w:rFonts w:hint="eastAsia" w:ascii="仿宋_GB2312" w:eastAsia="仿宋_GB2312"/>
                <w:b/>
                <w:sz w:val="21"/>
                <w:szCs w:val="21"/>
              </w:rPr>
              <w:t>检查时间</w:t>
            </w:r>
          </w:p>
        </w:tc>
      </w:tr>
      <w:tr>
        <w:tblPrEx>
          <w:tblCellMar>
            <w:top w:w="0" w:type="dxa"/>
            <w:left w:w="0" w:type="dxa"/>
            <w:bottom w:w="0" w:type="dxa"/>
            <w:right w:w="0" w:type="dxa"/>
          </w:tblCellMar>
        </w:tblPrEx>
        <w:trPr>
          <w:trHeight w:val="1519" w:hRule="atLeast"/>
          <w:jc w:val="center"/>
        </w:trPr>
        <w:tc>
          <w:tcPr>
            <w:tcW w:w="4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240" w:lineRule="exact"/>
              <w:ind w:leftChars="0"/>
              <w:jc w:val="center"/>
              <w:textAlignment w:val="auto"/>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1</w:t>
            </w:r>
          </w:p>
        </w:tc>
        <w:tc>
          <w:tcPr>
            <w:tcW w:w="512"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sz w:val="18"/>
                <w:szCs w:val="18"/>
                <w:lang w:eastAsia="zh-CN"/>
              </w:rPr>
              <w:t>剑阁县综合行政</w:t>
            </w:r>
            <w:r>
              <w:rPr>
                <w:rFonts w:hint="eastAsia" w:asciiTheme="minorEastAsia" w:hAnsiTheme="minorEastAsia" w:eastAsiaTheme="minorEastAsia" w:cstheme="minorEastAsia"/>
                <w:sz w:val="18"/>
                <w:szCs w:val="18"/>
              </w:rPr>
              <w:t>执法局</w:t>
            </w:r>
          </w:p>
        </w:tc>
        <w:tc>
          <w:tcPr>
            <w:tcW w:w="199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lang w:eastAsia="zh-CN"/>
              </w:rPr>
              <w:t>剑阁县</w:t>
            </w:r>
            <w:r>
              <w:rPr>
                <w:rFonts w:hint="eastAsia" w:asciiTheme="minorEastAsia" w:hAnsiTheme="minorEastAsia" w:eastAsiaTheme="minorEastAsia" w:cstheme="minorEastAsia"/>
                <w:color w:val="auto"/>
                <w:sz w:val="18"/>
                <w:szCs w:val="18"/>
                <w:lang w:val="en-US" w:eastAsia="zh-CN"/>
              </w:rPr>
              <w:t>2024年</w:t>
            </w:r>
            <w:r>
              <w:rPr>
                <w:rFonts w:hint="eastAsia" w:asciiTheme="minorEastAsia" w:hAnsiTheme="minorEastAsia" w:eastAsiaTheme="minorEastAsia" w:cstheme="minorEastAsia"/>
                <w:color w:val="auto"/>
                <w:sz w:val="18"/>
                <w:szCs w:val="18"/>
                <w:lang w:eastAsia="zh-CN"/>
              </w:rPr>
              <w:t>对临时建筑物搭建、堆放物料、占道施工抽查检查</w:t>
            </w:r>
          </w:p>
        </w:tc>
        <w:tc>
          <w:tcPr>
            <w:tcW w:w="1521" w:type="dxa"/>
            <w:tcBorders>
              <w:top w:val="single" w:color="000000" w:sz="8" w:space="0"/>
              <w:left w:val="single" w:color="000000" w:sz="8" w:space="0"/>
              <w:bottom w:val="single" w:color="000000" w:sz="8" w:space="0"/>
              <w:right w:val="single" w:color="000000" w:sz="8" w:space="0"/>
            </w:tcBorders>
            <w:noWrap w:val="0"/>
            <w:vAlign w:val="center"/>
          </w:tcPr>
          <w:p>
            <w:pPr>
              <w:pStyle w:val="6"/>
              <w:keepNext w:val="0"/>
              <w:keepLines w:val="0"/>
              <w:pageBreakBefore w:val="0"/>
              <w:widowControl/>
              <w:kinsoku/>
              <w:wordWrap/>
              <w:overflowPunct/>
              <w:topLinePunct w:val="0"/>
              <w:autoSpaceDE/>
              <w:autoSpaceDN/>
              <w:bidi w:val="0"/>
              <w:adjustRightInd/>
              <w:snapToGrid/>
              <w:spacing w:beforeAutospacing="0" w:afterAutospacing="0" w:line="240" w:lineRule="exact"/>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2"/>
                <w:sz w:val="18"/>
                <w:szCs w:val="18"/>
                <w:lang w:val="en-US" w:eastAsia="zh-CN" w:bidi="ar-SA"/>
              </w:rPr>
              <w:t>对临时建筑物搭建、堆放物料、占道施工审批手续情况检查</w:t>
            </w:r>
          </w:p>
        </w:tc>
        <w:tc>
          <w:tcPr>
            <w:tcW w:w="147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2"/>
                <w:sz w:val="18"/>
                <w:szCs w:val="18"/>
                <w:lang w:val="en-US" w:eastAsia="zh-CN" w:bidi="ar-SA"/>
              </w:rPr>
              <w:t>沿街个体户</w:t>
            </w:r>
          </w:p>
        </w:tc>
        <w:tc>
          <w:tcPr>
            <w:tcW w:w="56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kern w:val="2"/>
                <w:sz w:val="18"/>
                <w:szCs w:val="18"/>
                <w:lang w:val="en-US" w:eastAsia="zh-CN" w:bidi="ar-SA"/>
              </w:rPr>
              <w:t>现场检查</w:t>
            </w:r>
          </w:p>
        </w:tc>
        <w:tc>
          <w:tcPr>
            <w:tcW w:w="62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2"/>
                <w:sz w:val="18"/>
                <w:szCs w:val="18"/>
                <w:lang w:val="en-US" w:eastAsia="zh-CN" w:bidi="ar-SA"/>
              </w:rPr>
              <w:t>20％</w:t>
            </w:r>
          </w:p>
        </w:tc>
        <w:tc>
          <w:tcPr>
            <w:tcW w:w="100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kern w:val="2"/>
                <w:sz w:val="18"/>
                <w:szCs w:val="18"/>
                <w:lang w:val="en-US" w:eastAsia="zh-CN" w:bidi="ar-SA"/>
              </w:rPr>
              <w:t>县市场监管局</w:t>
            </w:r>
          </w:p>
        </w:tc>
        <w:tc>
          <w:tcPr>
            <w:tcW w:w="10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kern w:val="2"/>
                <w:sz w:val="18"/>
                <w:szCs w:val="18"/>
                <w:lang w:val="en-US" w:eastAsia="zh-CN" w:bidi="ar-SA"/>
              </w:rPr>
              <w:t>2024年10月30日前</w:t>
            </w:r>
          </w:p>
        </w:tc>
      </w:tr>
      <w:tr>
        <w:tblPrEx>
          <w:tblCellMar>
            <w:top w:w="0" w:type="dxa"/>
            <w:left w:w="0" w:type="dxa"/>
            <w:bottom w:w="0" w:type="dxa"/>
            <w:right w:w="0" w:type="dxa"/>
          </w:tblCellMar>
        </w:tblPrEx>
        <w:trPr>
          <w:trHeight w:val="1907" w:hRule="atLeast"/>
          <w:jc w:val="center"/>
        </w:trPr>
        <w:tc>
          <w:tcPr>
            <w:tcW w:w="42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240" w:lineRule="exact"/>
              <w:ind w:leftChars="0"/>
              <w:jc w:val="center"/>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kern w:val="0"/>
                <w:sz w:val="18"/>
                <w:szCs w:val="18"/>
                <w:lang w:val="en-US" w:eastAsia="zh-CN" w:bidi="ar"/>
              </w:rPr>
              <w:t>2</w:t>
            </w:r>
          </w:p>
        </w:tc>
        <w:tc>
          <w:tcPr>
            <w:tcW w:w="512" w:type="dxa"/>
            <w:vMerge w:val="continue"/>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kern w:val="0"/>
                <w:sz w:val="18"/>
                <w:szCs w:val="18"/>
                <w:lang w:val="en-US" w:eastAsia="zh-CN" w:bidi="ar"/>
              </w:rPr>
            </w:pPr>
          </w:p>
        </w:tc>
        <w:tc>
          <w:tcPr>
            <w:tcW w:w="199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sz w:val="18"/>
                <w:szCs w:val="18"/>
                <w:lang w:eastAsia="zh-CN"/>
              </w:rPr>
              <w:t>剑阁县</w:t>
            </w:r>
            <w:r>
              <w:rPr>
                <w:rFonts w:hint="eastAsia" w:asciiTheme="minorEastAsia" w:hAnsiTheme="minorEastAsia" w:eastAsiaTheme="minorEastAsia" w:cstheme="minorEastAsia"/>
                <w:sz w:val="18"/>
                <w:szCs w:val="18"/>
                <w:lang w:val="en-US" w:eastAsia="zh-CN"/>
              </w:rPr>
              <w:t>2024年</w:t>
            </w:r>
            <w:r>
              <w:rPr>
                <w:rFonts w:hint="eastAsia" w:asciiTheme="minorEastAsia" w:hAnsiTheme="minorEastAsia" w:eastAsiaTheme="minorEastAsia" w:cstheme="minorEastAsia"/>
                <w:sz w:val="18"/>
                <w:szCs w:val="18"/>
              </w:rPr>
              <w:t>大型户外广告及在城市建筑物、设施上悬挂、张贴宣传品</w:t>
            </w:r>
            <w:r>
              <w:rPr>
                <w:rFonts w:hint="eastAsia" w:asciiTheme="minorEastAsia" w:hAnsiTheme="minorEastAsia" w:eastAsiaTheme="minorEastAsia" w:cstheme="minorEastAsia"/>
                <w:sz w:val="18"/>
                <w:szCs w:val="18"/>
                <w:lang w:eastAsia="zh-CN"/>
              </w:rPr>
              <w:t>的抽查检查</w:t>
            </w:r>
          </w:p>
        </w:tc>
        <w:tc>
          <w:tcPr>
            <w:tcW w:w="152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sz w:val="18"/>
                <w:szCs w:val="18"/>
              </w:rPr>
              <w:t>大型户外广告及在城市建筑物、设施上悬挂、张贴宣传品</w:t>
            </w:r>
            <w:r>
              <w:rPr>
                <w:rFonts w:hint="eastAsia" w:asciiTheme="minorEastAsia" w:hAnsiTheme="minorEastAsia" w:eastAsiaTheme="minorEastAsia" w:cstheme="minorEastAsia"/>
                <w:sz w:val="18"/>
                <w:szCs w:val="18"/>
                <w:lang w:eastAsia="zh-CN"/>
              </w:rPr>
              <w:t>审批手续情况</w:t>
            </w:r>
          </w:p>
        </w:tc>
        <w:tc>
          <w:tcPr>
            <w:tcW w:w="147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sz w:val="18"/>
                <w:szCs w:val="18"/>
                <w:lang w:eastAsia="zh-CN"/>
              </w:rPr>
              <w:t>电影院、网吧等娱乐行业经营主体</w:t>
            </w:r>
          </w:p>
        </w:tc>
        <w:tc>
          <w:tcPr>
            <w:tcW w:w="56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rPr>
              <w:t>现场检查</w:t>
            </w:r>
          </w:p>
        </w:tc>
        <w:tc>
          <w:tcPr>
            <w:tcW w:w="62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sz w:val="18"/>
                <w:szCs w:val="18"/>
                <w:lang w:val="en-US" w:eastAsia="zh-CN"/>
              </w:rPr>
              <w:t>20</w:t>
            </w:r>
            <w:r>
              <w:rPr>
                <w:rFonts w:hint="eastAsia" w:asciiTheme="minorEastAsia" w:hAnsiTheme="minorEastAsia" w:eastAsiaTheme="minorEastAsia" w:cstheme="minorEastAsia"/>
                <w:sz w:val="18"/>
                <w:szCs w:val="18"/>
              </w:rPr>
              <w:t>％</w:t>
            </w:r>
          </w:p>
        </w:tc>
        <w:tc>
          <w:tcPr>
            <w:tcW w:w="100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auto"/>
                <w:kern w:val="2"/>
                <w:sz w:val="18"/>
                <w:szCs w:val="18"/>
                <w:lang w:val="en-US" w:eastAsia="zh-CN" w:bidi="ar-SA"/>
              </w:rPr>
              <w:t>县市场监管局</w:t>
            </w:r>
          </w:p>
        </w:tc>
        <w:tc>
          <w:tcPr>
            <w:tcW w:w="10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auto"/>
                <w:kern w:val="2"/>
                <w:sz w:val="18"/>
                <w:szCs w:val="18"/>
                <w:lang w:val="en-US" w:eastAsia="zh-CN" w:bidi="ar-SA"/>
              </w:rPr>
              <w:t>2024年10月30日前</w:t>
            </w:r>
          </w:p>
        </w:tc>
      </w:tr>
    </w:tbl>
    <w:p>
      <w:pPr>
        <w:numPr>
          <w:ilvl w:val="0"/>
          <w:numId w:val="0"/>
        </w:numPr>
        <w:rPr>
          <w:rFonts w:hint="eastAsia" w:ascii="仿宋_GB2312" w:hAnsi="宋体" w:eastAsia="仿宋_GB2312" w:cs="仿宋_GB2312"/>
          <w:b/>
          <w:bCs/>
          <w:kern w:val="0"/>
          <w:sz w:val="32"/>
          <w:szCs w:val="32"/>
          <w:lang w:val="en-US" w:eastAsia="zh-CN"/>
        </w:rPr>
      </w:pPr>
    </w:p>
    <w:p>
      <w:pPr>
        <w:numPr>
          <w:ilvl w:val="0"/>
          <w:numId w:val="0"/>
        </w:numPr>
        <w:ind w:firstLine="321" w:firstLineChars="100"/>
        <w:rPr>
          <w:rFonts w:hint="default" w:ascii="仿宋_GB2312" w:hAnsi="仿宋_GB2312" w:eastAsia="仿宋_GB2312" w:cs="仿宋_GB2312"/>
          <w:b/>
          <w:bCs/>
          <w:sz w:val="32"/>
          <w:szCs w:val="32"/>
          <w:highlight w:val="none"/>
          <w:lang w:val="en-US" w:eastAsia="zh-CN"/>
        </w:rPr>
      </w:pPr>
      <w:r>
        <w:rPr>
          <w:rFonts w:hint="eastAsia" w:ascii="仿宋_GB2312" w:hAnsi="宋体" w:eastAsia="仿宋_GB2312" w:cs="仿宋_GB2312"/>
          <w:b/>
          <w:bCs/>
          <w:kern w:val="0"/>
          <w:sz w:val="32"/>
          <w:szCs w:val="32"/>
          <w:highlight w:val="none"/>
          <w:lang w:val="en-US" w:eastAsia="zh-CN"/>
        </w:rPr>
        <w:t>（三）检查对象名录库</w:t>
      </w:r>
    </w:p>
    <w:tbl>
      <w:tblPr>
        <w:tblStyle w:val="7"/>
        <w:tblW w:w="8851" w:type="dxa"/>
        <w:tblInd w:w="-96" w:type="dxa"/>
        <w:shd w:val="clear" w:color="auto" w:fill="auto"/>
        <w:tblLayout w:type="fixed"/>
        <w:tblCellMar>
          <w:top w:w="0" w:type="dxa"/>
          <w:left w:w="0" w:type="dxa"/>
          <w:bottom w:w="0" w:type="dxa"/>
          <w:right w:w="0" w:type="dxa"/>
        </w:tblCellMar>
      </w:tblPr>
      <w:tblGrid>
        <w:gridCol w:w="1050"/>
        <w:gridCol w:w="3411"/>
        <w:gridCol w:w="1023"/>
        <w:gridCol w:w="1824"/>
        <w:gridCol w:w="1543"/>
      </w:tblGrid>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kern w:val="0"/>
                <w:sz w:val="22"/>
                <w:szCs w:val="22"/>
                <w:u w:val="none"/>
                <w:lang w:val="en-US" w:eastAsia="zh-CN" w:bidi="ar"/>
              </w:rPr>
            </w:pPr>
            <w:r>
              <w:rPr>
                <w:rFonts w:hint="eastAsia" w:ascii="黑体" w:hAnsi="宋体" w:eastAsia="黑体" w:cs="黑体"/>
                <w:b/>
                <w:i w:val="0"/>
                <w:color w:val="000000"/>
                <w:kern w:val="0"/>
                <w:sz w:val="22"/>
                <w:szCs w:val="22"/>
                <w:u w:val="none"/>
                <w:lang w:val="en-US" w:eastAsia="zh-CN" w:bidi="ar"/>
              </w:rPr>
              <w:t>序号</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企业名称</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法人代表</w:t>
            </w:r>
          </w:p>
        </w:tc>
        <w:tc>
          <w:tcPr>
            <w:tcW w:w="182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企业地址</w:t>
            </w:r>
          </w:p>
        </w:tc>
        <w:tc>
          <w:tcPr>
            <w:tcW w:w="15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企业类型</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剑阁县蓉浩超市</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蒲桂蓉</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剑阁县盛源超市</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廖青松</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3</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剑阁县下寺思乡园中餐馆</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周安平</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4</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剑阁县下寺梁炳五金店</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梁炳</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5</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剑阁县林林内衣店</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刘林林</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6</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剑阁县品客成服装店</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杨翠翠</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7</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剑阁县下寺镇智能时代通讯店</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何春花</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8</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剑阁县那屋宝贝母婴生活馆百草园店（加盟店）</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孟晓丽</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9</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剑阁县朗世达眼镜店</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梁武</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10</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剑阁县文军机电门市部</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梁开悦</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11</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剑阁县荣浩文化传播有限公司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王帅</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eastAsia="zh-CN"/>
              </w:rPr>
            </w:pPr>
            <w:r>
              <w:rPr>
                <w:rFonts w:hint="eastAsia" w:ascii="宋体" w:hAnsi="宋体" w:cs="宋体"/>
                <w:i w:val="0"/>
                <w:color w:val="000000"/>
                <w:sz w:val="21"/>
                <w:szCs w:val="21"/>
                <w:u w:val="none"/>
                <w:lang w:eastAsia="zh-CN"/>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12</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剑阁县零点网吧活动中心</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刘权</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13</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剑阁县简爱歌城</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唐小程</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14</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四川邮电国际旅行社有限责任公司剑阁县下寺镇服务网点</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杨建</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15</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成都市神州国际旅行社有限公司剑阁县下寺镇服务网点</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乔丽华</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kern w:val="0"/>
                <w:sz w:val="21"/>
                <w:szCs w:val="21"/>
                <w:u w:val="none"/>
                <w:lang w:val="en-US" w:eastAsia="zh-CN" w:bidi="ar"/>
              </w:rPr>
              <w:t>个体工商户</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16</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四川省天赐剑门关温泉开发有限公司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周桂民</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sz w:val="21"/>
                <w:szCs w:val="21"/>
                <w:u w:val="none"/>
                <w:lang w:eastAsia="zh-CN"/>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17</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剑阁县润弘商贸有限公司剑门逸酒店</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杜永贵</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cs="宋体"/>
                <w:i w:val="0"/>
                <w:color w:val="000000"/>
                <w:sz w:val="21"/>
                <w:szCs w:val="21"/>
                <w:u w:val="none"/>
                <w:lang w:eastAsia="zh-CN"/>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18</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剑阁县金窑矿业有限公司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张勇</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剑阁县上寺乡</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19</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剑阁宝龙物业服务有限责任公司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杨友翠</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20</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成都嘉信力天物业剑阁分公司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杨文凯</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21</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广元方安物业服务有限责任公司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张新旧</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22</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剑阁宏图物业管理有限公司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陈开太</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23</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剑阁平安物业管理有限责任公司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王振春</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24</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广元顺驰实业下寺物业分公司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丁小芳</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25</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重庆诚科物业管理有限公司</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剑阁分公司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岳银平</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26</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剑阁安居物业管理有限公司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王开科</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27</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剑阁县翠云物业服务有限公司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王玉堂</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28</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剑阁县嘉华物业服务有限公司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赵立熊</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29</w:t>
            </w:r>
          </w:p>
        </w:tc>
        <w:tc>
          <w:tcPr>
            <w:tcW w:w="34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剑阁县开心物业管理有限公司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余兴伟</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剑阁县普安镇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30</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剑阁县宏祥房地产开发有限责任公司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张林</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31</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剑阁剑州国有投资有限公司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蹇东林</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国有独资公司</w:t>
            </w:r>
          </w:p>
        </w:tc>
      </w:tr>
      <w:tr>
        <w:tblPrEx>
          <w:shd w:val="clear" w:color="auto" w:fill="auto"/>
          <w:tblCellMar>
            <w:top w:w="0" w:type="dxa"/>
            <w:left w:w="0" w:type="dxa"/>
            <w:bottom w:w="0" w:type="dxa"/>
            <w:right w:w="0" w:type="dxa"/>
          </w:tblCellMar>
        </w:tblPrEx>
        <w:trPr>
          <w:trHeight w:val="734"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32</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剑阁县远达房地产开发有限公司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张斌</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33</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广元市瑞山房地产开发有限责任公司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贾良雄</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剑阁县普安镇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817"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34</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剑阁县洪州房地产开发有限责任公司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冯天能</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剑阁县下寺镇</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r>
        <w:tblPrEx>
          <w:shd w:val="clear" w:color="auto" w:fill="auto"/>
          <w:tblCellMar>
            <w:top w:w="0" w:type="dxa"/>
            <w:left w:w="0" w:type="dxa"/>
            <w:bottom w:w="0" w:type="dxa"/>
            <w:right w:w="0" w:type="dxa"/>
          </w:tblCellMar>
        </w:tblPrEx>
        <w:trPr>
          <w:trHeight w:val="994"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35</w:t>
            </w:r>
          </w:p>
        </w:tc>
        <w:tc>
          <w:tcPr>
            <w:tcW w:w="3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四川广厦房地产开发有限公司</w:t>
            </w:r>
          </w:p>
        </w:tc>
        <w:tc>
          <w:tcPr>
            <w:tcW w:w="1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甘志强</w:t>
            </w:r>
          </w:p>
        </w:tc>
        <w:tc>
          <w:tcPr>
            <w:tcW w:w="18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广安市广安开发区</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有限责任公司</w:t>
            </w:r>
          </w:p>
        </w:tc>
      </w:tr>
    </w:tbl>
    <w:p>
      <w:pPr>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八、剑阁县综合行政执法局行政执法文书样式、行政执法案卷评查制度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eastAsia" w:ascii="仿宋_GB2312" w:hAnsi="仿宋_GB2312" w:eastAsia="仿宋_GB2312" w:cs="仿宋_GB2312"/>
          <w:b w:val="0"/>
          <w:bCs w:val="0"/>
          <w:color w:val="C00000"/>
          <w:kern w:val="2"/>
          <w:sz w:val="32"/>
          <w:szCs w:val="32"/>
          <w:highlight w:val="yellow"/>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司法部关于印发《司法行政机关行政许可文书格式文本(试行)》的通知(司发通〔200〕167号)；司法部关于印发《司法行政机关行政执法文书格式的通知 》（ 司发通〔1997〕085号)；《广元市司法局关于印发行政执法案卷评查标准的通知》（广司发〔2022〕16号），1.行政许可案卷评查标准；2.行政处罚（普通程序）案卷评查标准；3.行政强制执行案卷评查标准。</w:t>
      </w:r>
    </w:p>
    <w:p>
      <w:pPr>
        <w:keepNext w:val="0"/>
        <w:keepLines w:val="0"/>
        <w:pageBreakBefore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剑阁县综合行政执法局上年度双随机抽查结果、行政许可和处罚决定、上年度本机关行政执法数据总体情况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（一）上年度本机关行政执法数据总体情况</w:t>
      </w:r>
    </w:p>
    <w:p>
      <w:pPr>
        <w:keepNext w:val="0"/>
        <w:keepLines w:val="0"/>
        <w:pageBreakBefore w:val="0"/>
        <w:widowControl w:val="0"/>
        <w:kinsoku/>
        <w:wordWrap/>
        <w:overflowPunct/>
        <w:topLinePunct w:val="0"/>
        <w:autoSpaceDE w:val="0"/>
        <w:autoSpaceDN w:val="0"/>
        <w:bidi w:val="0"/>
        <w:adjustRightInd w:val="0"/>
        <w:snapToGrid/>
        <w:spacing w:before="0" w:line="500" w:lineRule="exact"/>
        <w:ind w:firstLine="668"/>
        <w:jc w:val="left"/>
        <w:textAlignment w:val="baseline"/>
        <w:rPr>
          <w:rFonts w:hint="eastAsia"/>
          <w:lang w:val="en-US" w:eastAsia="zh-CN"/>
        </w:rPr>
      </w:pPr>
      <w:r>
        <w:rPr>
          <w:rFonts w:hint="eastAsia" w:ascii="仿宋_GB2312" w:hAnsi="仿宋_GB2312" w:eastAsia="仿宋_GB2312" w:cs="仿宋_GB2312"/>
          <w:b w:val="0"/>
          <w:bCs w:val="0"/>
          <w:color w:val="auto"/>
          <w:sz w:val="32"/>
          <w:szCs w:val="32"/>
          <w:u w:val="none" w:color="auto"/>
          <w:lang w:val="en-US" w:eastAsia="zh-CN"/>
        </w:rPr>
        <w:t>http://www.cnjg.gov.cn/gongkai/show/20240109161715875.html（剑阁县综合行政执法局关于2023年度行政执法情况的公示</w:t>
      </w:r>
      <w:r>
        <w:rPr>
          <w:rFonts w:hint="eastAsia" w:ascii="仿宋_GB2312" w:hAnsi="仿宋_GB2312" w:eastAsia="仿宋_GB2312" w:cs="仿宋_GB2312"/>
          <w:snapToGrid w:val="0"/>
          <w:color w:val="000000"/>
          <w:spacing w:val="-8"/>
          <w:kern w:val="0"/>
          <w:sz w:val="32"/>
          <w:szCs w:val="32"/>
          <w:u w:val="none" w:color="auto"/>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（二）行政许可、行政处罚公示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u w:val="none" w:color="auto"/>
          <w:lang w:val="en-US" w:eastAsia="zh-CN"/>
        </w:rPr>
        <w:t>http://www.cnjg.gov.cn/gongkai/show/20240109161715875.html</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（三）双随机抽查结果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2023年度，剑阁县综合行政执法局联合县文旅体局开展“双随机、一公开”联合执法检查活动1次，检查对象2位。开展“双随机、一公开”单部门执法检查活动2次，检查对象5位。参与县发改局、县住建局等部门开展多部门联合执法检查活动3次，检查对象19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十、剑阁县综合行政执法局实行行政执法“三项制度”方案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十一、剑阁县综合行政执法局不予、免予、从轻、减轻、从重行政处罚清单</w:t>
      </w:r>
    </w:p>
    <w:p>
      <w:pPr>
        <w:keepNext w:val="0"/>
        <w:keepLines w:val="0"/>
        <w:pageBreakBefore w:val="0"/>
        <w:numPr>
          <w:ilvl w:val="0"/>
          <w:numId w:val="0"/>
        </w:numPr>
        <w:kinsoku/>
        <w:wordWrap/>
        <w:overflowPunct/>
        <w:topLinePunct w:val="0"/>
        <w:autoSpaceDE/>
        <w:autoSpaceDN/>
        <w:bidi w:val="0"/>
        <w:adjustRightInd/>
        <w:snapToGrid/>
        <w:spacing w:line="576" w:lineRule="exact"/>
        <w:ind w:left="1260" w:leftChars="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（一）轻微违法行为免予处罚清单</w:t>
      </w:r>
    </w:p>
    <w:tbl>
      <w:tblPr>
        <w:tblStyle w:val="7"/>
        <w:tblpPr w:leftFromText="180" w:rightFromText="180" w:vertAnchor="text" w:horzAnchor="page" w:tblpX="1895" w:tblpY="618"/>
        <w:tblOverlap w:val="never"/>
        <w:tblW w:w="83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0"/>
        <w:gridCol w:w="1220"/>
        <w:gridCol w:w="1517"/>
        <w:gridCol w:w="4412"/>
        <w:gridCol w:w="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6"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对招标文件、资格预审文件的发售、澄清、修改的时限，或者确定的提交资格预审申请文件、投标文件的时限不符合规定</w:t>
            </w:r>
            <w:r>
              <w:rPr>
                <w:rFonts w:hint="eastAsia" w:ascii="宋体" w:hAnsi="宋体" w:cs="宋体"/>
                <w:i w:val="0"/>
                <w:iCs w:val="0"/>
                <w:color w:val="000000"/>
                <w:kern w:val="0"/>
                <w:sz w:val="18"/>
                <w:szCs w:val="18"/>
                <w:u w:val="none"/>
                <w:lang w:val="en-US" w:eastAsia="zh-CN" w:bidi="ar"/>
              </w:rPr>
              <w:t>的</w:t>
            </w:r>
            <w:r>
              <w:rPr>
                <w:rFonts w:hint="eastAsia" w:ascii="宋体" w:hAnsi="宋体" w:eastAsia="宋体" w:cs="宋体"/>
                <w:i w:val="0"/>
                <w:iCs w:val="0"/>
                <w:color w:val="000000"/>
                <w:kern w:val="0"/>
                <w:sz w:val="18"/>
                <w:szCs w:val="18"/>
                <w:u w:val="none"/>
                <w:lang w:val="en-US" w:eastAsia="zh-CN" w:bidi="ar"/>
              </w:rPr>
              <w:t>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初次违法，工程建设项目中招标人招标文件、资格预审文件的发售、澄清、修改的时限，或者确定的提交资格预审申请文件、投标文件的时限不符合规定，项目金额不满1000万元，及时改正，没有造成危害后果的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【法律】《中华人民共和国招标投标法》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第二十三条　招标人对已发出的招标文件进行必要的澄清或者修改的，应当在招标文件要求提交投标文件截止时间至少十五日前，以书面形式通知所有招标文件收受人。该澄清或者修改的内容为招标文件的组成部分。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【行政法规】《中华人民共和国招标投标法实施条例》第二十一条　招标人可以对已发出的资格预审文件或者招标文件进行必要的澄清或者修改。澄清或者修改的内容可能影响资格预审申请文件或者投标文件编制的，招标人应当在提交资格预审申请文件截止时间至少3日前，或者投标截止时间至少15日前，以书面形式通知所有获取资格预审文件或者招标文件的潜在投标人；不足3日或者15日的，招标人应当顺延提交资格预审申请文件或者投标文件的截止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【部门规章】《建筑工程设计招标投标管理办法》第十二条　招标人可以对已发出的招标文件进行必要的澄清或者修改。澄清或者修改的内容可能影响投标文件编制的，招标人应当在投标截止时间至少15日前，以书面形式通知所有获取招标文件的潜在投标人，不足15日的，招标人应当顺延提交投标文件的截止时间。</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对招标人超过规定的比例收取投标保证金、履约保证金的行政处罚；或者招标人不按照规定退还投标保证金及银行同期存款利息的行政处罚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【行政法规】《中华人民共和国招标投标法实施条例》第二十六条　招标人在招标文件中要求投标人提交投标保证金的，投标保证金不得超过招标项目估算价的2%。投标保证金有效期应当与投标有效期一致。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第三十一条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第三十五条第一款　投标人撤回已提交的投标文件，应当在投标截止时间前书面通知招标人。招标人已收取投标保证金的，应当自收到投标人书面撤回通知之日起5日内退还。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第五十八条　招标文件要求中标人提交履约保证金的，中标人应当按照招标文件的要求提交。履约保证金不得超过中标合同金额的10%。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4"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对招标人或者其委托的招标代理机构在招标公告中有关获取招标文件的时间和办法的规定明显不合理的行政处罚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初次违法，工程建设项目中招标人或者其委托的招标代理机构在招标公告中有关获取招标文件的时间和办法的规定明显不合理，项目金额不满1000万元，及时改正，没有造成危害后果的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【法律】《中华人民共和国招标投标法》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第十六条第二款　招标公告应当载明招标人的名称和地址、招标项目的性质、数量、实施地点和时间以及获取招标文件的办法等事项。</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6"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对招标人或者其委托的招标代理机构在不同媒介发布同一招标项目的招标公告内容不一致的行政处罚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初次违法，工程建设项目中招标人或者其委托的招标代理机构在不同媒介发布同一招标项目的招标公告内容不一致，项目金额不满1000万元，及时改正，没有造成危害后果的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【行政法规】《中华人民共和国招标投标法实施条例》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第十五条第三款　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【地方性法规】《四川省国家投资工程建设项目招标投标条例》第八条第二款　必须公开招标项目的招标公告应当按规定在国家或者省发展计划部门指定的媒介发布。在指定媒介发布招标公告的同时，招标人根据项目的性质和需要，也可以在其他媒介发布招标公告，其公告内容应当与在指定媒介发布的招标公告相同。</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对国家投资工程建设项目中招标人或招标代理机构未对中标候选人未经公示的行政处罚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初次违法，工程建设项目中招标人或招标代理机构对中标候选人未经公示，项目金额不满1000万元，及时改正，没有造成危害后果的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【行政法规】《中华人民共和国招标投标法实施条例》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第五十四条第一款　依法必须进行招标的项目，招标人应当自收到评标报告之日起3日内公示中标候选人，公示期不得少于3日。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【地方性法规】《四川省国家投资工程建设项目招标投标条例》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第三十条第二款　招标人或其委托的招标代理机构，应将中标候选人在省指定媒介上进行公示。公示期为5个工作日。</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52"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对必须进行招标的项目招标人未在指定的媒介发布招标公告或者资格预审公告对其直接负责的主管人员和其他直接责任人的行政处罚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【地方性法规】《四川省国家投资工程建设项目招标投标条例》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第八条第二款　必须公开招标项目的招标公告应当按规定在国家或者省发展计划部门指定的媒介发布。在指定媒介发布招标公告的同时，招标人根据项目的性质和需要，也可以在其他媒介发布招标公告，其公告内容应当与在指定媒介发布的招标公告相同。</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8"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对必须进行招标的项目招标人邀请招标不依法发出投标邀请书对其直接负责的主管人员和其他直接责任人的行政处罚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初次违法，必须进行招标的项目招标人邀请招标不依法发出投标邀请书，项目金额不满1000万元，及时改正，没有造成危害后果的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【法律】《中华人民共和国招标投标法》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第十七条　招标人采用邀请招标方式的，应当向三个以上具备承担招标项目的能力、资信良好的特定的法人或者其他组织发出投标邀请书。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【部门规章】《工程建设项目施工招标投标办法》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第十三条　采用邀请招标方式的，招标人应当向三家以上具备承担施工招标项目的能力、资信良好的特定的法人或者其他组织发出投标邀请书。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【部门规章】《建筑工程设计招标投标管理办法》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第七条　公开招标的，招标人应当发布招标公告。邀请招标的，招标人应当向3个以上潜在投标人发出投标邀请书。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【部门规章】《工程建设项目货物招标投标办法》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第十二条　采用邀请招标方式的，招标人应当向三家以上具备货物供应的能力、资信良好的特定的法人或者其他组织发出投标邀请书。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【地方性法规】《四川省国家投资工程建设项目招标投标条例》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第十条　采用邀请招标方式的，招标人应当在有关行政主管部门的监督下，从具备承担招标项目能力、信用良好、符合相应条件的潜在投标人中，通过随机方式选择三家以上的投标人，并向其发出投标邀请书。</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9"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对必须进行招标的项目招标人未按规定确定招标代理机构对其直接负责的主管人员和其他直接责任人的行政处罚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初次违法，必须进行招标的项目招标人未按规定确定招标代理机构，项目金额不满1000万元，及时改正，没有造成危害后果的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【法律】《中华人民共和国招标投标法》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第十二条　招标人有权自行选择招标代理机构，委托其办理招标事宜。任何单位和个人不得以任何方式为招标人指定招标代理机构。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【地方性法规】《四川省国家投资工程建设项目招标投标条例》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第十二条　采用委托招标的，招标人应通过比选等竞争方式自行确定招标代理机构。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【部门规章】《工程建设项目施工招标投标办法》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第二十一条　招标人符合法律规定的自行招标条件的，可以自行办理招标事宜。任何单位和个人不得强制其委托招标代理机构办理招标事宜。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地方政府</w:t>
            </w:r>
            <w:r>
              <w:rPr>
                <w:rFonts w:hint="eastAsia" w:ascii="宋体" w:hAnsi="宋体" w:eastAsia="宋体" w:cs="宋体"/>
                <w:i w:val="0"/>
                <w:iCs w:val="0"/>
                <w:color w:val="000000"/>
                <w:kern w:val="0"/>
                <w:sz w:val="18"/>
                <w:szCs w:val="18"/>
                <w:u w:val="none"/>
                <w:lang w:val="en-US" w:eastAsia="zh-CN" w:bidi="ar"/>
              </w:rPr>
              <w:t>规章】《四川省工程建设项目招标代理办法》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第十三条　招标人有权自行选择招标代理机构，委托其办理招标事宜。任何单位和个人不得以任何方式为招标人指定招标代理机构。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招标人委托招标的，应当委托具有相应资格等级的工程建设项目招标代理机构代理，有权要求招标代理机构出示工程建设项目招标代理资格证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4"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2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对必须进行招标的项目招标人或采取抽签、摇号等方式进行投标资格预审对其直接负责的主管人员和其他直接责任人的行政处罚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初次违法，必须进行招标的项目招标人或采取抽签、摇号等方式进行投标资格预审，项目金额不满1000万元，及时改正，没有造成危害后果的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【地方性法规】《四川省国家投资工程建设项目招标投标条例》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第十六条第四款　禁止采取抽签、摇号等方式进行投标资格预审。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【部门规章】《工程建设项目勘察设计招标投标办法》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第十四条　招标人不得以抽签、摇号等不合理条件限制或者排斥资格预审合格的潜在投标人参加投标。</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对除因不可抗力外，招标人在发布招标公告、发出投标邀请书或者招标文件后终止招标的行政处罚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初次违法，除因不可抗力外，招标人在发布招标公告、发出投标邀请书或者招标文件后终止招标，项目金额不满1000万元，及时改正，没有造成危害后果的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【地方性法规】《四川省国家投资工程建设项目招标投标条例》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第四十三条　除因不可抗力外，招标人在发布招标公告、发出投标邀请书或者招标文件后终止招标的，给予警告，根据情节可处3万元以下的罚款，并赔偿潜在投标人或者投标人的直接损失。</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4"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对招标人以发出中标通知书为条件，向中标人提出背离招标和投标文件内容要求的行政处罚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初次违法，工程建设项目中招标人以发出中标通知书为条件，向中标人提出背离招标和投标文件内容要求，项目金额不满1000万元，及时改正，没有造成危害后果的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【地方性法规】《四川省国家投资工程建设项目招标投标条例》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第三十二条第三款　招标人不得以发出中标通知书为条件，向中标人提出压低或抬高报价、增加工作量、缩短工期等背离招标和投标文件内容的要求。</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9"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对违反《中华人民共和国注册建筑师条例实施细则》，未办理变更注册而继续执业的行政处罚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初次违法，违反《中华人民共和国注册建筑师条例实施细则》，未办理变更注册而继续执业，限期内未改正，逾期不满15日改正，没有造成危害后果的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【部门规章】《中华人民共和国注册建筑师条例实施细则》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第二十条　注册建筑师变更执业单位，应当与原聘用单位解除劳动关系，并按照本细则第十五条规定的程序办理变更注册手续。变更注册后，仍延续原注册有效期。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原注册有效期届满在半年以内的，可以同时提出延续注册申请。准予延续的，注册有效期重新计算。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变更注册需要提交下列材料：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（一）变更注册申请表；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（二）新聘用单位资质证书副本的复印件；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（三）与新聘用单位签订的聘用劳动合同复印件；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（四）工作调动证明或者与原聘用单位解除聘用劳动合同的证明文件、劳动仲裁机构出具的解除劳动关系的仲裁文件、退休人员的退休证明复印件；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（五）在办理变更注册时提出延续注册申请的，还应当提交在本注册有效期内达到继续教育要求的证明材料。</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1"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对注册造价工程师不履行注册造价工程师义务的行政处罚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初次违法，注册造价工程师不履行注册造价工程师义务，没有违法所得，及时改正，没有造成危害后果的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【部门规章】《注册造价工程师管理办法》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第二十条　注册造价工程师不得有下列行为：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（一）不履行注册造价工程师义务；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第十七条　注册造价工程师应当履行下列义务：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（一）遵守法律、法规、有关管理规定，恪守职业道德；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（二）保证执业活动成果的质量；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（三）接受继续教育，提高执业水平；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（四） 执行工程造价计价标准和计价方法；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（五）与当事人有利害关系的，应当主动回避；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（六）保守在执业中知悉的国家秘密和他人的商业、技术秘密。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对注册造价工程师以个人名义承接工程造价业务的行政处罚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初次违法，注册造价工程师以个人名义承接工程造价业务，没有违法所得，及时改正，没有造成危害后果的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【部门规章】《注册造价工程师管理办法》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第二十条　注册造价工程师不得有下列行为：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（五）以个人名义承接工程造价业务；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对注册建造师不履行注册建造师义务的行政处罚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初次违法，注册建造师不履行注册建造师义务，没有违法所得，及时改正，没有造成危害后果的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【部门规章】《注册建造师管理规定》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第二十五条　注册建造师应当履行下列义务：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（一）遵守法律、法规和有关管理规定，恪守职业道德；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（二）执行技术标准、规范和规程；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（三）保证执业成果的质量，并承担相应责任；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（四）接受继续教育，努力提高执业水准；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（五）保守在执业中知悉的国家秘密和他人的商业、技术等秘密；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（六）与当事人有利害关系的，应当主动回避；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（七）协助注册管理机关完成相关工作。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第二十六条　注册建造师不得有下列行为：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（一）不履行注册建造师义务；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对公共租赁住房的所有权人及其委托的运营单位，向不符合条件的对象出租公共租赁住房的行政处罚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初次违法，公共租赁住房面积不满50平方米，及时改正，未造成危害后果的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【部门规章】《公共租赁住房管理办法》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第三条第一款　本办法所称公共租赁住房，是指限定建设标准和租金水平，面向符合规定条件的城镇中等偏下收入住房困难家庭、新就业无房职工和在城镇稳定就业的外来务工人员出租的保障性住房。</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对公共租赁住房的所有权人及其委托的运营单位，未履行公共租赁住房及其配套设施维修养护义务的行政处罚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初次违法，公共租赁住房面积不满50平方米，及时改正，未造成危害后果的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【部门规章】《公共租赁住房管理办法》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第二十四条第一款　公共租赁住房的所有权人及其委托的运营单位应当负责公共租赁住房及其配套设施的维修养护，确保公共租赁住房的正常使用。</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对公共租赁住房的所有权人及其委托的运营单位，改变公共租赁住房的保障性住房性质、用途，以及配套设施的规划用途的行政处罚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初次违法，公共租赁住房面积不满50平方米，及时改正，未造成危害后果的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【部门规章】《公共租赁住房管理办法》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第二十五条　公共租赁住房的所有权人及其委托的运营单位不得改变公共租赁住房的保障性住房性质、用途及其配套设施的规划用途。</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对房地产开发企业未按规定将测绘成果或者需要由其提供的办理房屋权属登记的资料报送房地产行政主管部门的行政处罚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初次违法，及时改正，未造成危害后果的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【部门规章】《商品房销售管理办法》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第三十四条第一款、第二款  房地产开发企业应当在商品房交付使用前按项目委托具有房产测绘资格的单位实施测绘，测绘成果报房地产行政主管部门审核后用于房屋权属登记。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房地产开发企业应当在商品房交付使用之日起60日内，将需要由其提供的办理房屋权属登记的资料报送房屋所在地房地产行政主管部门。</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对房地产开发企业不按照规定办理变更手续的行政处罚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初次违法，限期内未改正，逾期不满15日，及时改正，未造成危害后果的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【部门规章】《房地产开发企业资质管理规定》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第十五条  企业变更名称、法定代表人和主要管理、技术负责人，应当在变更30日内，向原资质审批部门办理变更手续。</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4"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对不具备条件的单位从事白蚁防治业务的行政处罚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初次违法，违法行为轻微，及时改正，未造成危害后果的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【部门规章】《城市房屋白蚁防治管理规定》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第六条  设立白蚁防治单位，应当具备以下条件：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（一）有自己的名称和组织机构；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（二）有固定的办公地点及场所；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（三）有30万元以上的注册资本；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（四）有生物、药物检测和建筑工程等专业的专职技术人员。</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6"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对侵占、损坏楼道、公共园林绿地等物业共有部分的行政处罚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初次违法，侵占楼道、公共园林绿地等物业共有部分的，及时改正，恢复原状，未造成危害后果的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【地方性法规】《四川省物业管理条例》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第七十四条　物业服务区域内禁止下列行为：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（三）侵占、损坏楼道、公共园林绿地等物业共有部分；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6"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对单位和个人擅自通过新闻媒体、网络、手机短信、公开信等方式发布城市供水水质情况的行政处罚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【地方性法规】《四川省城市供水条例》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第十八条第二款 任何单位和个人，不得擅自通过新闻媒体、网络、手机短信、公开信等方式发布城市供水水质情况。</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对地下管线专业管理单位未移交地下管线工程档案的行政处罚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初次违法，违法行为轻微，1个月以内改正，没有造成危害后果的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【部门规章】《城市地下管线工程档案管理办法》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第十二条  地下管线专业管理单位应当将更改、报废、漏测部分的地下管线工程档案，及时修改补充到本单位的地下管线专业图上，并将修改补充的地下管线专业图及有关资料向城建档案管理机构移交。</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对安装有淘汰便器水箱和配件的新建房屋验收交付使用的行政处罚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【部门规章】《城市房屋便器水箱应用监督管理办法》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第三条　新建房屋建筑必须安装符合国家标准的便器水箱和配件。凡新建房屋继续安装经国家有关行政主管部门已通知淘汰的便器水箱和配件（以下简称淘汰便器水箱和配件）的，不得竣工验收交付使用，供水部门不予供水，由城市建设行政主管部门责令限期更换。</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对未按更新改造计划更换淘汰便器水箱和配件的行政处罚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【部门规章】《城市房屋便器水箱应用监督管理办法》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第四条　原有房屋安装使用淘汰便器水箱和配件的，房屋产权单位应当制定更新改造计划，报城市建设行政主管部门批准，分期分批进行改造。</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对在限定的期限内未更换淘汰便器水箱和配件的行政处罚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【部门规章】《城市房屋便器水箱应用监督管理办法》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第四条　原有房屋安装使用淘汰便器水箱和配件的，房屋产权单位应当制定更新改造计划，报城市建设行政主管部门批准，分期分批进行改造。</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对漏水严重的房屋便器水箱和配件未按期进行维修或者更新的行政处罚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【部门规章】《城市房屋便器水箱应用监督管理办法》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第七条　城市建设行政主管部门对漏水严重的房屋便器水箱和配件，应当责令房屋产权单位限期维修或者更新。</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对未按照城市生活垃圾治理规划和环境卫生设施标准配套建设城市生活垃圾收集设施的行政处罚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【部门规章】《城市生活垃圾管理办法》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第十条　建筑垃圾储运消纳场不得受纳工业垃圾、生活垃圾和有毒有害垃圾。</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3"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对随意倾倒、抛洒、堆放城市生活垃圾的行政处罚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初次违法，倾倒、抛洒、堆放城市生活垃圾不满10千克，及时改正，没有造成危害后果的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【部门规章】《城市生活垃圾管理办法》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第十六条第四款  禁止随意倾倒、抛洒或者堆放城市生活垃圾。</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对在城镇住宅区内饲养家禽家畜的，饲养宠物和信鸽影响环境卫生和周围居民正常生活的行政处罚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【地方性法规】《四川省城乡环境综合治理条例》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第三十六条第二款　禁止在城镇住宅区内饲养家禽家畜。城镇居民经批准饲养宠物和静的，不得影响环境卫生和周围居民正常生活。携带宠物出户，应当携带清洁用具，及时清除宠物排泄物，维护公共环境卫生。</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4"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对工程竣工验收后，不向建设单位出具质量保修书的行政处罚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初次违法，工程合同价款不满1000万元的，及时改正，没有造成危害后果的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 《房屋建筑工程质量保修办法》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第六条　建设单位和施工单位应当在工程质量保修书中约定保修范围、保修期限和保修责任等，双方约定的保修范围、保修期限必须符合国家有关规定。</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8"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对出租单位、自购建筑起重机械的使用单位未按照规定办理注销手续的行政处罚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初次违法，1台建筑起重机械未按照规定办理注销手续的，及时改正，没有造成危害后果的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【部门规章】《建筑起重机械安全监督管理规定》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第八条　建筑起重机械有本规定第七条第（一）、（二）、（三）项情形之一的，出租单位或者自购建筑起重机械的使用单位应当予以报废，并向原备案机关办理注销手续。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第七条　有下列情形之一的建筑起重机械，不得出租、使用；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（一）属国家明令淘汰或者禁止使用的；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（二）超过安全技术标准或者制造厂家规定的使用年限的；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（三）经检验达不到安全技术标准规定的；</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对建设单位未依照《中华人民共和国消防法》规定在验收后报住房和城乡建设主管部门备案的行政处罚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初次违法，其他建设工程的实际规模（面积、高度）为对应特殊建设工程界定标准规模（面积、高度）不满30%的，没有造成危害后果的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【法律】《中华人民共和国消防法》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第十三条第二款  前款规定以外的其他建设工程，建设单位在验收后应当报住房和城乡建设主管部门备案，住房和城乡建设主管部门应当进行抽查。</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对房地产经纪机构未按照《房地产经纪管理办法》规定如实记录业务情况或者保存房地产经纪服务合同的行政处罚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【部门规章】《房地产经纪管理办法》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第二十六条　房地产经纪机构应当建立业务记录制度，如实记录业务情况。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房地产经纪机构应当保存房地产经纪服务合同，保存期不少于5年。</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对房地产经纪机构擅自对外发布房源信息的行政处罚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【部门规章】《房地产经纪管理办法》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第二十二条第一款　房地产经纪机构与委托人签订房屋出售、出租经纪服务合同，应当查看委托出售、出租的房屋及房屋权属证书，委托人的身份证明等有关资料，并应当编制房屋状况说明书。经委托人书面同意后，方可以对外发布相应的房源信息。</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对排水户名称、法定代表人等其他事项变更，未按本办法规定及时向城镇排水主管部门申请办理变更的行政处罚。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【部门规章】《城镇污水排入排水管网许可管理办法》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第十一条第二款　排水户名称、法定代表人等其他事项变更的，排水户应当在工商登记变更后30日内向城镇排水主管部门申请办理变更。</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对单位和个人擅自在城市照明设施上张贴、悬挂、设置宣传品、广告的行政处罚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【部门规章】《城市照明管理规定》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第二十八条　任何单位和个人都应当保护城市照明设施，不得实施下列行为：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（三）擅自在城市照明设施上张贴、悬挂、设置宣传品、广告；</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6"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对勘察单位、设计单位未按照工程建设强制性标准进行勘察设计的行政处罚</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初次违法，违法行为轻微，及时改正，没有造成危害后果的</w:t>
            </w:r>
          </w:p>
        </w:tc>
        <w:tc>
          <w:tcPr>
            <w:tcW w:w="4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【行政法规】《建设工程勘察设计管理条例》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第五条第二款　建设工程勘察、设计单位必须依法进行建设工程勘察、设计，严格执行工程建设强制性标准，并对建设工程勘察、设计的质量负责。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说服教育、谈话提醒、行政指导、行政告诫等</w:t>
            </w:r>
          </w:p>
        </w:tc>
      </w:tr>
    </w:tbl>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u w:val="none"/>
          <w:lang w:val="en-US" w:eastAsia="zh-CN"/>
        </w:rPr>
      </w:pPr>
      <w:r>
        <w:rPr>
          <w:rFonts w:hint="default" w:ascii="仿宋_GB2312" w:hAnsi="仿宋_GB2312" w:eastAsia="仿宋_GB2312" w:cs="仿宋_GB2312"/>
          <w:b w:val="0"/>
          <w:bCs w:val="0"/>
          <w:color w:val="auto"/>
          <w:sz w:val="32"/>
          <w:szCs w:val="32"/>
          <w:u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（二）从轻处罚清单</w:t>
      </w:r>
    </w:p>
    <w:tbl>
      <w:tblPr>
        <w:tblStyle w:val="7"/>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062"/>
        <w:gridCol w:w="1786"/>
        <w:gridCol w:w="3450"/>
        <w:gridCol w:w="215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序号</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default" w:ascii="宋体" w:hAnsi="宋体" w:eastAsia="宋体" w:cs="宋体"/>
                <w:b/>
                <w:bCs/>
                <w:i w:val="0"/>
                <w:iCs w:val="0"/>
                <w:color w:val="000000"/>
                <w:kern w:val="0"/>
                <w:sz w:val="24"/>
                <w:szCs w:val="24"/>
                <w:u w:val="none"/>
                <w:lang w:val="en-US" w:eastAsia="zh-CN" w:bidi="ar"/>
              </w:rPr>
              <w:t>违法行为</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default" w:ascii="宋体" w:hAnsi="宋体" w:eastAsia="宋体" w:cs="宋体"/>
                <w:b/>
                <w:bCs/>
                <w:i w:val="0"/>
                <w:iCs w:val="0"/>
                <w:color w:val="000000"/>
                <w:kern w:val="0"/>
                <w:sz w:val="24"/>
                <w:szCs w:val="24"/>
                <w:u w:val="none"/>
                <w:lang w:val="en-US" w:eastAsia="zh-CN" w:bidi="ar"/>
              </w:rPr>
              <w:t>处罚规定</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default" w:ascii="宋体" w:hAnsi="宋体" w:eastAsia="宋体" w:cs="宋体"/>
                <w:b/>
                <w:bCs/>
                <w:i w:val="0"/>
                <w:iCs w:val="0"/>
                <w:color w:val="000000"/>
                <w:kern w:val="0"/>
                <w:sz w:val="24"/>
                <w:szCs w:val="24"/>
                <w:u w:val="none"/>
                <w:lang w:val="en-US" w:eastAsia="zh-CN" w:bidi="ar"/>
              </w:rPr>
              <w:t>适用条件</w:t>
            </w:r>
          </w:p>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default" w:ascii="宋体" w:hAnsi="宋体" w:eastAsia="宋体" w:cs="宋体"/>
                <w:b/>
                <w:bCs/>
                <w:i w:val="0"/>
                <w:iCs w:val="0"/>
                <w:color w:val="000000"/>
                <w:kern w:val="0"/>
                <w:sz w:val="24"/>
                <w:szCs w:val="24"/>
                <w:u w:val="none"/>
                <w:lang w:val="en-US" w:eastAsia="zh-CN" w:bidi="ar"/>
              </w:rPr>
              <w:t>（须同时</w:t>
            </w:r>
          </w:p>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default" w:ascii="宋体" w:hAnsi="宋体" w:eastAsia="宋体" w:cs="宋体"/>
                <w:b/>
                <w:bCs/>
                <w:i w:val="0"/>
                <w:iCs w:val="0"/>
                <w:color w:val="000000"/>
                <w:kern w:val="0"/>
                <w:sz w:val="24"/>
                <w:szCs w:val="24"/>
                <w:u w:val="none"/>
                <w:lang w:val="en-US" w:eastAsia="zh-CN" w:bidi="ar"/>
              </w:rPr>
              <w:t>具备）</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对占用公共道路和公共场所从事车辆修理、清洗、装饰和再生资源回收的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《四川省城乡环境综合治理条例》第六十九条 违反本条例第三十九条规定，占用公共道路和公共场所从事车辆修理、清洗、装饰和再生资源回收的，责令改正，恢复原状，并处五百元以上二千元以下罚款。</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第三十九条 从事车辆修理、清洗、装饰和再生资源回收的，应当符合国土空间规划、城乡容貌管理的要求，保持经营场所及周边环境整洁卫生，不得占用公共道路和公共场所。</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对随意倾倒、抛撒或者堆放建筑垃圾的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《城市建筑垃圾管理规定》第二十六条  任何单位和个人随意倾倒、抛撒或者堆放建筑垃圾的，由城市人民政府市容环境卫生主管部门责令限期改正，给予警告，并对单位处5000元以上5万元以下罚款，对个人处200元以下罚款。</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4.随意倾倒、抛撒或者堆放建筑垃不超过50公斤的。</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对涂改、倒卖、出租、出借或者以其他形式非法转让注册建筑师、勘察设计注册工程师、注册建造师、注册监理工程师、注册造价工程师、注册房地产估价师执业资格证书、互认资格证书、注册证书和执业印章的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中华人民共和国注册建筑师条例实施细则》第四十四条违反本细则，涂改、倒卖、出租、出借或者以其他形式非法转让执业资格证书、互认资格证书、注册证书和执业印章的，由县级以上人民政府建设主管部门责令改正，其中没有违法所得的，处以一万元以下罚款；有违法所得的处以违法所得三倍以下且不超过三万元的罚款。</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勘察设计注册工程师管理规定》第三十条注册工程师在执业活动中有下列行为之一的，由县级以上人民政府建设主管部门或者有关部门予以警告，责令其改正，没有违法所得的，处以一万元以下的罚款；有违法所得的，处以违法所得三倍以下且不超过三万元的罚款；造成损失的，应当承担赔偿责任；构成犯罪的，依法追究刑事责任：（二）涂改、出租、出借或者以其他形式非法转让注册证书或者执业印章的。</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《注册建造师管理规定》第二十六条注册建造师不得有下列行为：（七）涂改、倒卖、出租、出借或以其他形式非法转让资格证书、注册证书和执业印章。</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第三十七条违反本规定，注册建造师在执业活动中有第二十六条所列行为之一的，由县级以上地方人民政府建设主管部门或者其他有关部门给予警告，责令改正，没有违法所得的，处以一万元以下的罚款；有违法所得的，处以违法所得3倍以下且不超过三万元的罚款。</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注册监理工程师管理规定》第三十一条注册监理工程师在执业活动中有下列行为之一的，由县级以上地方人民政府建设主管部门给予警告，责令其改正，没有违法所得的，处以一万元以下罚款，有违法所得的，处以违法所得三倍以下且不超过三万元的罚款；造成损失的，依法承担赔偿责任；构成犯罪的，依法追究刑事责任：（二）涂改、倒卖、出租、出借或者以其他形式非法转让注册证书或者执业印章的。</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《注册造价工程师管理办法》第二十条注册造价工程师不得有下列行为：（八）涂改、倒卖、出租、出借或者以其他形式非法转让注册证书或者执业印章。</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第三十六条注册造价工程师有本办法第二十条规定行为之一的，由县级以上地方人民政府建设主管部门或者其他有关部门给予警告，责令改正，没有违法所得的，处以一万元以下罚款，有违法所得的，处以违法所得3倍以下且不超过三万元的罚款。</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《注册房地产估价师管理办法》第二十六条注册房地产估价师不得有下列行为：（九）涂改、出租、出借或者以其他形式非法转让注册证书。</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第三十八条注册房地产估价师有本办法第二十六条行为之一的，由县级以上地方人民政府建设（房地产）主管部门给予警告，责令其改正，没有违法所得的，处以一万元以下罚款，有违法所得的，处以违法所得3倍以下且不超过三万元的罚款；造成损失的，依法承担赔偿责任；构成犯罪的，依法追究刑事责任。</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四川省建设工程勘察设计管理条例》第三十二条建设工程勘察、设计注册执业人员和其他专业技术人员违反本条例规定，有下列行为之一的，责令限期改正，没收违法所得，并可处违法所得１倍以上５倍以下罚款；情节严重的，可以责令停止执行业务或吊销资格证书：（二）转让、租借执业资格证书、执业印章，为其它工程勘察、设计文件签字、盖章的，或允许他人以本人名义执业的。</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对建设单位将建设工程肢解发包的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建设工程质量管理条例》第五十五条违反本条例规定，建设单位将建设工程肢解发包的，责令改正，处工程合同价款0．5％以上1％以下的罚款；对全部或者部分使用国有资金的项目，并可以暂停项目执行或者暂停资金拨付。</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第七十三条依照本条例规定，给予单位罚款处罚的，对单位直接负责的主管人员和其他直接责任人员处单位罚款数额5％以上10％以下的罚款。</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对施工单位的主要负责人、项目负责人未履行安全生产管理职责的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建设工程安全生产管理条例》第六十六条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施工单位的主要负责人、项目负责人有前款违法行为，尚不够刑事处罚的，处2万元以上20万元以下的罚款或者按照管理权限给予撤职处分。</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对未取得商品房预售许可证进行预售的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《城市房地产开发经营管理条例》第三十六条违反本条例规定，擅自预售商品房的，由县级以上人民政府房地产开发主管部门责令停止违法行为，没收违法所得，可以并处已收取的预付款1%以下的罚款。</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1.初次违法且擅自预售十套以下商品房的;</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对房地产中介服务机构代理销售不符合销售条件的商品房的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《商品房销售管理办法》第四十三条 房地产中介服务机构代理销售不符合销售条件的商品房的,处以警告，责令停止销售，并可处以2万元以上3万元以下罚款。</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2.代理销售不符合销售条件的商品房十套以下的；</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4.自行纠正或者执法机关指定的期限内改正。</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对于未取得施工许可证或者为规避办理施工许可证将工程项目分解后擅自施工的施工单位的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《中华人民共和国建筑法》第六十四条违反本法规定，未取得施工许可证或者开工报告未经批准擅自施工的，责令改正，对不符合开工条件的责令停止施工，可以处以罚款。</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《建设工程质量管理条例》第五十七条违反本条例规定，建设单位未取得施工许可证或者开工报告未经批准，擅自施工的，责令停止施工，限期改正，处工程合同价款百分之一以上百分之二以下的罚款</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建筑工程施工许可管理办法》第十二条对于未取得施工许可证或者为规避办理施工许可证将工程项目分解后擅自施工的，由有管辖权的发证机关责令停止施工，限期改正，对建设单位处工程合同价款1%以上2%以下罚款；对施工单位处3万元以下罚款。</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对未密闭煤炭、煤矸石、煤渣、煤灰、水泥、石灰、石膏、砂土等易产生扬尘的物料的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中华人民共和国大气污染防治法》第一百一十七条违反本法规定，有下列行为之一的，由县级以上人民政府环境保护等主管部门按照职责责令改正，处一万元以上十万元以下的罚款；拒不改正的，责令停工整治或者停业整治：</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（一）未密闭煤炭、煤矸石、煤渣、煤灰、水泥、石灰、石膏、砂土等易产生扬尘的物料的；</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2.自行纠正或者在执法机关指定的期限内</w:t>
            </w:r>
            <w:r>
              <w:rPr>
                <w:rFonts w:hint="eastAsia" w:ascii="宋体" w:hAnsi="宋体" w:cs="宋体"/>
                <w:i w:val="0"/>
                <w:iCs w:val="0"/>
                <w:color w:val="000000"/>
                <w:kern w:val="0"/>
                <w:sz w:val="18"/>
                <w:szCs w:val="18"/>
                <w:u w:val="none"/>
                <w:lang w:val="en-US" w:eastAsia="zh-CN" w:bidi="ar"/>
              </w:rPr>
              <w:t>改正</w:t>
            </w:r>
            <w:r>
              <w:rPr>
                <w:rFonts w:hint="default" w:ascii="宋体" w:hAnsi="宋体" w:eastAsia="宋体" w:cs="宋体"/>
                <w:i w:val="0"/>
                <w:iCs w:val="0"/>
                <w:color w:val="000000"/>
                <w:kern w:val="0"/>
                <w:sz w:val="18"/>
                <w:szCs w:val="18"/>
                <w:u w:val="none"/>
                <w:lang w:val="en-US" w:eastAsia="zh-CN" w:bidi="ar"/>
              </w:rPr>
              <w:t>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对不能密闭的易产生扬尘的物料，未设置不低于堆放物高度的严密围挡，或者未采取有效覆盖措施防治扬尘污染的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中华人民共和国大气污染防治法》第一百一十七条违反本法规定，有下列行为之一的，由县级以上人民政府环境保护等主管部门按照职责责令改正，处一万元以上十万元以下的罚款；拒不改正的，责令停工整治或者停业整治：</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（二）对不能密闭的易产生扬尘的物料，未设置不低于堆放物高度的严密围挡，或者未采取有效覆盖措施防治扬尘污染的；（三）装卸物料未采取密闭或者喷淋等方式控制扬尘排放的；</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3.危害后果轻微或积极主动消除、减轻危害后果。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对装卸物料未采取密闭或者喷淋等方式控制扬尘排放的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中华人民共和国大气污染防治法》第一百一十七条违反本法规定，有下列行为之一的，由县级以上人民政府环境保护等主管部门按照职责责令改正，处一万元以上十万元以下的罚款；拒不改正的，责令停工整治或者停业整治：</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（三）装卸物料未采取密闭或者喷淋等方式控制扬尘排放的；</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对码头、矿山、填埋场和消纳场未采取有效措施防治扬尘污染的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中华人民共和国大气污染防治法》第一百一十七条违反本法规定，有下列行为之一的，由县级以上人民政府环境保护等主管部门按照职责责令改正，处一万元以上十万元以下的罚款；拒不改正的，责令停工整治或者停业整治：</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（五）码头、矿山、填埋场和消纳场未采取有效措施防治扬尘污染的；</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对未采取措施防止排放恶臭气体的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中华人民共和国大气污染防治法》第一百一十七条违反本法规定，有下列行为之一的，由县级以上人民政府环境保护等主管部门按照职责责令改正，处一万元以上十万元以下的罚款；拒不改正的，责令停工整治或者停业整治：</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（八）未采取措施防止排放恶臭气体的。</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jc w:val="center"/>
        </w:trPr>
        <w:tc>
          <w:tcPr>
            <w:tcW w:w="1062"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1786"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对运输煤炭、垃圾、渣土、砂石、土方、灰浆等散装、流体物料的车辆，未采取密闭或者其他措施防止物料遗撒的</w:t>
            </w:r>
          </w:p>
        </w:tc>
        <w:tc>
          <w:tcPr>
            <w:tcW w:w="3450"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《中华人民共和国大气污染防治法》第一百一十六条 违反本法规定，运输煤炭、垃圾、渣土、砂石、土方、灰浆等散装、流体物料的车辆，未采取密闭或者其他措施防止物料遗撒的，由县级以上地方人民政府确定的监督管理部门责令改正，处二千元以上二万元以下的罚款；拒不改正的，车辆不得上道路行驶。</w:t>
            </w:r>
          </w:p>
        </w:tc>
        <w:tc>
          <w:tcPr>
            <w:tcW w:w="2158" w:type="dxa"/>
            <w:tcBorders>
              <w:top w:val="single" w:color="auto" w:sz="6" w:space="0"/>
              <w:left w:val="single" w:color="auto" w:sz="6" w:space="0"/>
              <w:bottom w:val="single" w:color="auto" w:sz="6" w:space="0"/>
              <w:right w:val="single" w:color="auto" w:sz="6" w:space="0"/>
            </w:tcBorders>
            <w:shd w:val="clear" w:color="auto" w:fill="auto"/>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2.及时停止违法行为；</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3.自行纠正或者在执法机关指定的期限内改正;</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4.危害后果轻微或积极主动减轻、消除危害后果。</w:t>
            </w:r>
          </w:p>
        </w:tc>
      </w:tr>
    </w:tbl>
    <w:p>
      <w:pPr>
        <w:keepNext w:val="0"/>
        <w:keepLines w:val="0"/>
        <w:widowControl/>
        <w:suppressLineNumbers w:val="0"/>
        <w:jc w:val="left"/>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（三）减轻处罚清单</w:t>
      </w:r>
    </w:p>
    <w:tbl>
      <w:tblPr>
        <w:tblStyle w:val="7"/>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822"/>
        <w:gridCol w:w="2042"/>
        <w:gridCol w:w="3425"/>
        <w:gridCol w:w="216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822"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spacing w:before="75" w:beforeAutospacing="0" w:after="75" w:afterAutospacing="0" w:line="450" w:lineRule="atLeast"/>
              <w:ind w:left="0" w:right="0"/>
              <w:jc w:val="center"/>
              <w:rPr>
                <w:rFonts w:ascii="Calibri" w:hAnsi="Calibri" w:cs="Calibri"/>
                <w:sz w:val="21"/>
                <w:szCs w:val="21"/>
              </w:rPr>
            </w:pPr>
            <w:r>
              <w:rPr>
                <w:rFonts w:ascii="方正黑体简体" w:hAnsi="方正黑体简体" w:eastAsia="方正黑体简体" w:cs="方正黑体简体"/>
                <w:i w:val="0"/>
                <w:iCs w:val="0"/>
                <w:caps w:val="0"/>
                <w:color w:val="000000"/>
                <w:spacing w:val="0"/>
                <w:kern w:val="0"/>
                <w:sz w:val="24"/>
                <w:szCs w:val="24"/>
                <w:lang w:val="en-US" w:eastAsia="zh-CN" w:bidi="ar"/>
              </w:rPr>
              <w:t>序号</w:t>
            </w:r>
          </w:p>
        </w:tc>
        <w:tc>
          <w:tcPr>
            <w:tcW w:w="2042"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spacing w:before="75" w:beforeAutospacing="0" w:after="75" w:afterAutospacing="0" w:line="450" w:lineRule="atLeast"/>
              <w:ind w:left="0" w:right="0"/>
              <w:jc w:val="center"/>
              <w:rPr>
                <w:rFonts w:hint="default" w:ascii="Calibri" w:hAnsi="Calibri" w:cs="Calibri"/>
                <w:sz w:val="21"/>
                <w:szCs w:val="21"/>
              </w:rPr>
            </w:pPr>
            <w:r>
              <w:rPr>
                <w:rFonts w:hint="default" w:ascii="方正黑体简体" w:hAnsi="方正黑体简体" w:eastAsia="方正黑体简体" w:cs="方正黑体简体"/>
                <w:i w:val="0"/>
                <w:iCs w:val="0"/>
                <w:caps w:val="0"/>
                <w:color w:val="000000"/>
                <w:spacing w:val="0"/>
                <w:kern w:val="0"/>
                <w:sz w:val="24"/>
                <w:szCs w:val="24"/>
                <w:lang w:val="en-US" w:eastAsia="zh-CN" w:bidi="ar"/>
              </w:rPr>
              <w:t>违法行为</w:t>
            </w:r>
          </w:p>
        </w:tc>
        <w:tc>
          <w:tcPr>
            <w:tcW w:w="3425"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spacing w:before="75" w:beforeAutospacing="0" w:after="75" w:afterAutospacing="0" w:line="450" w:lineRule="atLeast"/>
              <w:ind w:left="0" w:right="0"/>
              <w:jc w:val="center"/>
              <w:rPr>
                <w:rFonts w:hint="default" w:ascii="Calibri" w:hAnsi="Calibri" w:cs="Calibri"/>
                <w:sz w:val="21"/>
                <w:szCs w:val="21"/>
              </w:rPr>
            </w:pPr>
            <w:r>
              <w:rPr>
                <w:rFonts w:hint="default" w:ascii="方正黑体简体" w:hAnsi="方正黑体简体" w:eastAsia="方正黑体简体" w:cs="方正黑体简体"/>
                <w:i w:val="0"/>
                <w:iCs w:val="0"/>
                <w:caps w:val="0"/>
                <w:color w:val="000000"/>
                <w:spacing w:val="0"/>
                <w:kern w:val="0"/>
                <w:sz w:val="24"/>
                <w:szCs w:val="24"/>
                <w:lang w:val="en-US" w:eastAsia="zh-CN" w:bidi="ar"/>
              </w:rPr>
              <w:t>处罚规定</w:t>
            </w:r>
          </w:p>
        </w:tc>
        <w:tc>
          <w:tcPr>
            <w:tcW w:w="2167"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spacing w:before="75" w:beforeAutospacing="0" w:after="75" w:afterAutospacing="0" w:line="450" w:lineRule="atLeast"/>
              <w:ind w:left="0" w:right="0"/>
              <w:jc w:val="center"/>
              <w:rPr>
                <w:rFonts w:hint="default" w:ascii="Calibri" w:hAnsi="Calibri" w:cs="Calibri"/>
                <w:sz w:val="21"/>
                <w:szCs w:val="21"/>
              </w:rPr>
            </w:pPr>
            <w:r>
              <w:rPr>
                <w:rFonts w:hint="default" w:ascii="方正黑体简体" w:hAnsi="方正黑体简体" w:eastAsia="方正黑体简体" w:cs="方正黑体简体"/>
                <w:i w:val="0"/>
                <w:iCs w:val="0"/>
                <w:caps w:val="0"/>
                <w:color w:val="000000"/>
                <w:spacing w:val="0"/>
                <w:kern w:val="0"/>
                <w:sz w:val="24"/>
                <w:szCs w:val="24"/>
                <w:lang w:val="en-US" w:eastAsia="zh-CN" w:bidi="ar"/>
              </w:rPr>
              <w:t>适用条件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c>
          <w:tcPr>
            <w:tcW w:w="822"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2042"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对违反施工现场容貌管理规定逾期不改正的处罚</w:t>
            </w:r>
          </w:p>
        </w:tc>
        <w:tc>
          <w:tcPr>
            <w:tcW w:w="3425"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《四川省城乡环境综合治理条例》第六十八条 违反本条例第二十七条第一款施工现场容貌管理规定的，责令限期改正，处二万元以上十万元以下罚款；拒不改正的，责令停工整治。</w:t>
            </w:r>
          </w:p>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第二十七条第一款 建筑施工现场应当按照规定设置隔离护栏、警示标志和施工公告牌等；施工现场材料、机具应当放置整齐；施工中应当采取封闭、降尘、降噪等措施控制扬尘、噪声等污染，产生的建筑垃圾应当按规定及时清运；工程竣工后应当及时清理和平整场地。</w:t>
            </w:r>
          </w:p>
        </w:tc>
        <w:tc>
          <w:tcPr>
            <w:tcW w:w="2167"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2.自行纠正或者在执法机关指定的限期内改正;</w:t>
            </w:r>
          </w:p>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3.未造成危害后果。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822"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w:t>
            </w:r>
          </w:p>
        </w:tc>
        <w:tc>
          <w:tcPr>
            <w:tcW w:w="2042"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对排放油烟的餐饮服务业经营者未安装油烟净化设施、不正常使用油烟净化设施或者未采取其他油烟净化措施，超过排放标准排放油烟的</w:t>
            </w:r>
          </w:p>
        </w:tc>
        <w:tc>
          <w:tcPr>
            <w:tcW w:w="3425"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大气污染防治法》第一百一十八条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w:t>
            </w:r>
          </w:p>
        </w:tc>
        <w:tc>
          <w:tcPr>
            <w:tcW w:w="2167" w:type="dxa"/>
            <w:tcBorders>
              <w:top w:val="single" w:color="auto" w:sz="6" w:space="0"/>
              <w:left w:val="single" w:color="auto" w:sz="6" w:space="0"/>
              <w:bottom w:val="single" w:color="auto" w:sz="6" w:space="0"/>
              <w:right w:val="single" w:color="auto" w:sz="6" w:space="0"/>
            </w:tcBorders>
            <w:shd w:val="clear" w:color="auto" w:fill="FFFFFF"/>
            <w:tcMar>
              <w:top w:w="45" w:type="dxa"/>
              <w:left w:w="75" w:type="dxa"/>
              <w:bottom w:w="45" w:type="dxa"/>
              <w:right w:w="7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1.初次违法；</w:t>
            </w:r>
          </w:p>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2.自行纠正或者在或者在执法机关指定的限期内改正;</w:t>
            </w:r>
          </w:p>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3.违法情节轻微，未造成危害后果。</w:t>
            </w:r>
          </w:p>
        </w:tc>
      </w:tr>
    </w:tbl>
    <w:tbl>
      <w:tblPr>
        <w:tblStyle w:val="7"/>
        <w:tblpPr w:leftFromText="180" w:rightFromText="180" w:vertAnchor="text" w:horzAnchor="page" w:tblpX="1830" w:tblpY="2027"/>
        <w:tblOverlap w:val="never"/>
        <w:tblW w:w="51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09"/>
        <w:gridCol w:w="574"/>
        <w:gridCol w:w="1196"/>
        <w:gridCol w:w="55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2" w:hRule="atLeast"/>
        </w:trPr>
        <w:tc>
          <w:tcPr>
            <w:tcW w:w="8858" w:type="dxa"/>
            <w:gridSpan w:val="4"/>
            <w:tcBorders>
              <w:top w:val="nil"/>
              <w:left w:val="nil"/>
              <w:bottom w:val="single" w:color="000000" w:sz="4" w:space="0"/>
              <w:right w:val="nil"/>
            </w:tcBorders>
            <w:noWrap w:val="0"/>
            <w:vAlign w:val="center"/>
          </w:tcPr>
          <w:p>
            <w:pPr>
              <w:keepNext w:val="0"/>
              <w:keepLines w:val="0"/>
              <w:widowControl/>
              <w:numPr>
                <w:ilvl w:val="0"/>
                <w:numId w:val="2"/>
              </w:numPr>
              <w:suppressLineNumbers w:val="0"/>
              <w:ind w:firstLine="640" w:firstLineChars="200"/>
              <w:jc w:val="both"/>
              <w:textAlignment w:val="center"/>
              <w:rPr>
                <w:rFonts w:hint="eastAsia" w:ascii="黑体" w:hAnsi="黑体" w:eastAsia="黑体" w:cs="黑体"/>
                <w:i w:val="0"/>
                <w:iCs w:val="0"/>
                <w:color w:val="auto"/>
                <w:kern w:val="0"/>
                <w:sz w:val="32"/>
                <w:szCs w:val="32"/>
                <w:u w:val="none"/>
                <w:lang w:val="en-US" w:eastAsia="zh-CN" w:bidi="ar"/>
              </w:rPr>
            </w:pPr>
            <w:r>
              <w:rPr>
                <w:rFonts w:hint="eastAsia" w:ascii="黑体" w:hAnsi="黑体" w:eastAsia="黑体" w:cs="黑体"/>
                <w:i w:val="0"/>
                <w:iCs w:val="0"/>
                <w:color w:val="auto"/>
                <w:kern w:val="0"/>
                <w:sz w:val="32"/>
                <w:szCs w:val="32"/>
                <w:u w:val="none"/>
                <w:lang w:val="en-US" w:eastAsia="zh-CN" w:bidi="ar"/>
              </w:rPr>
              <w:t>剑阁县综合行政执法局行政执法事项目录</w:t>
            </w:r>
          </w:p>
          <w:p>
            <w:pPr>
              <w:keepNext w:val="0"/>
              <w:keepLines w:val="0"/>
              <w:widowControl/>
              <w:numPr>
                <w:ilvl w:val="0"/>
                <w:numId w:val="0"/>
              </w:numPr>
              <w:suppressLineNumbers w:val="0"/>
              <w:jc w:val="both"/>
              <w:textAlignment w:val="center"/>
              <w:rPr>
                <w:rFonts w:hint="eastAsia" w:ascii="黑体" w:hAnsi="黑体" w:eastAsia="黑体" w:cs="黑体"/>
                <w:i w:val="0"/>
                <w:iCs w:val="0"/>
                <w:color w:val="auto"/>
                <w:kern w:val="0"/>
                <w:sz w:val="32"/>
                <w:szCs w:val="32"/>
                <w:u w:val="none"/>
                <w:lang w:val="en-US" w:eastAsia="zh-CN" w:bidi="ar"/>
              </w:rPr>
            </w:pPr>
          </w:p>
          <w:p>
            <w:pPr>
              <w:keepNext w:val="0"/>
              <w:keepLines w:val="0"/>
              <w:widowControl/>
              <w:suppressLineNumbers w:val="0"/>
              <w:ind w:firstLine="800" w:firstLineChars="200"/>
              <w:jc w:val="both"/>
              <w:textAlignment w:val="center"/>
              <w:rPr>
                <w:rFonts w:hint="eastAsia" w:ascii="方正小标宋简体" w:hAnsi="方正小标宋简体" w:eastAsia="方正小标宋简体" w:cs="方正小标宋简体"/>
                <w:i w:val="0"/>
                <w:iCs w:val="0"/>
                <w:color w:val="auto"/>
                <w:kern w:val="0"/>
                <w:sz w:val="40"/>
                <w:szCs w:val="40"/>
                <w:u w:val="none"/>
                <w:lang w:val="en-US" w:eastAsia="zh-CN" w:bidi="ar"/>
              </w:rPr>
            </w:pPr>
            <w:r>
              <w:rPr>
                <w:rFonts w:hint="eastAsia" w:ascii="方正小标宋简体" w:hAnsi="方正小标宋简体" w:eastAsia="方正小标宋简体" w:cs="方正小标宋简体"/>
                <w:i w:val="0"/>
                <w:iCs w:val="0"/>
                <w:color w:val="auto"/>
                <w:kern w:val="0"/>
                <w:sz w:val="40"/>
                <w:szCs w:val="40"/>
                <w:u w:val="none"/>
                <w:lang w:val="en-US" w:eastAsia="zh-CN" w:bidi="ar"/>
              </w:rPr>
              <w:t>剑阁县综合行政执法局行政执法事项目录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Times New Roman" w:hAnsi="Times New Roman" w:eastAsia="宋体" w:cs="Times New Roman"/>
                <w:color w:val="auto"/>
                <w:sz w:val="24"/>
                <w:szCs w:val="24"/>
                <w:vertAlign w:val="baseline"/>
                <w:lang w:eastAsia="zh-CN"/>
              </w:rPr>
              <w:t>单位</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cs="宋体"/>
                <w:i w:val="0"/>
                <w:iCs w:val="0"/>
                <w:color w:val="auto"/>
                <w:kern w:val="0"/>
                <w:sz w:val="20"/>
                <w:szCs w:val="20"/>
                <w:u w:val="none"/>
                <w:lang w:val="en-US" w:eastAsia="zh-CN" w:bidi="ar"/>
              </w:rPr>
            </w:pPr>
            <w:r>
              <w:rPr>
                <w:rFonts w:hint="eastAsia" w:ascii="Times New Roman" w:hAnsi="Times New Roman" w:eastAsia="宋体" w:cs="Times New Roman"/>
                <w:color w:val="auto"/>
                <w:sz w:val="24"/>
                <w:szCs w:val="24"/>
                <w:vertAlign w:val="baseline"/>
                <w:lang w:eastAsia="zh-CN"/>
              </w:rPr>
              <w:t>序号</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Times New Roman" w:hAnsi="Times New Roman" w:eastAsia="宋体" w:cs="Times New Roman"/>
                <w:color w:val="auto"/>
                <w:sz w:val="24"/>
                <w:szCs w:val="24"/>
                <w:vertAlign w:val="baseline"/>
                <w:lang w:eastAsia="zh-CN"/>
              </w:rPr>
              <w:t>行政执法类型</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Times New Roman" w:hAnsi="Times New Roman" w:eastAsia="宋体" w:cs="Times New Roman"/>
                <w:color w:val="auto"/>
                <w:sz w:val="24"/>
                <w:szCs w:val="24"/>
                <w:vertAlign w:val="baseline"/>
                <w:lang w:eastAsia="zh-CN"/>
              </w:rPr>
              <w:t>行政执法事项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对固定资产投资项目建设单位未按照规定进行节能审查、节能审查未通过、未经节能验收、节能验收不合格或者不符合强制性节能标准的行政处罚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对使用国家明令淘汰的用能设备或者生产工艺的行政处罚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对生产单位超过单位产品能耗限额标准用能的行政处罚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对无偿向本单位职工提供能源或者对能源消费实行包费制的行政处罚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对重点用能单位未履行节能管理义务的行政处罚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对违反节约能源管理有关规定的行政处罚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对违反电力设施保护和供用电秩序维护的行政处罚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对非食盐定点企业生产或批发食盐的行政处罚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对违反规定生产或批发食盐、非食用盐的行政处罚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对违反规定购进食盐的行政处罚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11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对未按规定作出食盐或非食用盐标识的行政处罚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对食盐定点企业违反规定聘用禁业限制人员的行政处罚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6"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对机动车生产企业违反《报废机动车回收管理办法实施细则》第七条第二款规定的行政处罚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对企业以分拆项目、隐瞒有关情况或者提供虚假申报材料等不正当手段申请项目核准、备案的行政处罚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对企业未依法办理核准手续开工建设或者未按照核准的建设地点、建设规模、建设内容等进行建设；以欺骗、贿赂等不正当手段取得项目核准文件的行政处罚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对企业未依法将备案制项目信息或者已备案项目信息变更情况告知备案机关，或者向备案机关提供虚假信息的行政处罚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对企业投资建设产业政策禁止投资建设项目的行政处罚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对在科技成果转化和科技奖励活动中弄虚作假，侵占他人的科技成果，骗取奖励和荣誉称号的行政处罚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对科技服务机构及其从业人员，在科技成果转化活动中，故意提供虚假的信息、 实验结果或者评估意见等欺骗当事人，或者与当事人一方串通欺骗另一方当事人的行政处罚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采购人、采购代理机构擅自采用公开招标以外的方式采购的，擅自提高采购标准的，委托不具备政府采购业务代理资格的机构办理采购事务的，以不合理的条件对供应商实行差别待遇或者歧视待遇的，在招标采购过程中与投标人进行协商谈判的，中标、成交通知书发出后不与中标、成交供应商签订采购合同的，拒绝有关部门依法实施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对采购人、采购代理机构与供应商或者采购代理机构恶意串通的，在采购过程中接受贿赂或者获取其他不正当利益的，在有关部门依法实施的监督检查中提供虚假情况的，开标前泄露标底的行政处罚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对采购人、采购代理机构隐匿、销毁应当保存的采购文件或者伪造、变造采购文件的行政处罚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供应商提供虚假材料谋取中标、成交的，采取不正当手段诋毁、排挤其他供应商的，与采购人、其他供应商或者采购代理机构恶意串通的，向采购人、采购代理机构行贿或者提供其他不正当利益的，在招标采购过程中与采购人进行协商谈判的，拒绝有关部门监督检查或者提供虚假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对集中采购机构在政府采购监督管理部门考核中，虚报业绩，隐瞒真实情况的行政处罚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未依法编制政府采购实施计划或者未依法将政府采购实施计划报本级人民政府财政部门备案，规避公开招标，未依法在评标委员会、竞争性谈判小组或者询价小组推荐的中标或者成交候选人中确定中标或者成交供应商，未按照采购文件确定的事项签订政府采购合同，政府采购合同履行中追加与合同标的相同的货物、工程或者服务的采购金额超过原合同采购金额10%，擅自变更、中止或者终止政府采购合同，未依法公告政府采购合同，未依法将政府采购合同副本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采购代理机构未依法定方式实施采购，未依法在指定的媒体上发布政府采购项目信息，未依法执行政府采购政策，违法确定采购需求、编制采购文件导致无法组织对供应商履约情况进行验收或者国家财产遭受损失，未依法从政府采购评审专家库中抽取评审专家，非法干预采购评审活动，采用综合评分法时评审标准中的分值设置未与评审因素的量化指标相对应，对供应商的询问、质疑逾期未作处理，通过对样品进行检测、对供应商进行考察等方式改变评审结果，未依法组织对供应商履约情况进行验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对集中采购机构内部监督管理制度不健全、对依法应当分设、分离的岗位、人员未分设、分离，将集中采购项目委托其他采购代理机构采购，从事营利活动的行政处罚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对采购人员不依法回避的行政处罚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供应商向评标委员会、竞争性谈判小组或者询价小组成员行贿或者提供其他不正当利益，中标或者成交后无正当理由拒不与采购人签订政府采购合同，未按照采购文件确定的事项签订政府采购合同，将政府采购合同转包，提供假冒伪劣产品，擅自变更、中止或者终止政府采购合同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对评审阶段资格发生变化，供应商未依法通知采购人和采购代理机构的行政处罚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对供应商捏造事实、提供虚假材料或者以非法手段取得证明材料进行投诉的行政处罚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对供应商与采购人、采购代理机构恶意串通的行政处罚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对采购人、采购代理机构与供应商恶意串通的行政处罚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对政府采购评审专家未按照采购文件规定的评审程序、评审方法和评审标准进行独立评审或者泄露评审文件、评审情况的行政处罚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对政府采购评审专家与供应商存在利害关系未回避的行政处罚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对政府采购评审专家收受采购人、采购代理机构、供应商贿赂或者获取其他不正当利益的行政处罚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对采购人或者其委托的采购代理机构未依法在指定媒体上发布政府采购项目信息的行政处罚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对采购人或者其委托的采购代理机构存在其他违反《政府采购信息发布管理办法》规定行为的行政处罚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采购代理机构未依法在指定媒体上发布政府采购信息的，未依法组成谈判小组、询价小组的，在询价采购过程中与供应商进行协商谈判的，未按照法定程序和要求确定成交候选人的，泄露评审情况以及评审过程中获悉的国家秘密、商业秘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未依法采用非招标采购方式的，未依法确定成交供应商的，未按照采购文件确定的事项签订政府采购合同，或者与成交供应商另行订立背离合同实质性内容的协议的，未依法将政府采购合同副本报本级财政部门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对成交供应商未按照采购文件确定的事项签订政府采购合同，或者与采购人另行订立背离合同实质性内容的协议的，成交后无正当理由不与采购人签订合同的，拒绝履行合同义务的行政处罚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谈判小组、询价小组成员收受采购人、采购代理机构、供应商、其他利害关系人的财物或者其他不正当利益的；泄露评审情况以及评审过程中获悉的国家秘密、商业秘密的；明知与供应商有利害关系而不依法回避的；在评审过程中擅离职守，影响评审程序正常进行的；在评审过程中有明显不合理或者不正当倾向性的；未按照采购文件规定的评定成交的标准进行评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对财政收入执收单位及其工作人员违反国家财政收入管理规定行为的行政处罚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对财政收入执收单位及其工作人员违反国家财政收入上缴规定行为的行政处罚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对财政部门、国库机构及其工作人员违反国家有关上解、下拨财政资金规定行为的行政处罚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对国家机关及其工作人员违反规定使用、骗取财政资金行为的行政处罚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对财政预决算的编制部门和预算执行部门及其工作人员违反国家有关预算管理规定行为的行政处罚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对国家机关及其工作人员违反国有资产管理的规定，擅自占有、使用、处置国有资产的行政处罚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对单位和个人违反国家有关投资建设项目规定，截留、挪用、骗取国家建设资金或超概算投资、虚列投资完成额等行为的行政处罚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对国家机关及其工作人员违反《中华人民共和国担保法》及国家有关规定，擅自提供担保的行政处罚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对国家机关及其工作人员违反国家有关账户管理规定，擅自在金融机构开立、使用账户的行政处罚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对国家机关及其工作人员违反规定骗取、滞留、截留、挪用政府承贷或者担保的外国政府贷款和国际金融组织贷款等行为的行政处罚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对企业和个人不缴或者少缴财政收入行为的行政处罚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对企业和个人骗取、挪用财政资金以及政府承贷或者担保的外国政府贷款、国际金融组织贷款或者从中非法获益行为的行政处罚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对单位和个人违反财政收入票据管理规定行为的行政处罚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不依法设置、私设会计账簿，未按规定填制、取得原始凭证或填制、取得的原始凭证不符合规定，以未经审核的会计凭证为依据登记会计帐簿或者登记会计帐簿不符合规定的，随意变更会计处理方法的，向不同的会计资料使用者提供的财务会计报告编制依据不一致的，未按照规定使用会计记录文字或者记帐本位币的，未按照规定保管会计资料，致使会计资料毁损、灭失的，未按照规定建立并实施单位内部会计监督制度或者拒绝依法实施的监督或者不如实提供有关会计资料及有关情况的，任用会计人员不符合规定的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对伪造、变造会计凭证、会计账簿，编制、对外提供虚假的或者隐瞒重要事实的财务会计报告的行政处罚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对隐匿或者故意销毁依法应当保存的会计凭证、会计账簿、财务会计报告的行政处罚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对授意、指使、强令会计机构、会计人员及其他人员伪造、变造会计凭证、会计账簿，编制虚假财务会计报告或者隐匿、故意销毁依法应当保存的会计凭证、会计账簿、财务会计报告的行政处罚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随意改变会计要素的确认和计量标准的，随意改变财务会计报告的编制基础、编制依据、编制原则和方法的，提前或者延迟结账日结账的，在编制年度财务会计报告前，未按照规定全面清查资产、核实债务的，拒绝财政部门和其他有关部门对财务会计报告依法进行的监督检查，或者不如实提供有关情况的企业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对拒绝、拖延提供情况和资料以及提供虚假情况和材料，妨碍、阻挠和拒绝财政监督检查行为的行政处罚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对公司在法定的会计账簿以外另立会计账簿的行政处罚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对公司不依法提取法定公积金的行政处罚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对采购人未按照规定编制采购需求的；向供应商索要或者接受其给予的赠品、回扣或者与采购无关的其他商品、服务的；未在规定时间内确定中标人的；向中标人提出不合理要求作为签订合同条件的行政处罚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代理机构及其分支机构在所代理的采购项目中投标或者代理投标，为所代理的采购项目的投标人参加本项目提供投标咨询的；采购人、采购代理机构设定最低限价的；未按照规定进行资格预审或者资格审查的；违反规定确定招标文件售价的；未按规定对开标、评标活动进行全程录音录像的；擅自终止招标活动的；未按照规定进行开标和组织评标的；未按照规定退还投标保证金的；违反规定进行重新评审或者重新组建评标委员会进行评标的；开标前泄露已获取招标文件的潜在投标人的名称、数量或者其他可能影响公平竞争的有关招标投标情况的；未妥善保存采购文件的；其他违反规定的情形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评标委员会成员确定参与评标至评标结束前私自接触投标人；接受投标人提出的与投标文件不一致的澄清或者说明，对于投标文件中含义不明确、同类问题表述不一致或者有明显文字和计算错误的内容作出必要的澄清、说明或者补正的除外；违反评标纪律发表倾向性意见或者征询采购人的倾向性意见；对需要专业判断的主观评审因素协商评分；在评标过程中擅离职守，影响评标程序正常进行的；记录、复制或者带走任何评标资料；其他不遵守评标纪律的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对采购人、采购代理机构拒收质疑供应商在法定质疑期内发出的质疑函；对质疑不予答复或者答复与事实明显不符，并不能作出合理说明；拒绝配合财政部门处理投诉事宜的行政处罚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对单位和个人违反财务管理的规定，私存私放财政资金或者其他公款的行政处罚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对未取得或者未按照建设工程规划许可证进行建设的行政处罚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对未经批准或者未按照批准内容进行临时建设以及临时建筑物、构筑物超过批准期限不拆除的行政处罚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对排放油烟的餐饮服务业经营者未安装油烟净化设施、不正常使用油烟净化设施或者未采取其他油烟净化措施，超过排放标准排放油烟的行政处罚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对在当地人民政府禁止的时段和区域内露天烧烤食品或者为露天烧烤食品提供场地的行政处罚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对在人口集中地区对树木、花草喷洒剧毒、高毒农药的行政处罚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对露天焚烧秸秆、落叶等产生烟尘污染的物质的行政处罚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对在人口集中地区和其他依法需要特殊保护的区域内，焚烧沥青、油毡、橡胶、塑料、皮革、垃圾以及其他产生有毒有害烟尘和恶臭气体的物质的行政处罚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对建设单位明示或者暗示勘察、设计、施工等单位和从业人员违反抗震设防强制性标准，降低工程抗震性能的行政处罚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对建设单位未经超限高层建筑工程抗震设防审批进行施工的行政处罚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组织勘察、设计、施工、工程监理单位建立隔震减震工程质量可追溯制度的，或者未对隔震减震装置采购、勘察、设计、进场检测、安装施工、竣工验收等全过程的信息资料进行采集和存储，并纳入建设项目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对设计单位未按照超限高层建筑工程抗震设防审批意见进行施工图设计；未在初步设计阶段将建设工程抗震设防专篇作为设计文件组成部分；未按照抗震设防强制性标准进行设计的行政处罚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对施工单位在施工中未按照抗震设防强制性标准进行施工的行政处罚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对施工单位未对隔震减震装置取样送检或者使用不合格隔震减震装置的行政处罚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对工程质量检测机构未建立建设工程过程数据和结果数据、检测影像资料及检测报告记录与留存制度的；出具虚假的检测数据或者检测报告的行政处罚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对抗震性能鉴定机构未按照抗震设防强制性标准进行抗震性能鉴定的；出具虚假鉴定结果的行政处罚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对擅自变动、损坏或者拆除建设工程抗震构件、隔震沟、隔震缝、隔震减震装置及隔震标识的行政处罚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对工程设计单位在初步设计阶段没有编制抗震设防设计专篇的行政处罚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对施工图审查机构违反有关规定颁发施工图审查合格书的行政处罚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对建设单位在工程设计合同或合同以外，暗示、明示或附加条款限定工程含钢量的；因施工图审查不合格，通过变更施工图审查机构逃避整改责任的；擅自更改或者取消抗震设防措施的行政处罚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对设计单位出具的施工图设计文件无效，未执行抗震设防专项论证、抗震设防专项审查意见的；使用失效旧标准、旧规范的行政处罚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对在居民住宅楼、未配套设立专用烟道的商住综合楼、商住综合楼内与居住层相邻的商业楼层内新建、改建、扩建产生油烟、异味、废气的餐饮服务项目的行政处罚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对工程建设项目中招标代理机构泄漏应当保密的与招标投标活动有关的情况和资料的，或者与招标人、投标人串通损害国家利益、社会公众利益或者他人合法权益的行政处罚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对工程建设项目中招标人以不合理的条件限制或者排斥潜在投标人的，对潜在投标人实行歧视待遇的，强制要求投标人组成联合体共同投标的，或者限制投标人之间竞争的行政处罚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对工程建设项目中依法必须进行招标的项目的招标人向他人透露已获取招标文件的潜在投标人的名称、数量或者可能影响公平竞争的有关招标投标的其他情况的，或者泄露标底的行政处罚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对工程建设项目中投标人以他人名义投标或者以其他方式弄虚作假，骗取中标的，投标人相互串通投标或者与招标人串通投标的，投标人以向招标人或者评标委员会成员行贿的手段谋取中标的行政处罚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对工程建设项目中评标委员会成员收受投标人的财物或者其他好处的，评标委员会成员或者参加评标的有关工作人员向他人透露对投标文件的评审和比较、中标候选人的推荐以及与评标有关的其他情况的行政处罚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对工程建设项目中招标人在评标委员会依法推荐的中标候选人以外确定中标人的，依法必须进行招标的项目在所有投标被评标委员会否决后自行确定中标人的行政处罚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对工程建设项目中中标人不按照与招标人订立的合同履行义务，情节严重的行政处罚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必须进行招标的项目，招标人未在指定的媒介发布招标公告或资格预审公告的；邀请招标不依法发出投标邀请书的；未按规定确定招标代理机构的；采取抽签、摇号等方式进行投标资格预审的；应当公开招标的项目未经核准采用邀请招标的；不具备招标条件而进行招标的；不具备自行招标条件而采用自行招标的；应当履行核准手续而未履行的；不按项目审批部门核准内容进行招标的；在提交投标文件截止时间后接收投标文件的；投标人数量不符合法定要求不重新招标的；国家和省投资的重大建设项目的开标和评标地点不符合省人民政府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对工程建设项目中招标人存在招标文件、资格预审文件的发售、澄清、修改的时限，或者确定的提交资格预审申请文件、投标文件的时限不符合《招标投标法》与《招标投标法实施条例》规定的行政处罚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人或者其委托的招标代理机构，在招标公告中有关获取招标文件的时间和办法的规定明显不合理的；在不同媒介发布同一招标项目的招标公告内容不一致的；提供虚假的招标公告、证明材料的，或者招标公告含有欺诈内容的；中标候选人未经公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对工程建设项目中招标人或者招标代理机构不按规定提交招标投标情况的备案材料或提供虚假备案材料的行政处罚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评标过程中相关责任单位或责任人在使用招标文件没有确定评标标准和方法，含有倾向或者排斥投标人的内容，妨碍或者限制投标人之间竞争，且影响评标结果，将标底作为决定废标的直接依据，不在四川省评标专家库中确定评标专家，评标委员会的组建及人员组成不符合法定要求，在评标过程中有违法行为，且影响评标结果等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对工程建设项目中招标人以发出中标通知书为条件，向中标人提出背离招标和投标文件内容要求的行政处罚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对工程建设项目中招标代理机构及其人员违反招标代理合同约定安排非本机构专职技术人员负责该项招标代理工作、向招标人和投标人收取的费用不符合国家有关规定的行政处罚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对工程建设项目中招标人及其工作人员以违法压价、操纵招标投标为条件选择招标代理机构的行政处罚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对未配套建设二次供水设施建设或者将二次供水设施与消防等设施混用的行政处罚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对工程建设项目勘察设计中标人无正当理由不与招标人签订合同的；向招标人提出超出其投标文件中主要条款的附加条件，以此作为签订合同的前提条件的；拒不按照要求提交履约保证金的行政处罚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对隐瞒有关情况或者提供虚假材料申请勘察设计、工程监理、建设工程质量检测、房地产开发、房地产估价资质的行政处罚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对以欺骗、贿赂等不正当手段取得勘察、设计、施工、工程监理、建设工程质量检测、房地产估价资质证书的行政处罚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对隐瞒有关情况或者提供虚假材料申请勘察设计注册工程师、注册建筑师、注册建造师、注册监理工程师、注册造价工程师、注册房地产估价师注册证书的行政处罚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对以欺骗、贿赂等不正当手段取得勘察设计注册工程师、注册建筑师、注册建造师、注册监理工程师、注册造价工程师、注册房地产估价师注册证书的行政处罚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对未经注册，擅自以注册建筑师、注册建设工程勘察设计人员的名义从事活动的行政处罚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对注册建筑师、注册建造师、注册监理工程师、注册造价工程师、注册房地产估价师未办理变更注册而继续执业且逾期未改正的行政处罚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涂改、倒卖、出租、出借或者以其他形式非法转让注册建筑师、勘察设计注册工程师、注册建造师、注册监理工程师、注册造价工程师、注册房地产估价师执业资格证书、互认资格证书、注册证书和执业印章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对勘察设计企业、建筑业企业、工程监理企业未按照规定提供信用档案信息的行政处罚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对注册建筑师或者其聘用单位、注册建造师或者其聘用单位、注册造价工程师或者其聘用单位、注册房地产估价师或者其聘用单位未按照要求提供信用档案信息的行政处罚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对聘用单位为注册建筑师、注册建造师、注册造价工程师、注册房地产估价师申请人提供虚假注册材料的行政处罚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对勘察设计注册工程师、注册监理工程师、注册造价工程师、注册房地产估价师以个人名义承接业务的行政处罚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对勘察设计注册工程师、注册建造师、注册监理工程师、注册房地产估价师超出本专业规定范围或者聘用单位业务范围从事执业活动的行政处罚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119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对勘察设计企业、建筑业企业、工程监理企业、房地产开发企业、房地产估价机构、建设工程质量检测机构不及时办理资质证书变更手续的行政处罚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对勘察设计企业、房地产估价机构涂改、倒卖、出租、出借或者以其他形式非法转让资质证书的行政处罚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建造师、注册造价工程师、注册房地产估价师不履行义务，在执业过程中索贿、受贿或者谋取合同约定费用外的其他利益，在执业过程中实施商业贿赂，签署有虚假记载、误导性陈述的等文件，允许他人以自己名义从事相关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对注册监理工程师、注册造价工程师同时在两个或者两个以上单位执业的行政处罚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对未经注册擅自以注册监理工程师、注册房地产估价师的名义从事相关业务活动的行政处罚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对房地产开发企业、房地产估价机构超越资质等级业务范围承接业务的行政处罚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对建设单位、设计单位、施工单位、监理单位违反建筑节能标准的行政处罚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对建设单位将建设工程发包给不具有相应资质等级的勘察、设计、施工单位或者委托给不具有相应资质等级的工程监理单位等的行政处罚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对建设单位将建设工程肢解发包的行政处罚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设单位迫使承包方以低于成本的价格竞标的；任意压缩合理工期的；明示或者暗示设计单位或者施工单位违反工程建设强制性标准，降低工程质量的；施工图设计文件未经审查或者审查不合格，擅自施工的；建设项目必须实行工程监理而未实行工程监理的；未按照国家规定办理工程质量监督手续的；明示或者暗示施工单位使用不合格的建筑材料、建筑构配件和设备的；未按照国家规定将竣工验收报告、有关认可文件或者准许使用文件报送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129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对建设单位未组织竣工验收，擅自交付使用；擅自将验收不合格的工程交付使用；将不合格建设工程按照合格工程验收的行政处罚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对建设单位或者个人未在工程项目竣工验收后六个月内向工程项目所在地的设区的市、县（市）城市建设档案馆（室）报送竣工图及其他工程建设档案资料的行政处罚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对勘察、设计、施工、工程监理单位超越本单位资质等级承揽工程的行政处罚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对勘察、设计、施工、工程监理单位未取得资质证书承揽工程的行政处罚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对勘察、设计、监理、施工单位以欺骗手段取得资质证书承揽工程的行政处罚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对勘察、设计、施工单位将所承包的工程转包或者违法分包，工程监理单位转让工程监理业务的行政处罚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对设计单位未根据勘察成果文件进行工程设计；违反规定指定建筑材料、建筑构配件的生产厂、供应商的行政处罚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对勘察、设计、施工、工程监理单位允许其他单位或者个人以本单位名义承揽工程的行政处罚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对施工单位未对建筑材料、建筑构配件、设备和商品混凝土进行检验，或者未对涉及结构安全的试块、试件以及有关材料取样检测的行政处罚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对施工单位不履行保修义务或者拖延履行保修义务的行政处罚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对工程监理单位与建设单位或者建筑施工企业串通，弄虚作假、降低工程质量，将不合格的建设工程、建筑材料、建筑构配件和设备按照合格签字的行政处罚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对涉及建筑主体或者承重结构变动的装修工程没有设计方案擅自施工、房屋建筑使用者在装修过程中擅自变动房屋建筑主体和承重结构的行政处罚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对注册建筑师、注册结构工程师、监理工程师等注册执业人员因过错造成质量事故的行政处罚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对建设工程勘察、设计注册执业人员和其他专业技术人员未受聘于一个建设工程勘察、设计单位或者同时受聘于两个以上建设工程勘察、设计单位，从事建设工程勘察、设计活动的行政处罚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明示或者暗示设计单位、施工单位违反民用建筑节能强制性标准进行设计、施工，明示或者暗示施工单位使用不符合施工图设计文件要求的墙体材料、保温材料、门窗、采暖制冷系统和照明设备，采购不符合施工图设计文件要求的墙体材料、保温材料、门窗、采暖制冷系统和照明设备，使用列入禁止使用目录的技术、工艺、材料和设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对建设单位对不符合民用建筑节能强制性标准的民用建筑项目出具竣工验收合格报告的行政处罚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对设计单位未按照民用建筑节能强制性标准进行设计，或者使用列入禁止使用目录的技术、工艺、材料和设备的行政处罚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对施工单位未按照民用建筑节能强制性标准进行施工的行政处罚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对进入施工现场的墙体材料、保温材料、门窗、采暖制冷系统和照明设备进行查验，使用不符合施工图设计文件要求的墙体材料、保温材料、门窗、采暖制冷系统和照明设备，使用列入禁止使用目录的技术、工艺、材料和设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监理单位未按照民用建筑节能强制性标准实施监理，在墙体、屋面的保温工程施工时，未采取旁站、巡视和平行检验等形式实施监理，不符合施工图设计文件要求的墙体材料、保温材料、门窗、采暖制冷系统和照明设备，按照符合施工图设计文件要求签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对建设单位未提供建设工程安全生产作业环境及安全施工措施所需费用的行政处罚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对建设单位未将保证安全施工措施或者拆除工程的有关资料报送有关部门备案的行政处罚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对建设单位对勘察、设计、施工、工程监理等单位提出不符合安全生产法律、法规和强制性标准规定的要求；要求施工单位压缩合同约定的工期；将拆除工程发包给不具有相应资质等级的施工单位的行政处罚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单位未按照法律、法规和工程建设强制性标准进行勘察、设计；采用新结构、新材料、新工艺的建设工程和特殊结构的建设工程，勘察、设计单位未在设计中提出保障施工作业人员安全和预防生产安全事故的措施建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监理单位未对施工组织设计中的安全技术措施或者专项施工方案进行审查；工程监理单位及监理工程师发现安全事故隐患未及时要求施工单位整改或者暂时停止施工；工程监理单位及监理工程师发现施工单位拒不整改或者不停止施工，未及时向有关主管部门报告；工程监理单位未依照法律、法规和工程建设强制性标准实施监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对注册执业人员未执行法律、法规和工程建设强制性标准的行政处罚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注册建筑师以个人名义承接注册建筑师业务、收取费用；同时受聘于二个以上建筑设计单位执行业务；在建筑设计或者相关业务中侵犯他人合法权益；准许他人以本人名义执行业务；对二级注册建筑师以一级注册建筑师的名义执行业务或者超越国家规定的执业范围执行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对负有直接责任的注册建筑师因建筑设计质量不合格发生重大责任事故，造成重大损失的行政处罚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对工程勘察企业弄虚作假、提供虚假成果资料的行政处罚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对工程勘察企业的勘察文件没有责任人签字或者签字不全；原始记录不按照规定记录或者记录不完整；不参加施工验槽；项目完成后勘察文件不归档保存的行政处罚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对建设单位未按照建筑节能强制性标准委托设计，擅自修改节能设计文件，明示或暗示设计单位、施工单位违反建筑节能设计强制性标准，降低工程建设质量的行政处罚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对设计单位未按照建筑节能强制性标准进行设计应当修改设计未进行修改的行政处罚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对施工单位未按照节能设计进行施工的行政处罚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对勘察、设计单位未按照抗震设防专项审查意见进行超限高层建筑工程勘察、设计的行政处罚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对擅自使用没有国家技术标准而又未经审定通过的新技术、新材料，或者将不适用于抗震设防区的新技术、新材料用于抗震设防区，或者超出经审定的抗震烈度范围的行政处罚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对未对抗震能力受损、荷载增加或者需提高抗震设防类别的房屋建筑工程进行抗震验算、修复和加固的行政处罚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对经鉴定需抗震加固的房屋建筑工程在进行装修改造时未进行抗震加固的行政处罚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对擅自变动或者破坏市政公用设施的防灾设施、抗震抗风构件、隔震或者振动控制装置、安全监测系统、健康监测系统、应急自动处置系统以及地震反应观测系统等设施的行政处罚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对经鉴定不符合抗震要求的市政公用设施未进行改造、改建或者抗震加固，又未限制使用的行政处罚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屋建筑和市政基础设施工程施工图设计文件审查机构超出认定的范围从事施工图审查；使用不符合条件审查人员；未按规定的审查内容进行审查；未按规定上报审查过程中发现的违法违规行为；未按规定填写审查意见告知书；未按规定在审查合格书和施工图上签字盖章；已出具审查合格书的施工图，仍有违反法律、法规和工程建设强制性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169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对房屋建筑和市政基础设施工程施工图设计文件审查机构出具虚假审查合格书的行政处罚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对接受转包和用他人名义承揽工程的行政处罚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监理单位未审核建筑起重机械特种设备制造许可证、产品合格证、制造监督检验证明、备案证明等文件；未审核建筑起重机械安装单位、使用单位的资质证书、安全生产许可证和特种作业人员的特种作业操作资格证书；未监督安装单位执行建筑起重机械安装、拆卸工程专项施工方案情况；未监督检查建筑起重机械的使用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对建设单位未按照规定协调组织制定防止多台塔式起重机相互碰撞的安全措施；接到监理单位报告后，未责令安装单位、使用单位立即停工整改的行政处罚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对物业管理单位发现装修人或者装饰装修企业有违反《住宅室内装饰装修管理办法》规定的行为不及时向有关部门报告的行政处罚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对建设单位采用虚假证明文件办理工程竣工验收备案的行政处罚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对建设单位未移交地下管线工程档案的行政处罚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对地下管线专业管理单位未移交地下管线工程档案的行政处罚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对建设单位未组织相关行业注册执业专家进行建设规模和工艺设计评审，造成投资损失的行政处罚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对未取得相应资质、资质证书已过有效期或者超出资质许可范围从事建设工程质量检测活动的行政处罚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179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检测机构转包或者违法分包建设工程质量检测业务；涂改、倒卖、出租、出借或者以其他形式非法转让资质证书；违反工程建设强制性标准进行检测；使用不能满足所开展建设工程质量检测活动要求的检测人员或者仪器设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对检测机构未按规定建立建设工程过程数据和结果数据、检测影像资料及检测报告记录与留存制度以及出具虚假的检测数据或者检测报告的行政处罚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对建设工程质量检测委托方委托未取得相应资质的检测机构进行检测；明示或暗示检测机构出具虚假检测报告，篡改或伪造检测报告；弄虚作假送检试样的行政处罚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对建筑业企业恶意拖欠分包企业工程款或者农民工工资的行政处罚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对工程监理企业在监理过程中实施商业贿赂行为；涂改、伪造、出借、转让工程监理企业资质证书的行政处罚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对工程造价咨询企业新设立分支机构不备案或跨省、自治区、直辖市承接业务不备案的行政处罚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工程造价咨询企业同时接受招标人和投标人或两个以上投标人对同一工程项目的工程造价咨询业务；以给予回扣、恶意压低收费等方式进行不正当竞争；转包承接的工程造价咨询业务；法律、法规禁止的其他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对工程监理单位与被监理工程的施工承包单位以及建筑材料、建筑构配件和设备供应单位有隶属关系或者其他利害关系承担该项建设工程的监理业务的行政处罚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对注册建筑师未受聘并注册于中华人民共和国境内一个具有工程设计资质的单位从事建筑工程设计执业活动的行政处罚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对勘察设计注册工程师泄露执业中应当保守的秘密并造成严重后果的行政处罚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189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对勘察设计注册工程师弄虚作假提供执业活动成果的行政处罚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对注册建造师未取得注册证书和执业印章，担任大中型建设工程项目施工单位项目负责人，或者以注册建造师的名义从事相关活动等的行政处罚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对注册建造师同时在两个或者两个以上单位受聘或者执业的行政处罚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对注册监理工程师泄露执业中应当保守的秘密并造成严重后果的行政处罚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对注册监理工程师弄虚作假提供执业活动成果的行政处罚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对未经注册而以注册造价工程师的名义从事工程造价活动的行政处罚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对勘察、设计、监理、施工单位指定采用国家明令淘汰、禁止使用的产品、工艺和设备的行政处罚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对建筑业企业隐瞒有关情况或者提供虚假材料申请建筑业企业资质的行政处罚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对建筑施工企业在施工中偷工减料，使用不合格的建筑材料、建筑构配件和设备，或者有其他不按照工程设计图纸或者施工技术标准施工行为的行政处罚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对建筑施工企业隐瞒有关情况或者提供虚假材料申请安全生产许可证的，对以欺骗、贿赂等不正当手段取得安全生产许可证的行政处罚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199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对设计、施工单位为无证单位提供资质证书，或者设计、施工的质量不符合要求的行政处罚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对为建设工程提供机械设备和配件的单位未按照安全施工的要求配备齐全有效的保险、限位等安全设施和装置的行政处罚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对出租单位出租未经安全性能检测或者经检测不合格的机械设备和施工机具及配件的行政处罚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起重机械和整体提升脚手架、模板等自升式架设设施安装、拆卸单位未编制拆装方案、制定安全施工措施；未由专业技术人员现场监督；未出具自检合格证明或者出具虚假证明；未向施工单位进行安全使用说明，办理移交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设立安全生产管理机构、配备专职安全生产管理人员或者分部分项工程施工时无专职安全生产管理人员现场监督；施工单位的主要负责人、项目负责人、专职安全生产管理人员、作业人员或者特种作业人员，未经安全教育培训或者经考核不合格即从事相关工作；未在施工现场的危险部位设置明显的安全警示标志，或者未按照国家有关规定在施工现场设置消防通道、消防水源、配备消防设施和灭火器材；未向作业人员提供安全防护用具和安全防护服装；未按照规定在施工起重机械和整体提升脚手架、模板等自升式架设设施验收合格后登记；使用国家明令淘汰、禁止使用的危及施工安全的工艺、设备、材料涉及资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对施工单位挪用列入建设工程概算的安全生产作业环境及安全施工措施所需费用的行政处罚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在施工前未对有关安全施工的技术要求作出详细说明；未根据不同施工阶段和周围环境及季节、气候的变化，在施工现场采取相应的安全施工措施，或者在城市市区内的建设工程的施工现场未实行封闭围挡；在尚未竣工的建筑物内设置员工集体宿舍；在施工现场临时搭建的建筑物不符合安全使用要求；未对因建设工程施工可能造成损害的毗邻建筑物、构筑物和地下管线等采取专项防护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安全防护用具、机械设备、施工机具及配件在进入施工现场前施工单位未经查验或者查验不合格即投入使用；使用未经验收或者验收不合格的施工起重机械和整体提升脚手架、模板等自升式架设设施；委托不具有相应资质的单位承担施工现场安装、拆卸施工起重机械和整体提升脚手架、模板等自升式架设设施；在施工组织设计中未编制安全技术措施、施工现场临时用电方案或者专项施工方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对施工单位的主要负责人、项目负责人未履行安全生产管理职责的行政处罚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施工企业未取得安全生产许可证擅自进行生产；转让或接受转让安全生产许可证；冒用安全生产许可证或者使用伪造的安全生产许可证；对《安全生产许可证条例》施行前已经进行生产的企业在规定的期限内未取得安全生产许可证，继续进行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对建筑施工企业在安全生产许可证有效期满未办理延期手续，继续从事建筑施工活动的行政处罚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对建筑施工企业违反国家工程建设强制性标准的行政处罚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对建筑施工企业发生过较大生产安全事故或者发生过两起以上一般生产安全事故的行政处罚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对建筑业企业隐瞒或谎报、拖延报告工程质量安全事故或破坏事故现场、阻碍对事故调查的行政处罚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对装饰装修企业违反国家有关安全生产规定和安全生产技术规程，不按照规定采取必要的安全防护和消防措施，擅自动用明火作业和进行焊接作业的行政处罚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对建筑起重机械出租单位、自购使用单位未按照规定办理备案；未按照规定办理报废注销手续；未按照规定建立建筑起重机械安全技术档案的行政处罚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起重机械安装单位未按照安全技术标准及安装使用说明书等检查建筑起重机械及现场施工条件；未制定建筑起重机械安装、拆卸工程生产安全事故应急救援预案；未将建筑起重机械安装、拆卸工程专项施工方案，安装、拆卸人员名单，安装、拆卸时间等材料报施工总承包单位和监理单位审核后，告知工程所在地县级以上地方人民政府建设主管部门；未按照规定建立建筑起重机械安装、拆卸工程档案；未按照建筑起重机械安装、拆卸工程专项施工方案及安全操作规程组织安装、拆卸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起重机械使用单位未根据不同施工阶段、周围环境以及季节、气候的变化，对建筑起重机械采取相应的安全防护措施；未制定建筑起重机械生产安全事故应急救援预案；未设置相应的设备管理机构或者配备专职的设备管理人员；建筑起重机械出现故障或者发生异常情况，使用单位未立即停止使用，消除故障和事故隐患后再重新投入使用；未指定专职设备管理人员进行现场监督检查；擅自在建筑起重机械上安装非原制造厂制造的标准节和附着装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总承包单位未向安装单位提供拟安装设备位置的基础施工资料，确保建筑起重机械进场安装、拆卸所需的施工条件；未审核安装单位、使用单位的资质证书、安全生产许可证和特种作业人员的特种作业操作资格证书；未审核安装单位制定的建筑起重机械安装、拆卸工程专项施工方案和生产安全事故应急救援预案；未审核使用单位制定的建筑起重机械生产安全事故应急救援预案；在施工现场有多台塔式起重机作业时，未组织制定并实施防止塔式起重机相互碰撞的安全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对注册人员在执业活动中有其他违反法律、法规的行为的行政处罚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219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对建筑业企业、招标代理机构、房地产经纪机构和房地产经纪人有其他违反法律、法规、行为的行政处罚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对发包方未经工程勘察即委托设计、未经设计即施工发包，按规定应进行初步设计及施工图文件审查而未报经审查，擅自修改工程勘察、设计文件的行政处罚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对监理单位、施工单位擅自修改工程勘察、设计文件的行政处罚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对建设工程勘察、设计注册执业人员和其他专业技术人员挂靠承揽工程勘察、设计业务活动的行政处罚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对建设单位擅自撤换现场监理工程师；拒绝向监理企业提供必要资料；擅自拨付工程款或进行竣工验收的行政处罚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对监理企业扣押监理工程师的执业证书的行政处罚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对监理企业未进驻施工现场的行政处罚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对监理企业发现工程设计不符合建设工程质量标准、设计规范或合同约定的质量要求，未报告建设单位的行政处罚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对承包单位拒绝向监理企业提供必要的资料，或擅自将建筑材料、建筑构配件和设备在工程上使用或安装，或擅自进行下一道工序施工的行政处罚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对设计单位违反建筑节能强制性标准进行设计的行政处罚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229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对注册建筑师、注册结构工程师、监理工程师等注册执业人员因过错造成建筑节能工程质量事故的行政处罚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对施工图设计文件审查机构未按规定审查建筑节能内容，或者将审查不合格的有关建筑节能的设计文件定为合格；出具虚假审查合格书的行政处罚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对变更已审查通过施工图设计文件中节能强制性标准，未按规定程序重新进行施工图审查的行政处罚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对施工单位在保温隔热工程隐蔽前，未经监理工程师签字进行下一道工序施工的行政处罚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对建筑物所有人、使用人或者装饰装修企业损坏原有围护结构和节能材料、设施设备，影响公共利益和他人合法权益的行政处罚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对装饰装修企业擅自动用明火作业和进行焊接作业或者对建筑安全事故隐患不采取措施予以消除的行政处罚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对无证或者超越资质等级从事建筑工程装饰装修的行政处罚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对擅自修改施工图设计文件并影响房屋结构安全，违反装饰装修的质量标准、施工和安全等强制性规范，拆改建筑主体结构、承重结构或者明显加大荷载的行政处罚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对未取得房地产开发资质证书，擅自销售商品房的行政处罚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对未取得商品房预售许可证进行预售的行政处罚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239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对房地产开发企业涂改、出租、出借、转让、出卖资质证书的行政处罚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对房地产企业未取得资质证书或超越资质等级从事房地产开发经营的行政处罚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对开发企业不按规定使用商品房预售款项的行政处罚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对开发企业隐瞒有关情况、提供虚假材料，或者采用欺骗、贿赂等不正当手段取得商品房预售许可的行政处罚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对开发企业在未解除商品房买卖合同前，将作为合同标的物的商品房再行销售给他人的行政处罚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对房地产开发企业未按规定将测绘成果或者需要由其提供的办理房屋权属登记的资料报送房地产行政主管部门的行政处罚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房地产开发企业未按照规定的现售条件现售商品房的；未在商品房现售前将房地产开发项目手册及符合商品房现售条件的有关证明文件报送房地产开发主管部门备案的；采取返本销售或者变相返本销售的方式销售商品房的；采取售后包租或者变相售后包租方式销售未竣工商品房的；分割拆零销售商品住宅的；不符合商品房销售条件，向买受人收取预订款性质费用的；未按照规定向买受人明示《商品房销售管理办法</w:t>
            </w:r>
            <w:r>
              <w:rPr>
                <w:rFonts w:hint="eastAsia" w:ascii="宋体" w:hAnsi="宋体" w:cs="宋体"/>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商品房买卖合同示范文本</w:t>
            </w:r>
            <w:r>
              <w:rPr>
                <w:rFonts w:hint="eastAsia" w:ascii="宋体" w:hAnsi="宋体" w:cs="宋体"/>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城市商品房预售管理办法》的；委托没有资格的机构代理销售商品房的行政处罚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对房地产中介服务机构代理销售不符合销售条件的商品房的行政处罚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对建设单位擅自处分属于业主的物业共用部位、共用设施设备的所有权或者使用权的行政处罚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对物业服务企业将一个物业管理区域内的全部物业管理一并委托给他人的行政处罚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249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对挪用专项维修资金的行政处罚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对建设单位在物业管理区域内不按照规定配置必要的物业管理用房的行政处罚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对未经业主大会同意，物业服务企业擅自改变物业管理用房的用途的行政处罚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对擅自改变物业管理区域内按照规划建设的公共建筑和共用设施用途的；擅自占用、挖掘物业管理区域内道路、场地，损害业主共同利益的；擅自利用物业共用部位、共用设施设备进行经营的行政处罚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对房地产价格评估机构未取得资质或者超越资质证书规定的范围从事房地产价格评估业务的行政处罚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一级资质房地产估价机构不按规定条件设立分支机构的；二、三级资质房地产估价机构违规设立分支机构的；房地产估价机构新设立分支机构，自领取分支机构营业执照之日起30日内，未到分支机构工商注册所在地的省、自治区人民政府建设行政主管部门、直辖市人民政府房地产行政主管部门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估价师以个人名义承揽估价业务，或者房地产估价机构的分支机构未以设立该分支机构的房地产估价机构名义承揽估价业务；对房地产估价机构以分支机构名义出具估价报告；对房地产估价机构未经委托人书面同意，与其他房地产估价机构合作完成估价业务，以合作双方的名义共同出具估价报告；对非房地产估价机构出具估价报告，房地产估价机构出具的估价报告未加盖房地产估价机构公章，签字人员不符合要求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对房地产估价机构及其估价人员与委托人或者估价业务相对人有利害关系，应当回避未回避的行政处罚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对聘用单位（房地产估价机构）为申请人提供虚假注册材料的行政处罚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对房地产估价师以欺骗、贿赂等不正当手段取得注册证书的行政处罚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259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房地产估价师不履行义务；在执业过程中，索贿、受贿或者谋取合同约定费用外的其他利益；在执业过程中实施商业贿赂；签署有虚假记载、误导性陈述或者重大遗漏的估价报告；在估价报告中隐瞒或者歪曲事实；允许他人以自己的名义从事房地产估价业务；同时在2个或者2个以上房地产估价机构执业；以个人名义承揽房地产估价业务；涂改、出租、出借或者以其他形式非法转让注册证书；超出聘用单位业务范围从事房地产估价活动；严重损害他人利益、名誉的行为；法律、法规禁止的其他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对房地产估价师未办理变更注册仍执业的行政处罚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对房地产估价师未经注册，擅自以注册房地产估价师名义从事房地产估价活动的行政处罚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对注册房地产估价师或者其聘用单位未按照要求提供房地产估价师信用档案信息的行政处罚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对不具备条件的单位从事白蚁防治业务的；白蚁防治单位未建立健全白蚁防治质量保证体系，未严格按照国家和地方有关城市房屋白蚁防治的施工技术规范和操作程序进行防治的行政处罚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对白蚁防治单位未建立药剂进出领料制度，未对药剂进行专仓储存、专人管理，使用不合格药物的行政处罚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2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对房地产开发企业在进行商品房销（预）售时，未向购房人出具该项目的《白蚁预防合同》或者其他实施房屋白蚁预防的证明文件，提供的《住宅质量保证书》中未包括白蚁预防质量保证的内容的行政处罚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对建设单位未按规定进行白蚁预防的行政处罚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对开发建设单位或者公有住房售房单位未按规定交存首期住宅专项维修资金将房屋交付买受人的行政处罚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对开发建设单位或者公有住房单位未规定分摊维修、更新和改造费用的行政处罚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269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对房产面积测算中不执行国家标准、规范和规定的；弄虚作假、欺骗房屋权利人的；测算失误的，造成重大损失的行政处罚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经纪人员以个人名义承接房地产经纪业务和收取费用的；房地产经纪机构提供代办贷款、代办房地产登记等其他服务，未向委托人说明服务内容、收费标准等情况，并未经委托人同意的；房地产经纪服务合同未由从事该业务的一名房地产经纪人或者两名房地产经纪人协理签名的；房地产经纪机构签订房地产经纪服务合同前，不向交易当事人说明和书面告知规定事项的；房地产经纪机构未如实记录业务情况或者保存房地产经纪服务合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对房地产经纪机构擅自对外发布房源信息的行政处罚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对房地产经纪机构擅自划转客户交易结算资金的行政处罚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对房地产经纪机构和房地产经纪人员以隐瞒、欺诈、胁迫、贿赂等不正当手段招揽业务，诱骗消费者交易或者强制交易的行政处罚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经纪机构和房地产经纪人员泄露或者不当使用委托人的个人信息或者商业秘密，谋取不正当利益的；就同一房屋签订不同交易价款的合同提供便利的；改变房屋内部结构分割出租的，侵占、挪用房地产交易资金的；承购、承租自己提供经纪服务的房屋的；为不符合交易条件的保障性住房和禁止交易的房屋提供经纪服务的；违反法律、法规禁止的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房地产价格评估机构涂改、倒卖、出租、出借或者以其他形式非法转让资质证书；超越资质等级业务范围承接房地产估价业务；以迎合高估或者低估要求、给予回扣、恶意压低收费等方式进行不正当竞争；违反房地产估价规范和标准；出具有虚假记载、误导性陈述或者重大遗漏的估价报告；擅自设立分支机构；未经委托人书面同意，擅自转让受托的估价业务；法律、法规禁止的其他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对以非法手段按照成本价购买公有住房或者政府提供优惠政策建设的经济适用住房的行政处罚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对招标人超过</w:t>
            </w:r>
            <w:r>
              <w:rPr>
                <w:rFonts w:hint="eastAsia" w:ascii="宋体" w:hAnsi="宋体" w:cs="宋体"/>
                <w:i w:val="0"/>
                <w:iCs w:val="0"/>
                <w:color w:val="auto"/>
                <w:kern w:val="0"/>
                <w:sz w:val="20"/>
                <w:szCs w:val="20"/>
                <w:u w:val="none"/>
                <w:lang w:val="en-US" w:eastAsia="zh-CN" w:bidi="ar"/>
              </w:rPr>
              <w:t>《中华人民共和国招标投标法实施条例》</w:t>
            </w:r>
            <w:r>
              <w:rPr>
                <w:rFonts w:hint="eastAsia" w:ascii="宋体" w:hAnsi="宋体" w:eastAsia="宋体" w:cs="宋体"/>
                <w:i w:val="0"/>
                <w:iCs w:val="0"/>
                <w:color w:val="auto"/>
                <w:kern w:val="0"/>
                <w:sz w:val="20"/>
                <w:szCs w:val="20"/>
                <w:u w:val="none"/>
                <w:lang w:val="en-US" w:eastAsia="zh-CN" w:bidi="ar"/>
              </w:rPr>
              <w:t>规定的比例收取投标保证金、履约保证金或者不按照规定退还投标保证金及银行同期存款利息的行政处罚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对依法必须进行招标的项目的招标人不按照规定组建评标委员会，或者确定、更换评标委员会成员违反招标投标法和</w:t>
            </w:r>
            <w:r>
              <w:rPr>
                <w:rFonts w:hint="eastAsia" w:ascii="宋体" w:hAnsi="宋体" w:cs="宋体"/>
                <w:i w:val="0"/>
                <w:iCs w:val="0"/>
                <w:color w:val="auto"/>
                <w:kern w:val="0"/>
                <w:sz w:val="20"/>
                <w:szCs w:val="20"/>
                <w:u w:val="none"/>
                <w:lang w:val="en-US" w:eastAsia="zh-CN" w:bidi="ar"/>
              </w:rPr>
              <w:t>《中华人民共和国招标投标法实施条例》</w:t>
            </w:r>
            <w:r>
              <w:rPr>
                <w:rFonts w:hint="eastAsia" w:ascii="宋体" w:hAnsi="宋体" w:eastAsia="宋体" w:cs="宋体"/>
                <w:i w:val="0"/>
                <w:iCs w:val="0"/>
                <w:color w:val="auto"/>
                <w:kern w:val="0"/>
                <w:sz w:val="20"/>
                <w:szCs w:val="20"/>
                <w:u w:val="none"/>
                <w:lang w:val="en-US" w:eastAsia="zh-CN" w:bidi="ar"/>
              </w:rPr>
              <w:t>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279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依法必须进行招标的项目的招标人无正当理由不发出中标通知书，不按照规定确定中标人，中标通知书发出后无正当理由改变中标结果，无正当理由不与中标人订立合同，在订立合同时向中标人提出附加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对除因不可抗力外，招标人在发布招标公告、发出投标邀请书或者招标文件后终止招标的行政处罚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对建设单位在工程竣工验收合格之日起15日内未办理工程竣工验收备案的行政处罚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对建设单位将备案机关决定重新组织竣工验收的工程，在重新组织竣工验收前，擅自使用的行政处罚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对工程竣工验收后，施工单位不向建设单位出具质量保修书的行政处罚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对质量保修的内容、期限违反规定的行政处罚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对招标代理机构及其人员未按国家有关档案保存期限规定保存招标活动中的有关文件和资料或者拒绝有关行政监督部门查阅的行政处罚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对施工单位取得资质证书后，降低安全生产条件的行政处罚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对建设单位隐瞒有关情况或者提供虚假材料申请施工许可证的、伪造或者涂改施工许可证的行政处罚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对依法必须进行招标的项目，招标人与投标人就投标价格、投标方案等实质性内容进行谈判的行政处罚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289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对评标委员会成员在评标过程中擅离职守，影响评标程序正常进行，或者在评标过程中不能客观公正地履行职责的行政处罚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对房地产开发企业销售商品房，未向购买人明示所售商品房的能源消耗指标、节能措施和保护要求、保温工程保修期等信息，或者向购买人明示的所售商品房能源消耗指标与实际能源消耗不符的行政处罚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对违反《民用建筑节能条例》规定，注册执业人员未执行民用建筑节能强制性标准的行政处罚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招标人依法应当公开招标而采用邀请招标的；招标文件、资格预审文件的发售、澄清、修改的时限，或者确定的提交资格预审申请文件、投标文件的时限不符合招标投标法等规定的；接受未通过资格预审的单位或者个人参加投标的；接受应当拒收的投标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对未按规定办理建筑工程装饰装修项目施工许可证擅自动工的，或者擅自修改施工图设计文件并影响房屋结构安全的行政处罚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对建设单位采用欺骗、贿赂等不正当手段取得施工许可证的行政处罚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对“安管人员”涂改、倒卖、出租、出借或者以其他形式非法转让安全生产考核合格证书的行政处罚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对建筑施工企业未按规定开展“安管人员”安全生产教育培训考核，或者未按规定如实将考核情况记入安全生产教育培训档案的行政处罚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对未按规定设立安全生产管理机构的、未按规定配备专职安全生产管理人员的、危险性较大的分部分项工程施工时未安排专职安全生产管理人员现场监督的、“安管人员”未取得安全生产考核合格证书的行政处罚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对“安管人员”未按规定办理证书变更的行政处罚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299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对主要负责人、项目负责人未按规定履行安全生产管理职责的行政处罚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对专职安全生产管理人员未按规定履行安全生产管理职责的行政处罚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对违规将不准上市出售的已购公有住房和经济适用房上市出售的行政处罚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对将已购公有住房和经济适用住房上市出售后，又以非法手段按照成本价（或者标准价）购买公有住房或者政府提供优惠政策建设的住房的行政处罚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对以非法手段租住公有廉租住房的行政处罚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对隐瞒有关情况或者提供虚假材料申请廉租住房保障的行政处罚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对原有房屋和超过白蚁预防包治期限的房屋发生蚁害的，房屋所有人、使用人或者房屋管理单位未委托白蚁防治单位进行灭治的行政处罚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对出租住房的未以原设计的房间为最小出租单位，或人均租住建筑面积低于当地人民政府规定的最低标准的或将厨房、卫生间、阳台和地下储藏室出租供人员居住的行政处罚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对未按规定办理租赁登记备案、变更、延续或者注销的行政处罚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对出租法律禁止出租的房屋的行政处罚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经原设计单位或相应资质等级的设计单位提出设计方案，擅自超过设计标准或规范增加楼面荷载，擅自拆改供暖燃气管道和设施、损坏房屋原有节能设施或者降低节能效果、将没有防水要求的房间或者阳台改为卫生间、厨房间或者拆除连接阳台的砖混凝土墙体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对装修人将住宅内装饰装修工程委托给不具有相应资质等级企业的行政处罚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对装饰装修人未申报登记进行住宅室内装饰装修活动的行政处罚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对以欺骗等不正当手段，取得审核同意或者获得廉租住房保障的行政处罚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以隐瞒、欺诈、胁迫、贿赂等不正当手段招揽业务，诱骗消费者交易或者强制交易，泄露或者不当使用委托人的个人信息或者商业秘密，谋取不正当利益、为交易当事人规避房屋交易税费等非法目的，就同一房屋签订不同交易价款的合同提供便利、改变房屋内部结构分割出租、侵占、挪用房地产交易资金；承购、承租自己提供经纪服务的房屋，侵占、挪用房地产交易资金、为不符合交易条件的保障性住房和禁止交易的房屋提供经纪服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对开发建设单位拒不承担筹备组工作经费和首次业主大会会议经费的行政处罚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对未取得设计、施工资格或者未按照资质等级承担城市道路的设计施工任务；未按照设计图纸施工或者擅自修改图纸；未按照城市道路设计、施工技术规范设计、施工的行政处罚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对擅自使用未经验收或者验收不合格的城市道路的行政处罚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对承担城市道路养护、维修的单位，未定期对城市道路进行养护、维修或者未按照规定的期限修复竣工，并拒绝接受市政工程行政主管部门监督、检查的行政处罚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城市照明设施上刻划、涂污；在城市照明设施安全距离内，擅自植树、挖坑取土或者设置其他物体，或者倾倒含酸、碱、盐等腐蚀物或者具有腐蚀性的废渣、废液；擅自在城市照明设施上张贴、悬挂、设置宣传品、广告；擅自在城市照明设施上架设线缆、安置其它设施或者接用电源；擅自迁移、拆除、利用城市照明设施；其他可能影响城市照明设施正常运行的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319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历史文化名城、名镇、名村保护范围内开山、采石、开矿等破坏传统格局和历史风貌；占用保护规划确定保留的园林绿地、河湖水系、道路等；修建生产、储存爆炸性、易燃性、放射性、毒害性、腐蚀性物品的工厂、仓库等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对在历史文化名城、名镇、名村保护范围内在历史建筑上刻划、涂污的行政处罚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历史文化名城、名镇、名村保护范围内未经城乡规划主管部门会同同级文物主管部门批准，拆除历史建筑以外的建筑物、构筑物或者其他设施的；对历史建筑进行外部修缮装饰、添加设施以及改变历史建筑的结构或者使用性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对在历史文化名城、名镇、名村保护范围内损坏或者擅自迁移、拆除历史建筑的行政处罚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对在历史文化名城、名镇、名村保护范围内擅自设置、移动、涂改或者损毁历史文化街区、名镇、名村标志牌的行政处罚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占用或者挖掘城市道路；履带车、铁轮车或者超重、超高、超长车辆擅自在城市道路上行驶；机动车在桥梁或者非指定的城市道路上试刹车；擅自在城市道路上建设建筑物、构筑物；在桥梁上架设压力在4公斤／平方厘米(0.4兆帕)以上的煤气管道、10千伏以上的高压电力线和其他易燃易爆管线；擅自在桥梁或者路灯设施上设置广告牌或者其他挂浮物；其他损害、侵占城市道路的行为；未对设在城市道路上的各种管线的检查井、箱盖或者城市道路附属设施的缺损及时补缺或者修复的；未在城市道路施工现场设置明显标志和安全防围设施的；占用城市道路期满或者挖掘城市道路后，不及时清理现场的；依附于城市道路建设各种管线、杆线等设施，不按照规定办理批准手续的；紧急抢修埋设在城市道路下的管线，不按照规定补办批准手续的；未按照批准的位置、面积、期限占用或者挖掘城市道路，或者需要移动位置、扩大面积、延长时间，未提前办理变更审批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对商业、服务摊点不服从公共绿地管理单位管理的行政处罚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在城市建筑物、设施以及树木上涂写、刻画或者未经批准张挂、张贴宣传品；不履行卫生责任区清扫保洁义务或者不按规定清运、处理垃圾和粪便；车辆运输液体、散装货物、易飘洒物未采取覆盖或者密闭措施，造成泄漏遗撒的或者违规倾倒；临街工地不设置护栏或者不作遮挡、停工场地不及时整理并作必要覆盖或者竣工后不及时清理和平整场地，影响市容和环境卫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经城市人民政府市容环境卫生行政主管部门同意，擅自设置大型户外广告，影响市容；未经城市人民政府市容环境卫生行政主管部门批准，擅自在街道两侧和公共场地堆放物料，搭建建筑物、构筑物或者其他设施，影响市容；未经批准擅自拆除环境卫生设施或者未按批准的拆迁方案进行拆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对损坏各类环境卫生设施及附属设施的行政处罚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329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对未经批准改变城市园林绿化规划用地性质或者擅自占用城市园林绿地的行政处罚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对违反摊点卫生管理规定的行政处罚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对侵占、毁损、围挡园林绿地；损毁、盗窃、占用城乡环境卫生设施，擅自关闭、拆除、迁移或者改变用途的行政处罚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对占用公共道路和公共场所从事车辆修理、清洗、装饰和再生资源回收的行政处罚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对将建筑垃圾混入生活垃圾和将危险废物混入建筑垃圾以及擅自设立弃置场受纳建筑垃圾的行政处罚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对建筑垃圾储运消纳场受纳工业垃圾、生活垃圾和有毒有害垃圾的行政处罚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对施工单位未及时清运工程施工过程中产生的建筑垃圾，造成环境污染的行政处罚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对施工单位将建筑垃圾交给个人或者未经核准从事建筑垃圾运输的单位处置的行政处罚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对处置建筑垃圾的单位在运输建筑垃圾过程中沿途丢弃、遗撒建筑垃圾的行政处罚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对涂改、倒卖、出租、出借或者以其他形式非法转让城市建筑垃圾处置核准文件的行政处罚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339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对未经核准擅自处置建筑垃圾、处置超出核准范围的建筑垃圾的行政处罚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对随意倾倒、抛撒或者堆放建筑垃圾的行政处罚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对单位和个人未按规定缴纳城市生活垃圾处理费的行政处罚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对未按照城市生活垃圾治理规划和环境卫生设施标准配套建设城市生活垃圾收集设施的行政处罚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随意倾倒、抛撒、堆放或者焚烧生活垃圾的；擅自关闭、闲置或者拆除生活垃圾处理设施、场所的；工程施工单位未编制建筑垃圾处理方案报备案，或者未及时清运施工过程中产生的固体废物的；工程施工单位擅自倾倒、抛撒或者堆放工程施工过程中产生的建筑垃圾，或者未按照规定对施工过程中产生的固体废物进行利用或者处置的；产生、收集厨余垃圾的单位和其他生产经营者未将厨余垃圾交由具备相应资质条件的单位进行无害化处理的；畜禽养殖场、养殖小区利用未经无害化处理的厨余垃圾饲喂畜禽的；在运输过程中沿途丢弃、遗撒生活垃圾的；未在指定的地点分类投放生活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对随意倾倒、抛洒、堆放城市生活垃圾的行政处罚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对未经批准从事城市生活垃圾经营性清扫、收集、运输或者处置活动的行政处罚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对从事城市生活垃圾经营性清扫、收集、运输的企业在运输过程中沿途丢弃、遗撒生活垃圾的行政处罚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spacing w:val="-6"/>
                <w:sz w:val="20"/>
                <w:szCs w:val="20"/>
                <w:u w:val="none"/>
              </w:rPr>
            </w:pPr>
            <w:r>
              <w:rPr>
                <w:rFonts w:hint="eastAsia" w:ascii="宋体" w:hAnsi="宋体" w:eastAsia="宋体" w:cs="宋体"/>
                <w:i w:val="0"/>
                <w:iCs w:val="0"/>
                <w:color w:val="auto"/>
                <w:spacing w:val="-6"/>
                <w:kern w:val="0"/>
                <w:sz w:val="20"/>
                <w:szCs w:val="20"/>
                <w:u w:val="none"/>
                <w:lang w:val="en-US" w:eastAsia="zh-CN" w:bidi="ar"/>
              </w:rPr>
              <w:t>对未按照环境卫生作业标准和作业规范，在规定的时间内及时清扫、收运城市生活垃圾；未将收集的城市生活垃圾运到直辖市、市、县人民政府建设(环境卫生)主管部门认可的处置场所；未在清扫、收运城市生活垃圾后，对生活垃圾收集设施及时保洁、复位，清理作业场地，保持生活垃圾收集设施和周边环境的干净整洁；用于收集、运输城市生活垃圾的车辆、船舶未做到密闭、完好和整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按照规定处理处置过程中产生的污水、废气、废渣、粉尘等，防止二次污染；未按照所在地建设（环境卫生）主管部门规定的时间和要求接收生活垃圾；未按照要求配备城市生活垃圾处置设备、设施，保证设施、设备运行良好；未保证城市生活垃圾处置站、场（厂）环境整洁；未按照要求配备合格的管理人员及操作人员；未对每日收运、进出场站、处置的生活垃圾进行计量，按照要求将统计数据和报表报送所在地建设（环境卫生）主管部门；未按照要求定期进行水、气、土壤等环境影响监测，对生活垃圾处理设施的性能和环保指标进行检测、评价，向所在地建设（环境卫生）主管部门报告检测、评价结果；未严格按照国家有关规定和技术标准，处置城市生活垃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对从事城市生活垃圾经营性清扫、收集、运输的企业，未经批准擅自停业、歇业的行政处罚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擅自占用城市公厕规划用地或者改变其性质；不履行城市公厕的建设和维修管理义务；影剧院、商店、饭店、车站等公共建筑没有附设公厕或者原有公厕及其卫生设施不足，不按要求进行新建、扩建或者改造；公共建筑附设的公厕及其卫生设施的设计和安装，不符合和国家和地方的有关标准；损坏严重或者年久失修的公厕，未依照的规定改造或者重建；独立设置的城市公厕竣工时，建设单位未通知城市人民政府环境卫生行政主管部门或者其指定的部门参加验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对在公厕内乱丢垃圾、污物，随地吐痰，乱涂乱画；破坏公厕设施、设备的；未经批准擅自占用或者改变公厕使用性质的行政处罚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对工程建设项目的附属绿化工程设计方案，未经批准或者未按照批准的设计方案施工的行政处罚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对擅自砍伐、损坏城市树竹花草或者损毁城市园林绿地；因养护不善致使古树名木受到损伤或者死亡；损坏城市园林绿化设施的行政处罚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随地吐痰、吐口香糖，乱扔烟蒂、纸屑、果皮及食品包装等废弃物，随地便溺；从车辆内或者建（构）筑物上向外抛掷杂物、废弃物；在非指定地点倾倒垃圾、污水、粪便等废弃物或者将废弃物扫入、排入城市排水沟、地下管道；在非指定区域、指定时间燃放烟花爆竹；在露天场所或者垃圾收集容器内焚烧秸秆、树叶、垃圾或者其他废弃物；在住宅区内从事产生废气、废水、废渣的经营活动，影响居民正常生活；占用道路、桥梁、人行天桥、地下通道、广场等公共场所摆摊设点、堆放物料及从事经营性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对堆放、吊挂影响市容市貌物品的行政处罚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对在城镇住宅区内饲养家畜家禽，饲养宠物和信鸽影响环境卫生和周围居民正常生活的行政处罚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城市桥梁产权人或者委托管理人未按照规定编制城市桥梁养护维修的中长期规划和年度计划，或者未经批准即实施；未按照规定设置相应的标志，并保持其完好、清晰的；未按照规定委托具有相应资格的机构对城市桥梁进行检测评估的；未按照规定制定城市桥梁的安全抢险预备方案的；未按照规定对城市桥梁进行养护维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对单位或者个人擅自在城市桥梁上架设各类管线、设置广告等辅助物的行政处罚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对单位和个人擅自在城市桥梁施工控制范围内从事河道疏浚、挖掘、打桩、地下管道顶进、爆破等作业的行政处罚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对超限机动车辆、履带车、铁轮车等经过城市桥梁的未经城市人民政府市政工程设施行政主管部门同意或未采取相应技术措施通行的行政处罚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经过检测评估，确定城市桥梁的承载能力下降，但尚未构成危桥的，城市桥梁产权人和委托管理人未及时设置警示标志，并立即采取加固等安全措施的或经检测评估判定为危桥未立即采取措施，设置显著的警示标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勘测、设计、施工、监理单位未取得相应资质或者超越资质等级许可范围承揽城市供水设施建设工程勘测、设计、施工、监理任务的或者违反国家和省相关技术标准和规范进行城市供水设施建设工程勘测、设计、施工、监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对设计单位违反规定进行施工图设计的行政处罚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对建设单位新建、改建、扩建的城市供水管道在投入使用或者与城市供水管网系统连接通水前未进行清洗消毒责令限期改正，拒不改正的行政处罚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对建设单位擅自新建公共供水工程或者自建设施供水的行政处罚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对建设单位供水工程竣工后未按照规定验收或者经验收不合格仍投入使用责令限期改正，拒不改正的行政处罚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对设计、建设单位不按照水表出户的要求进行设计和建设的行政处罚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对未按照国家和省的有关技术标准和规范埋设其他地下管线拒不改正的行政处罚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369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对建设单位将不符合饮用水标准的供水管网与城市供水管网连接的行政处罚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对建设单位擅自改装、迁移或者拆除原水供水、公共供水设施的行政处罚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对建设单位未及时通知供水企业修复损坏的城市供水设施的行政处罚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对建设单位未配套建设节约用水设施的行政处罚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城市供水企业新建、改建、扩建的城市供水管道在投入使用或者与城市供水管网系统连接通水前未进行清洗消毒的；使用不符合标准的供水设施、设备、器具、管材和化学净水剂、消毒剂的；未按照计划更换、检修供水设施或者在供水设施发生故障或者管道爆裂后未及时组织抢修以及未履行停水通知义务的；考核不合格，拒不整改，非法运营的；违反管理规定的；使用未取得职业资格证上岗作业员工的；拒绝向符合条件的单位和个人提供城市供水的，或者向不符合供水条件的单位和个人提供城市供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对单位和个人在城市供水安全保护区内从事禁止性活动的行政处罚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对单位和个人擅自通过新闻媒体、网络、手机短信、公开信等方式发布城市供水水质情况的行政处罚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对单位和个人在城市供水管道安全保护范围内从事禁止性活动的行政处罚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对单位和个人阻挠或者干扰供水设施抢修工作的行政处罚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对用户未依法办理分户、移表、增容、变更结算水表手续责令改正，拒不改正的行政处罚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379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对单位和个人擅自开启公共消火栓的行政处罚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对单位和个人对结算水表磁卡非法充值的行政处罚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对单位和个人擅自操作城市供水公用供水阀门或者违反规定使用公共消防设施和市政设施取水的行政处罚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对单位和个人擅自安装、改装、拆除、损坏结算水表或者干扰结算水表正常计量的行政处罚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对单位和个人盗用或者转供城市供水的行政处罚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对单位和个人擅自改变用水性质和范围的行政处罚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对单位和个人擅自在公共供水管道上装泵抽水的行政处罚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对单位和个人在结算水表后装泵的行政处罚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对城市自来水供水企业和自建设施对外供水的企业新建、改建、扩建的饮用水供水工程项目未经住房城乡建设主管部门设计审查和竣工验收而擅自建设并投入使用的；未按规定进行日常性水质检验工作的行政处罚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对城市供水单位未制定城市供水水质突发事件应急预案的、未按规定上报水质报表的行政处罚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对排水户未取得污水排入排水管网许可证向城镇排水设施排放污水的行政处罚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对排水户不按照污水排入排水管网许可证的要求排放污水的行政处罚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对城镇污水处理设施维护运营单位未按照国家有关规定检测进出水水质的，或者未报送污水处理水质和水量、主要污染物削减量等信息和生产运营成本等信息的行政处罚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对城镇污水处理设施维护运营单位擅自停运城镇污水处理设施，未按照规定事先报告或者采取应急处理措施的行政处罚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对城镇污水处理设施维护运营单位或者污泥处理处置单位对产生的污泥以及处理处置后的污泥的去向、用途、用量等未进行跟踪、记录的，或者处理处置后的污泥不符合国家有关标准的行政处罚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对擅自倾倒、堆放、丢弃、遗撒城镇污水处理设施产生的污泥和处理后的污泥的行政处罚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对排水单位或者个人不缴纳污水处理费的行政处罚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城镇排水与污水处理设施维护运营单位未按照国家有关规定履行日常巡查、维修和养护责任，保障设施安全运行的；未及时采取防护措施、组织事故抢修的；因巡查、维护不到位，导致窨井盖丢失、损毁，造成人员伤亡和财产损失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对从事危及城镇排水与污水处理设施安全的活动的行政处罚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399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对有关单位未与施工单位、设施维护运营单位等共同制定设施保护方案，并采取相应的安全防护措施的行政处罚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400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对擅自拆除、改动城镇排水与污水处理设施的行政处罚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对在雨水、污水分流地区，建设单位、施工单位将雨水管网、污水管网相互混接的行政处罚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对城镇污水处理企业未经评估合格投入正式营运的行政处罚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对城市污水处理企业虚报、瞒报、拒报、迟报、漏报规定的各项资料的行政处罚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对在城镇排水与污水处理设施覆盖范围内，未按照国家有关规定将污水排入城镇排水设施，或者在雨水、污水分流地区将污水排入雨水管网的行政处罚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对排水户名称、法定代表人等其他事项变更，未按规定及时向城镇排水主管部门申请办理变更的行政处罚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对排水户以欺骗、贿赂等不正当手段取得排水许可的行政处罚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对排水户因发生事故或者其他突发事件，排放的污水可能危及城镇排水与污水处理设施安全运行，没有立即停止排放，未采取措施消除危害，或者并未按规定及时向城镇排水主管部门等有关部门报告的行政处罚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对从事危及城镇排水设施安全的活动的行政处罚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409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对拒不接受水质、水量监测或者妨碍、阻挠城镇排水主管部门依法监督检查的行政处罚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对在城市绿地范围内进行拦河截溪、取土采石、设置垃圾堆场、排放污水以及其他对城市生态环境造成破坏活动的行政处罚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对未取得燃气经营许可证从事燃气经营活动的行政处罚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对燃气经营者不按照燃气经营许可证的规定从事燃气经营活动的行政处罚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燃气经营者拒绝向市政燃气管网覆盖范围内符合用气条件的单位或者个人供气；倒卖、抵押、出租、出借、转让、涂改燃气经营许可证；未履行必要告知义务擅自停止供气、调整供气量，或者未经审批擅自停业或者歇业；向未取得燃气经营许可证的单位或者个人提供用于经营的燃气；在不具备安全条件的场所储存燃气；要求燃气用户购买其指定的产品或者接受其提供的服务；燃气经营者未向燃气用户持续、稳定、安全供应符合国家质量标准的燃气，或者未对燃气用户的燃气设施定期进行安全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对销售充装单位擅自为非自有气瓶充装的瓶装燃气的行政处罚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燃气用户及相关单位和个人擅自操作公用燃气阀门；将燃气管道作为负重支架或者接地引线；安装、使用不符合气源要求的燃气燃烧器具；擅自安装、改装、拆除户内燃气设施和燃气计量装置；在不具备安全条件的场所使用、储存燃气；改变燃气用途或者转供燃气；未设立售后服务站点或者未配备经考核合格的燃气燃烧器具安装、维修人员；燃气燃烧器具的安装、维修不符合国家有关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在燃气设施保护范围内进行爆破、取土等作业或者动用明火；进行爆破、取土等作业或者动用明火；倾倒、排放腐蚀性物质；放置易燃易爆物品或者种植深根植物；未与燃气经营者共同制定燃气设施保护方案，采取相应的安全保护措施，从事敷设管道、打桩、顶进、挖掘、钻探等可能影响燃气设施安全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对侵占、毁损、擅自拆除、移动燃气设施或者擅自改动市政燃气设施的行政处罚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419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对毁损、覆盖、涂改、擅自拆除或者移动燃气设施安全警示标志的行政处罚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对建设工程施工范围内有地下燃气管线等重要燃气设施，建设单位未会同施工单位与管道燃气经营者共同制定燃气设施保护方案，或者建设单位、施工单位未采取相应的安全保护措施的行政处罚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对违反施工现场容貌管理规定逾期不改正的行政处罚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对城乡环境综合治理责任人不履行义务，责任区的容貌秩序、环境卫生未达到有关标准的行政处罚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对在城市景观照明中有过度照明等超能耗标准行为的行政处罚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对排水户违反《城镇污水排入排水管网许可管理办法》规定，拒不接受水质、水量监测或者妨碍、阻挠城镇排水主管部门依法监督检查的行政处罚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对占压、损害燃气设施，围堵应急抢险公共通道的行政处罚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对运输煤炭、垃圾、渣土、砂石、土方、灰浆等散装、流体物料的车辆，未采取密闭或者其他措施防止物料遗撒的行政处罚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施工单位在施工工地未设置硬质围挡，或者未采取覆盖、分段作业、择时施工、洒水抑尘、冲洗地面和车辆等有效防尘降尘措施，或对建筑土方、工程渣土、建筑垃圾未及时清运，或者未采用密闭式防尘网遮盖的；对建设单位未对暂时不能开工的建设用地的裸露地面进行覆盖，或者未对超过三个月不能开工的建设用地的裸露地面进行绿化、铺装或者遮盖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对车辆未采取覆盖或者密闭措施，造成泄漏遗撒的或者违规倾倒的行政处罚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429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对未经批准在环境噪声敏感建筑物集中区域进行产生环境噪声污染夜间建筑施工作业的行政处罚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对勘察、设计单位未依据项目批准文件，城乡规划及专业规划，国家规定的建设工程勘察、设计深度要求编制建设工程勘察、设计文件的行政处罚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对违法使用袋装水泥的行政处罚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对违法现场搅拌混凝土、砂浆的，违法设置移动式搅拌站的行政处罚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设单位要求施工单位使用袋装水泥的；设计单位未按照使用预拌混凝土、预拌砂浆的要求进行设计，并在施工图设计文件中标明等级标准的；施工图审查机构对未按照规定标明使用预拌混凝土、预拌砂浆等级的施工图设计文件审查通过的；施工单位未按照施工图设计文件中使用预拌混凝土、预拌砂浆的要求进行施工；工程监理单位未按照施工图设计文件中使用预拌混凝土、预拌砂浆的要求进行监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对工程造价咨询企业在建筑工程计价活动中，出具有虚假记载、误导性陈述的工程造价成果文件的行政处罚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对企业在接受监督检查时，不如实提供有关材料，或者拒绝、阻碍监督检查的行政处罚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对于未取得施工许可证或者为规避办理施工许可证将工程项目分解后擅自施工的施工单位的行政处罚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对违反《大气污染防治法》规定，拒不执行停止工地土石方作业或者建筑物拆除施工等重污染天气应急措施的行政处罚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设单位未按照规定提供工程周边环境等资料的；未按照规定在招标文件中列出危大工程清单的；未按照施工合同约定及时支付危大工程施工技术措施费或者相应的安全防护文明施工措施费的；未按照规定委托具有相应勘察资质的单位进行第三方监测的；未对第三方监测单位报告的异常情况组织采取处置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439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对勘察单位未在危大工程勘察文件中说明地质条件可能造成的工程风险的行政处罚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对设计单位未在设计文件中注明涉及危大工程的重点部位和环节，未提出保障工程周边环境安全和工程施工安全的意见的行政处罚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对施工单位未按照规定编制并审核危大工程专项施工方案的行政处罚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向施工现场管理人员和作业人员进行方案交底和安全技术交底的；未在施工现场显著位置公告危大工程，并在危险区域设置安全警示标志的；项目专职安全生产管理人员未对专项施工方案实施情况进行现场监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施工单位未对超过一定规模的危大工程专项施工方案进行专家论证的；未根据专家论证报告对超过一定规模的危大工程专项施工方案进行修改，或者未按规定重新组织专家论证的；未严格按照专项施工方案组织施工，或者擅自修改专项施工方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施工单位项目负责人未按照《危险性较大的分部分项工程安全管理规定》现场履职或者组织限期整改的；施工单位未按照《危险性较大的分部分项工程安全管理规定》进行施工监测和安全巡视的；未按照《危险性较大的分部分项工程安全管理规定》组织危大工程验收的；发生险情或者事故时，未采取应急处置措施的；未按照《危险性较大的分部分项工程安全管理规定》建立危大工程安全管理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4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监理单位总监理工程师未按照《危险性较大的分部分项工程安全管理规定》审查危大工程专项施工方案的；发现施工单位未按照专项施工方案实施，未要求其整改或者停工的；施工单位拒不整改或者不停止施工时，未向建设单位和工程所在地住房城乡建设主管部门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监理单位未按照《危险性较大的分部分项工程安全管理规定》编制监理实施细则的；未对危大工程施工实施专项巡视检查的；未按照《危险性较大的分部分项工程安全管理规定》参与组织危大工程验收的；未按照《危险性较大的分部分项工程安全管理规定》建立危大工程安全管理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对监测单位未取得相应勘察资质从事第三方监测的；未按照《危险性较大的分部分项工程安全管理规定》编制监测方案的；未按照监测方案开展监测的；发现异常未及时报告的行政处罚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对建设单位在地下管线工程建设中未按规定进行竣工测量的行政处罚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449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农村住房建设承揽人无图施工、不按设计图纸施工或者擅自变更设计图纸的；不按有关技术规定施工或者使用不符合工程质量要求的建筑材料和建筑构件的；不按规定提供施工记录或者施工资料的；不接受监督管理或者发现安全隐患不及时整改，造成质量安全事故的；农村住房竣工后，未依照规定参加竣工验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公共租赁住房的所有权人及其委托的运营单位向不符合条件的对象出租公共租赁住房的；未履行公共租赁住房及其配套设施维修养护义务的；改变公共租赁住房的保障性住房性质、用途，以及配套设施的规划用途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对以欺骗等不正手段，登记为轮候对象或者承租公共租赁住房的行政处罚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承租人转借、转租或者擅自调换所承租公共租赁住房的；改变所承租公共租赁住房用途的；破坏或者擅自装修所承租公共租赁住房，拒不恢复原状的；在公共租赁住房内从事违法活动的；无正当理由连续6个月以上闲置公共租赁住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对房地产经纪机构及其经纪人员提供公共租赁住房用于出租、转租、出售等经纪业务的行政处罚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依法应当进行消防设计审查的建设工程，未经依法审查或者审查不合格，擅自施工；依法应当进行消防验收的建设工程，未经消防验收或者消防验收不合格，擅自投入使用；《中华人民共和国消防法》第十三条规定的其他建设工程验收后经依法抽查不合格，不停止使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对建设单位在验收后未报住房和城乡建设主管部门备案的行政处罚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建设单位要求建筑设计单位或者建筑施工企业降低消防技术标准设计、施工；建筑设计不按照消防技术标准强制性要求进行消防设计；建筑施工不按照消防设计文件和消防技术标准施工，降低消防施工质量；工程监理单位与建设单位或者建筑施工企业串通，弄虚作假，降低消防施工质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对建设单位未按时报告设立业主大会的，或拒不承担首次业主大会会议筹备经费的行政处罚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对未通过招投标的方式选聘物业服务企业或者未经批准，擅自采用协议方式选聘物业服务企业的行政处罚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459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对物业服务企业未报送信用档案信息、统计报表等相关资料的行政处罚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对物业服务企业擅自撤离物业管理区域、停止物业服务，未履行相应告知和交接义务的行政处罚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default" w:ascii="宋体" w:hAnsi="宋体" w:eastAsia="宋体" w:cs="宋体"/>
                <w:i w:val="0"/>
                <w:iCs w:val="0"/>
                <w:color w:val="auto"/>
                <w:kern w:val="0"/>
                <w:sz w:val="20"/>
                <w:szCs w:val="20"/>
                <w:u w:val="none"/>
                <w:lang w:val="en-US" w:eastAsia="zh-CN" w:bidi="ar"/>
              </w:rPr>
              <w:t>对物业服务人经责令限期移交、退出，逾期仍不移交或者退出，拒不移交有关资料或者财物的；拒不退出物业服务区域的行政处罚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对专业经营单位未按规定履行维修、养护、更新等义务及承担相关费用的行政处罚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对餐饮等行业的生产经营单位使用燃气未安装可燃气体报警装置的行政处罚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对办展未按规定发布招展信息的行政处罚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对办展未按规定备案的行政处罚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对商场、超市等公共场所不采取有效禁烟措施的行政处罚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对违法经营美容美发业务的行政处罚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对违反《洗染业管理办法》相关规定的行政处罚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469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对零售商或者供应商违反公平交易规定的行政处罚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对擅自从事或不按照许可的经营范围从事对外劳务经营活动的行政处罚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对单用途商业预付卡发卡企业未按规定办理备案的行政处罚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对单用途商业预付卡发卡企业或售卡企业违反发行与服务相关规定的行政处罚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对单用途商业预付卡发卡企业违反资金管理及业务报告相关规定的行政处罚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对违反《家电维修服务业管理办法》相关规定的行政处罚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对家庭服务机构违反经营规范的行政处罚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对家庭服务机构未按要求订立家庭服务合同、拒绝家庭服务员获取家庭服务合同的行政处罚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对家庭服务机构未按要求建立工作档案、跟踪管理制度的行政处罚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对家庭服务机构未按要求提供信息的行政处罚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479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对家庭服务机构未公开服务项目、收费标准和投诉监督电话的行政处罚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对经营者销售禁止流通的旧电器电子产品的行政处罚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对经营者收购禁止流通的旧电器电子产品的行政处罚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对经营者和旧电器电子产品市场不配合商务主管部门监督检查的行政处罚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对经营者未设立销售台账，对销售情况进行如实、准确记录的行政处罚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对经营者销售旧电器电子产品时，未向购买者明示产品质量性能状况、主要部件维修、翻新等有关情况的行政处罚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对待售的旧电器电子产品未在显著位置标识为旧货的行政处罚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对经营者将在流通过程中获得的机关、企（事）业单位及个人信息用于与旧电器电子产品流通活动无关的领域的行政处罚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对旧电器电子产品市场未建立旧电器电子经营者档案的行政处罚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对经营者未建立旧电器电子产品档案资料的行政处罚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489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对经营者收购旧电器电子产品未对收购产品进行登记的行政处罚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对以商务、旅游、留学等名义组织劳务人员赴国外工作、允许其他单位或者个人以本企业的名义组织劳务人员赴国外工作、组织劳务人员赴国外从事与赌博、色情活动相关的行政处罚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对未安排劳务人员接受培训，组织劳务人员赴国外工作、未按规定为劳务人员购买在国外工作期间的人身意外伤害保险、未按规定安排随行管理人员的行政处罚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对未依法订立劳务合作合同，组织劳务人员赴国外工作及在国外发生突发事件时不及时处理、停止开展对外劳务合作，未对其派出的尚在国外工作的劳务人员作出安排的行政处罚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对对外劳务合作经营企业未依法履行备案义务的行政处罚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对违反《餐饮业经营管理办法（试行）》相关规定的行政处罚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对零售商促销行为违反《零售商促销行为管理办法》相关规定的行政处罚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对市场经营者违反《商品现货市场交易特别规定（试行）》相关规定的行政处罚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对违反《生活必需品市场供应应急管理办法》相关规定的行政处罚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对主办方展会期间知识产权保护不力的行政处罚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499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对汽车经营主体违反《汽车销售管理办法》相关规定的行政处罚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对取得报废机动车回收资质认定的企业不再具备相关规定条件的行政处罚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对未取得资质认定，擅自从事报废机动车回收拆解活动的行政处罚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对回收拆解企业涂改、出租、出借或者以其他形式非法转让《资质认定书》的行政处罚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对回收拆解企业未按照要求备案分支机构、回收拆解企业的分支机构拆解报废机动车的行政处罚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对回收拆解企业违规开具或者发放《报废机动车回收证明》，或者未按规定对已出具《报废机动车回收证明》的报废机动车进行拆解的行政处罚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对回收拆解企业未按照国家有关规定及时向公安机关交通管理部门办理机动车注销登记，并将注销证明转交机动车所有人的行政处罚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对回收拆解企业未在其资质认定的拆解经营场地内对回收的报废机动车予以拆解，或者交易报废机动车整车、拼装车的行政处罚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对回收拆解企业未建立生产经营全覆盖的电子监控系统，或者录像保存不足1年的行政处罚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对回收拆解企业未按照要求建立报废机动车零部件销售台账并如实记录“五大总成”信息并上传信息系统的行政处罚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509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回收拆解企业未按照国家有关标准和规定要求，对报废新能源汽车的废旧动力蓄电池或者其他类型储能设施进行拆卸、收集、贮存、运输及回收利用的，或者未将报废新能源汽车车辆识别代号及动力蓄电池编码、数量、型号、流向等信息录入有关平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回收拆解企业出售的报废机动车“五大总成”及其他零部件不符合相关要求，回收拆解企业将报废机动车“五大总成”及其他零部件出售给或者交予《报废机动车回收管理办法实施细则》第二十八条、第二十九条规定以外企业处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对非法集资个人或单位的行政处罚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对非法集资协助人的行政处罚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对与被调查的非法集资事件有关的单位和个人不配合调查，拒绝提供相关文件、资料、电子数据等或者提供虚假文件、资料、电子数据等的行政处罚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对外国投资者或者外商投资企业未按照《外商投资信息报告办法》要求报送投资信息的行政处罚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对违反政策性粮食经营活动有关规定的行政处罚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对粮食应急预案启动后，不按照国家要求承担应急任务，不服从国家的统一安排和调度的行政处罚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对违反规定且情节严重的粮食经营企业的法定代表人、主要负责人、直接负责的主管人员和其他直接责任人员的行政处罚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对违反规定编造、散布、传播虚假粮食市场信息，造成不良社会影响的行政处罚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519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对粮食收购企业未按照规定备案或者提供虚假备案信息的行政处罚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食收购者等未执行国家粮食质量标准，未及时支付售粮款，违反规定代扣、代缴税、费和其他款项，未按规定进行质量安全检验或者对不符合食品安全标准的粮食未作为非食用用途单独储存，未建立粮食经营台账或者未按规定报送粮食基本数据和有关情况，未按规定进行粮食销售出库质量安全检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对粮食收购者、储存企业未按照规定使用仓储设施、运输工具的行政处罚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对未在粮食收购场所明示工商营业执照的行政处罚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对未向售粮者出具粮食收购凭证，载明所收购粮食品种、质量等级、价格、数量和金额的行政处罚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30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对从事粮食收购、销售、储存、加工的经营者以及饲料、工业用粮企业违反规定，粮食经营台账保留时间不足3年的行政处罚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从事粮食收购、加工、储存的经营者（不含个体工商户）未配备经过专业培训的粮油保管员和粮油质量检验员等管理技术人员、不具有与所经营粮食种类和国家质量标准规定的检验项目相适应的粮食检验仪器设备和单独粮食检验场所的、不具备相应的质量管理制度、不具备规定的粮食质量检验能力和条件又无委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从事粮食储存的经营者仓储设施未符合国家有关粮食储存标准和技术规范，将粮食与可能对粮食产生污染的有害物质混存或不同收获年度的粮食混存，未按规定对霉变、病虫害超标粮食进行处理，使用国家禁止使用的化学药剂或超标使用化学药剂，以及粮库周围有有害污染源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对从事粮食收购、储存的经营者（不含个体工商户）未按照国家粮食质量标准对入库粮食进行质量检验，粮食出库或购进粮食无质检报告，或对质检报告弄虚作假的行政处罚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对在粮食交易过程中，粮食销售、加工、转化经营者未索取质检报告或对质检报告弄虚作假的行政处罚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529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对粮食收购者、粮食储存企业将不得作为食用用途的粮食作为食用用途销售的行政处罚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对粮油仓储单位未在规定时间备案或备案内容弄虚作假的行政处罚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531</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对粮油仓储单位不具备规定条件的行政处罚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532</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对粮油仓储单位违规使用“国家储备粮”和“中央储备粮”字样的行政处罚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533</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对粮油仓储单位违反粮油出入库、储存等管理规定的行政处罚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534</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对未实行粮食质量安全档案制度的行政处罚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535</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对未实行粮食召回制度的行政处罚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536</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对违规拆除、迁移粮油仓储物流设施，非法侵占、损坏粮油仓储物流设施或者擅自改变其用途的行政处罚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537</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对石油天然气管道企业未依法履行管道保护相关义务的行政处罚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538</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对实施危害石油天然气管道安全行为的行政处罚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539</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对未经依法批准进行危害石油天然气管道安全的施工作业的行政处罚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县综合执法局</w:t>
            </w:r>
          </w:p>
        </w:tc>
        <w:tc>
          <w:tcPr>
            <w:tcW w:w="5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540</w:t>
            </w:r>
          </w:p>
        </w:tc>
        <w:tc>
          <w:tcPr>
            <w:tcW w:w="11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行政处罚</w:t>
            </w:r>
          </w:p>
        </w:tc>
        <w:tc>
          <w:tcPr>
            <w:tcW w:w="55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80" w:lineRule="exact"/>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对擅自开启、关闭管道阀门等危害石油天然气管道安全及阻碍管道建设行为的行政处罚</w:t>
            </w:r>
          </w:p>
        </w:tc>
      </w:tr>
    </w:tbl>
    <w:p>
      <w:pPr>
        <w:rPr>
          <w:color w:val="auto"/>
        </w:rPr>
      </w:pPr>
    </w:p>
    <w:p>
      <w:pPr>
        <w:keepNext w:val="0"/>
        <w:keepLines w:val="0"/>
        <w:pageBreakBefore w:val="0"/>
        <w:kinsoku/>
        <w:wordWrap/>
        <w:overflowPunct/>
        <w:topLinePunct w:val="0"/>
        <w:autoSpaceDE/>
        <w:autoSpaceDN/>
        <w:bidi w:val="0"/>
        <w:adjustRightInd/>
        <w:snapToGrid/>
        <w:spacing w:line="576" w:lineRule="exact"/>
        <w:textAlignment w:val="auto"/>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仿宋">
    <w:altName w:val="汉仪仿宋简"/>
    <w:panose1 w:val="02010600040101010101"/>
    <w:charset w:val="86"/>
    <w:family w:val="auto"/>
    <w:pitch w:val="default"/>
    <w:sig w:usb0="00000000" w:usb1="0000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简体">
    <w:altName w:val="方正小标宋简体"/>
    <w:panose1 w:val="00000000000000000000"/>
    <w:charset w:val="00"/>
    <w:family w:val="auto"/>
    <w:pitch w:val="default"/>
    <w:sig w:usb0="0000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ED538"/>
    <w:multiLevelType w:val="singleLevel"/>
    <w:tmpl w:val="84AED538"/>
    <w:lvl w:ilvl="0" w:tentative="0">
      <w:start w:val="12"/>
      <w:numFmt w:val="chineseCounting"/>
      <w:suff w:val="nothing"/>
      <w:lvlText w:val="%1、"/>
      <w:lvlJc w:val="left"/>
      <w:rPr>
        <w:rFonts w:hint="eastAsia"/>
      </w:rPr>
    </w:lvl>
  </w:abstractNum>
  <w:abstractNum w:abstractNumId="1">
    <w:nsid w:val="D68371D3"/>
    <w:multiLevelType w:val="singleLevel"/>
    <w:tmpl w:val="D68371D3"/>
    <w:lvl w:ilvl="0" w:tentative="0">
      <w:start w:val="9"/>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321C1E7C"/>
    <w:rsid w:val="01085094"/>
    <w:rsid w:val="01CA216C"/>
    <w:rsid w:val="04A11137"/>
    <w:rsid w:val="04C11604"/>
    <w:rsid w:val="059F60EC"/>
    <w:rsid w:val="063E393D"/>
    <w:rsid w:val="06495B3C"/>
    <w:rsid w:val="08DA7138"/>
    <w:rsid w:val="0B2D79F3"/>
    <w:rsid w:val="0CDB5081"/>
    <w:rsid w:val="0DB5782C"/>
    <w:rsid w:val="0FE91A0F"/>
    <w:rsid w:val="13180F89"/>
    <w:rsid w:val="13EF55A0"/>
    <w:rsid w:val="149ECFB1"/>
    <w:rsid w:val="16897AA8"/>
    <w:rsid w:val="195E6FCA"/>
    <w:rsid w:val="1CA7512B"/>
    <w:rsid w:val="1D5F1562"/>
    <w:rsid w:val="1DF125E2"/>
    <w:rsid w:val="1E1F7A50"/>
    <w:rsid w:val="24A26A10"/>
    <w:rsid w:val="25906C5A"/>
    <w:rsid w:val="274878BA"/>
    <w:rsid w:val="27FD7EDC"/>
    <w:rsid w:val="2A7908EA"/>
    <w:rsid w:val="2BAF4167"/>
    <w:rsid w:val="2BE8236A"/>
    <w:rsid w:val="2EEF4FD0"/>
    <w:rsid w:val="2FAC06D6"/>
    <w:rsid w:val="2FE99F67"/>
    <w:rsid w:val="2FF823D2"/>
    <w:rsid w:val="2FFA7756"/>
    <w:rsid w:val="321C1E7C"/>
    <w:rsid w:val="329014B2"/>
    <w:rsid w:val="35C506A4"/>
    <w:rsid w:val="36296B44"/>
    <w:rsid w:val="36C32818"/>
    <w:rsid w:val="383B2EA0"/>
    <w:rsid w:val="3A6D4E67"/>
    <w:rsid w:val="3A7A10DB"/>
    <w:rsid w:val="3C5048BA"/>
    <w:rsid w:val="3CCA39B9"/>
    <w:rsid w:val="3D7EE6C1"/>
    <w:rsid w:val="3DFFBC2F"/>
    <w:rsid w:val="3ED5C443"/>
    <w:rsid w:val="3EE952CA"/>
    <w:rsid w:val="3EFDBB72"/>
    <w:rsid w:val="3F5004F7"/>
    <w:rsid w:val="3F5E1222"/>
    <w:rsid w:val="3FFF0794"/>
    <w:rsid w:val="3FFFADD2"/>
    <w:rsid w:val="404C551E"/>
    <w:rsid w:val="407D392A"/>
    <w:rsid w:val="412A4682"/>
    <w:rsid w:val="422420D3"/>
    <w:rsid w:val="43EA39CC"/>
    <w:rsid w:val="440E0E5D"/>
    <w:rsid w:val="45F23B91"/>
    <w:rsid w:val="46396750"/>
    <w:rsid w:val="474E2FFB"/>
    <w:rsid w:val="48414953"/>
    <w:rsid w:val="48C9414A"/>
    <w:rsid w:val="48F50C11"/>
    <w:rsid w:val="4A7B35D0"/>
    <w:rsid w:val="4B8D7117"/>
    <w:rsid w:val="4CE23492"/>
    <w:rsid w:val="4EC7210A"/>
    <w:rsid w:val="4F83D020"/>
    <w:rsid w:val="51764AF1"/>
    <w:rsid w:val="5284783E"/>
    <w:rsid w:val="52CB6777"/>
    <w:rsid w:val="55466C90"/>
    <w:rsid w:val="55F6B8A5"/>
    <w:rsid w:val="56F7512C"/>
    <w:rsid w:val="5B7F5A9F"/>
    <w:rsid w:val="5D6FD39B"/>
    <w:rsid w:val="5E6BF1A7"/>
    <w:rsid w:val="5FD2424C"/>
    <w:rsid w:val="63E26159"/>
    <w:rsid w:val="642E56A3"/>
    <w:rsid w:val="673A0F05"/>
    <w:rsid w:val="673E42C0"/>
    <w:rsid w:val="67551ABE"/>
    <w:rsid w:val="67FFB5C5"/>
    <w:rsid w:val="691E53FA"/>
    <w:rsid w:val="69BD10B7"/>
    <w:rsid w:val="6B4D24B9"/>
    <w:rsid w:val="6B9F6C7F"/>
    <w:rsid w:val="6BD75D9D"/>
    <w:rsid w:val="6CE10C19"/>
    <w:rsid w:val="6D3EE685"/>
    <w:rsid w:val="71C72238"/>
    <w:rsid w:val="71FB47D2"/>
    <w:rsid w:val="744C45A0"/>
    <w:rsid w:val="75AD258B"/>
    <w:rsid w:val="75D7D3DB"/>
    <w:rsid w:val="768D5B7F"/>
    <w:rsid w:val="7726B2C7"/>
    <w:rsid w:val="77F69AB9"/>
    <w:rsid w:val="799E2CD3"/>
    <w:rsid w:val="79E91F2F"/>
    <w:rsid w:val="7A9B1E20"/>
    <w:rsid w:val="7B0A57DF"/>
    <w:rsid w:val="7B915F02"/>
    <w:rsid w:val="7B9D3A26"/>
    <w:rsid w:val="7BC319E5"/>
    <w:rsid w:val="7BF7A5A7"/>
    <w:rsid w:val="7CC52305"/>
    <w:rsid w:val="7D4E331C"/>
    <w:rsid w:val="7D7FBAF4"/>
    <w:rsid w:val="7DBD2BF3"/>
    <w:rsid w:val="7DDD930E"/>
    <w:rsid w:val="7F770074"/>
    <w:rsid w:val="7FA7A8A4"/>
    <w:rsid w:val="7FD98209"/>
    <w:rsid w:val="9B9DBBAB"/>
    <w:rsid w:val="9DFF0678"/>
    <w:rsid w:val="9FDF4868"/>
    <w:rsid w:val="9FF7E1AE"/>
    <w:rsid w:val="9FFFDECD"/>
    <w:rsid w:val="A7FF3AFA"/>
    <w:rsid w:val="AFBFE820"/>
    <w:rsid w:val="B67D1F92"/>
    <w:rsid w:val="B76EE734"/>
    <w:rsid w:val="B97FD3F2"/>
    <w:rsid w:val="BAF7B281"/>
    <w:rsid w:val="BDEE9914"/>
    <w:rsid w:val="BEC980B1"/>
    <w:rsid w:val="BEFE9E6B"/>
    <w:rsid w:val="BF7D5313"/>
    <w:rsid w:val="CBE9B0D9"/>
    <w:rsid w:val="D2F5F1BF"/>
    <w:rsid w:val="D6AED3E2"/>
    <w:rsid w:val="D7FD9A45"/>
    <w:rsid w:val="D9FE7B7E"/>
    <w:rsid w:val="DCBEC4D5"/>
    <w:rsid w:val="DCFD68B2"/>
    <w:rsid w:val="DD66457B"/>
    <w:rsid w:val="DEF78823"/>
    <w:rsid w:val="DEFF3B69"/>
    <w:rsid w:val="DFE29FEC"/>
    <w:rsid w:val="E2FAF3E7"/>
    <w:rsid w:val="E4FF2C13"/>
    <w:rsid w:val="EB4D9DA3"/>
    <w:rsid w:val="EB7EF33D"/>
    <w:rsid w:val="EBBFE478"/>
    <w:rsid w:val="EBD210F2"/>
    <w:rsid w:val="ECFD611B"/>
    <w:rsid w:val="EDBE529A"/>
    <w:rsid w:val="F2B70185"/>
    <w:rsid w:val="F37FF677"/>
    <w:rsid w:val="F3B65B5F"/>
    <w:rsid w:val="F4DF6675"/>
    <w:rsid w:val="FB7757E6"/>
    <w:rsid w:val="FCA4A579"/>
    <w:rsid w:val="FCE75498"/>
    <w:rsid w:val="FFDF28F5"/>
    <w:rsid w:val="FFF79306"/>
    <w:rsid w:val="FFFBA147"/>
    <w:rsid w:val="FFFF46BE"/>
    <w:rsid w:val="FFFFD8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w:basedOn w:val="1"/>
    <w:qFormat/>
    <w:uiPriority w:val="1"/>
    <w:rPr>
      <w:sz w:val="32"/>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Autospacing="1" w:afterAutospacing="1"/>
      <w:jc w:val="left"/>
    </w:pPr>
    <w:rPr>
      <w:rFonts w:ascii="Calibri" w:hAnsi="Calibri"/>
      <w:kern w:val="0"/>
      <w:sz w:val="24"/>
      <w:szCs w:val="22"/>
    </w:rPr>
  </w:style>
  <w:style w:type="table" w:styleId="8">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none"/>
    </w:rPr>
  </w:style>
  <w:style w:type="paragraph" w:customStyle="1" w:styleId="12">
    <w:name w:val="BodyText"/>
    <w:basedOn w:val="1"/>
    <w:qFormat/>
    <w:uiPriority w:val="0"/>
    <w:pPr>
      <w:spacing w:after="120"/>
    </w:pPr>
  </w:style>
  <w:style w:type="paragraph" w:customStyle="1" w:styleId="13">
    <w:name w:val="Default"/>
    <w:qFormat/>
    <w:uiPriority w:val="99"/>
    <w:pPr>
      <w:widowControl w:val="0"/>
      <w:autoSpaceDE w:val="0"/>
      <w:autoSpaceDN w:val="0"/>
      <w:adjustRightInd w:val="0"/>
    </w:pPr>
    <w:rPr>
      <w:rFonts w:ascii="宋体" w:hAnsi="Calibri" w:eastAsia="仿宋_GB2312" w:cs="宋体"/>
      <w:color w:val="000000"/>
      <w:sz w:val="24"/>
      <w:szCs w:val="24"/>
      <w:lang w:val="en-US" w:eastAsia="zh-CN" w:bidi="ar-SA"/>
    </w:rPr>
  </w:style>
  <w:style w:type="paragraph" w:customStyle="1" w:styleId="14">
    <w:name w:val="_Style 18"/>
    <w:basedOn w:val="1"/>
    <w:next w:val="1"/>
    <w:qFormat/>
    <w:uiPriority w:val="0"/>
    <w:pPr>
      <w:pBdr>
        <w:bottom w:val="single" w:color="auto" w:sz="6" w:space="1"/>
      </w:pBdr>
      <w:jc w:val="center"/>
    </w:pPr>
    <w:rPr>
      <w:rFonts w:ascii="Arial" w:eastAsia="宋体"/>
      <w:vanish/>
      <w:sz w:val="16"/>
    </w:rPr>
  </w:style>
  <w:style w:type="paragraph" w:customStyle="1" w:styleId="15">
    <w:name w:val="_Style 19"/>
    <w:basedOn w:val="1"/>
    <w:next w:val="1"/>
    <w:qFormat/>
    <w:uiPriority w:val="0"/>
    <w:pPr>
      <w:pBdr>
        <w:top w:val="single" w:color="auto" w:sz="6" w:space="1"/>
      </w:pBdr>
      <w:jc w:val="center"/>
    </w:pPr>
    <w:rPr>
      <w:rFonts w:ascii="Arial" w:eastAsia="宋体"/>
      <w:vanish/>
      <w:sz w:val="16"/>
    </w:rPr>
  </w:style>
  <w:style w:type="paragraph" w:customStyle="1" w:styleId="16">
    <w:name w:val="Other|1"/>
    <w:basedOn w:val="1"/>
    <w:qFormat/>
    <w:uiPriority w:val="0"/>
    <w:pPr>
      <w:jc w:val="left"/>
    </w:pPr>
    <w:rPr>
      <w:rFonts w:ascii="宋体" w:hAnsi="宋体" w:cs="宋体"/>
      <w:color w:val="000000"/>
      <w:kern w:val="0"/>
      <w:sz w:val="19"/>
      <w:szCs w:val="19"/>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58261</Words>
  <Characters>59982</Characters>
  <Lines>0</Lines>
  <Paragraphs>0</Paragraphs>
  <TotalTime>5</TotalTime>
  <ScaleCrop>false</ScaleCrop>
  <LinksUpToDate>false</LinksUpToDate>
  <CharactersWithSpaces>60237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2021-05-31T03:57:00Z</dcterms:created>
  <dc:creator>Administrator</dc:creator>
  <cp:lastModifiedBy>user</cp:lastModifiedBy>
  <dcterms:modified xsi:type="dcterms:W3CDTF">2025-02-08T10:18:26Z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8A21774681DA4ECF901D0989073C4E45_13</vt:lpwstr>
  </property>
</Properties>
</file>