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bookmarkStart w:id="0" w:name="_GoBack"/>
      <w:bookmarkEnd w:id="0"/>
      <w:r>
        <w:rPr>
          <w:rFonts w:hint="eastAsia" w:ascii="方正小标宋简体" w:hAnsi="方正小标宋简体" w:eastAsia="方正小标宋简体" w:cs="方正小标宋简体"/>
          <w:b w:val="0"/>
          <w:bCs w:val="0"/>
          <w:sz w:val="44"/>
          <w:szCs w:val="44"/>
          <w:lang w:val="en-US" w:eastAsia="zh-CN"/>
        </w:rPr>
        <w:t>剑阁县财政局</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华文仿宋"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财政局</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财政局</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财政局</w:t>
      </w:r>
      <w:r>
        <w:rPr>
          <w:rFonts w:hint="eastAsia" w:ascii="仿宋_GB2312" w:hAnsi="华文仿宋" w:eastAsia="仿宋_GB2312" w:cs="仿宋_GB2312"/>
          <w:sz w:val="32"/>
          <w:szCs w:val="32"/>
        </w:rPr>
        <w:t>行政执法权力、责任清单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财政局</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财政局</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C00000"/>
          <w:sz w:val="32"/>
          <w:szCs w:val="32"/>
          <w:lang w:eastAsia="zh-CN"/>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财政局行政执法裁量权标准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财政局</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w:t>
      </w:r>
      <w:r>
        <w:rPr>
          <w:rFonts w:hint="eastAsia" w:ascii="仿宋_GB2312" w:hAnsi="华文仿宋" w:eastAsia="仿宋_GB2312" w:cs="仿宋_GB2312"/>
          <w:sz w:val="32"/>
          <w:szCs w:val="32"/>
          <w:lang w:val="en-US" w:eastAsia="zh-CN"/>
        </w:rPr>
        <w:t>2024年</w:t>
      </w:r>
      <w:r>
        <w:rPr>
          <w:rFonts w:hint="eastAsia" w:ascii="仿宋_GB2312" w:hAnsi="华文仿宋" w:eastAsia="仿宋_GB2312" w:cs="仿宋_GB2312"/>
          <w:sz w:val="32"/>
          <w:szCs w:val="32"/>
        </w:rPr>
        <w:t>抽查计划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八、剑阁县</w:t>
      </w:r>
      <w:r>
        <w:rPr>
          <w:rFonts w:hint="eastAsia" w:ascii="仿宋_GB2312" w:hAnsi="华文仿宋" w:eastAsia="仿宋_GB2312" w:cs="仿宋_GB2312"/>
          <w:sz w:val="32"/>
          <w:szCs w:val="32"/>
          <w:lang w:eastAsia="zh-CN"/>
        </w:rPr>
        <w:t>财政局</w:t>
      </w:r>
      <w:r>
        <w:rPr>
          <w:rFonts w:hint="eastAsia" w:ascii="仿宋_GB2312" w:hAnsi="华文仿宋" w:eastAsia="仿宋_GB2312" w:cs="仿宋_GB2312"/>
          <w:sz w:val="32"/>
          <w:szCs w:val="32"/>
        </w:rPr>
        <w:t>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w:t>
      </w:r>
      <w:r>
        <w:rPr>
          <w:rFonts w:hint="eastAsia" w:ascii="仿宋_GB2312" w:hAnsi="华文仿宋" w:eastAsia="仿宋_GB2312" w:cs="仿宋_GB2312"/>
          <w:sz w:val="32"/>
          <w:szCs w:val="32"/>
          <w:lang w:eastAsia="zh-CN"/>
        </w:rPr>
        <w:t>财政局</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财政局</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十一、</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财政局</w:t>
      </w:r>
      <w:r>
        <w:rPr>
          <w:rFonts w:hint="eastAsia" w:ascii="仿宋_GB2312" w:hAnsi="华文仿宋" w:eastAsia="仿宋_GB2312" w:cs="仿宋_GB2312"/>
          <w:sz w:val="32"/>
          <w:szCs w:val="32"/>
        </w:rPr>
        <w:t>分类检查事项目录和不予、免予</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从轻、减轻、从重行政处罚清单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十二、</w:t>
      </w:r>
      <w:r>
        <w:rPr>
          <w:rFonts w:hint="eastAsia" w:ascii="仿宋_GB2312" w:hAnsi="华文仿宋" w:eastAsia="仿宋_GB2312" w:cs="仿宋_GB2312"/>
          <w:sz w:val="32"/>
          <w:szCs w:val="32"/>
          <w:lang w:eastAsia="zh-CN"/>
        </w:rPr>
        <w:t>剑阁县财政局</w:t>
      </w:r>
      <w:r>
        <w:rPr>
          <w:rFonts w:hint="eastAsia" w:ascii="仿宋_GB2312" w:hAnsi="华文仿宋" w:eastAsia="仿宋_GB2312" w:cs="仿宋_GB2312"/>
          <w:sz w:val="32"/>
          <w:szCs w:val="32"/>
          <w:lang w:val="en-US" w:eastAsia="zh-CN"/>
        </w:rPr>
        <w:t>行政执法事项目录</w:t>
      </w:r>
    </w:p>
    <w:p>
      <w:pPr>
        <w:pStyle w:val="2"/>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bCs/>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剑阁县财政局</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行政执法集中公示内容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一、剑阁县财政局行政执法主体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（一）行政执法主体1个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剑阁县财政局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地址:剑阁县下寺镇南华街63号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邮编:628317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电话0839-6601893        传真:0839-6601893</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（二）行政执法机构设置3个</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jc w:val="left"/>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1.法规会计股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pacing w:val="-6"/>
          <w:sz w:val="32"/>
          <w:szCs w:val="32"/>
          <w:lang w:val="en-US" w:eastAsia="zh-CN"/>
        </w:rPr>
      </w:pPr>
      <w:r>
        <w:rPr>
          <w:rFonts w:hint="eastAsia" w:ascii="仿宋_GB2312" w:eastAsia="仿宋_GB2312"/>
          <w:sz w:val="32"/>
          <w:szCs w:val="32"/>
          <w:lang w:val="en-US" w:eastAsia="zh-CN"/>
        </w:rPr>
        <w:t>主要职责：承担有关规范性文件的合法性审核工作。承担重大行政处罚听证、行政复议、行政应诉工作。指导本系统综合行政执法工作，制定财政执法责任制度并组织监督检查。组织财政普法工作。承担本系统权责清单制度建设、动态调整等工作。管理全县会计工作，贯彻实施国家统一的会计法律法规和会计制度。指导会计人才队伍建设有关工作，按规定承担会计专业技术资格管理工作。</w:t>
      </w:r>
      <w:r>
        <w:rPr>
          <w:rFonts w:hint="eastAsia" w:ascii="仿宋_GB2312" w:eastAsia="仿宋_GB2312"/>
          <w:spacing w:val="-6"/>
          <w:sz w:val="32"/>
          <w:szCs w:val="32"/>
          <w:lang w:val="en-US" w:eastAsia="zh-CN"/>
        </w:rPr>
        <w:t>指导和监督代理记账机构工作。牵头协调推进本系统“放管服”改革，承担审批服务便民化有关工作，集中承担县本级有关行政许可事项受理、审批等工作，推进纳入一体化政务服务平台。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股室负责人：卫宗钰      联系电话：0839—6601886</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left"/>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2.政府采购监督管理股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主要职责：拟订全县政府采购管理制度。负责审核县级政府采购预算。监督管理县级政府采购活动。负责县级政府采购供应商投诉处理。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股室负责人：赵安忠    联系电话：0839—6600596</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jc w:val="left"/>
        <w:textAlignment w:val="auto"/>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3.财政监督与绩效管理股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主要职责：牵头建立财政监督与绩效管理制度机制。负责重大财政政策落实、财经纪律执行、行业执业质量等监督检查工作。承担全面实施预算绩效管理有关工作。牵头组织开展事前绩效评估、事中绩效监控、事后绩效评价工作，督促开展绩效目标管理和评价结果应用工作。负责本部门内部控制管理和内部审计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股室负责人：郑晓蓉       联系电话：0839—6601160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i w:val="0"/>
          <w:iCs w:val="0"/>
          <w:sz w:val="32"/>
          <w:szCs w:val="32"/>
          <w:lang w:val="en-US" w:eastAsia="zh-CN"/>
        </w:rPr>
      </w:pPr>
      <w:r>
        <w:rPr>
          <w:rFonts w:hint="eastAsia" w:ascii="黑体" w:hAnsi="黑体" w:eastAsia="黑体" w:cs="黑体"/>
          <w:b w:val="0"/>
          <w:bCs w:val="0"/>
          <w:i w:val="0"/>
          <w:iCs w:val="0"/>
          <w:sz w:val="32"/>
          <w:szCs w:val="32"/>
          <w:lang w:val="en-US" w:eastAsia="zh-CN"/>
        </w:rPr>
        <w:t>二、剑阁县财政局行政执法人员清单</w:t>
      </w:r>
    </w:p>
    <w:tbl>
      <w:tblPr>
        <w:tblStyle w:val="11"/>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544"/>
        <w:gridCol w:w="2114"/>
        <w:gridCol w:w="779"/>
        <w:gridCol w:w="1384"/>
        <w:gridCol w:w="2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648"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序号</w:t>
            </w:r>
          </w:p>
        </w:tc>
        <w:tc>
          <w:tcPr>
            <w:tcW w:w="1544"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姓名</w:t>
            </w:r>
          </w:p>
        </w:tc>
        <w:tc>
          <w:tcPr>
            <w:tcW w:w="2114"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证件编号</w:t>
            </w:r>
          </w:p>
        </w:tc>
        <w:tc>
          <w:tcPr>
            <w:tcW w:w="779"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序号</w:t>
            </w:r>
          </w:p>
        </w:tc>
        <w:tc>
          <w:tcPr>
            <w:tcW w:w="1384"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姓名</w:t>
            </w:r>
          </w:p>
        </w:tc>
        <w:tc>
          <w:tcPr>
            <w:tcW w:w="2569"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48"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1</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杨  悦</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000000"/>
                <w:kern w:val="0"/>
                <w:sz w:val="21"/>
                <w:szCs w:val="21"/>
                <w:u w:val="none"/>
                <w:lang w:val="en-US" w:eastAsia="zh-CN" w:bidi="ar"/>
              </w:rPr>
              <w:t>23070312046</w:t>
            </w:r>
          </w:p>
        </w:tc>
        <w:tc>
          <w:tcPr>
            <w:tcW w:w="77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15</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李国安</w:t>
            </w:r>
          </w:p>
        </w:tc>
        <w:tc>
          <w:tcPr>
            <w:tcW w:w="256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666666"/>
                <w:kern w:val="0"/>
                <w:sz w:val="21"/>
                <w:szCs w:val="21"/>
                <w:u w:val="none"/>
                <w:lang w:val="en-US" w:eastAsia="zh-CN" w:bidi="ar"/>
              </w:rPr>
              <w:t>23070312041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648"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2</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李  佳</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000000"/>
                <w:kern w:val="0"/>
                <w:sz w:val="21"/>
                <w:szCs w:val="21"/>
                <w:u w:val="none"/>
                <w:lang w:val="en-US" w:eastAsia="zh-CN" w:bidi="ar"/>
              </w:rPr>
              <w:t>23070312038</w:t>
            </w:r>
          </w:p>
        </w:tc>
        <w:tc>
          <w:tcPr>
            <w:tcW w:w="77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16</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曾蕤佳</w:t>
            </w:r>
          </w:p>
        </w:tc>
        <w:tc>
          <w:tcPr>
            <w:tcW w:w="256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000000"/>
                <w:kern w:val="0"/>
                <w:sz w:val="21"/>
                <w:szCs w:val="21"/>
                <w:u w:val="none"/>
                <w:lang w:val="en-US" w:eastAsia="zh-CN" w:bidi="ar"/>
              </w:rPr>
              <w:t>23070312057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48"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3</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李秋文</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000000"/>
                <w:kern w:val="0"/>
                <w:sz w:val="21"/>
                <w:szCs w:val="21"/>
                <w:u w:val="none"/>
                <w:lang w:val="en-US" w:eastAsia="zh-CN" w:bidi="ar"/>
              </w:rPr>
              <w:t>23070312035</w:t>
            </w:r>
          </w:p>
        </w:tc>
        <w:tc>
          <w:tcPr>
            <w:tcW w:w="77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17</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郑  毅</w:t>
            </w:r>
          </w:p>
        </w:tc>
        <w:tc>
          <w:tcPr>
            <w:tcW w:w="256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000000"/>
                <w:kern w:val="0"/>
                <w:sz w:val="21"/>
                <w:szCs w:val="21"/>
                <w:u w:val="none"/>
                <w:lang w:val="en-US" w:eastAsia="zh-CN" w:bidi="ar"/>
              </w:rPr>
              <w:t>23070312040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48"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4</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吴中杭</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000000"/>
                <w:kern w:val="0"/>
                <w:sz w:val="21"/>
                <w:szCs w:val="21"/>
                <w:u w:val="none"/>
                <w:lang w:val="en-US" w:eastAsia="zh-CN" w:bidi="ar"/>
              </w:rPr>
              <w:t>23070312028</w:t>
            </w:r>
          </w:p>
        </w:tc>
        <w:tc>
          <w:tcPr>
            <w:tcW w:w="77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18</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郑晓蓉</w:t>
            </w:r>
          </w:p>
        </w:tc>
        <w:tc>
          <w:tcPr>
            <w:tcW w:w="256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666666"/>
                <w:kern w:val="0"/>
                <w:sz w:val="21"/>
                <w:szCs w:val="21"/>
                <w:u w:val="none"/>
                <w:lang w:val="en-US" w:eastAsia="zh-CN" w:bidi="ar"/>
              </w:rPr>
              <w:t>23070312039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8"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5</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张晋茹</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000000"/>
                <w:kern w:val="0"/>
                <w:sz w:val="21"/>
                <w:szCs w:val="21"/>
                <w:u w:val="none"/>
                <w:lang w:val="en-US" w:eastAsia="zh-CN" w:bidi="ar"/>
              </w:rPr>
              <w:t>23070312031</w:t>
            </w:r>
          </w:p>
        </w:tc>
        <w:tc>
          <w:tcPr>
            <w:tcW w:w="77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19</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杨萍</w:t>
            </w:r>
          </w:p>
        </w:tc>
        <w:tc>
          <w:tcPr>
            <w:tcW w:w="256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000000"/>
                <w:kern w:val="0"/>
                <w:sz w:val="21"/>
                <w:szCs w:val="21"/>
                <w:u w:val="none"/>
                <w:lang w:val="en-US" w:eastAsia="zh-CN" w:bidi="ar"/>
              </w:rPr>
              <w:t>23070312024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648"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6</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张雪梅</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000000"/>
                <w:kern w:val="0"/>
                <w:sz w:val="21"/>
                <w:szCs w:val="21"/>
                <w:u w:val="none"/>
                <w:lang w:val="en-US" w:eastAsia="zh-CN" w:bidi="ar"/>
              </w:rPr>
              <w:t>23070312055</w:t>
            </w:r>
          </w:p>
        </w:tc>
        <w:tc>
          <w:tcPr>
            <w:tcW w:w="779" w:type="dxa"/>
            <w:vAlign w:val="center"/>
          </w:tcPr>
          <w:p>
            <w:pPr>
              <w:keepNext w:val="0"/>
              <w:keepLines w:val="0"/>
              <w:widowControl/>
              <w:suppressLineNumbers w:val="0"/>
              <w:jc w:val="center"/>
              <w:textAlignment w:val="center"/>
              <w:rPr>
                <w:rFonts w:hint="default"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20</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高怀东</w:t>
            </w:r>
          </w:p>
        </w:tc>
        <w:tc>
          <w:tcPr>
            <w:tcW w:w="256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666666"/>
                <w:kern w:val="0"/>
                <w:sz w:val="21"/>
                <w:szCs w:val="21"/>
                <w:u w:val="none"/>
                <w:lang w:val="en-US" w:eastAsia="zh-CN" w:bidi="ar"/>
              </w:rPr>
              <w:t>23070312037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8"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7</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徐  刚</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000000"/>
                <w:kern w:val="0"/>
                <w:sz w:val="21"/>
                <w:szCs w:val="21"/>
                <w:u w:val="none"/>
                <w:lang w:val="en-US" w:eastAsia="zh-CN" w:bidi="ar"/>
              </w:rPr>
              <w:t>23070312056</w:t>
            </w:r>
          </w:p>
        </w:tc>
        <w:tc>
          <w:tcPr>
            <w:tcW w:w="779" w:type="dxa"/>
            <w:vAlign w:val="center"/>
          </w:tcPr>
          <w:p>
            <w:pPr>
              <w:keepNext w:val="0"/>
              <w:keepLines w:val="0"/>
              <w:widowControl/>
              <w:suppressLineNumbers w:val="0"/>
              <w:jc w:val="center"/>
              <w:textAlignment w:val="center"/>
              <w:rPr>
                <w:rFonts w:hint="default"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21</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谢  静</w:t>
            </w:r>
          </w:p>
        </w:tc>
        <w:tc>
          <w:tcPr>
            <w:tcW w:w="2569" w:type="dxa"/>
            <w:vAlign w:val="center"/>
          </w:tcPr>
          <w:p>
            <w:pPr>
              <w:keepNext w:val="0"/>
              <w:keepLines w:val="0"/>
              <w:widowControl/>
              <w:suppressLineNumbers w:val="0"/>
              <w:jc w:val="center"/>
              <w:textAlignment w:val="center"/>
              <w:rPr>
                <w:rFonts w:hint="default"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000000"/>
                <w:kern w:val="0"/>
                <w:sz w:val="21"/>
                <w:szCs w:val="21"/>
                <w:u w:val="none"/>
                <w:lang w:val="en-US" w:eastAsia="zh-CN" w:bidi="ar"/>
              </w:rPr>
              <w:t>23070312036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8" w:type="dxa"/>
            <w:vAlign w:val="center"/>
          </w:tcPr>
          <w:p>
            <w:pPr>
              <w:keepNext w:val="0"/>
              <w:keepLines w:val="0"/>
              <w:widowControl/>
              <w:suppressLineNumbers w:val="0"/>
              <w:jc w:val="center"/>
              <w:textAlignment w:val="center"/>
              <w:rPr>
                <w:rFonts w:hint="default"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8</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谭元贵</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000000"/>
                <w:kern w:val="0"/>
                <w:sz w:val="21"/>
                <w:szCs w:val="21"/>
                <w:u w:val="none"/>
                <w:lang w:val="en-US" w:eastAsia="zh-CN" w:bidi="ar"/>
              </w:rPr>
              <w:t>23070312053</w:t>
            </w:r>
          </w:p>
        </w:tc>
        <w:tc>
          <w:tcPr>
            <w:tcW w:w="779" w:type="dxa"/>
            <w:vAlign w:val="center"/>
          </w:tcPr>
          <w:p>
            <w:pPr>
              <w:keepNext w:val="0"/>
              <w:keepLines w:val="0"/>
              <w:widowControl/>
              <w:suppressLineNumbers w:val="0"/>
              <w:jc w:val="center"/>
              <w:textAlignment w:val="center"/>
              <w:rPr>
                <w:rFonts w:hint="default"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22</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王军利</w:t>
            </w:r>
          </w:p>
        </w:tc>
        <w:tc>
          <w:tcPr>
            <w:tcW w:w="2569" w:type="dxa"/>
            <w:vAlign w:val="center"/>
          </w:tcPr>
          <w:p>
            <w:pPr>
              <w:keepNext w:val="0"/>
              <w:keepLines w:val="0"/>
              <w:widowControl/>
              <w:suppressLineNumbers w:val="0"/>
              <w:jc w:val="center"/>
              <w:textAlignment w:val="center"/>
              <w:rPr>
                <w:rFonts w:hint="default"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000000"/>
                <w:kern w:val="0"/>
                <w:sz w:val="21"/>
                <w:szCs w:val="21"/>
                <w:u w:val="none"/>
                <w:lang w:val="en-US" w:eastAsia="zh-CN" w:bidi="ar"/>
              </w:rPr>
              <w:t>23070312027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648" w:type="dxa"/>
            <w:vAlign w:val="center"/>
          </w:tcPr>
          <w:p>
            <w:pPr>
              <w:keepNext w:val="0"/>
              <w:keepLines w:val="0"/>
              <w:widowControl/>
              <w:suppressLineNumbers w:val="0"/>
              <w:jc w:val="center"/>
              <w:textAlignment w:val="center"/>
              <w:rPr>
                <w:rFonts w:hint="default"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9</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张  骏</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000000"/>
                <w:kern w:val="0"/>
                <w:sz w:val="21"/>
                <w:szCs w:val="21"/>
                <w:u w:val="none"/>
                <w:lang w:val="en-US" w:eastAsia="zh-CN" w:bidi="ar"/>
              </w:rPr>
              <w:t>23070312029</w:t>
            </w:r>
          </w:p>
        </w:tc>
        <w:tc>
          <w:tcPr>
            <w:tcW w:w="77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23</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赵安忠</w:t>
            </w:r>
          </w:p>
        </w:tc>
        <w:tc>
          <w:tcPr>
            <w:tcW w:w="256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000000"/>
                <w:kern w:val="0"/>
                <w:sz w:val="21"/>
                <w:szCs w:val="21"/>
                <w:u w:val="none"/>
                <w:lang w:val="en-US" w:eastAsia="zh-CN" w:bidi="ar"/>
              </w:rPr>
              <w:t>23070312025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648" w:type="dxa"/>
            <w:vAlign w:val="center"/>
          </w:tcPr>
          <w:p>
            <w:pPr>
              <w:keepNext w:val="0"/>
              <w:keepLines w:val="0"/>
              <w:widowControl/>
              <w:suppressLineNumbers w:val="0"/>
              <w:jc w:val="center"/>
              <w:textAlignment w:val="center"/>
              <w:rPr>
                <w:rFonts w:hint="default"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10</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罗  勇</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000000"/>
                <w:kern w:val="0"/>
                <w:sz w:val="21"/>
                <w:szCs w:val="21"/>
                <w:u w:val="none"/>
                <w:lang w:val="en-US" w:eastAsia="zh-CN" w:bidi="ar"/>
              </w:rPr>
              <w:t>23070312023</w:t>
            </w:r>
          </w:p>
        </w:tc>
        <w:tc>
          <w:tcPr>
            <w:tcW w:w="77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24</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张碧蓉</w:t>
            </w:r>
          </w:p>
        </w:tc>
        <w:tc>
          <w:tcPr>
            <w:tcW w:w="256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000000"/>
                <w:kern w:val="0"/>
                <w:sz w:val="21"/>
                <w:szCs w:val="21"/>
                <w:u w:val="none"/>
                <w:lang w:val="en-US" w:eastAsia="zh-CN" w:bidi="ar"/>
              </w:rPr>
              <w:t>23070312022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48"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11</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魏  伟</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000000"/>
                <w:kern w:val="0"/>
                <w:sz w:val="21"/>
                <w:szCs w:val="21"/>
                <w:u w:val="none"/>
                <w:lang w:val="en-US" w:eastAsia="zh-CN" w:bidi="ar"/>
              </w:rPr>
              <w:t>23070312034</w:t>
            </w:r>
          </w:p>
        </w:tc>
        <w:tc>
          <w:tcPr>
            <w:tcW w:w="77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25</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罗友伸</w:t>
            </w:r>
          </w:p>
        </w:tc>
        <w:tc>
          <w:tcPr>
            <w:tcW w:w="256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000000"/>
                <w:kern w:val="0"/>
                <w:sz w:val="21"/>
                <w:szCs w:val="21"/>
                <w:u w:val="none"/>
                <w:lang w:val="en-US" w:eastAsia="zh-CN" w:bidi="ar"/>
              </w:rPr>
              <w:t>23070312021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48"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12</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付雪梅</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666666"/>
                <w:kern w:val="0"/>
                <w:sz w:val="21"/>
                <w:szCs w:val="21"/>
                <w:u w:val="none"/>
                <w:lang w:val="en-US" w:eastAsia="zh-CN" w:bidi="ar"/>
              </w:rPr>
              <w:t>23070312050</w:t>
            </w:r>
          </w:p>
        </w:tc>
        <w:tc>
          <w:tcPr>
            <w:tcW w:w="77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26</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贾岚</w:t>
            </w:r>
          </w:p>
        </w:tc>
        <w:tc>
          <w:tcPr>
            <w:tcW w:w="256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000000"/>
                <w:kern w:val="0"/>
                <w:sz w:val="21"/>
                <w:szCs w:val="21"/>
                <w:u w:val="none"/>
                <w:lang w:val="en-US" w:eastAsia="zh-CN" w:bidi="ar"/>
              </w:rPr>
              <w:t>23070312026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648"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13</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王立东</w:t>
            </w:r>
          </w:p>
        </w:tc>
        <w:tc>
          <w:tcPr>
            <w:tcW w:w="211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Fonts w:hint="eastAsia" w:ascii="微软雅黑" w:hAnsi="微软雅黑" w:eastAsia="微软雅黑" w:cs="微软雅黑"/>
                <w:i w:val="0"/>
                <w:iCs w:val="0"/>
                <w:color w:val="666666"/>
                <w:kern w:val="0"/>
                <w:sz w:val="21"/>
                <w:szCs w:val="21"/>
                <w:u w:val="none"/>
                <w:lang w:val="en-US" w:eastAsia="zh-CN" w:bidi="ar"/>
              </w:rPr>
              <w:t>23070312048</w:t>
            </w:r>
          </w:p>
        </w:tc>
        <w:tc>
          <w:tcPr>
            <w:tcW w:w="77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default" w:ascii="仿宋_GB2312" w:hAnsi="宋体" w:eastAsia="仿宋_GB2312" w:cs="仿宋_GB2312"/>
                <w:i w:val="0"/>
                <w:iCs w:val="0"/>
                <w:color w:val="000000"/>
                <w:kern w:val="0"/>
                <w:sz w:val="28"/>
                <w:szCs w:val="28"/>
                <w:u w:val="none"/>
                <w:lang w:val="en-US" w:eastAsia="zh-CN" w:bidi="ar"/>
              </w:rPr>
              <w:t>27</w:t>
            </w:r>
          </w:p>
        </w:tc>
        <w:tc>
          <w:tcPr>
            <w:tcW w:w="1384"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宋体" w:hAnsi="宋体" w:eastAsia="宋体" w:cs="宋体"/>
                <w:i w:val="0"/>
                <w:iCs w:val="0"/>
                <w:color w:val="000000"/>
                <w:kern w:val="0"/>
                <w:sz w:val="24"/>
                <w:szCs w:val="24"/>
                <w:u w:val="none"/>
                <w:lang w:val="en-US" w:eastAsia="zh-CN" w:bidi="ar"/>
              </w:rPr>
              <w:t>李佳根</w:t>
            </w:r>
          </w:p>
        </w:tc>
        <w:tc>
          <w:tcPr>
            <w:tcW w:w="2569" w:type="dxa"/>
            <w:vAlign w:val="center"/>
          </w:tcPr>
          <w:p>
            <w:pPr>
              <w:keepNext w:val="0"/>
              <w:keepLines w:val="0"/>
              <w:widowControl/>
              <w:suppressLineNumbers w:val="0"/>
              <w:jc w:val="center"/>
              <w:textAlignment w:val="center"/>
              <w:rPr>
                <w:rFonts w:hint="eastAsia" w:ascii="仿宋_GB2312" w:hAnsi="Calibri" w:eastAsia="仿宋_GB2312" w:cs="Times New Roman"/>
                <w:kern w:val="2"/>
                <w:sz w:val="28"/>
                <w:szCs w:val="28"/>
                <w:lang w:val="en-US" w:eastAsia="zh-CN" w:bidi="ar-SA"/>
              </w:rPr>
            </w:pPr>
            <w:r>
              <w:rPr>
                <w:rFonts w:hint="eastAsia" w:ascii="微软雅黑" w:hAnsi="微软雅黑" w:eastAsia="微软雅黑" w:cs="微软雅黑"/>
                <w:i w:val="0"/>
                <w:iCs w:val="0"/>
                <w:color w:val="000000"/>
                <w:kern w:val="0"/>
                <w:sz w:val="21"/>
                <w:szCs w:val="21"/>
                <w:u w:val="none"/>
                <w:lang w:val="en-US" w:eastAsia="zh-CN" w:bidi="ar"/>
              </w:rPr>
              <w:t>23070312042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648" w:type="dxa"/>
            <w:vAlign w:val="center"/>
          </w:tcPr>
          <w:p>
            <w:pPr>
              <w:keepNext w:val="0"/>
              <w:keepLines w:val="0"/>
              <w:widowControl/>
              <w:suppressLineNumbers w:val="0"/>
              <w:jc w:val="center"/>
              <w:textAlignment w:val="center"/>
              <w:rPr>
                <w:rFonts w:hint="default" w:ascii="仿宋_GB2312" w:eastAsia="仿宋_GB2312"/>
                <w:sz w:val="28"/>
                <w:szCs w:val="28"/>
                <w:lang w:val="en-US" w:eastAsia="zh-CN"/>
              </w:rPr>
            </w:pPr>
            <w:r>
              <w:rPr>
                <w:rFonts w:hint="default" w:ascii="仿宋_GB2312" w:hAnsi="宋体" w:eastAsia="仿宋_GB2312" w:cs="仿宋_GB2312"/>
                <w:i w:val="0"/>
                <w:iCs w:val="0"/>
                <w:color w:val="000000"/>
                <w:kern w:val="0"/>
                <w:sz w:val="28"/>
                <w:szCs w:val="28"/>
                <w:u w:val="none"/>
                <w:lang w:val="en-US" w:eastAsia="zh-CN" w:bidi="ar"/>
              </w:rPr>
              <w:t>14</w:t>
            </w:r>
          </w:p>
        </w:tc>
        <w:tc>
          <w:tcPr>
            <w:tcW w:w="1544" w:type="dxa"/>
            <w:vAlign w:val="center"/>
          </w:tcPr>
          <w:p>
            <w:pPr>
              <w:keepNext w:val="0"/>
              <w:keepLines w:val="0"/>
              <w:widowControl/>
              <w:suppressLineNumbers w:val="0"/>
              <w:jc w:val="center"/>
              <w:textAlignment w:val="center"/>
              <w:rPr>
                <w:rFonts w:hint="eastAsia" w:ascii="仿宋_GB2312" w:eastAsia="仿宋_GB2312"/>
                <w:sz w:val="28"/>
                <w:szCs w:val="28"/>
                <w:lang w:val="en-US" w:eastAsia="zh-CN"/>
              </w:rPr>
            </w:pPr>
            <w:r>
              <w:rPr>
                <w:rStyle w:val="16"/>
                <w:lang w:val="en-US" w:eastAsia="zh-CN" w:bidi="ar"/>
              </w:rPr>
              <w:t>陈杨军</w:t>
            </w:r>
          </w:p>
        </w:tc>
        <w:tc>
          <w:tcPr>
            <w:tcW w:w="2114" w:type="dxa"/>
            <w:vAlign w:val="center"/>
          </w:tcPr>
          <w:p>
            <w:pPr>
              <w:keepNext w:val="0"/>
              <w:keepLines w:val="0"/>
              <w:widowControl/>
              <w:suppressLineNumbers w:val="0"/>
              <w:jc w:val="center"/>
              <w:textAlignment w:val="center"/>
              <w:rPr>
                <w:rFonts w:hint="default" w:ascii="仿宋_GB2312" w:eastAsia="仿宋_GB2312"/>
                <w:sz w:val="28"/>
                <w:szCs w:val="28"/>
                <w:lang w:val="en-US" w:eastAsia="zh-CN"/>
              </w:rPr>
            </w:pPr>
            <w:r>
              <w:rPr>
                <w:rFonts w:hint="eastAsia" w:ascii="微软雅黑" w:hAnsi="微软雅黑" w:eastAsia="微软雅黑" w:cs="微软雅黑"/>
                <w:i w:val="0"/>
                <w:iCs w:val="0"/>
                <w:color w:val="666666"/>
                <w:kern w:val="0"/>
                <w:sz w:val="21"/>
                <w:szCs w:val="21"/>
                <w:u w:val="none"/>
                <w:lang w:val="en-US" w:eastAsia="zh-CN" w:bidi="ar"/>
              </w:rPr>
              <w:t>23070312044</w:t>
            </w:r>
          </w:p>
        </w:tc>
        <w:tc>
          <w:tcPr>
            <w:tcW w:w="779"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eastAsia="仿宋_GB2312"/>
                <w:sz w:val="28"/>
                <w:szCs w:val="28"/>
                <w:lang w:val="en-US" w:eastAsia="zh-CN"/>
              </w:rPr>
            </w:pPr>
          </w:p>
        </w:tc>
        <w:tc>
          <w:tcPr>
            <w:tcW w:w="1384"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eastAsia="仿宋_GB2312"/>
                <w:sz w:val="28"/>
                <w:szCs w:val="28"/>
                <w:lang w:val="en-US" w:eastAsia="zh-CN"/>
              </w:rPr>
            </w:pPr>
          </w:p>
        </w:tc>
        <w:tc>
          <w:tcPr>
            <w:tcW w:w="2569" w:type="dxa"/>
            <w:vAlign w:val="center"/>
          </w:tcPr>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仿宋_GB2312" w:eastAsia="仿宋_GB2312"/>
                <w:sz w:val="28"/>
                <w:szCs w:val="28"/>
                <w:lang w:val="en-US" w:eastAsia="zh-CN"/>
              </w:rPr>
            </w:pPr>
          </w:p>
        </w:tc>
      </w:tr>
    </w:tbl>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三、剑阁县财政局行政执法权力、责任清单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见四川政务服务网、剑阁县人民政府网（含行政执法权力及责任事项的权限、职责、服务指南、法定依据、流程图、程序）</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部</w:t>
      </w:r>
      <w:r>
        <w:rPr>
          <w:rFonts w:hint="eastAsia" w:ascii="仿宋_GB2312" w:eastAsia="仿宋_GB2312"/>
          <w:spacing w:val="-11"/>
          <w:sz w:val="32"/>
          <w:szCs w:val="32"/>
          <w:lang w:val="en-US" w:eastAsia="zh-CN"/>
        </w:rPr>
        <w:t>门办件公示-四川政务服务网 http://www.sczwfw.gov.cn/jiq/front/item/bmft_index?d</w:t>
      </w:r>
      <w:r>
        <w:rPr>
          <w:rFonts w:hint="eastAsia" w:ascii="仿宋_GB2312" w:eastAsia="仿宋_GB2312"/>
          <w:sz w:val="32"/>
          <w:szCs w:val="32"/>
          <w:lang w:val="en-US" w:eastAsia="zh-CN"/>
        </w:rPr>
        <w:t>eptCode=11510721008474366U&amp;areaCode=510823000000</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剑阁县财政局-广元市剑阁县人民政府 https://www.sczwfw.gov.cn/jiq/front/item/qlqd?areaCode=510823000000</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四、剑阁县财政局重大行政执法审核目录清单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596" w:firstLineChars="200"/>
        <w:jc w:val="left"/>
        <w:textAlignment w:val="auto"/>
        <w:rPr>
          <w:rFonts w:hint="eastAsia" w:ascii="楷体_GB2312" w:hAnsi="楷体_GB2312" w:eastAsia="楷体_GB2312" w:cs="楷体_GB2312"/>
          <w:spacing w:val="-11"/>
          <w:sz w:val="32"/>
          <w:szCs w:val="32"/>
          <w:lang w:val="en-US" w:eastAsia="zh-CN"/>
        </w:rPr>
      </w:pPr>
      <w:r>
        <w:rPr>
          <w:rFonts w:hint="eastAsia" w:ascii="楷体_GB2312" w:hAnsi="楷体_GB2312" w:eastAsia="楷体_GB2312" w:cs="楷体_GB2312"/>
          <w:spacing w:val="-11"/>
          <w:sz w:val="32"/>
          <w:szCs w:val="32"/>
          <w:lang w:val="en-US" w:eastAsia="zh-CN"/>
        </w:rPr>
        <w:t>（一）具有下列情形之一的，应当在作出决定前进行法制审核</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1.涉及重大公共利益的；</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2.可能造成重大影响或者引发社会风险的；</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3.直接关系行政相对人或者第三人重大权益的；</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4.需经听证程序作出的；</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5.案件情况疑难复杂，涉及多个法律关系的；</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6.其他法律、法规、规章规定应当进行法制审核的。</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（二）重大行政许可</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1.适用听证的；</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2.通过招标、拍卖等方式决定的；</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3.变更、撤回、撤销行政许可决定的；</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4.其他重大行政许可事项。</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（三）重大行政处罚</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1.较大数额罚款；</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2.较大数额没收财产；</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3.责令停产停业；</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4.吊销许可证或者执照；</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5.减轻或者免除行政处罚决定；</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6.其他重大行政处罚事项。</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（四）重大行政强制</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1.查封经营场所使法人或者其他组织的生产经营活动、工作难以正常进行的行政强制措施；</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2.扣押许可证或者执照使法人或者其他组织的生产经营活动、工作难以正常进行的行政强制措施；</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3.强制拆除建筑物、构筑物的行政强制执行；</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4.其他重大行政强制事项。</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五、剑阁县财政局行政执法（监督信息）救济渠道 、行政执法责任制</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依法享有的权利</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当事人依法享有申请回避、陈述、申辩、复议、诉讼等权利，详见相应法律法规。</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救济途径</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行政复议</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rPr>
        <w:t>属地复议机关</w:t>
      </w:r>
      <w:r>
        <w:rPr>
          <w:rFonts w:hint="eastAsia" w:ascii="仿宋" w:hAnsi="仿宋" w:eastAsia="仿宋" w:cs="仿宋"/>
          <w:kern w:val="0"/>
          <w:sz w:val="32"/>
          <w:szCs w:val="32"/>
        </w:rPr>
        <w:t>：剑阁县人民政府</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复议办案机关：剑阁县司法局</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lang w:eastAsia="zh-CN"/>
        </w:rPr>
        <w:t>复议承办股室：</w:t>
      </w:r>
      <w:r>
        <w:rPr>
          <w:rFonts w:hint="eastAsia" w:ascii="仿宋" w:hAnsi="仿宋" w:eastAsia="仿宋" w:cs="仿宋"/>
          <w:kern w:val="0"/>
          <w:sz w:val="32"/>
          <w:szCs w:val="32"/>
        </w:rPr>
        <w:t>行政复议与应诉股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联系电话：0839-5208080</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）行政诉讼</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部门：剑阁县人民法院</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地址：剑阁县</w:t>
      </w:r>
      <w:r>
        <w:rPr>
          <w:rFonts w:hint="eastAsia" w:ascii="仿宋" w:hAnsi="仿宋" w:eastAsia="仿宋" w:cs="仿宋"/>
          <w:kern w:val="0"/>
          <w:sz w:val="32"/>
          <w:szCs w:val="32"/>
          <w:lang w:eastAsia="zh-CN"/>
        </w:rPr>
        <w:t>下寺镇</w:t>
      </w:r>
      <w:r>
        <w:rPr>
          <w:rFonts w:hint="eastAsia" w:ascii="仿宋" w:hAnsi="仿宋" w:eastAsia="仿宋" w:cs="仿宋"/>
          <w:kern w:val="0"/>
          <w:sz w:val="32"/>
          <w:szCs w:val="32"/>
        </w:rPr>
        <w:t>剑门关大道北段502号</w:t>
      </w:r>
    </w:p>
    <w:p>
      <w:pPr>
        <w:keepNext w:val="0"/>
        <w:keepLines w:val="0"/>
        <w:pageBreakBefore w:val="0"/>
        <w:kinsoku/>
        <w:wordWrap/>
        <w:topLinePunct w:val="0"/>
        <w:bidi w:val="0"/>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联系电话：0839</w:t>
      </w:r>
      <w:r>
        <w:rPr>
          <w:rFonts w:hint="eastAsia" w:ascii="仿宋" w:hAnsi="仿宋" w:eastAsia="仿宋" w:cs="仿宋"/>
          <w:kern w:val="0"/>
          <w:sz w:val="32"/>
          <w:szCs w:val="32"/>
          <w:lang w:val="en-US" w:eastAsia="zh-CN"/>
        </w:rPr>
        <w:t>-5208429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1.县级监督部门：剑阁县司法局</w:t>
      </w:r>
    </w:p>
    <w:p>
      <w:pPr>
        <w:keepNext w:val="0"/>
        <w:keepLines w:val="0"/>
        <w:pageBreakBefore w:val="0"/>
        <w:widowControl w:val="0"/>
        <w:numPr>
          <w:ilvl w:val="0"/>
          <w:numId w:val="0"/>
        </w:numPr>
        <w:kinsoku/>
        <w:wordWrap/>
        <w:topLinePunct w:val="0"/>
        <w:bidi w:val="0"/>
        <w:snapToGrid/>
        <w:spacing w:line="576" w:lineRule="exact"/>
        <w:ind w:firstLine="640" w:firstLineChars="200"/>
        <w:jc w:val="both"/>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承办股室：行政执法协调监督股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投诉电话：0839-5208080</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2.</w:t>
      </w:r>
      <w:r>
        <w:rPr>
          <w:rFonts w:hint="eastAsia" w:ascii="仿宋_GB2312" w:hAnsi="Calibri" w:eastAsia="仿宋_GB2312" w:cs="Times New Roman"/>
          <w:kern w:val="2"/>
          <w:sz w:val="32"/>
          <w:szCs w:val="32"/>
          <w:lang w:val="en-US" w:eastAsia="zh-CN" w:bidi="ar-SA"/>
        </w:rPr>
        <w:t>部门：剑阁县财政局</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股室：</w:t>
      </w:r>
      <w:r>
        <w:rPr>
          <w:rFonts w:hint="eastAsia" w:ascii="仿宋_GB2312" w:hAnsi="Calibri" w:eastAsia="仿宋_GB2312" w:cs="Times New Roman"/>
          <w:kern w:val="2"/>
          <w:sz w:val="32"/>
          <w:szCs w:val="32"/>
          <w:lang w:val="en-US" w:eastAsia="zh-CN" w:bidi="ar-SA"/>
        </w:rPr>
        <w:t>法规会计股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 xml:space="preserve">地址：四川省剑阁县下寺镇南华镇63号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投诉电话：0839—6601886</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default"/>
          <w:lang w:val="en-US" w:eastAsia="zh-CN"/>
        </w:rPr>
      </w:pPr>
      <w:r>
        <w:rPr>
          <w:rFonts w:hint="eastAsia" w:ascii="仿宋_GB2312" w:eastAsia="仿宋_GB2312"/>
          <w:sz w:val="32"/>
          <w:szCs w:val="32"/>
          <w:lang w:val="en-US" w:eastAsia="zh-CN"/>
        </w:rPr>
        <w:t xml:space="preserve"> </w:t>
      </w: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sz w:val="32"/>
          <w:szCs w:val="32"/>
          <w:lang w:val="en-US" w:eastAsia="zh-CN"/>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六、剑阁县财政局行政执法裁量权标准</w:t>
      </w:r>
    </w:p>
    <w:p>
      <w:pPr>
        <w:keepNext w:val="0"/>
        <w:keepLines w:val="0"/>
        <w:pageBreakBefore w:val="0"/>
        <w:kinsoku/>
        <w:wordWrap/>
        <w:overflowPunct/>
        <w:topLinePunct w:val="0"/>
        <w:bidi w:val="0"/>
        <w:snapToGrid/>
        <w:spacing w:line="576" w:lineRule="exact"/>
        <w:ind w:left="0" w:leftChars="0" w:firstLine="640" w:firstLineChars="200"/>
        <w:textAlignment w:val="auto"/>
        <w:rPr>
          <w:rFonts w:hint="eastAsia" w:ascii="仿宋_GB2312" w:eastAsia="仿宋_GB2312"/>
          <w:color w:val="auto"/>
          <w:spacing w:val="-17"/>
          <w:sz w:val="32"/>
          <w:szCs w:val="32"/>
          <w:lang w:val="en-US" w:eastAsia="zh-CN"/>
        </w:rPr>
      </w:pPr>
      <w:r>
        <w:rPr>
          <w:rFonts w:hint="eastAsia" w:ascii="仿宋_GB2312" w:hAnsi="仿宋_GB2312" w:eastAsia="仿宋_GB2312" w:cs="仿宋_GB2312"/>
          <w:sz w:val="32"/>
          <w:szCs w:val="32"/>
        </w:rPr>
        <w:t>执行《四川省行政裁量权基准管理规定》2024年1月12日四川省人民政府令第360号公布</w:t>
      </w:r>
      <w:r>
        <w:rPr>
          <w:rFonts w:hint="eastAsia" w:ascii="仿宋_GB2312" w:hAnsi="仿宋_GB2312" w:eastAsia="仿宋_GB2312" w:cs="仿宋_GB2312"/>
          <w:sz w:val="32"/>
          <w:szCs w:val="32"/>
          <w:lang w:eastAsia="zh-CN"/>
        </w:rPr>
        <w:t>；</w:t>
      </w:r>
      <w:r>
        <w:rPr>
          <w:rFonts w:hint="eastAsia" w:ascii="仿宋_GB2312" w:eastAsia="仿宋_GB2312"/>
          <w:color w:val="auto"/>
          <w:sz w:val="32"/>
          <w:szCs w:val="32"/>
          <w:lang w:val="en-US" w:eastAsia="zh-CN"/>
        </w:rPr>
        <w:t>《四</w:t>
      </w:r>
      <w:r>
        <w:rPr>
          <w:rFonts w:hint="eastAsia" w:ascii="仿宋_GB2312" w:eastAsia="仿宋_GB2312"/>
          <w:color w:val="auto"/>
          <w:spacing w:val="-11"/>
          <w:sz w:val="32"/>
          <w:szCs w:val="32"/>
          <w:lang w:val="en-US" w:eastAsia="zh-CN"/>
        </w:rPr>
        <w:t>川省财政行政处罚自由裁量权规范》（川财财法〔2014〕11号）；</w:t>
      </w:r>
      <w:r>
        <w:rPr>
          <w:rFonts w:hint="eastAsia" w:ascii="仿宋_GB2312" w:eastAsia="仿宋_GB2312"/>
          <w:color w:val="auto"/>
          <w:sz w:val="32"/>
          <w:szCs w:val="32"/>
          <w:lang w:val="en-US" w:eastAsia="zh-CN"/>
        </w:rPr>
        <w:t>《四</w:t>
      </w:r>
      <w:r>
        <w:rPr>
          <w:rFonts w:hint="eastAsia" w:ascii="仿宋_GB2312" w:eastAsia="仿宋_GB2312"/>
          <w:color w:val="auto"/>
          <w:spacing w:val="-17"/>
          <w:sz w:val="32"/>
          <w:szCs w:val="32"/>
          <w:lang w:val="en-US" w:eastAsia="zh-CN"/>
        </w:rPr>
        <w:t>川省财政行政处罚自由裁量权实施标准》川财规〔2018〕20号。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七、剑阁县财政局随机抽查事项清单、市场主体库（或检查对象库）、2024年抽查计划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（一）随机抽查事项清单（共3项）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1.对国家机关、社会团体、企业事业组织和相关人员涉及财政、财务和会计等事项实施监督检查</w:t>
      </w:r>
      <w:r>
        <w:rPr>
          <w:rFonts w:hint="eastAsia" w:ascii="仿宋_GB2312" w:eastAsia="仿宋_GB2312"/>
          <w:sz w:val="32"/>
          <w:szCs w:val="32"/>
          <w:lang w:val="en-US" w:eastAsia="zh-CN"/>
        </w:rPr>
        <w:tab/>
      </w:r>
      <w:r>
        <w:rPr>
          <w:rFonts w:hint="eastAsia" w:ascii="仿宋_GB2312" w:eastAsia="仿宋_GB2312"/>
          <w:sz w:val="32"/>
          <w:szCs w:val="32"/>
          <w:lang w:val="en-US" w:eastAsia="zh-CN"/>
        </w:rPr>
        <w:tab/>
      </w:r>
      <w:r>
        <w:rPr>
          <w:rFonts w:hint="eastAsia" w:ascii="仿宋_GB2312" w:eastAsia="仿宋_GB2312"/>
          <w:sz w:val="32"/>
          <w:szCs w:val="32"/>
          <w:lang w:val="en-US" w:eastAsia="zh-CN"/>
        </w:rPr>
        <w:tab/>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检查依据：《四川省财政监督条例》（四川省第十二届人民代表大会常务委员会第三次会议通过，2013.5.30）第二条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检查对象：国家机关、社会团体、企业事业组织和相关人员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检查内容：四川省县级以上地方人民政府财政部门依照法定职权对国家机关、社会团体、企业事业组织和相关人员（以下统称监督对象）涉及财政、财务和会计等事项实施的监督活动，适用本条例。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 对政府采购活动及集中采购机构的监督检查</w:t>
      </w:r>
      <w:r>
        <w:rPr>
          <w:rFonts w:hint="eastAsia" w:ascii="仿宋_GB2312" w:eastAsia="仿宋_GB2312"/>
          <w:sz w:val="32"/>
          <w:szCs w:val="32"/>
          <w:lang w:val="en-US" w:eastAsia="zh-CN"/>
        </w:rPr>
        <w:tab/>
      </w:r>
      <w:r>
        <w:rPr>
          <w:rFonts w:hint="eastAsia" w:ascii="仿宋_GB2312" w:eastAsia="仿宋_GB2312"/>
          <w:sz w:val="32"/>
          <w:szCs w:val="32"/>
          <w:lang w:val="en-US" w:eastAsia="zh-CN"/>
        </w:rPr>
        <w:tab/>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pacing w:val="-6"/>
          <w:sz w:val="32"/>
          <w:szCs w:val="32"/>
          <w:lang w:val="en-US" w:eastAsia="zh-CN"/>
        </w:rPr>
      </w:pPr>
      <w:r>
        <w:rPr>
          <w:rFonts w:hint="eastAsia" w:ascii="仿宋_GB2312" w:eastAsia="仿宋_GB2312"/>
          <w:sz w:val="32"/>
          <w:szCs w:val="32"/>
          <w:lang w:val="en-US" w:eastAsia="zh-CN"/>
        </w:rPr>
        <w:t>检查依</w:t>
      </w:r>
      <w:r>
        <w:rPr>
          <w:rFonts w:hint="eastAsia" w:ascii="仿宋_GB2312" w:eastAsia="仿宋_GB2312"/>
          <w:spacing w:val="-6"/>
          <w:sz w:val="32"/>
          <w:szCs w:val="32"/>
          <w:lang w:val="en-US" w:eastAsia="zh-CN"/>
        </w:rPr>
        <w:t>据：《中华人民共和国政府采购法》（</w:t>
      </w:r>
      <w:r>
        <w:rPr>
          <w:rFonts w:hint="default" w:ascii="仿宋_GB2312" w:eastAsia="仿宋_GB2312"/>
          <w:spacing w:val="-6"/>
          <w:sz w:val="32"/>
          <w:szCs w:val="32"/>
          <w:lang w:val="en-US" w:eastAsia="zh-CN"/>
        </w:rPr>
        <w:t>第九届全国人民代表大会常务委员会第二十八次会议通过</w:t>
      </w:r>
      <w:r>
        <w:rPr>
          <w:rFonts w:hint="eastAsia" w:ascii="仿宋_GB2312" w:eastAsia="仿宋_GB2312"/>
          <w:spacing w:val="-6"/>
          <w:sz w:val="32"/>
          <w:szCs w:val="32"/>
          <w:lang w:val="en-US" w:eastAsia="zh-CN"/>
        </w:rPr>
        <w:t>，</w:t>
      </w:r>
      <w:r>
        <w:rPr>
          <w:rFonts w:hint="default" w:ascii="仿宋_GB2312" w:eastAsia="仿宋_GB2312"/>
          <w:spacing w:val="-6"/>
          <w:sz w:val="32"/>
          <w:szCs w:val="32"/>
          <w:lang w:val="en-US" w:eastAsia="zh-CN"/>
        </w:rPr>
        <w:t>2002</w:t>
      </w:r>
      <w:r>
        <w:rPr>
          <w:rFonts w:hint="eastAsia" w:ascii="仿宋_GB2312" w:eastAsia="仿宋_GB2312"/>
          <w:spacing w:val="-6"/>
          <w:sz w:val="32"/>
          <w:szCs w:val="32"/>
          <w:lang w:val="en-US" w:eastAsia="zh-CN"/>
        </w:rPr>
        <w:t>.</w:t>
      </w:r>
      <w:r>
        <w:rPr>
          <w:rFonts w:hint="default" w:ascii="仿宋_GB2312" w:eastAsia="仿宋_GB2312"/>
          <w:spacing w:val="-6"/>
          <w:sz w:val="32"/>
          <w:szCs w:val="32"/>
          <w:lang w:val="en-US" w:eastAsia="zh-CN"/>
        </w:rPr>
        <w:t>6</w:t>
      </w:r>
      <w:r>
        <w:rPr>
          <w:rFonts w:hint="eastAsia" w:ascii="仿宋_GB2312" w:eastAsia="仿宋_GB2312"/>
          <w:spacing w:val="-6"/>
          <w:sz w:val="32"/>
          <w:szCs w:val="32"/>
          <w:lang w:val="en-US" w:eastAsia="zh-CN"/>
        </w:rPr>
        <w:t>.</w:t>
      </w:r>
      <w:r>
        <w:rPr>
          <w:rFonts w:hint="default" w:ascii="仿宋_GB2312" w:eastAsia="仿宋_GB2312"/>
          <w:spacing w:val="-6"/>
          <w:sz w:val="32"/>
          <w:szCs w:val="32"/>
          <w:lang w:val="en-US" w:eastAsia="zh-CN"/>
        </w:rPr>
        <w:t>29</w:t>
      </w:r>
      <w:r>
        <w:rPr>
          <w:rFonts w:hint="eastAsia" w:ascii="仿宋_GB2312" w:eastAsia="仿宋_GB2312"/>
          <w:spacing w:val="-6"/>
          <w:sz w:val="32"/>
          <w:szCs w:val="32"/>
          <w:lang w:val="en-US" w:eastAsia="zh-CN"/>
        </w:rPr>
        <w:t>）第五十九条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检查对象：政府采购活动及集中采购机构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检查内容：政府采购监督管理部门应当加强对政府采购活动及集中采购机构的监督检查。监督检查的主要内容是：</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（一）有关政府采购的法律、行政法规和规章的执行情况；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（二）采购范围、采购方式和采购程序的执行情况；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（三）政府采购人员的职业素质和专业技能。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 对财政票据印刷、使用、管理等情况进行检查</w:t>
      </w:r>
      <w:r>
        <w:rPr>
          <w:rFonts w:hint="eastAsia" w:ascii="仿宋_GB2312" w:eastAsia="仿宋_GB2312"/>
          <w:sz w:val="32"/>
          <w:szCs w:val="32"/>
          <w:lang w:val="en-US" w:eastAsia="zh-CN"/>
        </w:rPr>
        <w:tab/>
      </w:r>
      <w:r>
        <w:rPr>
          <w:rFonts w:hint="eastAsia" w:ascii="仿宋_GB2312" w:eastAsia="仿宋_GB2312"/>
          <w:sz w:val="32"/>
          <w:szCs w:val="32"/>
          <w:lang w:val="en-US" w:eastAsia="zh-CN"/>
        </w:rPr>
        <w:tab/>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检查依据：《财政票据管理办法》（</w:t>
      </w:r>
      <w:r>
        <w:rPr>
          <w:rFonts w:hint="default" w:ascii="仿宋_GB2312" w:eastAsia="仿宋_GB2312"/>
          <w:sz w:val="32"/>
          <w:szCs w:val="32"/>
          <w:lang w:val="en-US" w:eastAsia="zh-CN"/>
        </w:rPr>
        <w:t>财政部令第70号</w:t>
      </w:r>
      <w:r>
        <w:rPr>
          <w:rFonts w:hint="eastAsia" w:ascii="仿宋_GB2312" w:eastAsia="仿宋_GB2312"/>
          <w:sz w:val="32"/>
          <w:szCs w:val="32"/>
          <w:lang w:val="en-US" w:eastAsia="zh-CN"/>
        </w:rPr>
        <w:t>，2013.1.1）第三十七条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检查对象：</w:t>
      </w:r>
      <w:r>
        <w:rPr>
          <w:rFonts w:hint="default" w:ascii="仿宋_GB2312" w:eastAsia="仿宋_GB2312"/>
          <w:sz w:val="32"/>
          <w:szCs w:val="32"/>
          <w:lang w:val="en-US" w:eastAsia="zh-CN"/>
        </w:rPr>
        <w:t>国家机关、事业单位、具有公共管理或者公共服务职能的社会团体及其他组织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检查内容：财政部门应当建立健全财政票据监督检查制度，对财政票据印制、使用、管理等情况进行检查。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（二）2024年双随机抽查计划</w:t>
      </w:r>
    </w:p>
    <w:tbl>
      <w:tblPr>
        <w:tblStyle w:val="11"/>
        <w:tblW w:w="9537" w:type="dxa"/>
        <w:tblInd w:w="0" w:type="dxa"/>
        <w:tblLayout w:type="fixed"/>
        <w:tblCellMar>
          <w:top w:w="0" w:type="dxa"/>
          <w:left w:w="0" w:type="dxa"/>
          <w:bottom w:w="0" w:type="dxa"/>
          <w:right w:w="0" w:type="dxa"/>
        </w:tblCellMar>
      </w:tblPr>
      <w:tblGrid>
        <w:gridCol w:w="2186"/>
        <w:gridCol w:w="1837"/>
        <w:gridCol w:w="1150"/>
        <w:gridCol w:w="1498"/>
        <w:gridCol w:w="1189"/>
        <w:gridCol w:w="1038"/>
        <w:gridCol w:w="639"/>
      </w:tblGrid>
      <w:tr>
        <w:tblPrEx>
          <w:tblCellMar>
            <w:top w:w="0" w:type="dxa"/>
            <w:left w:w="0" w:type="dxa"/>
            <w:bottom w:w="0" w:type="dxa"/>
            <w:right w:w="0" w:type="dxa"/>
          </w:tblCellMar>
        </w:tblPrEx>
        <w:trPr>
          <w:trHeight w:val="90" w:hRule="atLeast"/>
        </w:trPr>
        <w:tc>
          <w:tcPr>
            <w:tcW w:w="218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检查对象</w:t>
            </w:r>
          </w:p>
        </w:tc>
        <w:tc>
          <w:tcPr>
            <w:tcW w:w="183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检查依据</w:t>
            </w:r>
          </w:p>
        </w:tc>
        <w:tc>
          <w:tcPr>
            <w:tcW w:w="11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执行股室</w:t>
            </w:r>
          </w:p>
        </w:tc>
        <w:tc>
          <w:tcPr>
            <w:tcW w:w="149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检查比例</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检查频次</w:t>
            </w:r>
          </w:p>
        </w:tc>
        <w:tc>
          <w:tcPr>
            <w:tcW w:w="103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初步检查时间</w:t>
            </w:r>
          </w:p>
        </w:tc>
        <w:tc>
          <w:tcPr>
            <w:tcW w:w="63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备注</w:t>
            </w:r>
          </w:p>
        </w:tc>
      </w:tr>
      <w:tr>
        <w:tblPrEx>
          <w:tblCellMar>
            <w:top w:w="0" w:type="dxa"/>
            <w:left w:w="0" w:type="dxa"/>
            <w:bottom w:w="0" w:type="dxa"/>
            <w:right w:w="0" w:type="dxa"/>
          </w:tblCellMar>
        </w:tblPrEx>
        <w:trPr>
          <w:trHeight w:val="1956" w:hRule="atLeast"/>
        </w:trPr>
        <w:tc>
          <w:tcPr>
            <w:tcW w:w="218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国家机关、社会团体、企业事业组织和相关人员</w:t>
            </w:r>
          </w:p>
        </w:tc>
        <w:tc>
          <w:tcPr>
            <w:tcW w:w="183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《四川省财政监督条例》第二条《代理记账管理办法》（中华人民共和国财政部令第98号）第十七条</w:t>
            </w:r>
          </w:p>
        </w:tc>
        <w:tc>
          <w:tcPr>
            <w:tcW w:w="11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财政监督与绩效管理股财法会计股</w:t>
            </w:r>
          </w:p>
        </w:tc>
        <w:tc>
          <w:tcPr>
            <w:tcW w:w="149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结合会计监督检查工作确定抽查比例。</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每年按照年度检查计划开展</w:t>
            </w:r>
          </w:p>
        </w:tc>
        <w:tc>
          <w:tcPr>
            <w:tcW w:w="103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2024.6-2024.12</w:t>
            </w:r>
          </w:p>
        </w:tc>
        <w:tc>
          <w:tcPr>
            <w:tcW w:w="63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CellMar>
            <w:top w:w="0" w:type="dxa"/>
            <w:left w:w="0" w:type="dxa"/>
            <w:bottom w:w="0" w:type="dxa"/>
            <w:right w:w="0" w:type="dxa"/>
          </w:tblCellMar>
        </w:tblPrEx>
        <w:trPr>
          <w:trHeight w:val="1332" w:hRule="atLeast"/>
        </w:trPr>
        <w:tc>
          <w:tcPr>
            <w:tcW w:w="218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政府采购活动及集中采购机构</w:t>
            </w:r>
          </w:p>
        </w:tc>
        <w:tc>
          <w:tcPr>
            <w:tcW w:w="183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中华人民共和国政府采购法》第五十九条</w:t>
            </w:r>
          </w:p>
        </w:tc>
        <w:tc>
          <w:tcPr>
            <w:tcW w:w="11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政府采购监督管理股</w:t>
            </w:r>
          </w:p>
        </w:tc>
        <w:tc>
          <w:tcPr>
            <w:tcW w:w="149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根据省财政厅要求，结合年度检查计划确定抽查比例。</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每年按照年度检查计划开展</w:t>
            </w:r>
          </w:p>
        </w:tc>
        <w:tc>
          <w:tcPr>
            <w:tcW w:w="103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2024.6-2024.12</w:t>
            </w:r>
          </w:p>
        </w:tc>
        <w:tc>
          <w:tcPr>
            <w:tcW w:w="63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tblPrEx>
          <w:tblCellMar>
            <w:top w:w="0" w:type="dxa"/>
            <w:left w:w="0" w:type="dxa"/>
            <w:bottom w:w="0" w:type="dxa"/>
            <w:right w:w="0" w:type="dxa"/>
          </w:tblCellMar>
        </w:tblPrEx>
        <w:trPr>
          <w:trHeight w:val="1754" w:hRule="atLeast"/>
        </w:trPr>
        <w:tc>
          <w:tcPr>
            <w:tcW w:w="218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国家机关、事业单位、具有公共管理或者公共服务职能的社会团体及其他组织</w:t>
            </w:r>
          </w:p>
        </w:tc>
        <w:tc>
          <w:tcPr>
            <w:tcW w:w="183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《财政票据管理办法》第三十七条</w:t>
            </w:r>
          </w:p>
        </w:tc>
        <w:tc>
          <w:tcPr>
            <w:tcW w:w="11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财政监督与绩效管理股</w:t>
            </w:r>
          </w:p>
        </w:tc>
        <w:tc>
          <w:tcPr>
            <w:tcW w:w="149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结合会计监督检查工作确定抽查比例</w:t>
            </w:r>
          </w:p>
        </w:tc>
        <w:tc>
          <w:tcPr>
            <w:tcW w:w="118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每年按照年度检查计划开展</w:t>
            </w:r>
          </w:p>
        </w:tc>
        <w:tc>
          <w:tcPr>
            <w:tcW w:w="103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2024.6-2024.12</w:t>
            </w:r>
          </w:p>
        </w:tc>
        <w:tc>
          <w:tcPr>
            <w:tcW w:w="639"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57" w:right="-57"/>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（三）检查对象名录库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1.国家机关、社会团体、企业事业组织和相关人员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2.代理记账机构库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四川众鑫源企业管理有限公司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办公地址：剑阁县剑门工业园区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广元市正恒商务咨询有限公司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办公地址：剑阁县下寺镇修城坝天平巷5--7号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 xml:space="preserve">广元润妍财税咨询有限公司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办公地址：剑阁县下寺镇龙江大道22号21楼C-1</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剑阁县小顶科技有限公司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办公地址：</w:t>
      </w:r>
      <w:r>
        <w:rPr>
          <w:rFonts w:hint="default" w:ascii="仿宋_GB2312" w:eastAsia="仿宋_GB2312"/>
          <w:sz w:val="32"/>
          <w:szCs w:val="32"/>
          <w:highlight w:val="none"/>
          <w:lang w:val="en-US" w:eastAsia="zh-CN"/>
        </w:rPr>
        <w:t>剑阁县下寺镇修城坝怡品景苑商铺A栋1-4号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default" w:ascii="仿宋_GB2312" w:eastAsia="仿宋_GB2312"/>
          <w:sz w:val="32"/>
          <w:szCs w:val="32"/>
          <w:highlight w:val="none"/>
          <w:lang w:val="en-US" w:eastAsia="zh-CN"/>
        </w:rPr>
        <w:t>剑阁县敏思捷企业管理有限公司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办公地址：</w:t>
      </w:r>
      <w:r>
        <w:rPr>
          <w:rFonts w:hint="default" w:ascii="仿宋_GB2312" w:eastAsia="仿宋_GB2312"/>
          <w:sz w:val="32"/>
          <w:szCs w:val="32"/>
          <w:highlight w:val="none"/>
          <w:lang w:val="en-US" w:eastAsia="zh-CN"/>
        </w:rPr>
        <w:t>剑阁县下寺镇龙江大道256号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default" w:ascii="仿宋_GB2312" w:eastAsia="仿宋_GB2312"/>
          <w:sz w:val="32"/>
          <w:szCs w:val="32"/>
          <w:highlight w:val="none"/>
          <w:lang w:val="en-US" w:eastAsia="zh-CN"/>
        </w:rPr>
        <w:t>剑阁县众星企业管理有限公司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办公地址：</w:t>
      </w:r>
      <w:r>
        <w:rPr>
          <w:rFonts w:hint="default" w:ascii="仿宋_GB2312" w:eastAsia="仿宋_GB2312"/>
          <w:sz w:val="32"/>
          <w:szCs w:val="32"/>
          <w:highlight w:val="none"/>
          <w:lang w:val="en-US" w:eastAsia="zh-CN"/>
        </w:rPr>
        <w:t>剑阁县下寺镇沙溪坝剑门大厦西侧2栋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default" w:ascii="仿宋_GB2312" w:eastAsia="仿宋_GB2312"/>
          <w:sz w:val="32"/>
          <w:szCs w:val="32"/>
          <w:highlight w:val="none"/>
          <w:lang w:val="en-US" w:eastAsia="zh-CN"/>
        </w:rPr>
        <w:t>广元小牛财税有限公司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办公地址：</w:t>
      </w:r>
      <w:r>
        <w:rPr>
          <w:rFonts w:hint="default" w:ascii="仿宋_GB2312" w:eastAsia="仿宋_GB2312"/>
          <w:sz w:val="32"/>
          <w:szCs w:val="32"/>
          <w:highlight w:val="none"/>
          <w:lang w:val="en-US" w:eastAsia="zh-CN"/>
        </w:rPr>
        <w:t>剑阁县下寺镇龙江大道剑门大厦20楼A7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default" w:ascii="仿宋_GB2312" w:eastAsia="仿宋_GB2312"/>
          <w:sz w:val="32"/>
          <w:szCs w:val="32"/>
          <w:highlight w:val="none"/>
          <w:lang w:val="en-US" w:eastAsia="zh-CN"/>
        </w:rPr>
        <w:t>广元市铭诚电子商务有限公司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pacing w:val="-11"/>
          <w:sz w:val="32"/>
          <w:szCs w:val="32"/>
          <w:highlight w:val="none"/>
          <w:lang w:val="en-US" w:eastAsia="zh-CN"/>
        </w:rPr>
      </w:pPr>
      <w:r>
        <w:rPr>
          <w:rFonts w:hint="eastAsia" w:ascii="仿宋_GB2312" w:eastAsia="仿宋_GB2312"/>
          <w:sz w:val="32"/>
          <w:szCs w:val="32"/>
          <w:highlight w:val="none"/>
          <w:lang w:val="en-US" w:eastAsia="zh-CN"/>
        </w:rPr>
        <w:t>办公地址：</w:t>
      </w:r>
      <w:r>
        <w:rPr>
          <w:rFonts w:hint="default" w:ascii="仿宋_GB2312" w:eastAsia="仿宋_GB2312"/>
          <w:spacing w:val="-11"/>
          <w:sz w:val="32"/>
          <w:szCs w:val="32"/>
          <w:highlight w:val="none"/>
          <w:lang w:val="en-US" w:eastAsia="zh-CN"/>
        </w:rPr>
        <w:t>剑阁县下寺镇龙江大道22号剑门大厦18楼A-5号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default" w:ascii="仿宋_GB2312" w:eastAsia="仿宋_GB2312"/>
          <w:sz w:val="32"/>
          <w:szCs w:val="32"/>
          <w:highlight w:val="none"/>
          <w:lang w:val="en-US" w:eastAsia="zh-CN"/>
        </w:rPr>
        <w:t>广元创优企业管理有限公司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办公地址：宝龙锦秀大门口门面</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default" w:ascii="仿宋_GB2312" w:eastAsia="仿宋_GB2312"/>
          <w:sz w:val="32"/>
          <w:szCs w:val="32"/>
          <w:highlight w:val="none"/>
          <w:lang w:val="en-US" w:eastAsia="zh-CN"/>
        </w:rPr>
        <w:t>四川震图企业管理咨询服务有限公司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办公地址：剑阁县下寺镇清江花园清江路248号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default" w:ascii="仿宋_GB2312" w:eastAsia="仿宋_GB2312"/>
          <w:sz w:val="32"/>
          <w:szCs w:val="32"/>
          <w:highlight w:val="none"/>
          <w:lang w:val="en-US" w:eastAsia="zh-CN"/>
        </w:rPr>
        <w:t>广元市铭慧企业管理有限公司剑阁分公司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办公地址：</w:t>
      </w:r>
      <w:r>
        <w:rPr>
          <w:rFonts w:hint="default" w:ascii="仿宋_GB2312" w:eastAsia="仿宋_GB2312"/>
          <w:sz w:val="32"/>
          <w:szCs w:val="32"/>
          <w:highlight w:val="none"/>
          <w:lang w:val="en-US" w:eastAsia="zh-CN"/>
        </w:rPr>
        <w:t>剑阁县下寺镇翠云大道剑门大厦20楼</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default" w:ascii="仿宋_GB2312" w:eastAsia="仿宋_GB2312"/>
          <w:sz w:val="32"/>
          <w:szCs w:val="32"/>
          <w:highlight w:val="none"/>
          <w:lang w:val="en-US" w:eastAsia="zh-CN"/>
        </w:rPr>
        <w:t>四川梓琳财务咨询有限公司剑阁分公司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办公地址：</w:t>
      </w:r>
      <w:r>
        <w:rPr>
          <w:rFonts w:hint="default" w:ascii="仿宋_GB2312" w:eastAsia="仿宋_GB2312"/>
          <w:sz w:val="32"/>
          <w:szCs w:val="32"/>
          <w:highlight w:val="none"/>
          <w:lang w:val="en-US" w:eastAsia="zh-CN"/>
        </w:rPr>
        <w:t>剑阁县下寺镇大仓坝明珠尚城3栋3单元902</w:t>
      </w:r>
    </w:p>
    <w:p>
      <w:pPr>
        <w:pStyle w:val="5"/>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八、剑阁县财政局行政执法文书样式、行政执法案件评查制度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highlight w:val="none"/>
          <w:lang w:val="en-US" w:eastAsia="zh-CN"/>
        </w:rPr>
        <w:t>1.《财政部关于印发财政行政复议法律文书示范</w:t>
      </w:r>
      <w:r>
        <w:rPr>
          <w:rFonts w:hint="eastAsia" w:ascii="仿宋_GB2312" w:eastAsia="仿宋_GB2312"/>
          <w:sz w:val="32"/>
          <w:szCs w:val="32"/>
          <w:lang w:val="en-US" w:eastAsia="zh-CN"/>
        </w:rPr>
        <w:t>文本（2016版）的通知》（财法〔2016〕1号）；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2.《四川省财政厅关于印发四川省财政部门行政执法文书标准（2020年版）的通知》（川财法〔2020〕8号）；</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3.</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九、剑阁县财政局上年度双随机抽查结果、行政许可和处罚决定、上年度本机关行政执法数据总体情况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（一）上年度本机关行政执法数据总体情况</w:t>
      </w:r>
    </w:p>
    <w:p>
      <w:pPr>
        <w:pStyle w:val="4"/>
        <w:ind w:left="0" w:leftChars="0" w:firstLine="0" w:firstLineChars="0"/>
        <w:rPr>
          <w:rFonts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ascii="宋体" w:hAnsi="宋体" w:eastAsia="宋体" w:cs="宋体"/>
          <w:color w:val="000000" w:themeColor="text1"/>
          <w:kern w:val="0"/>
          <w:sz w:val="24"/>
          <w:szCs w:val="24"/>
          <w:highlight w:val="none"/>
          <w:lang w:val="en-US" w:eastAsia="zh-CN" w:bidi="ar"/>
          <w14:textFill>
            <w14:solidFill>
              <w14:schemeClr w14:val="tx1"/>
            </w14:solidFill>
          </w14:textFill>
        </w:rPr>
        <w:drawing>
          <wp:inline distT="0" distB="0" distL="114300" distR="114300">
            <wp:extent cx="5829300" cy="1788160"/>
            <wp:effectExtent l="0" t="0" r="0" b="2540"/>
            <wp:docPr id="1" name="图片 1" descr="QQ图片2024070211402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QQ图片20240702114029"/>
                    <pic:cNvPicPr>
                      <a:picLocks noChangeAspect="true"/>
                    </pic:cNvPicPr>
                  </pic:nvPicPr>
                  <pic:blipFill>
                    <a:blip r:embed="rId4"/>
                    <a:stretch>
                      <a:fillRect/>
                    </a:stretch>
                  </pic:blipFill>
                  <pic:spPr>
                    <a:xfrm>
                      <a:off x="0" y="0"/>
                      <a:ext cx="5829300" cy="178816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color w:val="000000" w:themeColor="text1"/>
          <w:spacing w:val="-6"/>
          <w:sz w:val="32"/>
          <w:szCs w:val="32"/>
          <w:highlight w:val="none"/>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highlight w:val="none"/>
          <w:lang w:val="en-US" w:eastAsia="zh-CN"/>
          <w14:textFill>
            <w14:solidFill>
              <w14:schemeClr w14:val="tx1"/>
            </w14:solidFill>
          </w14:textFill>
        </w:rPr>
        <w:t>（二）行政许可、行政处罚公示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pacing w:val="-6"/>
          <w:sz w:val="32"/>
          <w:szCs w:val="32"/>
          <w:lang w:val="en-US" w:eastAsia="zh-CN"/>
        </w:rPr>
      </w:pPr>
      <w:r>
        <w:rPr>
          <w:rFonts w:hint="eastAsia" w:ascii="仿宋_GB2312" w:eastAsia="仿宋_GB2312"/>
          <w:sz w:val="32"/>
          <w:szCs w:val="32"/>
          <w:lang w:val="en-US" w:eastAsia="zh-CN"/>
        </w:rPr>
        <w:t xml:space="preserve">剑阁县财政局关于2023年度行政执法工作的公示-广元市剑阁县人民政府 </w:t>
      </w:r>
      <w:r>
        <w:rPr>
          <w:rFonts w:hint="eastAsia" w:ascii="仿宋_GB2312" w:eastAsia="仿宋_GB2312"/>
          <w:spacing w:val="-6"/>
          <w:sz w:val="32"/>
          <w:szCs w:val="32"/>
          <w:lang w:val="en-US" w:eastAsia="zh-CN"/>
        </w:rPr>
        <w:fldChar w:fldCharType="begin"/>
      </w:r>
      <w:r>
        <w:rPr>
          <w:rFonts w:hint="eastAsia" w:ascii="仿宋_GB2312" w:eastAsia="仿宋_GB2312"/>
          <w:spacing w:val="-6"/>
          <w:sz w:val="32"/>
          <w:szCs w:val="32"/>
          <w:lang w:val="en-US" w:eastAsia="zh-CN"/>
        </w:rPr>
        <w:instrText xml:space="preserve"> HYPERLINK "http://www.cnjg.gov.cn/new/detail/20240110095017108.html" </w:instrText>
      </w:r>
      <w:r>
        <w:rPr>
          <w:rFonts w:hint="eastAsia" w:ascii="仿宋_GB2312" w:eastAsia="仿宋_GB2312"/>
          <w:spacing w:val="-6"/>
          <w:sz w:val="32"/>
          <w:szCs w:val="32"/>
          <w:lang w:val="en-US" w:eastAsia="zh-CN"/>
        </w:rPr>
        <w:fldChar w:fldCharType="separate"/>
      </w:r>
      <w:r>
        <w:rPr>
          <w:rStyle w:val="15"/>
          <w:rFonts w:hint="eastAsia" w:ascii="仿宋_GB2312" w:eastAsia="仿宋_GB2312"/>
          <w:spacing w:val="-6"/>
          <w:sz w:val="32"/>
          <w:szCs w:val="32"/>
          <w:lang w:val="en-US" w:eastAsia="zh-CN"/>
        </w:rPr>
        <w:t>http://www.cnjg.gov.cn/new/detail/20240110095017108.html</w:t>
      </w:r>
      <w:r>
        <w:rPr>
          <w:rFonts w:hint="eastAsia" w:ascii="仿宋_GB2312" w:eastAsia="仿宋_GB2312"/>
          <w:spacing w:val="-6"/>
          <w:sz w:val="32"/>
          <w:szCs w:val="32"/>
          <w:lang w:val="en-US" w:eastAsia="zh-CN"/>
        </w:rPr>
        <w:fldChar w:fldCharType="end"/>
      </w:r>
      <w:r>
        <w:rPr>
          <w:rFonts w:hint="eastAsia" w:ascii="仿宋_GB2312" w:eastAsia="仿宋_GB2312"/>
          <w:spacing w:val="-6"/>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16" w:firstLineChars="200"/>
        <w:jc w:val="left"/>
        <w:textAlignment w:val="auto"/>
        <w:rPr>
          <w:rFonts w:hint="eastAsia" w:ascii="仿宋_GB2312" w:eastAsia="仿宋_GB2312"/>
          <w:sz w:val="32"/>
          <w:szCs w:val="32"/>
          <w:lang w:val="en-US" w:eastAsia="zh-CN"/>
        </w:rPr>
      </w:pPr>
      <w:r>
        <w:rPr>
          <w:rFonts w:hint="eastAsia" w:ascii="仿宋_GB2312" w:eastAsia="仿宋_GB2312"/>
          <w:spacing w:val="-6"/>
          <w:sz w:val="32"/>
          <w:szCs w:val="32"/>
          <w:lang w:val="en-US" w:eastAsia="zh-CN"/>
        </w:rPr>
        <w:t xml:space="preserve"> </w:t>
      </w:r>
      <w:r>
        <w:rPr>
          <w:rFonts w:hint="eastAsia" w:ascii="仿宋_GB2312" w:eastAsia="仿宋_GB2312"/>
          <w:sz w:val="32"/>
          <w:szCs w:val="32"/>
          <w:lang w:val="en-US" w:eastAsia="zh-CN"/>
        </w:rPr>
        <w:t xml:space="preserve">剑阁县财政局关于行政许可信息登记情况的公示-广元市剑阁县人民政府 </w:t>
      </w: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lang w:val="en-US" w:eastAsia="zh-CN"/>
        </w:rPr>
      </w:pPr>
      <w:r>
        <w:rPr>
          <w:rFonts w:hint="eastAsia" w:ascii="仿宋_GB2312" w:eastAsia="仿宋_GB2312"/>
          <w:spacing w:val="-6"/>
          <w:sz w:val="32"/>
          <w:szCs w:val="32"/>
          <w:lang w:val="en-US" w:eastAsia="zh-CN"/>
        </w:rPr>
        <w:t>http://www.cnjg.gov.cn/new/detail/20230531164759198.html</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color w:val="000000" w:themeColor="text1"/>
          <w:sz w:val="32"/>
          <w:szCs w:val="32"/>
          <w:highlight w:val="none"/>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highlight w:val="none"/>
          <w:lang w:val="en-US" w:eastAsia="zh-CN"/>
          <w14:textFill>
            <w14:solidFill>
              <w14:schemeClr w14:val="tx1"/>
            </w14:solidFill>
          </w14:textFill>
        </w:rPr>
        <w:t>（三）上年度双随机抽查结果</w:t>
      </w:r>
    </w:p>
    <w:p>
      <w:pPr>
        <w:pStyle w:val="2"/>
        <w:keepNext w:val="0"/>
        <w:keepLines w:val="0"/>
        <w:pageBreakBefore w:val="0"/>
        <w:widowControl w:val="0"/>
        <w:kinsoku/>
        <w:wordWrap/>
        <w:overflowPunct/>
        <w:topLinePunct w:val="0"/>
        <w:autoSpaceDE/>
        <w:autoSpaceDN/>
        <w:bidi w:val="0"/>
        <w:adjustRightInd/>
        <w:snapToGrid/>
        <w:spacing w:after="0" w:line="576" w:lineRule="exact"/>
        <w:ind w:firstLine="640" w:firstLineChars="200"/>
        <w:textAlignment w:val="auto"/>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剑阁县财政局202</w:t>
      </w:r>
      <w:r>
        <w:rPr>
          <w:rFonts w:hint="eastAsia" w:ascii="仿宋_GB2312" w:eastAsia="仿宋_GB2312" w:cs="Times New Roman"/>
          <w:kern w:val="2"/>
          <w:sz w:val="32"/>
          <w:szCs w:val="32"/>
          <w:lang w:val="en-US" w:eastAsia="zh-CN" w:bidi="ar-SA"/>
        </w:rPr>
        <w:t>3</w:t>
      </w:r>
      <w:r>
        <w:rPr>
          <w:rFonts w:hint="eastAsia" w:ascii="仿宋_GB2312" w:hAnsi="Calibri" w:eastAsia="仿宋_GB2312" w:cs="Times New Roman"/>
          <w:kern w:val="2"/>
          <w:sz w:val="32"/>
          <w:szCs w:val="32"/>
          <w:lang w:val="en-US" w:eastAsia="zh-CN" w:bidi="ar-SA"/>
        </w:rPr>
        <w:t>年双随机检查</w:t>
      </w:r>
      <w:r>
        <w:rPr>
          <w:rFonts w:hint="eastAsia" w:ascii="仿宋_GB2312" w:eastAsia="仿宋_GB2312" w:cs="Times New Roman"/>
          <w:kern w:val="2"/>
          <w:sz w:val="32"/>
          <w:szCs w:val="32"/>
          <w:lang w:val="en-US" w:eastAsia="zh-CN" w:bidi="ar-SA"/>
        </w:rPr>
        <w:t>1</w:t>
      </w:r>
      <w:r>
        <w:rPr>
          <w:rFonts w:hint="eastAsia" w:ascii="仿宋_GB2312" w:hAnsi="Calibri" w:eastAsia="仿宋_GB2312" w:cs="Times New Roman"/>
          <w:kern w:val="2"/>
          <w:sz w:val="32"/>
          <w:szCs w:val="32"/>
          <w:lang w:val="en-US" w:eastAsia="zh-CN" w:bidi="ar-SA"/>
        </w:rPr>
        <w:t>次，检查对象</w:t>
      </w:r>
      <w:r>
        <w:rPr>
          <w:rFonts w:hint="eastAsia" w:ascii="仿宋_GB2312" w:eastAsia="仿宋_GB2312" w:cs="Times New Roman"/>
          <w:kern w:val="2"/>
          <w:sz w:val="32"/>
          <w:szCs w:val="32"/>
          <w:lang w:val="en-US" w:eastAsia="zh-CN" w:bidi="ar-SA"/>
        </w:rPr>
        <w:t>7</w:t>
      </w:r>
      <w:r>
        <w:rPr>
          <w:rFonts w:hint="eastAsia" w:ascii="仿宋_GB2312" w:hAnsi="Calibri" w:eastAsia="仿宋_GB2312" w:cs="Times New Roman"/>
          <w:kern w:val="2"/>
          <w:sz w:val="32"/>
          <w:szCs w:val="32"/>
          <w:lang w:val="en-US" w:eastAsia="zh-CN" w:bidi="ar-SA"/>
        </w:rPr>
        <w:t>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十、剑阁县财政局实行行政执法“三项制度”方案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lang w:val="en-US" w:eastAsia="zh-CN"/>
        </w:rPr>
      </w:pPr>
      <w:r>
        <w:rPr>
          <w:rFonts w:hint="eastAsia" w:ascii="仿宋_GB2312" w:eastAsia="仿宋_GB2312"/>
          <w:sz w:val="32"/>
          <w:szCs w:val="32"/>
          <w:lang w:val="en-US" w:eastAsia="zh-CN"/>
        </w:rPr>
        <w:t>执行《四川省行政执法公示办法》《四川省行政执法全过程记录办法》《四川省重大行政执法决定法制审核办法》；</w:t>
      </w:r>
      <w:r>
        <w:rPr>
          <w:rFonts w:hint="eastAsia" w:ascii="仿宋_GB2312" w:eastAsia="仿宋_GB2312"/>
          <w:color w:val="auto"/>
          <w:sz w:val="32"/>
          <w:szCs w:val="32"/>
          <w:lang w:val="en-US" w:eastAsia="zh-CN"/>
        </w:rPr>
        <w:t>《剑阁县财政局关于印发&lt;剑阁县财政局行政执法公示制度&gt;&lt;剑阁县财</w:t>
      </w:r>
      <w:r>
        <w:rPr>
          <w:rFonts w:hint="eastAsia" w:ascii="仿宋_GB2312" w:eastAsia="仿宋_GB2312"/>
          <w:sz w:val="32"/>
          <w:szCs w:val="32"/>
          <w:lang w:val="en-US" w:eastAsia="zh-CN"/>
        </w:rPr>
        <w:t>政局行政执法全过程记录制度实施办法&gt;&lt;剑阁县财政局重大行政执法决定法制审核办法&gt;的通知》(剑财政[2017]173号）</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剑阁县财政局分类检查事项目录和不予、免于、从轻、减轻、从重处罚清单</w:t>
      </w:r>
    </w:p>
    <w:p>
      <w:pPr>
        <w:pStyle w:val="5"/>
        <w:numPr>
          <w:ilvl w:val="0"/>
          <w:numId w:val="0"/>
        </w:numPr>
        <w:ind w:right="210" w:rightChars="100" w:firstLine="640" w:firstLineChars="200"/>
        <w:rPr>
          <w:rFonts w:hint="eastAsia" w:ascii="楷体_GB2312" w:hAnsi="楷体_GB2312" w:eastAsia="楷体_GB2312" w:cs="楷体_GB2312"/>
          <w:color w:val="000000" w:themeColor="text1"/>
          <w:kern w:val="2"/>
          <w:sz w:val="32"/>
          <w:szCs w:val="32"/>
          <w:highlight w:val="none"/>
          <w:lang w:val="en-US" w:eastAsia="zh-CN" w:bidi="ar-SA"/>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 xml:space="preserve"> </w:t>
      </w:r>
      <w:r>
        <w:rPr>
          <w:rFonts w:hint="eastAsia" w:ascii="楷体_GB2312" w:hAnsi="楷体_GB2312" w:eastAsia="楷体_GB2312" w:cs="楷体_GB2312"/>
          <w:color w:val="000000" w:themeColor="text1"/>
          <w:kern w:val="2"/>
          <w:sz w:val="32"/>
          <w:szCs w:val="32"/>
          <w:highlight w:val="none"/>
          <w:lang w:val="en-US" w:eastAsia="zh-CN" w:bidi="ar-SA"/>
          <w14:textFill>
            <w14:solidFill>
              <w14:schemeClr w14:val="tx1"/>
            </w14:solidFill>
          </w14:textFill>
        </w:rPr>
        <w:t>（一）</w:t>
      </w: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剑阁县财政局分类检查事项目录</w:t>
      </w:r>
    </w:p>
    <w:p>
      <w:pPr>
        <w:pStyle w:val="2"/>
        <w:numPr>
          <w:ilvl w:val="0"/>
          <w:numId w:val="0"/>
        </w:numPr>
        <w:ind w:firstLine="1600" w:firstLineChars="400"/>
        <w:rPr>
          <w:rFonts w:hint="default"/>
          <w:lang w:val="en-US" w:eastAsia="zh-CN"/>
        </w:rPr>
      </w:pPr>
      <w:r>
        <w:rPr>
          <w:rFonts w:hint="default" w:ascii="方正小标宋简体" w:hAnsi="方正小标宋简体" w:eastAsia="方正小标宋简体" w:cs="方正小标宋简体"/>
          <w:sz w:val="40"/>
          <w:szCs w:val="40"/>
          <w:lang w:val="en-US" w:eastAsia="zh-CN"/>
        </w:rPr>
        <w:t>剑阁财政局分类检查事项目录</w:t>
      </w:r>
    </w:p>
    <w:tbl>
      <w:tblPr>
        <w:tblStyle w:val="11"/>
        <w:tblW w:w="8997" w:type="dxa"/>
        <w:tblInd w:w="0" w:type="dxa"/>
        <w:tblLayout w:type="fixed"/>
        <w:tblCellMar>
          <w:top w:w="0" w:type="dxa"/>
          <w:left w:w="10" w:type="dxa"/>
          <w:bottom w:w="0" w:type="dxa"/>
          <w:right w:w="10" w:type="dxa"/>
        </w:tblCellMar>
      </w:tblPr>
      <w:tblGrid>
        <w:gridCol w:w="720"/>
        <w:gridCol w:w="1170"/>
        <w:gridCol w:w="795"/>
        <w:gridCol w:w="792"/>
        <w:gridCol w:w="825"/>
        <w:gridCol w:w="3465"/>
        <w:gridCol w:w="1230"/>
      </w:tblGrid>
      <w:tr>
        <w:tblPrEx>
          <w:tblCellMar>
            <w:top w:w="0" w:type="dxa"/>
            <w:left w:w="10" w:type="dxa"/>
            <w:bottom w:w="0" w:type="dxa"/>
            <w:right w:w="10" w:type="dxa"/>
          </w:tblCellMar>
        </w:tblPrEx>
        <w:trPr>
          <w:trHeight w:val="616" w:hRule="atLeast"/>
          <w:tblHeader/>
        </w:trPr>
        <w:tc>
          <w:tcPr>
            <w:tcW w:w="720"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序号</w:t>
            </w:r>
          </w:p>
        </w:tc>
        <w:tc>
          <w:tcPr>
            <w:tcW w:w="1170"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检查事</w:t>
            </w:r>
          </w:p>
          <w:p>
            <w:pPr>
              <w:pStyle w:val="17"/>
              <w:snapToGrid w:val="0"/>
              <w:jc w:val="center"/>
              <w:rPr>
                <w:rFonts w:cs="Times New Roman"/>
                <w:sz w:val="21"/>
                <w:szCs w:val="21"/>
              </w:rPr>
            </w:pPr>
            <w:r>
              <w:rPr>
                <w:rFonts w:hint="eastAsia" w:cs="Times New Roman"/>
                <w:sz w:val="21"/>
                <w:szCs w:val="21"/>
              </w:rPr>
              <w:t>项名称</w:t>
            </w:r>
          </w:p>
        </w:tc>
        <w:tc>
          <w:tcPr>
            <w:tcW w:w="1587" w:type="dxa"/>
            <w:gridSpan w:val="2"/>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检查事</w:t>
            </w:r>
          </w:p>
          <w:p>
            <w:pPr>
              <w:pStyle w:val="17"/>
              <w:snapToGrid w:val="0"/>
              <w:jc w:val="center"/>
              <w:rPr>
                <w:rFonts w:cs="Times New Roman"/>
                <w:sz w:val="21"/>
                <w:szCs w:val="21"/>
              </w:rPr>
            </w:pPr>
            <w:r>
              <w:rPr>
                <w:rFonts w:hint="eastAsia" w:cs="Times New Roman"/>
                <w:sz w:val="21"/>
                <w:szCs w:val="21"/>
              </w:rPr>
              <w:t>项划分</w:t>
            </w:r>
          </w:p>
        </w:tc>
        <w:tc>
          <w:tcPr>
            <w:tcW w:w="4290" w:type="dxa"/>
            <w:gridSpan w:val="2"/>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对象划分</w:t>
            </w:r>
          </w:p>
        </w:tc>
        <w:tc>
          <w:tcPr>
            <w:tcW w:w="1230" w:type="dxa"/>
            <w:tcBorders>
              <w:top w:val="single" w:color="auto" w:sz="4" w:space="0"/>
              <w:left w:val="single" w:color="auto" w:sz="4" w:space="0"/>
              <w:bottom w:val="nil"/>
              <w:right w:val="single" w:color="auto" w:sz="4" w:space="0"/>
            </w:tcBorders>
            <w:shd w:val="clear" w:color="auto" w:fill="FFFFFF"/>
            <w:tcMar>
              <w:left w:w="57" w:type="dxa"/>
              <w:right w:w="57" w:type="dxa"/>
            </w:tcMar>
            <w:vAlign w:val="center"/>
          </w:tcPr>
          <w:p>
            <w:pPr>
              <w:pStyle w:val="17"/>
              <w:snapToGrid w:val="0"/>
              <w:jc w:val="center"/>
              <w:rPr>
                <w:rFonts w:hint="eastAsia" w:cs="Times New Roman"/>
                <w:sz w:val="21"/>
                <w:szCs w:val="21"/>
              </w:rPr>
            </w:pPr>
            <w:r>
              <w:rPr>
                <w:rFonts w:hint="eastAsia" w:cs="Times New Roman"/>
                <w:sz w:val="21"/>
                <w:szCs w:val="21"/>
              </w:rPr>
              <w:t>监管</w:t>
            </w:r>
          </w:p>
          <w:p>
            <w:pPr>
              <w:pStyle w:val="17"/>
              <w:snapToGrid w:val="0"/>
              <w:jc w:val="center"/>
              <w:rPr>
                <w:rFonts w:cs="Times New Roman"/>
                <w:sz w:val="21"/>
                <w:szCs w:val="21"/>
              </w:rPr>
            </w:pPr>
            <w:r>
              <w:rPr>
                <w:rFonts w:hint="eastAsia" w:cs="Times New Roman"/>
                <w:sz w:val="21"/>
                <w:szCs w:val="21"/>
              </w:rPr>
              <w:t>方式</w:t>
            </w:r>
          </w:p>
        </w:tc>
      </w:tr>
      <w:tr>
        <w:tblPrEx>
          <w:tblCellMar>
            <w:top w:w="0" w:type="dxa"/>
            <w:left w:w="10" w:type="dxa"/>
            <w:bottom w:w="0" w:type="dxa"/>
            <w:right w:w="10" w:type="dxa"/>
          </w:tblCellMar>
        </w:tblPrEx>
        <w:trPr>
          <w:trHeight w:val="867" w:hRule="atLeast"/>
        </w:trPr>
        <w:tc>
          <w:tcPr>
            <w:tcW w:w="720"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cs="Times New Roman"/>
                <w:sz w:val="21"/>
                <w:szCs w:val="21"/>
              </w:rPr>
              <w:t>1</w:t>
            </w:r>
          </w:p>
        </w:tc>
        <w:tc>
          <w:tcPr>
            <w:tcW w:w="1170"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对国家机 关、社会团 体、企业事业组织和相关人员涉及财政、财务和会计等事项实施监督检查</w:t>
            </w:r>
          </w:p>
        </w:tc>
        <w:tc>
          <w:tcPr>
            <w:tcW w:w="795"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w:t>
            </w:r>
          </w:p>
          <w:p>
            <w:pPr>
              <w:pStyle w:val="17"/>
              <w:snapToGrid w:val="0"/>
              <w:jc w:val="center"/>
              <w:rPr>
                <w:rFonts w:hint="eastAsia" w:cs="Times New Roman"/>
                <w:sz w:val="21"/>
                <w:szCs w:val="21"/>
              </w:rPr>
            </w:pPr>
            <w:r>
              <w:rPr>
                <w:rFonts w:hint="eastAsia" w:cs="Times New Roman"/>
                <w:sz w:val="21"/>
                <w:szCs w:val="21"/>
              </w:rPr>
              <w:t>检查</w:t>
            </w:r>
          </w:p>
          <w:p>
            <w:pPr>
              <w:pStyle w:val="17"/>
              <w:snapToGrid w:val="0"/>
              <w:jc w:val="center"/>
              <w:rPr>
                <w:rFonts w:cs="Times New Roman"/>
                <w:sz w:val="21"/>
                <w:szCs w:val="21"/>
              </w:rPr>
            </w:pPr>
            <w:r>
              <w:rPr>
                <w:rFonts w:hint="eastAsia" w:cs="Times New Roman"/>
                <w:sz w:val="21"/>
                <w:szCs w:val="21"/>
              </w:rPr>
              <w:t>事项</w:t>
            </w:r>
          </w:p>
        </w:tc>
        <w:tc>
          <w:tcPr>
            <w:tcW w:w="792"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企业会 计信息 质量检</w:t>
            </w:r>
          </w:p>
          <w:p>
            <w:pPr>
              <w:pStyle w:val="17"/>
              <w:snapToGrid w:val="0"/>
              <w:jc w:val="center"/>
              <w:rPr>
                <w:rFonts w:cs="Times New Roman"/>
                <w:sz w:val="21"/>
                <w:szCs w:val="21"/>
              </w:rPr>
            </w:pPr>
            <w:r>
              <w:rPr>
                <w:rFonts w:hint="eastAsia" w:cs="Times New Roman"/>
                <w:sz w:val="21"/>
                <w:szCs w:val="21"/>
              </w:rPr>
              <w:t>查</w:t>
            </w:r>
          </w:p>
        </w:tc>
        <w:tc>
          <w:tcPr>
            <w:tcW w:w="82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未被投诉、举报、行政处罚的企业和 相关人员</w:t>
            </w:r>
          </w:p>
        </w:tc>
        <w:tc>
          <w:tcPr>
            <w:tcW w:w="1230" w:type="dxa"/>
            <w:tcBorders>
              <w:top w:val="single" w:color="auto" w:sz="4" w:space="0"/>
              <w:left w:val="single" w:color="auto" w:sz="4" w:space="0"/>
              <w:bottom w:val="nil"/>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双随机、一公开</w:t>
            </w:r>
          </w:p>
        </w:tc>
      </w:tr>
      <w:tr>
        <w:tblPrEx>
          <w:tblCellMar>
            <w:top w:w="0" w:type="dxa"/>
            <w:left w:w="10" w:type="dxa"/>
            <w:bottom w:w="0" w:type="dxa"/>
            <w:right w:w="10" w:type="dxa"/>
          </w:tblCellMar>
        </w:tblPrEx>
        <w:trPr>
          <w:trHeight w:val="615" w:hRule="atLeast"/>
        </w:trPr>
        <w:tc>
          <w:tcPr>
            <w:tcW w:w="72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82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被投诉、举报的企业和相关人员</w:t>
            </w:r>
          </w:p>
        </w:tc>
        <w:tc>
          <w:tcPr>
            <w:tcW w:w="1230" w:type="dxa"/>
            <w:tcBorders>
              <w:top w:val="single" w:color="auto" w:sz="4" w:space="0"/>
              <w:left w:val="single" w:color="auto" w:sz="4" w:space="0"/>
              <w:bottom w:val="nil"/>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定向检查</w:t>
            </w:r>
          </w:p>
        </w:tc>
      </w:tr>
      <w:tr>
        <w:tblPrEx>
          <w:tblCellMar>
            <w:top w:w="0" w:type="dxa"/>
            <w:left w:w="10" w:type="dxa"/>
            <w:bottom w:w="0" w:type="dxa"/>
            <w:right w:w="10" w:type="dxa"/>
          </w:tblCellMar>
        </w:tblPrEx>
        <w:trPr>
          <w:trHeight w:val="739" w:hRule="atLeast"/>
        </w:trPr>
        <w:tc>
          <w:tcPr>
            <w:tcW w:w="72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82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重点检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多次被投诉举报或社会影响恶劣以及监管部门移交的企业和相关人员</w:t>
            </w:r>
          </w:p>
        </w:tc>
        <w:tc>
          <w:tcPr>
            <w:tcW w:w="1230" w:type="dxa"/>
            <w:tcBorders>
              <w:top w:val="single" w:color="auto" w:sz="4" w:space="0"/>
              <w:left w:val="single" w:color="auto" w:sz="4" w:space="0"/>
              <w:bottom w:val="nil"/>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定向检查</w:t>
            </w:r>
          </w:p>
        </w:tc>
      </w:tr>
      <w:tr>
        <w:tblPrEx>
          <w:tblCellMar>
            <w:top w:w="0" w:type="dxa"/>
            <w:left w:w="10" w:type="dxa"/>
            <w:bottom w:w="0" w:type="dxa"/>
            <w:right w:w="10" w:type="dxa"/>
          </w:tblCellMar>
        </w:tblPrEx>
        <w:trPr>
          <w:trHeight w:val="1068" w:hRule="atLeast"/>
        </w:trPr>
        <w:tc>
          <w:tcPr>
            <w:tcW w:w="72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行政事业单位 会计信 息质量 检查</w:t>
            </w:r>
          </w:p>
        </w:tc>
        <w:tc>
          <w:tcPr>
            <w:tcW w:w="82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未被投诉、举报、行政处罚，或未被 监管部门移交的国家机关、社会团体、事业组织和相关人员</w:t>
            </w:r>
          </w:p>
        </w:tc>
        <w:tc>
          <w:tcPr>
            <w:tcW w:w="1230" w:type="dxa"/>
            <w:tcBorders>
              <w:top w:val="single" w:color="auto" w:sz="4" w:space="0"/>
              <w:left w:val="single" w:color="auto" w:sz="4" w:space="0"/>
              <w:bottom w:val="nil"/>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双随机、一 公开</w:t>
            </w:r>
          </w:p>
        </w:tc>
      </w:tr>
      <w:tr>
        <w:tblPrEx>
          <w:tblCellMar>
            <w:top w:w="0" w:type="dxa"/>
            <w:left w:w="10" w:type="dxa"/>
            <w:bottom w:w="0" w:type="dxa"/>
            <w:right w:w="10" w:type="dxa"/>
          </w:tblCellMar>
        </w:tblPrEx>
        <w:trPr>
          <w:trHeight w:val="866" w:hRule="atLeast"/>
        </w:trPr>
        <w:tc>
          <w:tcPr>
            <w:tcW w:w="72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82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被投诉、举报的国家机关、社会团体、</w:t>
            </w:r>
          </w:p>
          <w:p>
            <w:pPr>
              <w:pStyle w:val="17"/>
              <w:snapToGrid w:val="0"/>
              <w:jc w:val="both"/>
              <w:rPr>
                <w:rFonts w:cs="Times New Roman"/>
                <w:sz w:val="21"/>
                <w:szCs w:val="21"/>
              </w:rPr>
            </w:pPr>
            <w:r>
              <w:rPr>
                <w:rFonts w:hint="eastAsia" w:cs="Times New Roman"/>
                <w:sz w:val="21"/>
                <w:szCs w:val="21"/>
              </w:rPr>
              <w:t>事业组织和相关人员</w:t>
            </w:r>
          </w:p>
        </w:tc>
        <w:tc>
          <w:tcPr>
            <w:tcW w:w="1230" w:type="dxa"/>
            <w:tcBorders>
              <w:top w:val="single" w:color="auto" w:sz="4" w:space="0"/>
              <w:left w:val="single" w:color="auto" w:sz="4" w:space="0"/>
              <w:bottom w:val="nil"/>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定向检查</w:t>
            </w:r>
          </w:p>
        </w:tc>
      </w:tr>
      <w:tr>
        <w:tblPrEx>
          <w:tblCellMar>
            <w:top w:w="0" w:type="dxa"/>
            <w:left w:w="10" w:type="dxa"/>
            <w:bottom w:w="0" w:type="dxa"/>
            <w:right w:w="10" w:type="dxa"/>
          </w:tblCellMar>
        </w:tblPrEx>
        <w:trPr>
          <w:trHeight w:val="820" w:hRule="atLeast"/>
        </w:trPr>
        <w:tc>
          <w:tcPr>
            <w:tcW w:w="72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82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重点检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多次被投诉举报或社会影响恶劣以及监管部门移交的国家机关、社会团体、事业组织和相关人员</w:t>
            </w:r>
          </w:p>
        </w:tc>
        <w:tc>
          <w:tcPr>
            <w:tcW w:w="1230" w:type="dxa"/>
            <w:tcBorders>
              <w:top w:val="single" w:color="auto" w:sz="4" w:space="0"/>
              <w:left w:val="single" w:color="auto" w:sz="4" w:space="0"/>
              <w:bottom w:val="nil"/>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定向检查</w:t>
            </w:r>
          </w:p>
        </w:tc>
      </w:tr>
      <w:tr>
        <w:tblPrEx>
          <w:tblCellMar>
            <w:top w:w="0" w:type="dxa"/>
            <w:left w:w="10" w:type="dxa"/>
            <w:bottom w:w="0" w:type="dxa"/>
            <w:right w:w="10" w:type="dxa"/>
          </w:tblCellMar>
        </w:tblPrEx>
        <w:trPr>
          <w:trHeight w:val="682" w:hRule="atLeast"/>
        </w:trPr>
        <w:tc>
          <w:tcPr>
            <w:tcW w:w="72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重点</w:t>
            </w:r>
          </w:p>
          <w:p>
            <w:pPr>
              <w:pStyle w:val="17"/>
              <w:snapToGrid w:val="0"/>
              <w:jc w:val="center"/>
              <w:rPr>
                <w:rFonts w:hint="eastAsia" w:cs="Times New Roman"/>
                <w:sz w:val="21"/>
                <w:szCs w:val="21"/>
              </w:rPr>
            </w:pPr>
            <w:r>
              <w:rPr>
                <w:rFonts w:hint="eastAsia" w:cs="Times New Roman"/>
                <w:sz w:val="21"/>
                <w:szCs w:val="21"/>
              </w:rPr>
              <w:t>检查</w:t>
            </w:r>
          </w:p>
          <w:p>
            <w:pPr>
              <w:pStyle w:val="17"/>
              <w:snapToGrid w:val="0"/>
              <w:jc w:val="center"/>
              <w:rPr>
                <w:rFonts w:cs="Times New Roman"/>
                <w:sz w:val="21"/>
                <w:szCs w:val="21"/>
              </w:rPr>
            </w:pPr>
            <w:r>
              <w:rPr>
                <w:rFonts w:hint="eastAsia" w:cs="Times New Roman"/>
                <w:sz w:val="21"/>
                <w:szCs w:val="21"/>
              </w:rPr>
              <w:t>事项</w:t>
            </w:r>
          </w:p>
        </w:tc>
        <w:tc>
          <w:tcPr>
            <w:tcW w:w="792"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无</w:t>
            </w:r>
          </w:p>
        </w:tc>
        <w:tc>
          <w:tcPr>
            <w:tcW w:w="82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c>
          <w:tcPr>
            <w:tcW w:w="1230" w:type="dxa"/>
            <w:tcBorders>
              <w:top w:val="single" w:color="auto" w:sz="4" w:space="0"/>
              <w:left w:val="single" w:color="auto" w:sz="4" w:space="0"/>
              <w:bottom w:val="nil"/>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r>
      <w:tr>
        <w:tblPrEx>
          <w:tblCellMar>
            <w:top w:w="0" w:type="dxa"/>
            <w:left w:w="10" w:type="dxa"/>
            <w:bottom w:w="0" w:type="dxa"/>
            <w:right w:w="10" w:type="dxa"/>
          </w:tblCellMar>
        </w:tblPrEx>
        <w:trPr>
          <w:trHeight w:val="615" w:hRule="atLeast"/>
        </w:trPr>
        <w:tc>
          <w:tcPr>
            <w:tcW w:w="72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82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重点检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c>
          <w:tcPr>
            <w:tcW w:w="1230" w:type="dxa"/>
            <w:tcBorders>
              <w:top w:val="single" w:color="auto" w:sz="4" w:space="0"/>
              <w:left w:val="single" w:color="auto" w:sz="4" w:space="0"/>
              <w:bottom w:val="nil"/>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r>
      <w:tr>
        <w:tblPrEx>
          <w:tblCellMar>
            <w:top w:w="0" w:type="dxa"/>
            <w:left w:w="10" w:type="dxa"/>
            <w:bottom w:w="0" w:type="dxa"/>
            <w:right w:w="10" w:type="dxa"/>
          </w:tblCellMar>
        </w:tblPrEx>
        <w:trPr>
          <w:trHeight w:val="735" w:hRule="atLeast"/>
        </w:trPr>
        <w:tc>
          <w:tcPr>
            <w:tcW w:w="720"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cs="Times New Roman"/>
                <w:sz w:val="21"/>
                <w:szCs w:val="21"/>
              </w:rPr>
              <w:t>2</w:t>
            </w:r>
          </w:p>
        </w:tc>
        <w:tc>
          <w:tcPr>
            <w:tcW w:w="1170"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hint="eastAsia" w:cs="Times New Roman"/>
                <w:sz w:val="21"/>
                <w:szCs w:val="21"/>
              </w:rPr>
            </w:pPr>
            <w:r>
              <w:rPr>
                <w:rFonts w:hint="eastAsia" w:cs="Times New Roman"/>
                <w:sz w:val="21"/>
                <w:szCs w:val="21"/>
              </w:rPr>
              <w:t>对代理记 账机构保 持设立条 件、备案事项报备情况、执业情 况、质量控制制度等 情况的检</w:t>
            </w:r>
          </w:p>
          <w:p>
            <w:pPr>
              <w:pStyle w:val="17"/>
              <w:snapToGrid w:val="0"/>
              <w:jc w:val="center"/>
              <w:rPr>
                <w:rFonts w:cs="Times New Roman"/>
                <w:sz w:val="21"/>
                <w:szCs w:val="21"/>
              </w:rPr>
            </w:pPr>
            <w:r>
              <w:rPr>
                <w:rFonts w:hint="eastAsia" w:cs="Times New Roman"/>
                <w:sz w:val="21"/>
                <w:szCs w:val="21"/>
              </w:rPr>
              <w:t>查</w:t>
            </w:r>
          </w:p>
        </w:tc>
        <w:tc>
          <w:tcPr>
            <w:tcW w:w="795"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hint="eastAsia" w:cs="Times New Roman"/>
                <w:sz w:val="21"/>
                <w:szCs w:val="21"/>
              </w:rPr>
            </w:pPr>
            <w:r>
              <w:rPr>
                <w:rFonts w:hint="eastAsia" w:cs="Times New Roman"/>
                <w:sz w:val="21"/>
                <w:szCs w:val="21"/>
              </w:rPr>
              <w:t>一般</w:t>
            </w:r>
          </w:p>
          <w:p>
            <w:pPr>
              <w:pStyle w:val="17"/>
              <w:snapToGrid w:val="0"/>
              <w:jc w:val="center"/>
              <w:rPr>
                <w:rFonts w:hint="eastAsia" w:cs="Times New Roman"/>
                <w:sz w:val="21"/>
                <w:szCs w:val="21"/>
              </w:rPr>
            </w:pPr>
            <w:r>
              <w:rPr>
                <w:rFonts w:hint="eastAsia" w:cs="Times New Roman"/>
                <w:sz w:val="21"/>
                <w:szCs w:val="21"/>
              </w:rPr>
              <w:t>检查</w:t>
            </w:r>
          </w:p>
          <w:p>
            <w:pPr>
              <w:pStyle w:val="17"/>
              <w:snapToGrid w:val="0"/>
              <w:jc w:val="center"/>
              <w:rPr>
                <w:rFonts w:cs="Times New Roman"/>
                <w:sz w:val="21"/>
                <w:szCs w:val="21"/>
              </w:rPr>
            </w:pPr>
            <w:r>
              <w:rPr>
                <w:rFonts w:hint="eastAsia" w:cs="Times New Roman"/>
                <w:sz w:val="21"/>
                <w:szCs w:val="21"/>
              </w:rPr>
              <w:t>事项</w:t>
            </w:r>
          </w:p>
        </w:tc>
        <w:tc>
          <w:tcPr>
            <w:tcW w:w="792"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代理记 账机构 执业质 量监督 检查</w:t>
            </w:r>
          </w:p>
        </w:tc>
        <w:tc>
          <w:tcPr>
            <w:tcW w:w="82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未被投诉、举报、行政处罚或者未被 监管部门移交的代理记账机构</w:t>
            </w:r>
          </w:p>
        </w:tc>
        <w:tc>
          <w:tcPr>
            <w:tcW w:w="1230" w:type="dxa"/>
            <w:tcBorders>
              <w:top w:val="single" w:color="auto" w:sz="4" w:space="0"/>
              <w:left w:val="single" w:color="auto" w:sz="4" w:space="0"/>
              <w:bottom w:val="nil"/>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双随机、一公开</w:t>
            </w:r>
          </w:p>
        </w:tc>
      </w:tr>
      <w:tr>
        <w:tblPrEx>
          <w:tblCellMar>
            <w:top w:w="0" w:type="dxa"/>
            <w:left w:w="10" w:type="dxa"/>
            <w:bottom w:w="0" w:type="dxa"/>
            <w:right w:w="10" w:type="dxa"/>
          </w:tblCellMar>
        </w:tblPrEx>
        <w:trPr>
          <w:trHeight w:val="720" w:hRule="atLeast"/>
        </w:trPr>
        <w:tc>
          <w:tcPr>
            <w:tcW w:w="72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82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被投诉、举报的代理记账机构</w:t>
            </w:r>
          </w:p>
        </w:tc>
        <w:tc>
          <w:tcPr>
            <w:tcW w:w="1230" w:type="dxa"/>
            <w:tcBorders>
              <w:top w:val="single" w:color="auto" w:sz="4" w:space="0"/>
              <w:left w:val="single" w:color="auto" w:sz="4" w:space="0"/>
              <w:bottom w:val="nil"/>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定向检查</w:t>
            </w:r>
          </w:p>
        </w:tc>
      </w:tr>
      <w:tr>
        <w:tblPrEx>
          <w:tblCellMar>
            <w:top w:w="0" w:type="dxa"/>
            <w:left w:w="10" w:type="dxa"/>
            <w:bottom w:w="0" w:type="dxa"/>
            <w:right w:w="10" w:type="dxa"/>
          </w:tblCellMar>
        </w:tblPrEx>
        <w:trPr>
          <w:trHeight w:val="675" w:hRule="atLeast"/>
        </w:trPr>
        <w:tc>
          <w:tcPr>
            <w:tcW w:w="72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82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重点检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多次投诉举报或社会影响恶劣以及监管部门移交的代理记账机构</w:t>
            </w:r>
          </w:p>
        </w:tc>
        <w:tc>
          <w:tcPr>
            <w:tcW w:w="1230" w:type="dxa"/>
            <w:tcBorders>
              <w:top w:val="single" w:color="auto" w:sz="4" w:space="0"/>
              <w:left w:val="single" w:color="auto" w:sz="4" w:space="0"/>
              <w:bottom w:val="single" w:color="auto" w:sz="4" w:space="0"/>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定向检查</w:t>
            </w:r>
          </w:p>
        </w:tc>
      </w:tr>
      <w:tr>
        <w:tblPrEx>
          <w:tblCellMar>
            <w:top w:w="0" w:type="dxa"/>
            <w:left w:w="10" w:type="dxa"/>
            <w:bottom w:w="0" w:type="dxa"/>
            <w:right w:w="10" w:type="dxa"/>
          </w:tblCellMar>
        </w:tblPrEx>
        <w:trPr>
          <w:trHeight w:val="596" w:hRule="atLeast"/>
        </w:trPr>
        <w:tc>
          <w:tcPr>
            <w:tcW w:w="72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top w:val="single" w:color="auto" w:sz="4" w:space="0"/>
              <w:left w:val="single" w:color="auto" w:sz="4" w:space="0"/>
              <w:bottom w:val="nil"/>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重点</w:t>
            </w:r>
          </w:p>
          <w:p>
            <w:pPr>
              <w:pStyle w:val="17"/>
              <w:snapToGrid w:val="0"/>
              <w:jc w:val="center"/>
              <w:rPr>
                <w:rFonts w:hint="eastAsia" w:cs="Times New Roman"/>
                <w:sz w:val="21"/>
                <w:szCs w:val="21"/>
              </w:rPr>
            </w:pPr>
            <w:r>
              <w:rPr>
                <w:rFonts w:hint="eastAsia" w:cs="Times New Roman"/>
                <w:sz w:val="21"/>
                <w:szCs w:val="21"/>
              </w:rPr>
              <w:t>检查</w:t>
            </w:r>
          </w:p>
          <w:p>
            <w:pPr>
              <w:pStyle w:val="17"/>
              <w:snapToGrid w:val="0"/>
              <w:jc w:val="center"/>
              <w:rPr>
                <w:rFonts w:cs="Times New Roman"/>
                <w:sz w:val="21"/>
                <w:szCs w:val="21"/>
              </w:rPr>
            </w:pPr>
            <w:r>
              <w:rPr>
                <w:rFonts w:hint="eastAsia" w:cs="Times New Roman"/>
                <w:sz w:val="21"/>
                <w:szCs w:val="21"/>
              </w:rPr>
              <w:t>事项</w:t>
            </w:r>
          </w:p>
        </w:tc>
        <w:tc>
          <w:tcPr>
            <w:tcW w:w="792" w:type="dxa"/>
            <w:vMerge w:val="restart"/>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无</w:t>
            </w:r>
          </w:p>
        </w:tc>
        <w:tc>
          <w:tcPr>
            <w:tcW w:w="825" w:type="dxa"/>
            <w:tcBorders>
              <w:top w:val="single" w:color="auto" w:sz="4" w:space="0"/>
              <w:left w:val="single" w:color="auto" w:sz="4" w:space="0"/>
              <w:bottom w:val="nil"/>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c>
          <w:tcPr>
            <w:tcW w:w="1230" w:type="dxa"/>
            <w:tcBorders>
              <w:top w:val="single" w:color="auto" w:sz="4" w:space="0"/>
              <w:left w:val="single" w:color="auto" w:sz="4" w:space="0"/>
              <w:bottom w:val="single" w:color="auto" w:sz="4" w:space="0"/>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r>
      <w:tr>
        <w:tblPrEx>
          <w:tblCellMar>
            <w:top w:w="0" w:type="dxa"/>
            <w:left w:w="10" w:type="dxa"/>
            <w:bottom w:w="0" w:type="dxa"/>
            <w:right w:w="10" w:type="dxa"/>
          </w:tblCellMar>
        </w:tblPrEx>
        <w:trPr>
          <w:trHeight w:val="762" w:hRule="atLeast"/>
        </w:trPr>
        <w:tc>
          <w:tcPr>
            <w:tcW w:w="720" w:type="dxa"/>
            <w:vMerge w:val="continue"/>
            <w:tcBorders>
              <w:top w:val="single" w:color="auto" w:sz="4" w:space="0"/>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top w:val="single" w:color="auto" w:sz="4" w:space="0"/>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top w:val="single" w:color="auto" w:sz="4" w:space="0"/>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top w:val="single" w:color="auto" w:sz="4" w:space="0"/>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82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重点检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c>
          <w:tcPr>
            <w:tcW w:w="1230" w:type="dxa"/>
            <w:tcBorders>
              <w:top w:val="single" w:color="auto" w:sz="4" w:space="0"/>
              <w:left w:val="single" w:color="auto" w:sz="4" w:space="0"/>
              <w:bottom w:val="single" w:color="auto" w:sz="4" w:space="0"/>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r>
      <w:tr>
        <w:tblPrEx>
          <w:tblCellMar>
            <w:top w:w="0" w:type="dxa"/>
            <w:left w:w="10" w:type="dxa"/>
            <w:bottom w:w="0" w:type="dxa"/>
            <w:right w:w="10" w:type="dxa"/>
          </w:tblCellMar>
        </w:tblPrEx>
        <w:trPr>
          <w:trHeight w:val="657" w:hRule="atLeast"/>
        </w:trPr>
        <w:tc>
          <w:tcPr>
            <w:tcW w:w="720" w:type="dxa"/>
            <w:vMerge w:val="restart"/>
            <w:tcBorders>
              <w:top w:val="single" w:color="auto" w:sz="4" w:space="0"/>
              <w:left w:val="single" w:color="auto" w:sz="4" w:space="0"/>
              <w:right w:val="nil"/>
            </w:tcBorders>
            <w:shd w:val="clear" w:color="auto" w:fill="auto"/>
            <w:tcMar>
              <w:left w:w="57" w:type="dxa"/>
              <w:right w:w="57" w:type="dxa"/>
            </w:tcMar>
            <w:vAlign w:val="center"/>
          </w:tcPr>
          <w:p>
            <w:pPr>
              <w:pStyle w:val="17"/>
              <w:snapToGrid w:val="0"/>
              <w:jc w:val="center"/>
              <w:rPr>
                <w:rFonts w:cs="Times New Roman"/>
                <w:sz w:val="21"/>
                <w:szCs w:val="21"/>
              </w:rPr>
            </w:pPr>
            <w:r>
              <w:rPr>
                <w:rFonts w:cs="Times New Roman"/>
                <w:sz w:val="21"/>
                <w:szCs w:val="21"/>
              </w:rPr>
              <w:t>3</w:t>
            </w:r>
          </w:p>
        </w:tc>
        <w:tc>
          <w:tcPr>
            <w:tcW w:w="1170" w:type="dxa"/>
            <w:vMerge w:val="restart"/>
            <w:tcBorders>
              <w:top w:val="single" w:color="auto" w:sz="4" w:space="0"/>
              <w:left w:val="single" w:color="auto" w:sz="4" w:space="0"/>
              <w:right w:val="nil"/>
            </w:tcBorders>
            <w:shd w:val="clear" w:color="auto" w:fill="auto"/>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对政府采 购活动及 集中釆购 机构的监 督检查</w:t>
            </w:r>
          </w:p>
        </w:tc>
        <w:tc>
          <w:tcPr>
            <w:tcW w:w="795" w:type="dxa"/>
            <w:vMerge w:val="restart"/>
            <w:tcBorders>
              <w:top w:val="single" w:color="auto" w:sz="4" w:space="0"/>
              <w:left w:val="single" w:color="auto" w:sz="4" w:space="0"/>
              <w:right w:val="nil"/>
            </w:tcBorders>
            <w:shd w:val="clear" w:color="auto" w:fill="auto"/>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w:t>
            </w:r>
          </w:p>
          <w:p>
            <w:pPr>
              <w:pStyle w:val="17"/>
              <w:snapToGrid w:val="0"/>
              <w:jc w:val="center"/>
              <w:rPr>
                <w:rFonts w:hint="eastAsia" w:cs="Times New Roman"/>
                <w:sz w:val="21"/>
                <w:szCs w:val="21"/>
              </w:rPr>
            </w:pPr>
            <w:r>
              <w:rPr>
                <w:rFonts w:hint="eastAsia" w:cs="Times New Roman"/>
                <w:sz w:val="21"/>
                <w:szCs w:val="21"/>
              </w:rPr>
              <w:t>检查</w:t>
            </w:r>
          </w:p>
          <w:p>
            <w:pPr>
              <w:pStyle w:val="17"/>
              <w:snapToGrid w:val="0"/>
              <w:jc w:val="center"/>
              <w:rPr>
                <w:rFonts w:cs="Times New Roman"/>
                <w:sz w:val="21"/>
                <w:szCs w:val="21"/>
              </w:rPr>
            </w:pPr>
            <w:r>
              <w:rPr>
                <w:rFonts w:hint="eastAsia" w:cs="Times New Roman"/>
                <w:sz w:val="21"/>
                <w:szCs w:val="21"/>
              </w:rPr>
              <w:t>事项</w:t>
            </w:r>
          </w:p>
        </w:tc>
        <w:tc>
          <w:tcPr>
            <w:tcW w:w="792" w:type="dxa"/>
            <w:vMerge w:val="restart"/>
            <w:tcBorders>
              <w:top w:val="single" w:color="auto" w:sz="4" w:space="0"/>
              <w:left w:val="single" w:color="auto" w:sz="4" w:space="0"/>
              <w:right w:val="nil"/>
            </w:tcBorders>
            <w:shd w:val="clear" w:color="auto" w:fill="auto"/>
            <w:tcMar>
              <w:left w:w="57" w:type="dxa"/>
              <w:right w:w="57" w:type="dxa"/>
            </w:tcMar>
            <w:vAlign w:val="center"/>
          </w:tcPr>
          <w:p>
            <w:pPr>
              <w:pStyle w:val="17"/>
              <w:snapToGrid w:val="0"/>
              <w:jc w:val="center"/>
              <w:rPr>
                <w:rFonts w:hint="eastAsia" w:cs="Times New Roman"/>
                <w:sz w:val="21"/>
                <w:szCs w:val="21"/>
              </w:rPr>
            </w:pPr>
            <w:r>
              <w:rPr>
                <w:rFonts w:hint="eastAsia" w:cs="Times New Roman"/>
                <w:sz w:val="21"/>
                <w:szCs w:val="21"/>
              </w:rPr>
              <w:t>对政府 釆购活 动及集 中采购 机构的监督</w:t>
            </w:r>
          </w:p>
          <w:p>
            <w:pPr>
              <w:pStyle w:val="17"/>
              <w:snapToGrid w:val="0"/>
              <w:jc w:val="center"/>
              <w:rPr>
                <w:rFonts w:cs="Times New Roman"/>
                <w:sz w:val="21"/>
                <w:szCs w:val="21"/>
              </w:rPr>
            </w:pPr>
            <w:r>
              <w:rPr>
                <w:rFonts w:hint="eastAsia" w:cs="Times New Roman"/>
                <w:sz w:val="21"/>
                <w:szCs w:val="21"/>
              </w:rPr>
              <w:t>检查</w:t>
            </w:r>
          </w:p>
        </w:tc>
        <w:tc>
          <w:tcPr>
            <w:tcW w:w="82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集中釆购机构</w:t>
            </w:r>
          </w:p>
        </w:tc>
        <w:tc>
          <w:tcPr>
            <w:tcW w:w="1230" w:type="dxa"/>
            <w:tcBorders>
              <w:top w:val="single" w:color="auto" w:sz="4" w:space="0"/>
              <w:left w:val="single" w:color="auto" w:sz="4" w:space="0"/>
              <w:bottom w:val="single" w:color="auto" w:sz="4" w:space="0"/>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定向检查</w:t>
            </w:r>
          </w:p>
        </w:tc>
      </w:tr>
      <w:tr>
        <w:tblPrEx>
          <w:tblCellMar>
            <w:top w:w="0" w:type="dxa"/>
            <w:left w:w="10" w:type="dxa"/>
            <w:bottom w:w="0" w:type="dxa"/>
            <w:right w:w="10" w:type="dxa"/>
          </w:tblCellMar>
        </w:tblPrEx>
        <w:trPr>
          <w:trHeight w:val="644" w:hRule="atLeast"/>
        </w:trPr>
        <w:tc>
          <w:tcPr>
            <w:tcW w:w="720" w:type="dxa"/>
            <w:vMerge w:val="continue"/>
            <w:tcBorders>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82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社会代理机构</w:t>
            </w:r>
          </w:p>
        </w:tc>
        <w:tc>
          <w:tcPr>
            <w:tcW w:w="1230" w:type="dxa"/>
            <w:tcBorders>
              <w:top w:val="single" w:color="auto" w:sz="4" w:space="0"/>
              <w:left w:val="single" w:color="auto" w:sz="4" w:space="0"/>
              <w:bottom w:val="single" w:color="auto" w:sz="4" w:space="0"/>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双随机、一</w:t>
            </w:r>
          </w:p>
          <w:p>
            <w:pPr>
              <w:pStyle w:val="17"/>
              <w:snapToGrid w:val="0"/>
              <w:jc w:val="both"/>
              <w:rPr>
                <w:rFonts w:cs="Times New Roman"/>
                <w:sz w:val="21"/>
                <w:szCs w:val="21"/>
              </w:rPr>
            </w:pPr>
            <w:r>
              <w:rPr>
                <w:rFonts w:hint="eastAsia" w:cs="Times New Roman"/>
                <w:sz w:val="21"/>
                <w:szCs w:val="21"/>
              </w:rPr>
              <w:t>公开</w:t>
            </w:r>
          </w:p>
        </w:tc>
      </w:tr>
      <w:tr>
        <w:tblPrEx>
          <w:tblCellMar>
            <w:top w:w="0" w:type="dxa"/>
            <w:left w:w="10" w:type="dxa"/>
            <w:bottom w:w="0" w:type="dxa"/>
            <w:right w:w="10" w:type="dxa"/>
          </w:tblCellMar>
        </w:tblPrEx>
        <w:trPr>
          <w:trHeight w:val="670" w:hRule="atLeast"/>
        </w:trPr>
        <w:tc>
          <w:tcPr>
            <w:tcW w:w="720" w:type="dxa"/>
            <w:vMerge w:val="continue"/>
            <w:tcBorders>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left w:val="single" w:color="auto" w:sz="4" w:space="0"/>
              <w:bottom w:val="single" w:color="auto" w:sz="4" w:space="0"/>
              <w:right w:val="nil"/>
            </w:tcBorders>
            <w:shd w:val="clear" w:color="auto" w:fill="auto"/>
            <w:tcMar>
              <w:left w:w="57" w:type="dxa"/>
              <w:right w:w="57" w:type="dxa"/>
            </w:tcMar>
            <w:vAlign w:val="center"/>
          </w:tcPr>
          <w:p>
            <w:pPr>
              <w:pStyle w:val="17"/>
              <w:snapToGrid w:val="0"/>
              <w:jc w:val="center"/>
              <w:rPr>
                <w:rFonts w:cs="Times New Roman"/>
                <w:sz w:val="21"/>
                <w:szCs w:val="21"/>
              </w:rPr>
            </w:pPr>
          </w:p>
        </w:tc>
        <w:tc>
          <w:tcPr>
            <w:tcW w:w="82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重点检</w:t>
            </w:r>
          </w:p>
          <w:p>
            <w:pPr>
              <w:pStyle w:val="17"/>
              <w:snapToGrid w:val="0"/>
              <w:jc w:val="both"/>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rPr>
                <w:rFonts w:cs="Times New Roman"/>
                <w:sz w:val="21"/>
                <w:szCs w:val="21"/>
              </w:rPr>
            </w:pPr>
            <w:r>
              <w:rPr>
                <w:rFonts w:hint="eastAsia" w:cs="Times New Roman"/>
                <w:sz w:val="21"/>
                <w:szCs w:val="21"/>
              </w:rPr>
              <w:t>社会影响恶劣、公众反映强烈的政府 釆购活动</w:t>
            </w:r>
          </w:p>
        </w:tc>
        <w:tc>
          <w:tcPr>
            <w:tcW w:w="1230" w:type="dxa"/>
            <w:tcBorders>
              <w:top w:val="single" w:color="auto" w:sz="4" w:space="0"/>
              <w:left w:val="single" w:color="auto" w:sz="4" w:space="0"/>
              <w:bottom w:val="single" w:color="auto" w:sz="4" w:space="0"/>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定向检查</w:t>
            </w:r>
          </w:p>
        </w:tc>
      </w:tr>
      <w:tr>
        <w:tblPrEx>
          <w:tblCellMar>
            <w:top w:w="0" w:type="dxa"/>
            <w:left w:w="10" w:type="dxa"/>
            <w:bottom w:w="0" w:type="dxa"/>
            <w:right w:w="10" w:type="dxa"/>
          </w:tblCellMar>
        </w:tblPrEx>
        <w:trPr>
          <w:trHeight w:val="605" w:hRule="atLeast"/>
        </w:trPr>
        <w:tc>
          <w:tcPr>
            <w:tcW w:w="720" w:type="dxa"/>
            <w:vMerge w:val="continue"/>
            <w:tcBorders>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restart"/>
            <w:tcBorders>
              <w:top w:val="single" w:color="auto" w:sz="4" w:space="0"/>
              <w:left w:val="single" w:color="auto" w:sz="4" w:space="0"/>
              <w:right w:val="nil"/>
            </w:tcBorders>
            <w:shd w:val="clear" w:color="auto" w:fill="auto"/>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重点</w:t>
            </w:r>
          </w:p>
          <w:p>
            <w:pPr>
              <w:pStyle w:val="17"/>
              <w:snapToGrid w:val="0"/>
              <w:jc w:val="center"/>
              <w:rPr>
                <w:rFonts w:hint="eastAsia" w:cs="Times New Roman"/>
                <w:sz w:val="21"/>
                <w:szCs w:val="21"/>
              </w:rPr>
            </w:pPr>
            <w:r>
              <w:rPr>
                <w:rFonts w:hint="eastAsia" w:cs="Times New Roman"/>
                <w:sz w:val="21"/>
                <w:szCs w:val="21"/>
              </w:rPr>
              <w:t>检查</w:t>
            </w:r>
          </w:p>
          <w:p>
            <w:pPr>
              <w:widowControl/>
              <w:snapToGrid w:val="0"/>
              <w:jc w:val="center"/>
              <w:rPr>
                <w:rFonts w:ascii="宋体" w:hAnsi="宋体"/>
                <w:color w:val="000000"/>
                <w:szCs w:val="21"/>
              </w:rPr>
            </w:pPr>
            <w:r>
              <w:rPr>
                <w:rFonts w:hint="eastAsia" w:ascii="宋体" w:hAnsi="宋体"/>
                <w:szCs w:val="21"/>
              </w:rPr>
              <w:t>事项</w:t>
            </w:r>
          </w:p>
        </w:tc>
        <w:tc>
          <w:tcPr>
            <w:tcW w:w="792" w:type="dxa"/>
            <w:vMerge w:val="restart"/>
            <w:tcBorders>
              <w:top w:val="single" w:color="auto" w:sz="4" w:space="0"/>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r>
              <w:rPr>
                <w:rFonts w:hint="eastAsia" w:ascii="宋体" w:hAnsi="宋体"/>
                <w:szCs w:val="21"/>
              </w:rPr>
              <w:t>无</w:t>
            </w:r>
          </w:p>
        </w:tc>
        <w:tc>
          <w:tcPr>
            <w:tcW w:w="82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一般检</w:t>
            </w:r>
          </w:p>
          <w:p>
            <w:pPr>
              <w:pStyle w:val="17"/>
              <w:snapToGrid w:val="0"/>
              <w:jc w:val="both"/>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rPr>
                <w:rFonts w:cs="Times New Roman"/>
                <w:sz w:val="21"/>
                <w:szCs w:val="21"/>
              </w:rPr>
            </w:pPr>
            <w:r>
              <w:rPr>
                <w:rFonts w:hint="eastAsia" w:cs="Times New Roman"/>
                <w:sz w:val="21"/>
                <w:szCs w:val="21"/>
              </w:rPr>
              <w:t>无</w:t>
            </w:r>
          </w:p>
        </w:tc>
        <w:tc>
          <w:tcPr>
            <w:tcW w:w="1230" w:type="dxa"/>
            <w:tcBorders>
              <w:top w:val="single" w:color="auto" w:sz="4" w:space="0"/>
              <w:left w:val="single" w:color="auto" w:sz="4" w:space="0"/>
              <w:bottom w:val="single" w:color="auto" w:sz="4" w:space="0"/>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r>
      <w:tr>
        <w:tblPrEx>
          <w:tblCellMar>
            <w:top w:w="0" w:type="dxa"/>
            <w:left w:w="10" w:type="dxa"/>
            <w:bottom w:w="0" w:type="dxa"/>
            <w:right w:w="10" w:type="dxa"/>
          </w:tblCellMar>
        </w:tblPrEx>
        <w:trPr>
          <w:trHeight w:val="781" w:hRule="atLeast"/>
        </w:trPr>
        <w:tc>
          <w:tcPr>
            <w:tcW w:w="720" w:type="dxa"/>
            <w:vMerge w:val="continue"/>
            <w:tcBorders>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82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重点检</w:t>
            </w:r>
          </w:p>
          <w:p>
            <w:pPr>
              <w:pStyle w:val="17"/>
              <w:snapToGrid w:val="0"/>
              <w:jc w:val="both"/>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rPr>
                <w:rFonts w:cs="Times New Roman"/>
                <w:sz w:val="21"/>
                <w:szCs w:val="21"/>
              </w:rPr>
            </w:pPr>
            <w:r>
              <w:rPr>
                <w:rFonts w:hint="eastAsia" w:cs="Times New Roman"/>
                <w:sz w:val="21"/>
                <w:szCs w:val="21"/>
              </w:rPr>
              <w:t>无</w:t>
            </w:r>
          </w:p>
        </w:tc>
        <w:tc>
          <w:tcPr>
            <w:tcW w:w="1230" w:type="dxa"/>
            <w:tcBorders>
              <w:top w:val="single" w:color="auto" w:sz="4" w:space="0"/>
              <w:left w:val="single" w:color="auto" w:sz="4" w:space="0"/>
              <w:bottom w:val="single" w:color="auto" w:sz="4" w:space="0"/>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r>
      <w:tr>
        <w:tblPrEx>
          <w:tblCellMar>
            <w:top w:w="0" w:type="dxa"/>
            <w:left w:w="10" w:type="dxa"/>
            <w:bottom w:w="0" w:type="dxa"/>
            <w:right w:w="10" w:type="dxa"/>
          </w:tblCellMar>
        </w:tblPrEx>
        <w:trPr>
          <w:trHeight w:val="1081" w:hRule="atLeast"/>
        </w:trPr>
        <w:tc>
          <w:tcPr>
            <w:tcW w:w="720" w:type="dxa"/>
            <w:vMerge w:val="restart"/>
            <w:tcBorders>
              <w:top w:val="single" w:color="auto" w:sz="4" w:space="0"/>
              <w:left w:val="single" w:color="auto" w:sz="4" w:space="0"/>
              <w:right w:val="nil"/>
            </w:tcBorders>
            <w:shd w:val="clear" w:color="auto" w:fill="auto"/>
            <w:tcMar>
              <w:left w:w="57" w:type="dxa"/>
              <w:right w:w="57" w:type="dxa"/>
            </w:tcMar>
            <w:vAlign w:val="center"/>
          </w:tcPr>
          <w:p>
            <w:pPr>
              <w:pStyle w:val="17"/>
              <w:snapToGrid w:val="0"/>
              <w:jc w:val="center"/>
              <w:rPr>
                <w:rFonts w:cs="Times New Roman"/>
                <w:sz w:val="21"/>
                <w:szCs w:val="21"/>
              </w:rPr>
            </w:pPr>
            <w:r>
              <w:rPr>
                <w:rFonts w:cs="Times New Roman"/>
                <w:sz w:val="21"/>
                <w:szCs w:val="21"/>
              </w:rPr>
              <w:t>4</w:t>
            </w:r>
          </w:p>
        </w:tc>
        <w:tc>
          <w:tcPr>
            <w:tcW w:w="1170" w:type="dxa"/>
            <w:vMerge w:val="restart"/>
            <w:tcBorders>
              <w:top w:val="single" w:color="auto" w:sz="4" w:space="0"/>
              <w:left w:val="single" w:color="auto" w:sz="4" w:space="0"/>
              <w:right w:val="nil"/>
            </w:tcBorders>
            <w:shd w:val="clear" w:color="auto" w:fill="auto"/>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对财政票 据印刷、使 用、管理等情况进行 检查</w:t>
            </w:r>
          </w:p>
        </w:tc>
        <w:tc>
          <w:tcPr>
            <w:tcW w:w="795" w:type="dxa"/>
            <w:vMerge w:val="restart"/>
            <w:tcBorders>
              <w:top w:val="single" w:color="auto" w:sz="4" w:space="0"/>
              <w:left w:val="single" w:color="auto" w:sz="4" w:space="0"/>
              <w:right w:val="nil"/>
            </w:tcBorders>
            <w:shd w:val="clear" w:color="auto" w:fill="auto"/>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w:t>
            </w:r>
          </w:p>
          <w:p>
            <w:pPr>
              <w:pStyle w:val="17"/>
              <w:snapToGrid w:val="0"/>
              <w:jc w:val="center"/>
              <w:rPr>
                <w:rFonts w:hint="eastAsia" w:cs="Times New Roman"/>
                <w:sz w:val="21"/>
                <w:szCs w:val="21"/>
              </w:rPr>
            </w:pPr>
            <w:r>
              <w:rPr>
                <w:rFonts w:hint="eastAsia" w:cs="Times New Roman"/>
                <w:sz w:val="21"/>
                <w:szCs w:val="21"/>
              </w:rPr>
              <w:t>检查</w:t>
            </w:r>
          </w:p>
          <w:p>
            <w:pPr>
              <w:widowControl/>
              <w:snapToGrid w:val="0"/>
              <w:jc w:val="center"/>
              <w:rPr>
                <w:rFonts w:ascii="宋体" w:hAnsi="宋体"/>
                <w:color w:val="000000"/>
                <w:szCs w:val="21"/>
              </w:rPr>
            </w:pPr>
            <w:r>
              <w:rPr>
                <w:rFonts w:hint="eastAsia" w:ascii="宋体" w:hAnsi="宋体"/>
                <w:szCs w:val="21"/>
              </w:rPr>
              <w:t>事项</w:t>
            </w:r>
          </w:p>
        </w:tc>
        <w:tc>
          <w:tcPr>
            <w:tcW w:w="792" w:type="dxa"/>
            <w:vMerge w:val="restart"/>
            <w:tcBorders>
              <w:top w:val="single" w:color="auto" w:sz="4" w:space="0"/>
              <w:left w:val="single" w:color="auto" w:sz="4" w:space="0"/>
              <w:right w:val="nil"/>
            </w:tcBorders>
            <w:shd w:val="clear" w:color="auto" w:fill="auto"/>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县本级 财政票 据使用 单位财 政票据 使用、 管理情 况检查</w:t>
            </w:r>
          </w:p>
        </w:tc>
        <w:tc>
          <w:tcPr>
            <w:tcW w:w="82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未被投诉举报、前期票据使用管理不 存在问题的票据使用单位。</w:t>
            </w:r>
          </w:p>
        </w:tc>
        <w:tc>
          <w:tcPr>
            <w:tcW w:w="1230" w:type="dxa"/>
            <w:tcBorders>
              <w:top w:val="single" w:color="auto" w:sz="4" w:space="0"/>
              <w:left w:val="single" w:color="auto" w:sz="4" w:space="0"/>
              <w:bottom w:val="single" w:color="auto" w:sz="4" w:space="0"/>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“双随机、 一公开“监 管</w:t>
            </w:r>
          </w:p>
        </w:tc>
      </w:tr>
      <w:tr>
        <w:tblPrEx>
          <w:tblCellMar>
            <w:top w:w="0" w:type="dxa"/>
            <w:left w:w="10" w:type="dxa"/>
            <w:bottom w:w="0" w:type="dxa"/>
            <w:right w:w="10" w:type="dxa"/>
          </w:tblCellMar>
        </w:tblPrEx>
        <w:trPr>
          <w:trHeight w:val="1399" w:hRule="atLeast"/>
        </w:trPr>
        <w:tc>
          <w:tcPr>
            <w:tcW w:w="720" w:type="dxa"/>
            <w:vMerge w:val="continue"/>
            <w:tcBorders>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82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重点检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被投诉举报、前期票据使用管理问题 较多的票据使用单位。</w:t>
            </w:r>
          </w:p>
        </w:tc>
        <w:tc>
          <w:tcPr>
            <w:tcW w:w="1230" w:type="dxa"/>
            <w:tcBorders>
              <w:top w:val="single" w:color="auto" w:sz="4" w:space="0"/>
              <w:left w:val="single" w:color="auto" w:sz="4" w:space="0"/>
              <w:bottom w:val="single" w:color="auto" w:sz="4" w:space="0"/>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定向检查</w:t>
            </w:r>
          </w:p>
        </w:tc>
      </w:tr>
      <w:tr>
        <w:tblPrEx>
          <w:tblCellMar>
            <w:top w:w="0" w:type="dxa"/>
            <w:left w:w="10" w:type="dxa"/>
            <w:bottom w:w="0" w:type="dxa"/>
            <w:right w:w="10" w:type="dxa"/>
          </w:tblCellMar>
        </w:tblPrEx>
        <w:trPr>
          <w:trHeight w:val="573" w:hRule="atLeast"/>
        </w:trPr>
        <w:tc>
          <w:tcPr>
            <w:tcW w:w="720" w:type="dxa"/>
            <w:vMerge w:val="continue"/>
            <w:tcBorders>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left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restart"/>
            <w:tcBorders>
              <w:top w:val="single" w:color="auto" w:sz="4" w:space="0"/>
              <w:left w:val="single" w:color="auto" w:sz="4" w:space="0"/>
              <w:right w:val="nil"/>
            </w:tcBorders>
            <w:shd w:val="clear" w:color="auto" w:fill="auto"/>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重点</w:t>
            </w:r>
          </w:p>
          <w:p>
            <w:pPr>
              <w:pStyle w:val="17"/>
              <w:snapToGrid w:val="0"/>
              <w:jc w:val="center"/>
              <w:rPr>
                <w:rFonts w:hint="eastAsia" w:cs="Times New Roman"/>
                <w:sz w:val="21"/>
                <w:szCs w:val="21"/>
              </w:rPr>
            </w:pPr>
            <w:r>
              <w:rPr>
                <w:rFonts w:hint="eastAsia" w:cs="Times New Roman"/>
                <w:sz w:val="21"/>
                <w:szCs w:val="21"/>
              </w:rPr>
              <w:t>检查</w:t>
            </w:r>
          </w:p>
          <w:p>
            <w:pPr>
              <w:pStyle w:val="17"/>
              <w:snapToGrid w:val="0"/>
              <w:jc w:val="center"/>
              <w:rPr>
                <w:rFonts w:cs="Times New Roman"/>
                <w:sz w:val="21"/>
                <w:szCs w:val="21"/>
              </w:rPr>
            </w:pPr>
            <w:r>
              <w:rPr>
                <w:rFonts w:hint="eastAsia" w:cs="Times New Roman"/>
                <w:sz w:val="21"/>
                <w:szCs w:val="21"/>
              </w:rPr>
              <w:t>事项</w:t>
            </w:r>
          </w:p>
        </w:tc>
        <w:tc>
          <w:tcPr>
            <w:tcW w:w="792" w:type="dxa"/>
            <w:vMerge w:val="restart"/>
            <w:tcBorders>
              <w:top w:val="single" w:color="auto" w:sz="4" w:space="0"/>
              <w:left w:val="single" w:color="auto" w:sz="4" w:space="0"/>
              <w:right w:val="nil"/>
            </w:tcBorders>
            <w:shd w:val="clear" w:color="auto" w:fill="auto"/>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无</w:t>
            </w:r>
          </w:p>
        </w:tc>
        <w:tc>
          <w:tcPr>
            <w:tcW w:w="82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一般检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c>
          <w:tcPr>
            <w:tcW w:w="1230" w:type="dxa"/>
            <w:tcBorders>
              <w:top w:val="single" w:color="auto" w:sz="4" w:space="0"/>
              <w:left w:val="single" w:color="auto" w:sz="4" w:space="0"/>
              <w:bottom w:val="single" w:color="auto" w:sz="4" w:space="0"/>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r>
      <w:tr>
        <w:tblPrEx>
          <w:tblCellMar>
            <w:top w:w="0" w:type="dxa"/>
            <w:left w:w="10" w:type="dxa"/>
            <w:bottom w:w="0" w:type="dxa"/>
            <w:right w:w="10" w:type="dxa"/>
          </w:tblCellMar>
        </w:tblPrEx>
        <w:trPr>
          <w:trHeight w:val="618" w:hRule="atLeast"/>
        </w:trPr>
        <w:tc>
          <w:tcPr>
            <w:tcW w:w="720" w:type="dxa"/>
            <w:vMerge w:val="continue"/>
            <w:tcBorders>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1170" w:type="dxa"/>
            <w:vMerge w:val="continue"/>
            <w:tcBorders>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5" w:type="dxa"/>
            <w:vMerge w:val="continue"/>
            <w:tcBorders>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792" w:type="dxa"/>
            <w:vMerge w:val="continue"/>
            <w:tcBorders>
              <w:left w:val="single" w:color="auto" w:sz="4" w:space="0"/>
              <w:bottom w:val="single" w:color="auto" w:sz="4" w:space="0"/>
              <w:right w:val="nil"/>
            </w:tcBorders>
            <w:shd w:val="clear" w:color="auto" w:fill="auto"/>
            <w:tcMar>
              <w:left w:w="57" w:type="dxa"/>
              <w:right w:w="57" w:type="dxa"/>
            </w:tcMar>
            <w:vAlign w:val="center"/>
          </w:tcPr>
          <w:p>
            <w:pPr>
              <w:widowControl/>
              <w:snapToGrid w:val="0"/>
              <w:jc w:val="center"/>
              <w:rPr>
                <w:rFonts w:ascii="宋体" w:hAnsi="宋体"/>
                <w:color w:val="000000"/>
                <w:szCs w:val="21"/>
              </w:rPr>
            </w:pPr>
          </w:p>
        </w:tc>
        <w:tc>
          <w:tcPr>
            <w:tcW w:w="82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center"/>
              <w:rPr>
                <w:rFonts w:cs="Times New Roman"/>
                <w:sz w:val="21"/>
                <w:szCs w:val="21"/>
              </w:rPr>
            </w:pPr>
            <w:r>
              <w:rPr>
                <w:rFonts w:hint="eastAsia" w:cs="Times New Roman"/>
                <w:sz w:val="21"/>
                <w:szCs w:val="21"/>
              </w:rPr>
              <w:t>重点检</w:t>
            </w:r>
          </w:p>
          <w:p>
            <w:pPr>
              <w:pStyle w:val="17"/>
              <w:snapToGrid w:val="0"/>
              <w:jc w:val="center"/>
              <w:rPr>
                <w:rFonts w:cs="Times New Roman"/>
                <w:sz w:val="21"/>
                <w:szCs w:val="21"/>
              </w:rPr>
            </w:pPr>
            <w:r>
              <w:rPr>
                <w:rFonts w:hint="eastAsia" w:cs="Times New Roman"/>
                <w:sz w:val="21"/>
                <w:szCs w:val="21"/>
              </w:rPr>
              <w:t>查对象</w:t>
            </w:r>
          </w:p>
        </w:tc>
        <w:tc>
          <w:tcPr>
            <w:tcW w:w="3465" w:type="dxa"/>
            <w:tcBorders>
              <w:top w:val="single" w:color="auto" w:sz="4" w:space="0"/>
              <w:left w:val="single" w:color="auto" w:sz="4" w:space="0"/>
              <w:bottom w:val="single" w:color="auto" w:sz="4" w:space="0"/>
              <w:right w:val="nil"/>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c>
          <w:tcPr>
            <w:tcW w:w="1230" w:type="dxa"/>
            <w:tcBorders>
              <w:top w:val="single" w:color="auto" w:sz="4" w:space="0"/>
              <w:left w:val="single" w:color="auto" w:sz="4" w:space="0"/>
              <w:bottom w:val="single" w:color="auto" w:sz="4" w:space="0"/>
              <w:right w:val="single" w:color="auto" w:sz="4" w:space="0"/>
            </w:tcBorders>
            <w:shd w:val="clear" w:color="auto" w:fill="FFFFFF"/>
            <w:tcMar>
              <w:left w:w="57" w:type="dxa"/>
              <w:right w:w="57" w:type="dxa"/>
            </w:tcMar>
            <w:vAlign w:val="center"/>
          </w:tcPr>
          <w:p>
            <w:pPr>
              <w:pStyle w:val="17"/>
              <w:snapToGrid w:val="0"/>
              <w:jc w:val="both"/>
              <w:rPr>
                <w:rFonts w:cs="Times New Roman"/>
                <w:sz w:val="21"/>
                <w:szCs w:val="21"/>
              </w:rPr>
            </w:pPr>
            <w:r>
              <w:rPr>
                <w:rFonts w:hint="eastAsia" w:cs="Times New Roman"/>
                <w:sz w:val="21"/>
                <w:szCs w:val="21"/>
              </w:rPr>
              <w:t>无</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楷体_GB2312" w:hAnsi="楷体_GB2312" w:eastAsia="楷体_GB2312" w:cs="楷体_GB2312"/>
          <w:b w:val="0"/>
          <w:bCs w:val="0"/>
          <w:sz w:val="32"/>
          <w:szCs w:val="32"/>
          <w:lang w:val="en-US" w:eastAsia="zh-CN"/>
        </w:rPr>
        <w:t>（二）剑阁县财政局无不予、免予从轻、减轻、从重行政处罚清单。</w:t>
      </w:r>
      <w:r>
        <w:rPr>
          <w:rFonts w:hint="eastAsia" w:ascii="仿宋_GB2312" w:hAnsi="仿宋_GB2312" w:eastAsia="仿宋_GB2312" w:cs="仿宋_GB2312"/>
          <w:b w:val="0"/>
          <w:bCs w:val="0"/>
          <w:sz w:val="32"/>
          <w:szCs w:val="32"/>
          <w:lang w:val="en-US" w:eastAsia="zh-CN"/>
        </w:rPr>
        <w:t>根据我局的行政权力清单，我局的行政处罚权已全部划给县综合行政执法局，现我局没有行政处罚权。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十二、剑阁县财政局行政执法事项目录</w:t>
      </w:r>
    </w:p>
    <w:tbl>
      <w:tblPr>
        <w:tblStyle w:val="11"/>
        <w:tblpPr w:leftFromText="180" w:rightFromText="180" w:vertAnchor="text" w:horzAnchor="page" w:tblpX="1769" w:tblpY="221"/>
        <w:tblOverlap w:val="never"/>
        <w:tblW w:w="89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8950" w:type="dxa"/>
            <w:tcBorders>
              <w:top w:val="nil"/>
              <w:left w:val="nil"/>
              <w:bottom w:val="nil"/>
              <w:right w:val="nil"/>
            </w:tcBorders>
            <w:noWrap/>
            <w:vAlign w:val="center"/>
          </w:tcPr>
          <w:p>
            <w:pPr>
              <w:keepNext w:val="0"/>
              <w:keepLines w:val="0"/>
              <w:widowControl/>
              <w:suppressLineNumbers w:val="0"/>
              <w:ind w:firstLine="1600" w:firstLineChars="400"/>
              <w:jc w:val="both"/>
              <w:textAlignment w:val="center"/>
              <w:rPr>
                <w:rFonts w:ascii="方正小标宋简体" w:hAnsi="方正小标宋简体" w:eastAsia="方正小标宋简体" w:cs="方正小标宋简体"/>
                <w:i w:val="0"/>
                <w:iCs w:val="0"/>
                <w:color w:val="000000"/>
                <w:sz w:val="40"/>
                <w:szCs w:val="40"/>
                <w:u w:val="none"/>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剑阁县财政局行政执法事项目录</w:t>
            </w:r>
          </w:p>
        </w:tc>
      </w:tr>
    </w:tbl>
    <w:tbl>
      <w:tblPr>
        <w:tblStyle w:val="12"/>
        <w:tblpPr w:leftFromText="180" w:rightFromText="180" w:vertAnchor="text" w:horzAnchor="page" w:tblpX="1814" w:tblpY="254"/>
        <w:tblOverlap w:val="never"/>
        <w:tblW w:w="88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6"/>
        <w:gridCol w:w="701"/>
        <w:gridCol w:w="1738"/>
        <w:gridCol w:w="4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66" w:type="dxa"/>
            <w:tcBorders>
              <w:top w:val="single" w:color="auto" w:sz="4" w:space="0"/>
            </w:tcBorders>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单位</w:t>
            </w:r>
          </w:p>
        </w:tc>
        <w:tc>
          <w:tcPr>
            <w:tcW w:w="701" w:type="dxa"/>
            <w:tcBorders>
              <w:top w:val="single" w:color="auto" w:sz="4" w:space="0"/>
            </w:tcBorders>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序号</w:t>
            </w:r>
          </w:p>
        </w:tc>
        <w:tc>
          <w:tcPr>
            <w:tcW w:w="1738" w:type="dxa"/>
            <w:tcBorders>
              <w:top w:val="single" w:color="auto" w:sz="4" w:space="0"/>
            </w:tcBorders>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行政执法类型</w:t>
            </w:r>
          </w:p>
        </w:tc>
        <w:tc>
          <w:tcPr>
            <w:tcW w:w="4787" w:type="dxa"/>
            <w:tcBorders>
              <w:top w:val="single" w:color="auto" w:sz="4" w:space="0"/>
            </w:tcBorders>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剑阁县财政局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1</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行政检查</w:t>
            </w:r>
          </w:p>
        </w:tc>
        <w:tc>
          <w:tcPr>
            <w:tcW w:w="4787" w:type="dxa"/>
            <w:noWrap w:val="0"/>
            <w:vAlign w:val="center"/>
          </w:tcPr>
          <w:p>
            <w:pPr>
              <w:jc w:val="left"/>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对金融企业资产财务管理工作的行政检查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剑阁县财政局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2</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行政检查</w:t>
            </w:r>
          </w:p>
        </w:tc>
        <w:tc>
          <w:tcPr>
            <w:tcW w:w="4787" w:type="dxa"/>
            <w:noWrap w:val="0"/>
            <w:vAlign w:val="center"/>
          </w:tcPr>
          <w:p>
            <w:pPr>
              <w:jc w:val="left"/>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对地方金融组织（除融资担保公司外）的行政检查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剑阁县财政局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3</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行政检查</w:t>
            </w:r>
          </w:p>
        </w:tc>
        <w:tc>
          <w:tcPr>
            <w:tcW w:w="4787" w:type="dxa"/>
            <w:noWrap w:val="0"/>
            <w:vAlign w:val="center"/>
          </w:tcPr>
          <w:p>
            <w:pPr>
              <w:jc w:val="left"/>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对党政机关举办会议场所的行政检查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剑阁县财政局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4</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行政检查</w:t>
            </w:r>
          </w:p>
        </w:tc>
        <w:tc>
          <w:tcPr>
            <w:tcW w:w="4787" w:type="dxa"/>
            <w:noWrap w:val="0"/>
            <w:vAlign w:val="center"/>
          </w:tcPr>
          <w:p>
            <w:pPr>
              <w:jc w:val="left"/>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对各单位委托中介机构从事会计代理记账业务的行政检查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剑阁县财政局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5</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行政检查</w:t>
            </w:r>
          </w:p>
        </w:tc>
        <w:tc>
          <w:tcPr>
            <w:tcW w:w="4787" w:type="dxa"/>
            <w:noWrap w:val="0"/>
            <w:vAlign w:val="center"/>
          </w:tcPr>
          <w:p>
            <w:pPr>
              <w:jc w:val="left"/>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对中介机构从事会计代理记账业务开展情况的行政检查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剑阁县财政局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6</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行政检查</w:t>
            </w:r>
          </w:p>
        </w:tc>
        <w:tc>
          <w:tcPr>
            <w:tcW w:w="4787" w:type="dxa"/>
            <w:noWrap w:val="0"/>
            <w:vAlign w:val="center"/>
          </w:tcPr>
          <w:p>
            <w:pPr>
              <w:jc w:val="left"/>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对中介机构是否取得代理记账资格从事会计代理记账业务的行政检查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剑阁县财政局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7</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行政检查</w:t>
            </w:r>
          </w:p>
        </w:tc>
        <w:tc>
          <w:tcPr>
            <w:tcW w:w="4787" w:type="dxa"/>
            <w:noWrap w:val="0"/>
            <w:vAlign w:val="center"/>
          </w:tcPr>
          <w:p>
            <w:pPr>
              <w:jc w:val="left"/>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对政府采购代理机构的行政检查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剑阁县财政局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8</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行政检查</w:t>
            </w:r>
          </w:p>
        </w:tc>
        <w:tc>
          <w:tcPr>
            <w:tcW w:w="4787" w:type="dxa"/>
            <w:noWrap w:val="0"/>
            <w:vAlign w:val="center"/>
          </w:tcPr>
          <w:p>
            <w:pPr>
              <w:jc w:val="left"/>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对政府采购代理机构采购法规执行情况、采购活动执行情况的行政检查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66"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剑阁县财政局</w:t>
            </w:r>
          </w:p>
        </w:tc>
        <w:tc>
          <w:tcPr>
            <w:tcW w:w="701" w:type="dxa"/>
            <w:noWrap w:val="0"/>
            <w:vAlign w:val="center"/>
          </w:tcPr>
          <w:p>
            <w:pPr>
              <w:jc w:val="center"/>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9</w:t>
            </w:r>
          </w:p>
        </w:tc>
        <w:tc>
          <w:tcPr>
            <w:tcW w:w="1738" w:type="dxa"/>
            <w:noWrap w:val="0"/>
            <w:vAlign w:val="center"/>
          </w:tcPr>
          <w:p>
            <w:pPr>
              <w:jc w:val="center"/>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行政检查</w:t>
            </w:r>
          </w:p>
        </w:tc>
        <w:tc>
          <w:tcPr>
            <w:tcW w:w="4787" w:type="dxa"/>
            <w:noWrap w:val="0"/>
            <w:vAlign w:val="center"/>
          </w:tcPr>
          <w:p>
            <w:pPr>
              <w:jc w:val="left"/>
              <w:rPr>
                <w:rFonts w:hint="eastAsia"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对国家机关、社会团体、公司、企业、事业单位和其他组织会计信息质量的行政检查</w:t>
            </w:r>
          </w:p>
        </w:tc>
      </w:tr>
    </w:tbl>
    <w:p>
      <w:pPr>
        <w:pStyle w:val="2"/>
        <w:keepNext w:val="0"/>
        <w:keepLines w:val="0"/>
        <w:pageBreakBefore w:val="0"/>
        <w:kinsoku/>
        <w:wordWrap/>
        <w:overflowPunct/>
        <w:topLinePunct w:val="0"/>
        <w:autoSpaceDE/>
        <w:autoSpaceDN/>
        <w:bidi w:val="0"/>
        <w:adjustRightInd/>
        <w:snapToGrid/>
        <w:spacing w:line="576" w:lineRule="exact"/>
        <w:rPr>
          <w:rFonts w:hint="default"/>
          <w:lang w:val="en-US" w:eastAsia="zh-CN"/>
        </w:rPr>
        <w:sectPr>
          <w:pgSz w:w="11906" w:h="16838"/>
          <w:pgMar w:top="2098" w:right="1474" w:bottom="1984" w:left="1587" w:header="851" w:footer="992" w:gutter="0"/>
          <w:cols w:space="0" w:num="1"/>
          <w:rtlGutter w:val="0"/>
          <w:docGrid w:type="lines" w:linePitch="312" w:charSpace="0"/>
        </w:sectPr>
      </w:pPr>
    </w:p>
    <w:p>
      <w:pPr>
        <w:pStyle w:val="4"/>
        <w:keepNext w:val="0"/>
        <w:keepLines w:val="0"/>
        <w:pageBreakBefore w:val="0"/>
        <w:numPr>
          <w:ilvl w:val="0"/>
          <w:numId w:val="0"/>
        </w:numPr>
        <w:kinsoku/>
        <w:wordWrap/>
        <w:overflowPunct/>
        <w:topLinePunct w:val="0"/>
        <w:autoSpaceDE/>
        <w:autoSpaceDN/>
        <w:bidi w:val="0"/>
        <w:adjustRightInd/>
        <w:snapToGrid/>
        <w:spacing w:line="576" w:lineRule="exact"/>
        <w:rPr>
          <w:rFonts w:hint="default"/>
          <w:sz w:val="32"/>
          <w:szCs w:val="32"/>
          <w:lang w:val="en-US" w:eastAsia="zh-CN"/>
        </w:rPr>
      </w:pPr>
    </w:p>
    <w:sectPr>
      <w:pgSz w:w="16838" w:h="11906" w:orient="landscape"/>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C44061"/>
    <w:multiLevelType w:val="singleLevel"/>
    <w:tmpl w:val="1AC44061"/>
    <w:lvl w:ilvl="0" w:tentative="0">
      <w:start w:val="1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402C4E50"/>
    <w:rsid w:val="00824069"/>
    <w:rsid w:val="021A6C4F"/>
    <w:rsid w:val="03F80348"/>
    <w:rsid w:val="043D0426"/>
    <w:rsid w:val="04B700E5"/>
    <w:rsid w:val="05841DBB"/>
    <w:rsid w:val="05A87144"/>
    <w:rsid w:val="065C2940"/>
    <w:rsid w:val="06B83BEF"/>
    <w:rsid w:val="07855323"/>
    <w:rsid w:val="078A6FA6"/>
    <w:rsid w:val="08FA4776"/>
    <w:rsid w:val="092045C6"/>
    <w:rsid w:val="0CCF38FF"/>
    <w:rsid w:val="0DB724B2"/>
    <w:rsid w:val="0E19600D"/>
    <w:rsid w:val="100C129B"/>
    <w:rsid w:val="107A7DE8"/>
    <w:rsid w:val="123F1EBF"/>
    <w:rsid w:val="13B006B4"/>
    <w:rsid w:val="142F19E1"/>
    <w:rsid w:val="14B44CE1"/>
    <w:rsid w:val="15F07FDF"/>
    <w:rsid w:val="17F041CD"/>
    <w:rsid w:val="198468E7"/>
    <w:rsid w:val="1BB93E92"/>
    <w:rsid w:val="1C781203"/>
    <w:rsid w:val="1D1B04E9"/>
    <w:rsid w:val="1D730C40"/>
    <w:rsid w:val="1EF3092B"/>
    <w:rsid w:val="209510CE"/>
    <w:rsid w:val="20FC47C3"/>
    <w:rsid w:val="21960565"/>
    <w:rsid w:val="227A1E04"/>
    <w:rsid w:val="22CC648F"/>
    <w:rsid w:val="23447905"/>
    <w:rsid w:val="236A1428"/>
    <w:rsid w:val="241E2177"/>
    <w:rsid w:val="250F717A"/>
    <w:rsid w:val="25382DC5"/>
    <w:rsid w:val="2593624D"/>
    <w:rsid w:val="26AA770C"/>
    <w:rsid w:val="27C76682"/>
    <w:rsid w:val="292D1324"/>
    <w:rsid w:val="2A8D6682"/>
    <w:rsid w:val="2C3A1C84"/>
    <w:rsid w:val="2C9C231D"/>
    <w:rsid w:val="2D19141E"/>
    <w:rsid w:val="2DF25E32"/>
    <w:rsid w:val="2E8F7410"/>
    <w:rsid w:val="2F6A740F"/>
    <w:rsid w:val="31CE23C3"/>
    <w:rsid w:val="32DF4147"/>
    <w:rsid w:val="339F6A9E"/>
    <w:rsid w:val="33DC513C"/>
    <w:rsid w:val="34350559"/>
    <w:rsid w:val="34FE3E10"/>
    <w:rsid w:val="3583313D"/>
    <w:rsid w:val="37C14B51"/>
    <w:rsid w:val="38B310E8"/>
    <w:rsid w:val="3E412892"/>
    <w:rsid w:val="400815A1"/>
    <w:rsid w:val="402C4E50"/>
    <w:rsid w:val="40A3198D"/>
    <w:rsid w:val="422449A5"/>
    <w:rsid w:val="42AB2039"/>
    <w:rsid w:val="437517A6"/>
    <w:rsid w:val="43B34B7D"/>
    <w:rsid w:val="446F50BB"/>
    <w:rsid w:val="449D27EC"/>
    <w:rsid w:val="46F509A8"/>
    <w:rsid w:val="478B2FAC"/>
    <w:rsid w:val="48202871"/>
    <w:rsid w:val="48DD6C86"/>
    <w:rsid w:val="4A083D76"/>
    <w:rsid w:val="4A887237"/>
    <w:rsid w:val="4AB87961"/>
    <w:rsid w:val="4AEE4DF0"/>
    <w:rsid w:val="4B173553"/>
    <w:rsid w:val="4B2D2238"/>
    <w:rsid w:val="4B413ED2"/>
    <w:rsid w:val="4BB01066"/>
    <w:rsid w:val="4E9E1C14"/>
    <w:rsid w:val="4EBF7184"/>
    <w:rsid w:val="4F4F1C96"/>
    <w:rsid w:val="522726B7"/>
    <w:rsid w:val="535D2E84"/>
    <w:rsid w:val="550A7A2A"/>
    <w:rsid w:val="55D23473"/>
    <w:rsid w:val="57FF742D"/>
    <w:rsid w:val="58010AC8"/>
    <w:rsid w:val="590B3D71"/>
    <w:rsid w:val="59AD5312"/>
    <w:rsid w:val="5A201D75"/>
    <w:rsid w:val="5B41558D"/>
    <w:rsid w:val="5B507EEC"/>
    <w:rsid w:val="5DBA4DA0"/>
    <w:rsid w:val="5DD7759F"/>
    <w:rsid w:val="5E2B7E89"/>
    <w:rsid w:val="5FD86D7A"/>
    <w:rsid w:val="5FF876E6"/>
    <w:rsid w:val="62A21B1D"/>
    <w:rsid w:val="635F03F0"/>
    <w:rsid w:val="63C31C0D"/>
    <w:rsid w:val="63C44E9F"/>
    <w:rsid w:val="64285FF5"/>
    <w:rsid w:val="642D54CF"/>
    <w:rsid w:val="64600D55"/>
    <w:rsid w:val="64A70096"/>
    <w:rsid w:val="66950875"/>
    <w:rsid w:val="66DA005C"/>
    <w:rsid w:val="67692506"/>
    <w:rsid w:val="67A436FB"/>
    <w:rsid w:val="67F07B5B"/>
    <w:rsid w:val="68190907"/>
    <w:rsid w:val="686F0C5E"/>
    <w:rsid w:val="6884359D"/>
    <w:rsid w:val="6A4B221F"/>
    <w:rsid w:val="6B5716AB"/>
    <w:rsid w:val="6F294ECF"/>
    <w:rsid w:val="6F500841"/>
    <w:rsid w:val="6F845FC7"/>
    <w:rsid w:val="6FAD0F2E"/>
    <w:rsid w:val="701779CB"/>
    <w:rsid w:val="71E52F59"/>
    <w:rsid w:val="72AC5744"/>
    <w:rsid w:val="735A59B9"/>
    <w:rsid w:val="76E25CB9"/>
    <w:rsid w:val="770B4CA8"/>
    <w:rsid w:val="78E1671D"/>
    <w:rsid w:val="79C5239C"/>
    <w:rsid w:val="7AF62794"/>
    <w:rsid w:val="7B114919"/>
    <w:rsid w:val="7C136915"/>
    <w:rsid w:val="7C2007D3"/>
    <w:rsid w:val="7DE47DC2"/>
    <w:rsid w:val="7F1A0DA8"/>
    <w:rsid w:val="7FBF1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4">
    <w:name w:val="Normal Indent"/>
    <w:basedOn w:val="1"/>
    <w:qFormat/>
    <w:uiPriority w:val="99"/>
    <w:pPr>
      <w:ind w:firstLine="200" w:firstLineChars="200"/>
    </w:pPr>
    <w:rPr>
      <w:rFonts w:ascii="Times New Roman" w:hAnsi="Times New Roman" w:cs="Times New Roman"/>
    </w:rPr>
  </w:style>
  <w:style w:type="paragraph" w:styleId="5">
    <w:name w:val="Body Text"/>
    <w:qFormat/>
    <w:uiPriority w:val="0"/>
    <w:pPr>
      <w:widowControl w:val="0"/>
      <w:ind w:leftChars="100" w:rightChars="100"/>
      <w:jc w:val="both"/>
    </w:pPr>
    <w:rPr>
      <w:rFonts w:ascii="Calibri" w:hAnsi="Calibri" w:eastAsia="宋体" w:cs="Times New Roman"/>
      <w:kern w:val="2"/>
      <w:sz w:val="21"/>
      <w:szCs w:val="24"/>
      <w:lang w:val="en-US" w:eastAsia="zh-CN" w:bidi="ar-SA"/>
    </w:rPr>
  </w:style>
  <w:style w:type="paragraph" w:styleId="6">
    <w:name w:val="Body Text Indent"/>
    <w:basedOn w:val="1"/>
    <w:qFormat/>
    <w:uiPriority w:val="0"/>
    <w:pPr>
      <w:spacing w:line="560" w:lineRule="exact"/>
      <w:ind w:right="-25" w:firstLine="630"/>
    </w:pPr>
    <w:rPr>
      <w:rFonts w:ascii="仿宋_GB2312" w:hAnsi="Times New Roman" w:eastAsia="仿宋_GB2312" w:cs="Times New Roman"/>
      <w:sz w:val="32"/>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0">
    <w:name w:val="Body Text First Indent 2"/>
    <w:basedOn w:val="6"/>
    <w:qFormat/>
    <w:uiPriority w:val="0"/>
    <w:pPr>
      <w:spacing w:after="0"/>
      <w:ind w:firstLine="200" w:firstLineChars="200"/>
    </w:pPr>
  </w:style>
  <w:style w:type="table" w:styleId="12">
    <w:name w:val="Table Grid"/>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FollowedHyperlink"/>
    <w:basedOn w:val="13"/>
    <w:qFormat/>
    <w:uiPriority w:val="0"/>
    <w:rPr>
      <w:color w:val="800080"/>
      <w:u w:val="single"/>
    </w:rPr>
  </w:style>
  <w:style w:type="character" w:styleId="15">
    <w:name w:val="Hyperlink"/>
    <w:basedOn w:val="13"/>
    <w:qFormat/>
    <w:uiPriority w:val="0"/>
    <w:rPr>
      <w:color w:val="0000FF"/>
      <w:u w:val="single"/>
    </w:rPr>
  </w:style>
  <w:style w:type="character" w:customStyle="1" w:styleId="16">
    <w:name w:val="font21"/>
    <w:basedOn w:val="13"/>
    <w:qFormat/>
    <w:uiPriority w:val="0"/>
    <w:rPr>
      <w:rFonts w:hint="eastAsia" w:ascii="宋体" w:hAnsi="宋体" w:eastAsia="宋体" w:cs="宋体"/>
      <w:color w:val="000000"/>
      <w:sz w:val="24"/>
      <w:szCs w:val="24"/>
      <w:u w:val="none"/>
    </w:rPr>
  </w:style>
  <w:style w:type="paragraph" w:customStyle="1" w:styleId="17">
    <w:name w:val="Other|1"/>
    <w:basedOn w:val="1"/>
    <w:qFormat/>
    <w:uiPriority w:val="0"/>
    <w:pPr>
      <w:jc w:val="left"/>
    </w:pPr>
    <w:rPr>
      <w:rFonts w:ascii="宋体" w:hAnsi="宋体" w:cs="宋体"/>
      <w:color w:val="000000"/>
      <w:kern w:val="0"/>
      <w:sz w:val="19"/>
      <w:szCs w:val="19"/>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5504</Words>
  <Characters>6359</Characters>
  <Lines>0</Lines>
  <Paragraphs>0</Paragraphs>
  <TotalTime>9</TotalTime>
  <ScaleCrop>false</ScaleCrop>
  <LinksUpToDate>false</LinksUpToDate>
  <CharactersWithSpaces>6498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2021-05-18T11:31:00Z</dcterms:created>
  <dc:creator>浪花</dc:creator>
  <cp:lastModifiedBy>user</cp:lastModifiedBy>
  <cp:lastPrinted>2022-06-24T11:53:00Z</cp:lastPrinted>
  <dcterms:modified xsi:type="dcterms:W3CDTF">2025-02-08T10:21:12Z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AE48C7791B7A4E438A0D3C2CE86D3A4B_13</vt:lpwstr>
  </property>
</Properties>
</file>