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剑阁县退役军人事务局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2200" w:firstLineChars="500"/>
        <w:jc w:val="both"/>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退役军人事务局局</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退役军人事务局局行政执法裁量权标准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退役军人事务局</w:t>
      </w:r>
      <w:r>
        <w:rPr>
          <w:rFonts w:hint="eastAsia" w:ascii="仿宋_GB2312" w:hAnsi="华文仿宋" w:eastAsia="仿宋_GB2312" w:cs="仿宋_GB2312"/>
          <w:sz w:val="32"/>
          <w:szCs w:val="32"/>
        </w:rPr>
        <w:t>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lang w:eastAsia="zh-CN"/>
        </w:rPr>
        <w:t>剑阁县退役军人事务局</w:t>
      </w:r>
      <w:r>
        <w:rPr>
          <w:rFonts w:hint="eastAsia" w:ascii="仿宋_GB2312" w:hAnsi="华文仿宋" w:eastAsia="仿宋_GB2312" w:cs="仿宋_GB2312"/>
          <w:sz w:val="32"/>
          <w:szCs w:val="32"/>
          <w:lang w:val="en-US" w:eastAsia="zh-CN"/>
        </w:rPr>
        <w:t>行政执法事项目录</w:t>
      </w:r>
    </w:p>
    <w:p>
      <w:pPr>
        <w:widowControl w:val="0"/>
        <w:spacing w:after="12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剑阁县退役军人事务局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行政执法集中公示内容</w:t>
      </w:r>
    </w:p>
    <w:p>
      <w:pPr>
        <w:numPr>
          <w:ilvl w:val="0"/>
          <w:numId w:val="0"/>
        </w:numPr>
        <w:ind w:firstLine="640" w:firstLineChars="200"/>
        <w:rPr>
          <w:rFonts w:hint="eastAsia" w:ascii="黑体" w:hAnsi="黑体" w:eastAsia="黑体" w:cs="黑体"/>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一、剑阁县退役军人事务局行政执法主体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（一）行政执法主体1个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剑阁县退役军人事务局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地址：四川省广元市剑阁县下寺镇剑门关大道北段423号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val="en-US" w:eastAsia="zh-CN"/>
        </w:rPr>
        <w:t>邮编：628300      电话：</w:t>
      </w:r>
      <w:r>
        <w:rPr>
          <w:rFonts w:hint="eastAsia" w:ascii="仿宋_GB2312" w:hAnsi="仿宋_GB2312" w:eastAsia="仿宋_GB2312" w:cs="仿宋_GB2312"/>
          <w:b w:val="0"/>
          <w:bCs w:val="0"/>
          <w:color w:val="auto"/>
          <w:sz w:val="32"/>
          <w:szCs w:val="32"/>
        </w:rPr>
        <w:t>0839-6603</w:t>
      </w:r>
      <w:r>
        <w:rPr>
          <w:rFonts w:hint="eastAsia" w:ascii="仿宋_GB2312" w:hAnsi="仿宋_GB2312" w:eastAsia="仿宋_GB2312" w:cs="仿宋_GB2312"/>
          <w:b w:val="0"/>
          <w:bCs w:val="0"/>
          <w:color w:val="auto"/>
          <w:sz w:val="32"/>
          <w:szCs w:val="32"/>
          <w:lang w:val="en-US" w:eastAsia="zh-CN"/>
        </w:rPr>
        <w:t>102</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（二）行政执法机构设置1个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拥军优抚与安置股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主要职责：</w:t>
      </w:r>
      <w:r>
        <w:rPr>
          <w:rFonts w:hint="eastAsia" w:ascii="仿宋_GB2312" w:hAnsi="仿宋_GB2312" w:eastAsia="仿宋_GB2312" w:cs="仿宋_GB2312"/>
          <w:b w:val="0"/>
          <w:bCs w:val="0"/>
          <w:sz w:val="32"/>
          <w:szCs w:val="32"/>
        </w:rPr>
        <w:t>拟订计划分配的军队转业干部、符合政府安排工作条件的退役士兵接收安置、教育培训政策和年度安置计划并组织实施,负责自主择业军队转业干部、复员干部、自主就业退役士兵的服务管理，承担接收移交安置、就业创业扶持和教育培训工作，拟订就业创业年度计划并组织实施。承担随军随调家属就业创业扶持工作。负责移交地方的离退休干部、无军籍退休退职职工和符合条件的其他退役军人的移交安置、服务管理工作，管理军休保障单位。组织、协调落实退役军人住房保障、医疗保障和社会保险等待遇保障工作，贯彻执行国家、省、市有关退役军人医疗、疗养、养老等机构的政策规划。负责不适宜继续服役的伤病残军人移交安置、退休安置、供养等工作。组织、指导全县拥军优属工作，承担现役军人、退役军人、军队文职人员和军属优待、抚恤等工作。贯彻执行国民党抗战老兵等有关人员优待政策。承担退役军人总结表彰、荣誉奖励和烈士褒扬、纪念设施管理保护工作，依法承担英雄烈士保护相关工作。组织、指导英雄烈士纪念工作。指导军休所、烈士陵园建设和管理等工作。负责退役军人事务对外交流与合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二、剑阁县退役军人事务局行政执法人员清单</w:t>
      </w:r>
    </w:p>
    <w:tbl>
      <w:tblPr>
        <w:tblStyle w:val="9"/>
        <w:tblW w:w="8611" w:type="dxa"/>
        <w:tblInd w:w="193" w:type="dxa"/>
        <w:tblLayout w:type="fixed"/>
        <w:tblCellMar>
          <w:top w:w="0" w:type="dxa"/>
          <w:left w:w="0" w:type="dxa"/>
          <w:bottom w:w="0" w:type="dxa"/>
          <w:right w:w="0" w:type="dxa"/>
        </w:tblCellMar>
      </w:tblPr>
      <w:tblGrid>
        <w:gridCol w:w="1785"/>
        <w:gridCol w:w="2896"/>
        <w:gridCol w:w="3930"/>
      </w:tblGrid>
      <w:tr>
        <w:tblPrEx>
          <w:tblCellMar>
            <w:top w:w="0" w:type="dxa"/>
            <w:left w:w="0" w:type="dxa"/>
            <w:bottom w:w="0" w:type="dxa"/>
            <w:right w:w="0" w:type="dxa"/>
          </w:tblCellMar>
        </w:tblPrEx>
        <w:trPr>
          <w:trHeight w:val="682" w:hRule="atLeast"/>
        </w:trPr>
        <w:tc>
          <w:tcPr>
            <w:tcW w:w="1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576" w:lineRule="exact"/>
              <w:jc w:val="center"/>
              <w:textAlignment w:val="bottom"/>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序号</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576" w:lineRule="exact"/>
              <w:ind w:firstLine="1120" w:firstLineChars="400"/>
              <w:jc w:val="both"/>
              <w:textAlignment w:val="bottom"/>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姓  名</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576" w:lineRule="exact"/>
              <w:jc w:val="center"/>
              <w:textAlignment w:val="bottom"/>
              <w:rPr>
                <w:rFonts w:hint="eastAsia" w:ascii="宋体" w:hAnsi="宋体" w:eastAsia="宋体" w:cs="宋体"/>
                <w:b w:val="0"/>
                <w:bCs w:val="0"/>
                <w:color w:val="000000"/>
                <w:kern w:val="0"/>
                <w:sz w:val="28"/>
                <w:szCs w:val="28"/>
                <w:lang w:eastAsia="zh-CN"/>
              </w:rPr>
            </w:pPr>
            <w:r>
              <w:rPr>
                <w:rFonts w:hint="eastAsia" w:ascii="宋体" w:hAnsi="宋体" w:eastAsia="宋体" w:cs="宋体"/>
                <w:b w:val="0"/>
                <w:bCs w:val="0"/>
                <w:color w:val="000000"/>
                <w:kern w:val="0"/>
                <w:sz w:val="28"/>
                <w:szCs w:val="28"/>
              </w:rPr>
              <w:t>证件编号</w:t>
            </w:r>
            <w:r>
              <w:rPr>
                <w:rFonts w:hint="eastAsia" w:ascii="宋体" w:hAnsi="宋体" w:eastAsia="宋体" w:cs="宋体"/>
                <w:b w:val="0"/>
                <w:bCs w:val="0"/>
                <w:color w:val="000000"/>
                <w:kern w:val="0"/>
                <w:sz w:val="28"/>
                <w:szCs w:val="28"/>
                <w:lang w:eastAsia="zh-CN"/>
              </w:rPr>
              <w:t>）</w:t>
            </w:r>
          </w:p>
        </w:tc>
      </w:tr>
      <w:tr>
        <w:tblPrEx>
          <w:tblCellMar>
            <w:top w:w="0" w:type="dxa"/>
            <w:left w:w="0" w:type="dxa"/>
            <w:bottom w:w="0" w:type="dxa"/>
            <w:right w:w="0" w:type="dxa"/>
          </w:tblCellMar>
        </w:tblPrEx>
        <w:trPr>
          <w:trHeight w:val="682" w:hRule="atLeast"/>
        </w:trPr>
        <w:tc>
          <w:tcPr>
            <w:tcW w:w="1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576" w:lineRule="exact"/>
              <w:jc w:val="center"/>
              <w:textAlignment w:val="bottom"/>
              <w:rPr>
                <w:rFonts w:hint="eastAsia" w:ascii="宋体" w:hAnsi="宋体" w:eastAsia="宋体" w:cs="宋体"/>
                <w:b w:val="0"/>
                <w:bCs w:val="0"/>
                <w:color w:val="000000"/>
                <w:kern w:val="0"/>
                <w:sz w:val="28"/>
                <w:szCs w:val="28"/>
                <w:lang w:val="en-US" w:eastAsia="zh-CN"/>
              </w:rPr>
            </w:pPr>
            <w:r>
              <w:rPr>
                <w:rFonts w:hint="eastAsia" w:ascii="宋体" w:hAnsi="宋体" w:eastAsia="宋体" w:cs="宋体"/>
                <w:b w:val="0"/>
                <w:bCs w:val="0"/>
                <w:color w:val="000000"/>
                <w:kern w:val="0"/>
                <w:sz w:val="28"/>
                <w:szCs w:val="28"/>
                <w:lang w:val="en-US" w:eastAsia="zh-CN"/>
              </w:rPr>
              <w:t>1</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76" w:lineRule="exact"/>
              <w:jc w:val="center"/>
              <w:textAlignment w:val="bottom"/>
              <w:rPr>
                <w:rFonts w:hint="eastAsia" w:ascii="宋体" w:hAnsi="宋体" w:eastAsia="宋体" w:cs="宋体"/>
                <w:b w:val="0"/>
                <w:bCs w:val="0"/>
                <w:color w:val="000000"/>
                <w:kern w:val="0"/>
                <w:sz w:val="28"/>
                <w:szCs w:val="28"/>
                <w:lang w:val="en-US" w:eastAsia="zh-CN"/>
              </w:rPr>
            </w:pPr>
            <w:r>
              <w:rPr>
                <w:rFonts w:hint="eastAsia" w:ascii="宋体" w:hAnsi="宋体" w:eastAsia="宋体" w:cs="宋体"/>
                <w:b w:val="0"/>
                <w:bCs w:val="0"/>
                <w:color w:val="000000"/>
                <w:kern w:val="0"/>
                <w:sz w:val="28"/>
                <w:szCs w:val="28"/>
                <w:lang w:val="en-US" w:eastAsia="zh-CN"/>
              </w:rPr>
              <w:t>李静</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76" w:lineRule="exact"/>
              <w:jc w:val="center"/>
              <w:textAlignment w:val="bottom"/>
              <w:rPr>
                <w:rFonts w:hint="default" w:ascii="宋体" w:hAnsi="宋体" w:eastAsia="宋体" w:cs="宋体"/>
                <w:b w:val="0"/>
                <w:bCs w:val="0"/>
                <w:color w:val="000000"/>
                <w:kern w:val="0"/>
                <w:sz w:val="28"/>
                <w:szCs w:val="28"/>
                <w:lang w:val="en-US" w:eastAsia="zh-CN"/>
              </w:rPr>
            </w:pPr>
            <w:r>
              <w:rPr>
                <w:rFonts w:hint="eastAsia" w:ascii="宋体" w:hAnsi="宋体" w:eastAsia="宋体" w:cs="宋体"/>
                <w:b w:val="0"/>
                <w:bCs w:val="0"/>
                <w:color w:val="000000"/>
                <w:kern w:val="0"/>
                <w:sz w:val="28"/>
                <w:szCs w:val="28"/>
                <w:lang w:val="en-US" w:eastAsia="zh-CN"/>
              </w:rPr>
              <w:t>23070323023</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三、剑阁县退役军人事务局行政执法权力、责任清单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四川省政务服务网、剑阁县人民政府网（含行政执法权力及责任事项的权限、职责、服务指南、法定依据、流程图、程序）</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http://www.sczwfw.gov.cn/jiq/front/item/bmft_index?deptCode=3908135970021101568&amp;areaCode=510823000000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四、剑阁县退役军人事务局行政执法审核目录清单（1项）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（一）对企业未按规定接收安置退役士兵的处罚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役士兵安置条例》第五十条“接收安置退役士兵的单位违反本条例的规定，有下列情形之一的，由当地人民政府退役士兵安置工作主管部门责令限期改正；逾期不改的，对企业按照涉及退役士兵人数乘以当地上年度城镇职工平均工资10倍的金额处以罚款。(一)拒绝或者无故拖延执行人民政府下达的安排退役士兵工作任务的；(二)未依法与退役士兵签订劳动合同、聘用合同的；(三)与残疾退役士兵解除劳动关系或者人事关系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（二）对负有军人优待义务的单位不履行优待义务的处罚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军人抚恤优待条例》第四十八条“负有军人优待义务的单位不履行优待义务的，由县级人民政府民政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（三）对抚恤优待对象冒领抚恤金、优待金、补助金，虚报病情骗取医药费，出具假证明、伪造证件、印章骗取抚恤金、优待金、补助金等行为的处罚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五、剑阁县退役军人事务局行政执法（监督信息）救济渠道、行政执法人员责任制</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3"/>
        <w:keepNext w:val="0"/>
        <w:keepLines w:val="0"/>
        <w:pageBreakBefore w:val="0"/>
        <w:numPr>
          <w:ilvl w:val="0"/>
          <w:numId w:val="0"/>
        </w:numPr>
        <w:kinsoku/>
        <w:wordWrap/>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2.部门：剑阁县退役军人事务局办公室</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C00000"/>
          <w:sz w:val="32"/>
          <w:szCs w:val="32"/>
          <w:lang w:val="en-US" w:eastAsia="zh-CN"/>
        </w:rPr>
        <w:t xml:space="preserve"> </w:t>
      </w:r>
      <w:r>
        <w:rPr>
          <w:rFonts w:hint="eastAsia" w:ascii="仿宋_GB2312" w:hAnsi="仿宋_GB2312" w:eastAsia="仿宋_GB2312" w:cs="仿宋_GB2312"/>
          <w:b w:val="0"/>
          <w:bCs w:val="0"/>
          <w:sz w:val="32"/>
          <w:szCs w:val="32"/>
          <w:lang w:val="en-US" w:eastAsia="zh-CN"/>
        </w:rPr>
        <w:t>地址：四川省广元市剑阁县下寺镇剑门关大道北段423号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电话：0839-6603102</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《国务院办公厅关于推行行政执法责任制的若干意见》（国办发</w:t>
      </w:r>
      <w:r>
        <w:rPr>
          <w:rFonts w:hint="eastAsia" w:ascii="仿宋_GB2312" w:eastAsia="仿宋_GB2312"/>
          <w:b w:val="0"/>
          <w:bCs w:val="0"/>
          <w:color w:val="000000"/>
          <w:sz w:val="32"/>
          <w:szCs w:val="32"/>
        </w:rPr>
        <w:t>〔20</w:t>
      </w:r>
      <w:r>
        <w:rPr>
          <w:rFonts w:hint="eastAsia" w:ascii="仿宋_GB2312" w:eastAsia="仿宋_GB2312"/>
          <w:b w:val="0"/>
          <w:bCs w:val="0"/>
          <w:color w:val="000000"/>
          <w:sz w:val="32"/>
          <w:szCs w:val="32"/>
          <w:lang w:val="en-US" w:eastAsia="zh-CN"/>
        </w:rPr>
        <w:t>05</w:t>
      </w:r>
      <w:r>
        <w:rPr>
          <w:rFonts w:hint="eastAsia" w:ascii="仿宋_GB2312" w:eastAsia="仿宋_GB2312"/>
          <w:b w:val="0"/>
          <w:bCs w:val="0"/>
          <w:color w:val="000000"/>
          <w:sz w:val="32"/>
          <w:szCs w:val="32"/>
        </w:rPr>
        <w:t>〕</w:t>
      </w:r>
      <w:r>
        <w:rPr>
          <w:rFonts w:hint="eastAsia" w:ascii="仿宋_GB2312" w:hAnsi="仿宋_GB2312" w:eastAsia="仿宋_GB2312" w:cs="仿宋_GB2312"/>
          <w:b w:val="0"/>
          <w:bCs w:val="0"/>
          <w:kern w:val="2"/>
          <w:sz w:val="32"/>
          <w:szCs w:val="32"/>
          <w:lang w:val="en-US" w:eastAsia="zh-CN" w:bidi="ar"/>
        </w:rPr>
        <w:t>37号）</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《广元市行政执法评议考核办法（试行）》</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六、剑阁县退役军人事务局行政执法裁量权标准</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kern w:val="2"/>
          <w:sz w:val="32"/>
          <w:szCs w:val="32"/>
          <w:lang w:val="en-US" w:eastAsia="zh-CN" w:bidi="ar-SA"/>
        </w:rPr>
        <w:t>执行《四川省行政裁量权基准管理规定》四川省人民政府令第360号公布；</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四川省民政部门规范</w:t>
      </w:r>
      <w:r>
        <w:rPr>
          <w:rFonts w:hint="eastAsia" w:ascii="仿宋_GB2312" w:hAnsi="仿宋_GB2312" w:eastAsia="仿宋_GB2312" w:cs="仿宋_GB2312"/>
          <w:b w:val="0"/>
          <w:bCs w:val="0"/>
          <w:sz w:val="32"/>
          <w:szCs w:val="32"/>
        </w:rPr>
        <w:t>行政处罚裁量权实施办法》</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2010年5月26日</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kern w:val="2"/>
          <w:sz w:val="32"/>
          <w:szCs w:val="32"/>
          <w:lang w:val="en-US" w:eastAsia="zh-CN" w:bidi="ar-SA"/>
        </w:rPr>
        <w:t>七、剑阁县退役军人事务局</w:t>
      </w:r>
      <w:r>
        <w:rPr>
          <w:rFonts w:hint="eastAsia" w:ascii="黑体" w:hAnsi="黑体" w:eastAsia="黑体" w:cs="黑体"/>
          <w:b w:val="0"/>
          <w:bCs w:val="0"/>
          <w:sz w:val="32"/>
          <w:szCs w:val="32"/>
          <w:lang w:val="en-US" w:eastAsia="zh-CN"/>
        </w:rPr>
        <w:t xml:space="preserve">无随机抽查事项清单、市场主体库、2024年抽查计划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八、剑阁县退役军人事务局行政执法文书样式、行政执法案卷评查制度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b w:val="0"/>
          <w:bCs w:val="0"/>
          <w:spacing w:val="-20"/>
          <w:kern w:val="2"/>
          <w:sz w:val="32"/>
          <w:szCs w:val="32"/>
          <w:lang w:val="en-US" w:eastAsia="zh-CN" w:bidi="ar-SA"/>
        </w:rPr>
      </w:pPr>
      <w:r>
        <w:rPr>
          <w:rFonts w:hint="eastAsia" w:ascii="仿宋_GB2312" w:hAnsi="仿宋_GB2312" w:eastAsia="仿宋_GB2312" w:cs="仿宋_GB2312"/>
          <w:b w:val="0"/>
          <w:bCs w:val="0"/>
          <w:spacing w:val="-2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sz w:val="32"/>
          <w:szCs w:val="32"/>
          <w:lang w:val="en-US" w:eastAsia="zh-CN"/>
        </w:rPr>
        <w:t>九、剑阁县退役军人事务局</w:t>
      </w:r>
      <w:r>
        <w:rPr>
          <w:rFonts w:hint="eastAsia" w:ascii="黑体" w:hAnsi="黑体" w:eastAsia="黑体" w:cs="黑体"/>
          <w:b w:val="0"/>
          <w:bCs w:val="0"/>
          <w:color w:val="000000" w:themeColor="text1"/>
          <w:sz w:val="32"/>
          <w:szCs w:val="32"/>
          <w:lang w:val="en-US" w:eastAsia="zh-CN"/>
          <w14:textFill>
            <w14:solidFill>
              <w14:schemeClr w14:val="tx1"/>
            </w14:solidFill>
          </w14:textFill>
        </w:rPr>
        <w:t>上年度双随机抽查结果、行政处罚决定、上年度本机关行政执法数据总体情况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700" w:firstLineChars="200"/>
        <w:jc w:val="both"/>
        <w:textAlignment w:val="auto"/>
        <w:rPr>
          <w:rFonts w:hint="eastAsia" w:ascii="楷体_GB2312" w:hAnsi="楷体_GB2312" w:eastAsia="楷体_GB2312" w:cs="楷体_GB2312"/>
          <w:b w:val="0"/>
          <w:bCs w:val="0"/>
          <w:i w:val="0"/>
          <w:caps w:val="0"/>
          <w:color w:val="auto"/>
          <w:spacing w:val="15"/>
          <w:sz w:val="32"/>
          <w:szCs w:val="32"/>
          <w:shd w:val="clear" w:fill="FFFFFF"/>
          <w:lang w:val="en-US" w:eastAsia="zh-CN"/>
        </w:rPr>
      </w:pPr>
      <w:r>
        <w:rPr>
          <w:rFonts w:hint="eastAsia" w:ascii="楷体_GB2312" w:hAnsi="楷体_GB2312" w:eastAsia="楷体_GB2312" w:cs="楷体_GB2312"/>
          <w:b w:val="0"/>
          <w:bCs w:val="0"/>
          <w:i w:val="0"/>
          <w:caps w:val="0"/>
          <w:color w:val="auto"/>
          <w:spacing w:val="15"/>
          <w:sz w:val="32"/>
          <w:szCs w:val="32"/>
          <w:shd w:val="clear" w:fill="FFFFFF"/>
          <w:lang w:val="en-US" w:eastAsia="zh-CN"/>
        </w:rPr>
        <w:t>（一）上年度本机关行政执法数据总体情况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700" w:firstLineChars="200"/>
        <w:textAlignment w:val="auto"/>
        <w:rPr>
          <w:rFonts w:hint="eastAsia" w:ascii="仿宋_GB2312" w:hAnsi="仿宋_GB2312" w:eastAsia="仿宋_GB2312" w:cs="仿宋_GB2312"/>
          <w:b w:val="0"/>
          <w:bCs w:val="0"/>
          <w:i w:val="0"/>
          <w:caps w:val="0"/>
          <w:color w:val="auto"/>
          <w:spacing w:val="15"/>
          <w:sz w:val="32"/>
          <w:szCs w:val="32"/>
          <w:shd w:val="clear" w:fill="FFFFFF"/>
          <w:lang w:val="en-US" w:eastAsia="zh-CN"/>
        </w:rPr>
      </w:pPr>
      <w:r>
        <w:rPr>
          <w:rFonts w:hint="eastAsia" w:ascii="仿宋_GB2312" w:hAnsi="仿宋_GB2312" w:eastAsia="仿宋_GB2312" w:cs="仿宋_GB2312"/>
          <w:b w:val="0"/>
          <w:bCs w:val="0"/>
          <w:i w:val="0"/>
          <w:caps w:val="0"/>
          <w:color w:val="auto"/>
          <w:spacing w:val="15"/>
          <w:sz w:val="32"/>
          <w:szCs w:val="32"/>
          <w:shd w:val="clear" w:fill="FFFFFF"/>
          <w:lang w:val="en-US" w:eastAsia="zh-CN"/>
        </w:rPr>
        <w:fldChar w:fldCharType="begin"/>
      </w:r>
      <w:r>
        <w:rPr>
          <w:rFonts w:hint="eastAsia" w:ascii="仿宋_GB2312" w:hAnsi="仿宋_GB2312" w:eastAsia="仿宋_GB2312" w:cs="仿宋_GB2312"/>
          <w:b w:val="0"/>
          <w:bCs w:val="0"/>
          <w:i w:val="0"/>
          <w:caps w:val="0"/>
          <w:color w:val="auto"/>
          <w:spacing w:val="15"/>
          <w:sz w:val="32"/>
          <w:szCs w:val="32"/>
          <w:shd w:val="clear" w:fill="FFFFFF"/>
          <w:lang w:val="en-US" w:eastAsia="zh-CN"/>
        </w:rPr>
        <w:instrText xml:space="preserve"> HYPERLINK "http://www.cnjg.gov.cn/new/detail/20240111152226744.html" </w:instrText>
      </w:r>
      <w:r>
        <w:rPr>
          <w:rFonts w:hint="eastAsia" w:ascii="仿宋_GB2312" w:hAnsi="仿宋_GB2312" w:eastAsia="仿宋_GB2312" w:cs="仿宋_GB2312"/>
          <w:b w:val="0"/>
          <w:bCs w:val="0"/>
          <w:i w:val="0"/>
          <w:caps w:val="0"/>
          <w:color w:val="auto"/>
          <w:spacing w:val="15"/>
          <w:sz w:val="32"/>
          <w:szCs w:val="32"/>
          <w:shd w:val="clear" w:fill="FFFFFF"/>
          <w:lang w:val="en-US" w:eastAsia="zh-CN"/>
        </w:rPr>
        <w:fldChar w:fldCharType="separate"/>
      </w:r>
      <w:r>
        <w:rPr>
          <w:rStyle w:val="12"/>
          <w:rFonts w:hint="eastAsia" w:ascii="仿宋_GB2312" w:hAnsi="仿宋_GB2312" w:eastAsia="仿宋_GB2312" w:cs="仿宋_GB2312"/>
          <w:b w:val="0"/>
          <w:bCs w:val="0"/>
          <w:i w:val="0"/>
          <w:caps w:val="0"/>
          <w:spacing w:val="15"/>
          <w:sz w:val="32"/>
          <w:szCs w:val="32"/>
          <w:shd w:val="clear" w:fill="FFFFFF"/>
          <w:lang w:val="en-US" w:eastAsia="zh-CN"/>
        </w:rPr>
        <w:t>http://www.cnjg.gov.cn/new/detail/20240111152226744.html</w:t>
      </w:r>
      <w:r>
        <w:rPr>
          <w:rFonts w:hint="eastAsia" w:ascii="仿宋_GB2312" w:hAnsi="仿宋_GB2312" w:eastAsia="仿宋_GB2312" w:cs="仿宋_GB2312"/>
          <w:b w:val="0"/>
          <w:bCs w:val="0"/>
          <w:i w:val="0"/>
          <w:caps w:val="0"/>
          <w:color w:val="auto"/>
          <w:spacing w:val="15"/>
          <w:sz w:val="32"/>
          <w:szCs w:val="32"/>
          <w:shd w:val="clear" w:fill="FFFFFF"/>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700" w:firstLineChars="200"/>
        <w:textAlignment w:val="auto"/>
        <w:rPr>
          <w:rFonts w:hint="eastAsia" w:ascii="楷体_GB2312" w:hAnsi="楷体_GB2312" w:eastAsia="楷体_GB2312" w:cs="楷体_GB2312"/>
          <w:b w:val="0"/>
          <w:bCs w:val="0"/>
          <w:i w:val="0"/>
          <w:caps w:val="0"/>
          <w:color w:val="auto"/>
          <w:spacing w:val="15"/>
          <w:sz w:val="32"/>
          <w:szCs w:val="32"/>
          <w:shd w:val="clear" w:fill="FFFFFF"/>
          <w:lang w:val="en-US" w:eastAsia="zh-CN"/>
        </w:rPr>
      </w:pPr>
      <w:r>
        <w:rPr>
          <w:rFonts w:hint="eastAsia" w:ascii="楷体_GB2312" w:hAnsi="楷体_GB2312" w:eastAsia="楷体_GB2312" w:cs="楷体_GB2312"/>
          <w:b w:val="0"/>
          <w:bCs w:val="0"/>
          <w:i w:val="0"/>
          <w:caps w:val="0"/>
          <w:color w:val="auto"/>
          <w:spacing w:val="15"/>
          <w:sz w:val="32"/>
          <w:szCs w:val="32"/>
          <w:shd w:val="clear" w:fill="FFFFFF"/>
          <w:lang w:val="en-US" w:eastAsia="zh-CN"/>
        </w:rPr>
        <w:t>（二）无双随机抽查业务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十、剑阁县退役军人事务局实行行政执法“三项制度”方案</w:t>
      </w:r>
    </w:p>
    <w:p>
      <w:pPr>
        <w:keepNext w:val="0"/>
        <w:keepLines w:val="0"/>
        <w:pageBreakBefore w:val="0"/>
        <w:kinsoku/>
        <w:wordWrap/>
        <w:overflowPunct/>
        <w:topLinePunct w:val="0"/>
        <w:autoSpaceDE/>
        <w:autoSpaceDN/>
        <w:bidi w:val="0"/>
        <w:adjustRightInd/>
        <w:snapToGrid/>
        <w:spacing w:line="576" w:lineRule="exact"/>
        <w:ind w:firstLine="640" w:firstLineChars="200"/>
        <w:rPr>
          <w:b w:val="0"/>
          <w:bCs w:val="0"/>
          <w:sz w:val="24"/>
          <w:szCs w:val="32"/>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p>
      <w:pPr>
        <w:pStyle w:val="8"/>
        <w:rPr>
          <w:b w:val="0"/>
          <w:bCs w:val="0"/>
          <w:sz w:val="24"/>
          <w:szCs w:val="32"/>
        </w:rPr>
      </w:pPr>
    </w:p>
    <w:p>
      <w:pPr>
        <w:pStyle w:val="8"/>
        <w:rPr>
          <w:rFonts w:hint="default"/>
          <w:b w:val="0"/>
          <w:bCs w:val="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十一、</w:t>
      </w:r>
      <w:r>
        <w:rPr>
          <w:rFonts w:hint="eastAsia" w:ascii="黑体" w:hAnsi="黑体" w:eastAsia="黑体" w:cs="黑体"/>
          <w:sz w:val="32"/>
          <w:szCs w:val="32"/>
        </w:rPr>
        <w:t>剑阁县</w:t>
      </w:r>
      <w:r>
        <w:rPr>
          <w:rFonts w:hint="eastAsia" w:ascii="黑体" w:hAnsi="黑体" w:eastAsia="黑体" w:cs="黑体"/>
          <w:sz w:val="32"/>
          <w:szCs w:val="32"/>
          <w:lang w:eastAsia="zh-CN"/>
        </w:rPr>
        <w:t>退役军人事务局无</w:t>
      </w:r>
      <w:r>
        <w:rPr>
          <w:rFonts w:hint="eastAsia" w:ascii="黑体" w:hAnsi="黑体" w:eastAsia="黑体" w:cs="黑体"/>
          <w:sz w:val="32"/>
          <w:szCs w:val="32"/>
        </w:rPr>
        <w:t>分类检查事项目录和不予、免予</w:t>
      </w:r>
      <w:r>
        <w:rPr>
          <w:rFonts w:hint="eastAsia" w:ascii="黑体" w:hAnsi="黑体" w:eastAsia="黑体" w:cs="黑体"/>
          <w:sz w:val="32"/>
          <w:szCs w:val="32"/>
          <w:lang w:eastAsia="zh-CN"/>
        </w:rPr>
        <w:t>、</w:t>
      </w:r>
      <w:r>
        <w:rPr>
          <w:rFonts w:hint="eastAsia" w:ascii="黑体" w:hAnsi="黑体" w:eastAsia="黑体" w:cs="黑体"/>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b w:val="0"/>
          <w:bCs w:val="0"/>
          <w:sz w:val="24"/>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lang w:eastAsia="zh-CN"/>
        </w:rPr>
        <w:t>剑阁县退役军人事务局</w:t>
      </w:r>
      <w:r>
        <w:rPr>
          <w:rFonts w:hint="eastAsia" w:ascii="黑体" w:hAnsi="黑体" w:eastAsia="黑体" w:cs="黑体"/>
          <w:sz w:val="32"/>
          <w:szCs w:val="32"/>
          <w:lang w:val="en-US" w:eastAsia="zh-CN"/>
        </w:rPr>
        <w:t>行政执法事项目录</w:t>
      </w:r>
    </w:p>
    <w:tbl>
      <w:tblPr>
        <w:tblStyle w:val="9"/>
        <w:tblpPr w:leftFromText="180" w:rightFromText="180" w:vertAnchor="text" w:horzAnchor="page" w:tblpX="1769" w:tblpY="221"/>
        <w:tblOverlap w:val="never"/>
        <w:tblW w:w="8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950" w:type="dxa"/>
            <w:tcBorders>
              <w:top w:val="nil"/>
              <w:left w:val="nil"/>
              <w:bottom w:val="nil"/>
              <w:right w:val="nil"/>
            </w:tcBorders>
            <w:noWrap/>
            <w:vAlign w:val="center"/>
          </w:tcPr>
          <w:p>
            <w:pPr>
              <w:keepNext w:val="0"/>
              <w:keepLines w:val="0"/>
              <w:widowControl/>
              <w:suppressLineNumbers w:val="0"/>
              <w:ind w:firstLine="800" w:firstLineChars="200"/>
              <w:jc w:val="both"/>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剑阁县退役军人事务局行政执法事项目录</w:t>
            </w:r>
          </w:p>
        </w:tc>
      </w:tr>
    </w:tbl>
    <w:tbl>
      <w:tblPr>
        <w:tblStyle w:val="10"/>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1179"/>
        <w:gridCol w:w="1260"/>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666" w:type="dxa"/>
            <w:tcBorders>
              <w:top w:val="nil"/>
              <w:left w:val="nil"/>
              <w:bottom w:val="single" w:color="auto" w:sz="4" w:space="0"/>
              <w:right w:val="nil"/>
            </w:tcBorders>
            <w:noWrap w:val="0"/>
            <w:vAlign w:val="center"/>
          </w:tcPr>
          <w:p>
            <w:pPr>
              <w:jc w:val="center"/>
              <w:rPr>
                <w:rFonts w:hint="eastAsia" w:ascii="黑体" w:hAnsi="黑体" w:eastAsia="黑体" w:cs="黑体"/>
                <w:sz w:val="24"/>
                <w:szCs w:val="24"/>
                <w:vertAlign w:val="baseline"/>
                <w:lang w:eastAsia="zh-CN"/>
              </w:rPr>
            </w:pPr>
          </w:p>
        </w:tc>
        <w:tc>
          <w:tcPr>
            <w:tcW w:w="1179" w:type="dxa"/>
            <w:tcBorders>
              <w:top w:val="nil"/>
              <w:left w:val="nil"/>
              <w:bottom w:val="single" w:color="auto" w:sz="4" w:space="0"/>
              <w:right w:val="nil"/>
            </w:tcBorders>
            <w:noWrap w:val="0"/>
            <w:vAlign w:val="center"/>
          </w:tcPr>
          <w:p>
            <w:pPr>
              <w:jc w:val="center"/>
              <w:rPr>
                <w:rFonts w:hint="eastAsia" w:ascii="黑体" w:hAnsi="黑体" w:eastAsia="黑体" w:cs="黑体"/>
                <w:sz w:val="24"/>
                <w:szCs w:val="24"/>
                <w:vertAlign w:val="baseline"/>
                <w:lang w:eastAsia="zh-CN"/>
              </w:rPr>
            </w:pPr>
          </w:p>
        </w:tc>
        <w:tc>
          <w:tcPr>
            <w:tcW w:w="1260" w:type="dxa"/>
            <w:tcBorders>
              <w:top w:val="nil"/>
              <w:left w:val="nil"/>
              <w:bottom w:val="single" w:color="auto" w:sz="4" w:space="0"/>
              <w:right w:val="nil"/>
            </w:tcBorders>
            <w:noWrap w:val="0"/>
            <w:vAlign w:val="center"/>
          </w:tcPr>
          <w:p>
            <w:pPr>
              <w:jc w:val="center"/>
              <w:rPr>
                <w:rFonts w:hint="eastAsia" w:ascii="黑体" w:hAnsi="黑体" w:eastAsia="黑体" w:cs="黑体"/>
                <w:sz w:val="24"/>
                <w:szCs w:val="24"/>
                <w:vertAlign w:val="baseline"/>
                <w:lang w:eastAsia="zh-CN"/>
              </w:rPr>
            </w:pPr>
          </w:p>
        </w:tc>
        <w:tc>
          <w:tcPr>
            <w:tcW w:w="4787" w:type="dxa"/>
            <w:tcBorders>
              <w:top w:val="nil"/>
              <w:left w:val="nil"/>
              <w:bottom w:val="single" w:color="auto" w:sz="4" w:space="0"/>
              <w:right w:val="nil"/>
            </w:tcBorders>
            <w:noWrap w:val="0"/>
            <w:vAlign w:val="center"/>
          </w:tcPr>
          <w:p>
            <w:pPr>
              <w:jc w:val="center"/>
              <w:rPr>
                <w:rFonts w:hint="eastAsia" w:ascii="黑体" w:hAnsi="黑体" w:eastAsia="黑体" w:cs="黑体"/>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666"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单位</w:t>
            </w:r>
          </w:p>
        </w:tc>
        <w:tc>
          <w:tcPr>
            <w:tcW w:w="1179"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序号</w:t>
            </w:r>
          </w:p>
        </w:tc>
        <w:tc>
          <w:tcPr>
            <w:tcW w:w="1260"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行政执法类型</w:t>
            </w:r>
          </w:p>
        </w:tc>
        <w:tc>
          <w:tcPr>
            <w:tcW w:w="4787"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行政处罚</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对负有烈士遗属优待义务的单位不履行优待义务的行政处罚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行政处罚</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对负有军人优待义务的单位经责令限期履行优待义务逾期仍不履行的行政处罚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行政处罚</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3</w:t>
            </w:r>
          </w:p>
        </w:tc>
        <w:tc>
          <w:tcPr>
            <w:tcW w:w="4787" w:type="dxa"/>
            <w:noWrap w:val="0"/>
            <w:vAlign w:val="center"/>
          </w:tcPr>
          <w:p>
            <w:pPr>
              <w:jc w:val="left"/>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对抚恤优待对象冒领抚恤金、优待金、补助金，虚报病情骗取医药费，出具假证明、</w:t>
            </w:r>
          </w:p>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伪造证件、印章骗取抚恤金、优待金、补助金等行为的行政处罚。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行政处罚</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4</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对企业未按规定接收安置退役士兵的处罚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行政确认</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5</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伤残等级评定（调整）和伤残证办理（涉密）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6</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退役士兵自主就业一次性经济补助金的给付（涉密）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7</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发放自主择业军转干部退役金（涉密）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8</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退役士兵待安排工作期间生活费的给付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9</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1级至4级分散供养残疾退役士兵购（建）房资金给付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10</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烈士褒扬金的给付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11</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中国人民武装警察部队、军队离休、退役干部和退休士官的抚恤优待的给付（涉密）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12</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烈士遗属、因公牺牲军人遗属、病故军人遗属定期抚恤金的给付（涉密）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13</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享受定期补助的复员军人、带病回乡退伍军人死亡丧葬补助费的给付（涉密）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14</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在乡复员军人定期定量生活补助发放（涉密）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15</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退出现役的残疾军人残疾抚恤金的给付（涉密）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16</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义务兵家庭优待金、大学生入伍一次性奖励金的给付（涉密）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17</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带病回乡退伍军人定期定量生活补助的给付（涉密）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18</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退出现役的因战、因公致残的残疾军人旧伤复发死亡遗属一次性抚恤金的给付（涉密）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19</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退出现役的分散安置的一级至四级残疾军人护理费的给付（涉密）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20</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烈士遗属、因公牺牲军人遗属、病故军人遗属一次性抚恤金的给付（涉密）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21</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退出现役的残疾军人病故丧葬补助费的给付（涉密）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22</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享受定期抚恤金的烈属、因公牺牲军人遗属、病故军人遗属丧葬补助费的给付（涉密）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行政给付</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23</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优抚对象医疗费用保障（涉密）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行政奖励</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24</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对在退役军人工作中作出突出贡献的单位和个人给予表彰、奖励（实施主体为各级人民政府）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行政奖励</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25</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对在社会主义现代化建设中作出突出贡献的退役军人予以表彰奖励（实施主体为各级人民政府）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其他行政权力</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26</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由政府安排工作退役士兵和退出消防员、军队转业干部移交安置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其他行政权力</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27</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退役士兵异地安置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其他行政权力</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28</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复员干部移交安置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行政处罚</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1</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对负有烈士遗属优待义务的单位不履行优待义务的行政处罚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剑阁县退役军人事务局</w:t>
            </w:r>
          </w:p>
        </w:tc>
        <w:tc>
          <w:tcPr>
            <w:tcW w:w="1179" w:type="dxa"/>
            <w:noWrap w:val="0"/>
            <w:vAlign w:val="center"/>
          </w:tcPr>
          <w:p>
            <w:pPr>
              <w:jc w:val="center"/>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行政处罚</w:t>
            </w:r>
          </w:p>
        </w:tc>
        <w:tc>
          <w:tcPr>
            <w:tcW w:w="126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2</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对负有军人优待义务的单位经责令限期履行优待义务逾期仍不履行的行政处罚</w:t>
            </w:r>
          </w:p>
        </w:tc>
      </w:tr>
    </w:tbl>
    <w:p>
      <w:pPr>
        <w:pStyle w:val="8"/>
        <w:tabs>
          <w:tab w:val="left" w:pos="3909"/>
        </w:tabs>
        <w:ind w:left="0" w:leftChars="0" w:firstLine="0" w:firstLineChars="0"/>
        <w:rPr>
          <w:rFonts w:hint="eastAsia" w:eastAsiaTheme="minorEastAsia"/>
          <w:b w:val="0"/>
          <w:bCs w:val="0"/>
          <w:sz w:val="24"/>
          <w:szCs w:val="32"/>
          <w:lang w:eastAsia="zh-CN"/>
        </w:rPr>
      </w:pPr>
      <w:r>
        <w:rPr>
          <w:rFonts w:hint="eastAsia"/>
          <w:b w:val="0"/>
          <w:bCs w:val="0"/>
          <w:sz w:val="24"/>
          <w:szCs w:val="32"/>
          <w:lang w:eastAsia="zh-CN"/>
        </w:rPr>
        <w:tab/>
      </w:r>
    </w:p>
    <w:p>
      <w:pPr>
        <w:pStyle w:val="8"/>
        <w:ind w:left="0" w:leftChars="0" w:firstLine="0" w:firstLineChars="0"/>
        <w:rPr>
          <w:b w:val="0"/>
          <w:bCs w:val="0"/>
          <w:sz w:val="24"/>
          <w:szCs w:val="32"/>
        </w:rPr>
      </w:pPr>
    </w:p>
    <w:p>
      <w:pPr>
        <w:pStyle w:val="8"/>
        <w:rPr>
          <w:b w:val="0"/>
          <w:bCs w:val="0"/>
          <w:sz w:val="24"/>
          <w:szCs w:val="32"/>
        </w:rPr>
      </w:pPr>
    </w:p>
    <w:p>
      <w:pPr>
        <w:pStyle w:val="8"/>
        <w:rPr>
          <w:b w:val="0"/>
          <w:bCs w:val="0"/>
          <w:sz w:val="24"/>
          <w:szCs w:val="32"/>
        </w:rPr>
      </w:pPr>
    </w:p>
    <w:p>
      <w:pPr>
        <w:pStyle w:val="8"/>
        <w:rPr>
          <w:b w:val="0"/>
          <w:bCs w:val="0"/>
          <w:sz w:val="24"/>
          <w:szCs w:val="32"/>
        </w:rPr>
      </w:pPr>
    </w:p>
    <w:p>
      <w:pPr>
        <w:pStyle w:val="8"/>
        <w:rPr>
          <w:rFonts w:hint="default"/>
          <w:b w:val="0"/>
          <w:bCs w:val="0"/>
          <w:sz w:val="24"/>
          <w:szCs w:val="32"/>
          <w:lang w:val="en-US" w:eastAsia="zh-CN"/>
        </w:rPr>
      </w:pPr>
    </w:p>
    <w:sectPr>
      <w:footerReference r:id="rId3" w:type="default"/>
      <w:pgSz w:w="11906" w:h="16838"/>
      <w:pgMar w:top="2098" w:right="1474" w:bottom="1814" w:left="1587" w:header="851" w:footer="158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 w:name="KSO_WPS_MARK_KEY" w:val="f0e2c4f3-304d-4426-a27c-041619894264"/>
  </w:docVars>
  <w:rsids>
    <w:rsidRoot w:val="00000000"/>
    <w:rsid w:val="01231750"/>
    <w:rsid w:val="02C15662"/>
    <w:rsid w:val="067E7FBA"/>
    <w:rsid w:val="076B5EC2"/>
    <w:rsid w:val="12145758"/>
    <w:rsid w:val="13FF0051"/>
    <w:rsid w:val="154626FE"/>
    <w:rsid w:val="15AB5367"/>
    <w:rsid w:val="17304D10"/>
    <w:rsid w:val="17F5095E"/>
    <w:rsid w:val="1CEE6F32"/>
    <w:rsid w:val="1DC4119A"/>
    <w:rsid w:val="1F6B21FC"/>
    <w:rsid w:val="210A1818"/>
    <w:rsid w:val="244B529D"/>
    <w:rsid w:val="2456496A"/>
    <w:rsid w:val="28D24C7D"/>
    <w:rsid w:val="297A02E6"/>
    <w:rsid w:val="2A240B63"/>
    <w:rsid w:val="2A5744C9"/>
    <w:rsid w:val="2AA868EF"/>
    <w:rsid w:val="2AFE5D14"/>
    <w:rsid w:val="2D7E67F6"/>
    <w:rsid w:val="2F060D5E"/>
    <w:rsid w:val="30AC33B4"/>
    <w:rsid w:val="311F42AB"/>
    <w:rsid w:val="320474B3"/>
    <w:rsid w:val="3CF27745"/>
    <w:rsid w:val="3FCC41E9"/>
    <w:rsid w:val="405110B7"/>
    <w:rsid w:val="41220D0F"/>
    <w:rsid w:val="468031A4"/>
    <w:rsid w:val="47110C85"/>
    <w:rsid w:val="481B3C89"/>
    <w:rsid w:val="4ABE784F"/>
    <w:rsid w:val="4B6F04C1"/>
    <w:rsid w:val="4CF8483D"/>
    <w:rsid w:val="4D3A42B0"/>
    <w:rsid w:val="4D982D90"/>
    <w:rsid w:val="4F5D52E4"/>
    <w:rsid w:val="502A6877"/>
    <w:rsid w:val="50576669"/>
    <w:rsid w:val="50F90138"/>
    <w:rsid w:val="511D3852"/>
    <w:rsid w:val="5390594A"/>
    <w:rsid w:val="5480499E"/>
    <w:rsid w:val="54911A0E"/>
    <w:rsid w:val="57361FC3"/>
    <w:rsid w:val="5C8909AD"/>
    <w:rsid w:val="5CA76597"/>
    <w:rsid w:val="631C5C8C"/>
    <w:rsid w:val="64165AD0"/>
    <w:rsid w:val="66620DF1"/>
    <w:rsid w:val="68D30265"/>
    <w:rsid w:val="6A712A09"/>
    <w:rsid w:val="6EAD62F1"/>
    <w:rsid w:val="6EFF0843"/>
    <w:rsid w:val="73DF5332"/>
    <w:rsid w:val="743936E9"/>
    <w:rsid w:val="751F3BC1"/>
    <w:rsid w:val="7D3C0527"/>
    <w:rsid w:val="7DF87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basedOn w:val="1"/>
    <w:qFormat/>
    <w:uiPriority w:val="0"/>
    <w:rPr>
      <w:rFonts w:ascii="Calibri" w:hAnsi="Calibri" w:eastAsia="宋体" w:cs="Times New Roman"/>
    </w:rPr>
  </w:style>
  <w:style w:type="paragraph" w:styleId="5">
    <w:name w:val="Body Text Indent"/>
    <w:basedOn w:val="1"/>
    <w:qFormat/>
    <w:uiPriority w:val="0"/>
    <w:pPr>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5"/>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paragraph" w:customStyle="1" w:styleId="13">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3752</Words>
  <Characters>4047</Characters>
  <Lines>0</Lines>
  <Paragraphs>0</Paragraphs>
  <TotalTime>2</TotalTime>
  <ScaleCrop>false</ScaleCrop>
  <LinksUpToDate>false</LinksUpToDate>
  <CharactersWithSpaces>4066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2020-06-03T14:47:00Z</dcterms:created>
  <dc:creator>lx</dc:creator>
  <cp:lastModifiedBy>user</cp:lastModifiedBy>
  <cp:lastPrinted>2022-06-29T11:33:00Z</cp:lastPrinted>
  <dcterms:modified xsi:type="dcterms:W3CDTF">2025-02-08T10:11:06Z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22088EFACFD44AD299B791BFB59ED625_13</vt:lpwstr>
  </property>
</Properties>
</file>