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8F1B5F">
      <w:pPr>
        <w:tabs>
          <w:tab w:val="left" w:pos="2295"/>
        </w:tabs>
        <w:spacing w:line="360" w:lineRule="auto"/>
        <w:ind w:firstLine="562"/>
        <w:rPr>
          <w:rFonts w:hint="default" w:ascii="Times New Roman" w:hAnsi="Times New Roman" w:eastAsia="宋体" w:cs="Times New Roman"/>
          <w:b/>
          <w:bCs/>
          <w:color w:val="auto"/>
          <w:sz w:val="28"/>
          <w:szCs w:val="28"/>
          <w:highlight w:val="none"/>
          <w:lang w:eastAsia="zh-CN"/>
        </w:rPr>
      </w:pPr>
      <w:r>
        <w:rPr>
          <w:rFonts w:hint="default" w:ascii="Times New Roman" w:hAnsi="Times New Roman" w:eastAsia="宋体" w:cs="Times New Roman"/>
          <w:b/>
          <w:bCs/>
          <w:color w:val="auto"/>
          <w:sz w:val="28"/>
          <w:szCs w:val="28"/>
          <w:highlight w:val="none"/>
          <w:lang w:val="en-US" w:eastAsia="zh-CN"/>
        </w:rPr>
        <w:t xml:space="preserve"> </w:t>
      </w:r>
      <w:r>
        <w:rPr>
          <w:rFonts w:hint="default" w:ascii="Times New Roman" w:hAnsi="Times New Roman" w:eastAsia="宋体" w:cs="Times New Roman"/>
          <w:b/>
          <w:bCs/>
          <w:color w:val="auto"/>
          <w:sz w:val="28"/>
          <w:szCs w:val="28"/>
          <w:highlight w:val="none"/>
          <w:lang w:eastAsia="zh-CN"/>
        </w:rPr>
        <w:tab/>
      </w:r>
    </w:p>
    <w:p w14:paraId="5BDE0B33">
      <w:pPr>
        <w:tabs>
          <w:tab w:val="left" w:pos="4189"/>
        </w:tabs>
        <w:spacing w:line="360" w:lineRule="auto"/>
        <w:ind w:firstLine="562"/>
        <w:rPr>
          <w:rFonts w:hint="default" w:ascii="Times New Roman" w:hAnsi="Times New Roman" w:eastAsia="宋体" w:cs="Times New Roman"/>
          <w:b/>
          <w:bCs/>
          <w:color w:val="auto"/>
          <w:sz w:val="28"/>
          <w:szCs w:val="28"/>
          <w:highlight w:val="none"/>
        </w:rPr>
      </w:pPr>
    </w:p>
    <w:p w14:paraId="6171BAFE">
      <w:pPr>
        <w:pStyle w:val="14"/>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outlineLvl w:val="9"/>
        <w:rPr>
          <w:rFonts w:hint="default" w:ascii="Times New Roman" w:hAnsi="Times New Roman" w:eastAsia="黑体" w:cs="Times New Roman"/>
          <w:b/>
          <w:color w:val="auto"/>
          <w:sz w:val="44"/>
          <w:szCs w:val="44"/>
          <w:highlight w:val="none"/>
          <w:lang w:val="en-US" w:eastAsia="zh-CN"/>
        </w:rPr>
      </w:pPr>
      <w:r>
        <w:rPr>
          <w:rFonts w:hint="default" w:ascii="Times New Roman" w:hAnsi="Times New Roman" w:eastAsia="黑体" w:cs="Times New Roman"/>
          <w:b/>
          <w:color w:val="auto"/>
          <w:sz w:val="44"/>
          <w:szCs w:val="44"/>
          <w:highlight w:val="none"/>
          <w:lang w:val="en-US" w:eastAsia="zh-CN"/>
        </w:rPr>
        <w:t>四川胜宏环保科技有限公司</w:t>
      </w:r>
    </w:p>
    <w:p w14:paraId="43502156">
      <w:pPr>
        <w:pStyle w:val="14"/>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outlineLvl w:val="9"/>
        <w:rPr>
          <w:rFonts w:hint="default" w:ascii="Times New Roman" w:hAnsi="Times New Roman" w:eastAsia="黑体" w:cs="Times New Roman"/>
          <w:b/>
          <w:color w:val="auto"/>
          <w:sz w:val="44"/>
          <w:szCs w:val="44"/>
          <w:highlight w:val="none"/>
          <w:lang w:val="en-US" w:eastAsia="zh-CN"/>
        </w:rPr>
      </w:pPr>
      <w:r>
        <w:rPr>
          <w:rFonts w:hint="default" w:ascii="Times New Roman" w:hAnsi="Times New Roman" w:eastAsia="黑体" w:cs="Times New Roman"/>
          <w:b/>
          <w:color w:val="auto"/>
          <w:sz w:val="44"/>
          <w:szCs w:val="44"/>
          <w:highlight w:val="none"/>
          <w:lang w:val="en-US" w:eastAsia="zh-CN"/>
        </w:rPr>
        <w:t>剑阁县城乡生活垃圾无害化处理设施建设项目</w:t>
      </w:r>
    </w:p>
    <w:p w14:paraId="54E3CC74">
      <w:pPr>
        <w:pStyle w:val="14"/>
        <w:keepNext w:val="0"/>
        <w:keepLines w:val="0"/>
        <w:pageBreakBefore w:val="0"/>
        <w:widowControl w:val="0"/>
        <w:kinsoku/>
        <w:wordWrap/>
        <w:overflowPunct/>
        <w:topLinePunct w:val="0"/>
        <w:autoSpaceDE/>
        <w:autoSpaceDN/>
        <w:bidi w:val="0"/>
        <w:adjustRightInd/>
        <w:snapToGrid/>
        <w:spacing w:before="312" w:beforeLines="100" w:line="240" w:lineRule="auto"/>
        <w:ind w:firstLine="1680"/>
        <w:textAlignment w:val="auto"/>
        <w:outlineLvl w:val="9"/>
        <w:rPr>
          <w:rFonts w:hint="default" w:ascii="Times New Roman" w:hAnsi="Times New Roman" w:eastAsia="隶书" w:cs="Times New Roman"/>
          <w:color w:val="auto"/>
          <w:sz w:val="84"/>
          <w:szCs w:val="84"/>
          <w:highlight w:val="none"/>
        </w:rPr>
      </w:pPr>
      <w:r>
        <w:rPr>
          <w:rFonts w:hint="default" w:ascii="Times New Roman" w:hAnsi="Times New Roman" w:eastAsia="隶书" w:cs="Times New Roman"/>
          <w:color w:val="auto"/>
          <w:sz w:val="84"/>
          <w:szCs w:val="84"/>
          <w:highlight w:val="none"/>
        </w:rPr>
        <w:t>环境影响报告书</w:t>
      </w:r>
    </w:p>
    <w:p w14:paraId="3D7F3B10">
      <w:pPr>
        <w:pStyle w:val="14"/>
        <w:keepNext w:val="0"/>
        <w:keepLines w:val="0"/>
        <w:pageBreakBefore w:val="0"/>
        <w:widowControl w:val="0"/>
        <w:kinsoku/>
        <w:wordWrap/>
        <w:overflowPunct/>
        <w:topLinePunct w:val="0"/>
        <w:autoSpaceDE/>
        <w:autoSpaceDN/>
        <w:bidi w:val="0"/>
        <w:adjustRightInd/>
        <w:snapToGrid/>
        <w:spacing w:before="312" w:beforeLines="100" w:line="240" w:lineRule="auto"/>
        <w:ind w:left="0" w:leftChars="0" w:firstLine="0" w:firstLineChars="0"/>
        <w:jc w:val="center"/>
        <w:textAlignment w:val="auto"/>
        <w:outlineLvl w:val="9"/>
        <w:rPr>
          <w:rFonts w:hint="default" w:ascii="Times New Roman" w:hAnsi="Times New Roman" w:eastAsia="隶书" w:cs="Times New Roman"/>
          <w:color w:val="auto"/>
          <w:sz w:val="44"/>
          <w:szCs w:val="44"/>
          <w:highlight w:val="none"/>
        </w:rPr>
      </w:pPr>
      <w:r>
        <w:rPr>
          <w:rFonts w:hint="default" w:ascii="Times New Roman" w:hAnsi="Times New Roman" w:eastAsia="隶书" w:cs="Times New Roman"/>
          <w:color w:val="auto"/>
          <w:sz w:val="44"/>
          <w:szCs w:val="44"/>
          <w:highlight w:val="none"/>
          <w:lang w:val="en-US" w:eastAsia="zh-CN"/>
        </w:rPr>
        <w:t>（征求意见稿）</w:t>
      </w:r>
    </w:p>
    <w:p w14:paraId="760CC992">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23601C11">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5726070C">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3C383B5E">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29DC1159">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0D3641A3">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0CF12A80">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3659E8E1">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7423AB8F">
      <w:pPr>
        <w:pStyle w:val="34"/>
        <w:keepNext w:val="0"/>
        <w:keepLines w:val="0"/>
        <w:pageBreakBefore w:val="0"/>
        <w:widowControl w:val="0"/>
        <w:kinsoku/>
        <w:wordWrap/>
        <w:overflowPunct/>
        <w:topLinePunct w:val="0"/>
        <w:autoSpaceDE/>
        <w:autoSpaceDN/>
        <w:bidi w:val="0"/>
        <w:adjustRightInd/>
        <w:snapToGrid/>
        <w:textAlignment w:val="auto"/>
        <w:outlineLvl w:val="9"/>
        <w:rPr>
          <w:rFonts w:hint="default" w:ascii="Times New Roman" w:hAnsi="Times New Roman" w:cs="Times New Roman"/>
          <w:color w:val="auto"/>
          <w:highlight w:val="none"/>
        </w:rPr>
      </w:pPr>
    </w:p>
    <w:p w14:paraId="0229FDB4">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2B847AA3">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宋体" w:cs="Times New Roman"/>
          <w:color w:val="auto"/>
          <w:highlight w:val="none"/>
        </w:rPr>
      </w:pPr>
    </w:p>
    <w:p w14:paraId="4EC0224B">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黑体" w:cs="Times New Roman"/>
          <w:b/>
          <w:bCs/>
          <w:color w:val="auto"/>
          <w:sz w:val="30"/>
          <w:szCs w:val="30"/>
          <w:highlight w:val="none"/>
          <w:lang w:eastAsia="zh-CN"/>
        </w:rPr>
      </w:pPr>
      <w:bookmarkStart w:id="0" w:name="_Toc259"/>
      <w:r>
        <w:rPr>
          <w:rFonts w:hint="default" w:ascii="Times New Roman" w:hAnsi="Times New Roman" w:eastAsia="黑体" w:cs="Times New Roman"/>
          <w:b/>
          <w:bCs/>
          <w:color w:val="auto"/>
          <w:sz w:val="28"/>
          <w:szCs w:val="28"/>
          <w:highlight w:val="none"/>
        </w:rPr>
        <w:t>建设单位：</w:t>
      </w:r>
      <w:bookmarkEnd w:id="0"/>
      <w:r>
        <w:rPr>
          <w:rFonts w:hint="default" w:ascii="Times New Roman" w:hAnsi="Times New Roman" w:eastAsia="黑体" w:cs="Times New Roman"/>
          <w:b/>
          <w:bCs/>
          <w:color w:val="auto"/>
          <w:sz w:val="28"/>
          <w:szCs w:val="28"/>
          <w:highlight w:val="none"/>
          <w:lang w:eastAsia="zh-CN"/>
        </w:rPr>
        <w:t>四川胜宏环保科技有限公司</w:t>
      </w:r>
    </w:p>
    <w:p w14:paraId="62E940FB">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黑体" w:cs="Times New Roman"/>
          <w:b/>
          <w:bCs/>
          <w:color w:val="auto"/>
          <w:sz w:val="28"/>
          <w:szCs w:val="28"/>
          <w:highlight w:val="none"/>
        </w:rPr>
      </w:pPr>
      <w:bookmarkStart w:id="1" w:name="_Toc28312"/>
      <w:r>
        <w:rPr>
          <w:rFonts w:hint="default" w:ascii="Times New Roman" w:hAnsi="Times New Roman" w:eastAsia="黑体" w:cs="Times New Roman"/>
          <w:b/>
          <w:bCs/>
          <w:color w:val="auto"/>
          <w:sz w:val="28"/>
          <w:szCs w:val="28"/>
          <w:highlight w:val="none"/>
        </w:rPr>
        <w:t>评价单位：</w:t>
      </w:r>
      <w:bookmarkEnd w:id="1"/>
      <w:r>
        <w:rPr>
          <w:rFonts w:hint="default" w:ascii="Times New Roman" w:hAnsi="Times New Roman" w:eastAsia="黑体" w:cs="Times New Roman"/>
          <w:b/>
          <w:bCs/>
          <w:color w:val="auto"/>
          <w:sz w:val="28"/>
          <w:szCs w:val="28"/>
          <w:highlight w:val="none"/>
        </w:rPr>
        <w:t>四川久测环境技术咨询有限公司</w:t>
      </w:r>
    </w:p>
    <w:p w14:paraId="7091B5A8">
      <w:pPr>
        <w:keepNext w:val="0"/>
        <w:keepLines w:val="0"/>
        <w:pageBreakBefore w:val="0"/>
        <w:widowControl w:val="0"/>
        <w:kinsoku/>
        <w:wordWrap/>
        <w:overflowPunct/>
        <w:topLinePunct w:val="0"/>
        <w:autoSpaceDE/>
        <w:autoSpaceDN/>
        <w:bidi w:val="0"/>
        <w:adjustRightInd/>
        <w:snapToGrid/>
        <w:jc w:val="center"/>
        <w:textAlignment w:val="auto"/>
        <w:outlineLvl w:val="9"/>
        <w:rPr>
          <w:rFonts w:hint="default" w:ascii="Times New Roman" w:hAnsi="Times New Roman" w:eastAsia="黑体" w:cs="Times New Roman"/>
          <w:b/>
          <w:bCs/>
          <w:color w:val="auto"/>
          <w:sz w:val="28"/>
          <w:szCs w:val="28"/>
          <w:highlight w:val="none"/>
        </w:rPr>
      </w:pPr>
      <w:r>
        <w:rPr>
          <w:rFonts w:hint="default" w:ascii="Times New Roman" w:hAnsi="Times New Roman" w:eastAsia="黑体" w:cs="Times New Roman"/>
          <w:b/>
          <w:bCs/>
          <w:color w:val="auto"/>
          <w:sz w:val="28"/>
          <w:szCs w:val="28"/>
          <w:highlight w:val="none"/>
          <w:lang w:val="en-US" w:eastAsia="zh-CN"/>
        </w:rPr>
        <w:t>编制日期：202</w:t>
      </w:r>
      <w:r>
        <w:rPr>
          <w:rFonts w:hint="eastAsia" w:ascii="Times New Roman" w:hAnsi="Times New Roman" w:eastAsia="黑体" w:cs="Times New Roman"/>
          <w:b/>
          <w:bCs/>
          <w:color w:val="auto"/>
          <w:sz w:val="28"/>
          <w:szCs w:val="28"/>
          <w:highlight w:val="none"/>
          <w:lang w:val="en-US" w:eastAsia="zh-CN"/>
        </w:rPr>
        <w:t>5</w:t>
      </w:r>
      <w:r>
        <w:rPr>
          <w:rFonts w:hint="default" w:ascii="Times New Roman" w:hAnsi="Times New Roman" w:eastAsia="黑体" w:cs="Times New Roman"/>
          <w:b/>
          <w:bCs/>
          <w:color w:val="auto"/>
          <w:sz w:val="28"/>
          <w:szCs w:val="28"/>
          <w:highlight w:val="none"/>
          <w:lang w:val="en-US" w:eastAsia="zh-CN"/>
        </w:rPr>
        <w:t>年</w:t>
      </w:r>
      <w:r>
        <w:rPr>
          <w:rFonts w:hint="eastAsia" w:ascii="Times New Roman" w:hAnsi="Times New Roman" w:eastAsia="黑体" w:cs="Times New Roman"/>
          <w:b/>
          <w:bCs/>
          <w:color w:val="auto"/>
          <w:sz w:val="28"/>
          <w:szCs w:val="28"/>
          <w:highlight w:val="none"/>
          <w:lang w:val="en-US" w:eastAsia="zh-CN"/>
        </w:rPr>
        <w:t>3</w:t>
      </w:r>
      <w:r>
        <w:rPr>
          <w:rFonts w:hint="default" w:ascii="Times New Roman" w:hAnsi="Times New Roman" w:eastAsia="黑体" w:cs="Times New Roman"/>
          <w:b/>
          <w:bCs/>
          <w:color w:val="auto"/>
          <w:sz w:val="28"/>
          <w:szCs w:val="28"/>
          <w:highlight w:val="none"/>
          <w:lang w:val="en-US" w:eastAsia="zh-CN"/>
        </w:rPr>
        <w:t>月</w:t>
      </w:r>
    </w:p>
    <w:p w14:paraId="70806F90">
      <w:pPr>
        <w:pStyle w:val="34"/>
        <w:keepNext w:val="0"/>
        <w:keepLines w:val="0"/>
        <w:pageBreakBefore w:val="0"/>
        <w:widowControl w:val="0"/>
        <w:kinsoku/>
        <w:wordWrap/>
        <w:overflowPunct/>
        <w:topLinePunct w:val="0"/>
        <w:autoSpaceDE/>
        <w:autoSpaceDN/>
        <w:bidi w:val="0"/>
        <w:adjustRightInd/>
        <w:snapToGrid w:val="0"/>
        <w:spacing w:line="360" w:lineRule="auto"/>
        <w:ind w:left="0" w:leftChars="0" w:firstLine="957" w:firstLineChars="266"/>
        <w:jc w:val="center"/>
        <w:textAlignment w:val="auto"/>
        <w:rPr>
          <w:rFonts w:hint="default" w:ascii="Times New Roman" w:hAnsi="Times New Roman" w:eastAsia="楷体" w:cs="Times New Roman"/>
          <w:b/>
          <w:bCs/>
          <w:color w:val="auto"/>
          <w:sz w:val="36"/>
          <w:szCs w:val="36"/>
          <w:highlight w:val="none"/>
        </w:rPr>
      </w:pPr>
    </w:p>
    <w:p w14:paraId="2968ED74">
      <w:pPr>
        <w:pStyle w:val="53"/>
        <w:autoSpaceDE/>
        <w:autoSpaceDN/>
        <w:adjustRightInd/>
        <w:snapToGrid w:val="0"/>
        <w:spacing w:line="360" w:lineRule="auto"/>
        <w:textAlignment w:val="auto"/>
        <w:rPr>
          <w:rFonts w:hint="default" w:ascii="Times New Roman" w:hAnsi="Times New Roman" w:cs="Times New Roman"/>
          <w:b/>
          <w:bCs/>
          <w:color w:val="auto"/>
          <w:kern w:val="2"/>
          <w:sz w:val="28"/>
          <w:szCs w:val="28"/>
          <w:highlight w:val="none"/>
        </w:rPr>
      </w:pPr>
    </w:p>
    <w:p w14:paraId="6B7A55FD">
      <w:pPr>
        <w:pStyle w:val="53"/>
        <w:autoSpaceDE/>
        <w:autoSpaceDN/>
        <w:adjustRightInd/>
        <w:snapToGrid w:val="0"/>
        <w:spacing w:line="360" w:lineRule="auto"/>
        <w:textAlignment w:val="auto"/>
        <w:rPr>
          <w:rFonts w:hint="default" w:ascii="Times New Roman" w:hAnsi="Times New Roman" w:cs="Times New Roman"/>
          <w:b/>
          <w:bCs/>
          <w:color w:val="auto"/>
          <w:kern w:val="2"/>
          <w:sz w:val="28"/>
          <w:szCs w:val="28"/>
          <w:highlight w:val="none"/>
        </w:rPr>
      </w:pPr>
    </w:p>
    <w:p w14:paraId="05FFCE31">
      <w:pPr>
        <w:rPr>
          <w:rFonts w:hint="default" w:ascii="Times New Roman" w:hAnsi="Times New Roman" w:cs="Times New Roman"/>
          <w:color w:val="auto"/>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17" w:right="1247" w:bottom="1417" w:left="124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51A3E756">
      <w:pPr>
        <w:tabs>
          <w:tab w:val="left" w:pos="4189"/>
        </w:tabs>
        <w:rPr>
          <w:rFonts w:hint="default" w:ascii="Times New Roman" w:hAnsi="Times New Roman" w:cs="Times New Roman"/>
          <w:b/>
          <w:color w:val="auto"/>
          <w:sz w:val="32"/>
          <w:szCs w:val="32"/>
          <w:highlight w:val="none"/>
        </w:rPr>
      </w:pPr>
      <w:r>
        <w:rPr>
          <w:rFonts w:hint="default" w:ascii="Times New Roman" w:hAnsi="Times New Roman" w:eastAsia="宋体" w:cs="Times New Roman"/>
          <w:b/>
          <w:bCs/>
          <w:color w:val="auto"/>
          <w:sz w:val="28"/>
          <w:szCs w:val="28"/>
          <w:highlight w:val="none"/>
        </w:rPr>
        <w:tab/>
      </w:r>
      <w:r>
        <w:rPr>
          <w:rFonts w:hint="default" w:ascii="Times New Roman" w:hAnsi="Times New Roman" w:cs="Times New Roman"/>
          <w:b/>
          <w:color w:val="auto"/>
          <w:sz w:val="32"/>
          <w:szCs w:val="32"/>
          <w:highlight w:val="none"/>
        </w:rPr>
        <w:t>目  录</w:t>
      </w:r>
    </w:p>
    <w:sdt>
      <w:sdtPr>
        <w:rPr>
          <w:rFonts w:hint="default" w:ascii="Times New Roman" w:hAnsi="Times New Roman" w:eastAsia="宋体" w:cs="Times New Roman"/>
          <w:color w:val="auto"/>
          <w:kern w:val="2"/>
          <w:sz w:val="21"/>
          <w:szCs w:val="21"/>
          <w:highlight w:val="none"/>
          <w:lang w:val="en-US" w:eastAsia="zh-CN" w:bidi="ar-SA"/>
        </w:rPr>
        <w:id w:val="147474762"/>
        <w15:color w:val="DBDBDB"/>
        <w:docPartObj>
          <w:docPartGallery w:val="Table of Contents"/>
          <w:docPartUnique/>
        </w:docPartObj>
      </w:sdtPr>
      <w:sdtEndPr>
        <w:rPr>
          <w:rFonts w:hint="default" w:ascii="Times New Roman" w:hAnsi="Times New Roman" w:cs="Times New Roman" w:eastAsiaTheme="minorEastAsia"/>
          <w:b/>
          <w:bCs/>
          <w:color w:val="auto"/>
          <w:kern w:val="2"/>
          <w:sz w:val="24"/>
          <w:szCs w:val="32"/>
          <w:highlight w:val="none"/>
          <w:lang w:val="en-US" w:eastAsia="zh-CN" w:bidi="ar-SA"/>
        </w:rPr>
      </w:sdtEndPr>
      <w:sdtContent>
        <w:p w14:paraId="4A9EFEC0">
          <w:pPr>
            <w:pStyle w:val="4"/>
            <w:numPr>
              <w:ilvl w:val="2"/>
              <w:numId w:val="0"/>
            </w:numPr>
            <w:spacing w:before="0" w:beforeLines="0" w:after="0" w:afterLines="0" w:line="240" w:lineRule="auto"/>
            <w:ind w:left="0" w:leftChars="0" w:right="0" w:rightChars="0" w:firstLine="0" w:firstLineChars="0"/>
            <w:jc w:val="center"/>
            <w:outlineLvl w:val="9"/>
            <w:rPr>
              <w:rFonts w:hint="default" w:ascii="Times New Roman" w:hAnsi="Times New Roman" w:cs="Times New Roman" w:eastAsiaTheme="minorEastAsia"/>
              <w:b/>
              <w:bCs/>
              <w:color w:val="auto"/>
              <w:kern w:val="2"/>
              <w:sz w:val="24"/>
              <w:szCs w:val="32"/>
              <w:highlight w:val="none"/>
              <w:lang w:val="en-US" w:eastAsia="zh-CN" w:bidi="ar-SA"/>
            </w:rPr>
          </w:pPr>
          <w:r>
            <w:rPr>
              <w:rFonts w:hint="default" w:ascii="Times New Roman" w:hAnsi="Times New Roman" w:cs="Times New Roman"/>
              <w:b/>
              <w:color w:val="auto"/>
              <w:sz w:val="32"/>
              <w:szCs w:val="32"/>
              <w:highlight w:val="none"/>
            </w:rPr>
            <w:fldChar w:fldCharType="begin"/>
          </w:r>
          <w:r>
            <w:rPr>
              <w:rFonts w:hint="default" w:ascii="Times New Roman" w:hAnsi="Times New Roman" w:cs="Times New Roman"/>
              <w:b/>
              <w:color w:val="auto"/>
              <w:sz w:val="32"/>
              <w:szCs w:val="32"/>
              <w:highlight w:val="none"/>
            </w:rPr>
            <w:instrText xml:space="preserve">TOC \o "1-2" \h \u </w:instrText>
          </w:r>
          <w:r>
            <w:rPr>
              <w:rFonts w:hint="default" w:ascii="Times New Roman" w:hAnsi="Times New Roman" w:cs="Times New Roman"/>
              <w:b/>
              <w:color w:val="auto"/>
              <w:sz w:val="32"/>
              <w:szCs w:val="32"/>
              <w:highlight w:val="none"/>
            </w:rPr>
            <w:fldChar w:fldCharType="separate"/>
          </w:r>
        </w:p>
        <w:p w14:paraId="327FB0A8">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_Toc14246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第一章 </w:t>
          </w:r>
          <w:r>
            <w:rPr>
              <w:rFonts w:hint="default" w:ascii="Times New Roman" w:hAnsi="Times New Roman" w:cs="Times New Roman"/>
              <w:highlight w:val="none"/>
            </w:rPr>
            <w:t>概述</w:t>
          </w:r>
          <w:r>
            <w:tab/>
          </w:r>
          <w:r>
            <w:fldChar w:fldCharType="begin"/>
          </w:r>
          <w:r>
            <w:instrText xml:space="preserve"> PAGEREF _Toc14246 \h </w:instrText>
          </w:r>
          <w:r>
            <w:fldChar w:fldCharType="separate"/>
          </w:r>
          <w:r>
            <w:t>1</w:t>
          </w:r>
          <w:r>
            <w:fldChar w:fldCharType="end"/>
          </w:r>
          <w:r>
            <w:rPr>
              <w:rFonts w:hint="default" w:ascii="Times New Roman" w:hAnsi="Times New Roman" w:cs="Times New Roman"/>
              <w:color w:val="auto"/>
              <w:szCs w:val="32"/>
              <w:highlight w:val="none"/>
            </w:rPr>
            <w:fldChar w:fldCharType="end"/>
          </w:r>
        </w:p>
        <w:p w14:paraId="1714BF90">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_Toc22376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1.1 </w:t>
          </w:r>
          <w:r>
            <w:rPr>
              <w:rFonts w:hint="default" w:ascii="Times New Roman" w:hAnsi="Times New Roman" w:cs="Times New Roman"/>
              <w:highlight w:val="none"/>
            </w:rPr>
            <w:t>项目</w:t>
          </w:r>
          <w:r>
            <w:rPr>
              <w:rFonts w:hint="default" w:ascii="Times New Roman" w:hAnsi="Times New Roman" w:cs="Times New Roman"/>
              <w:highlight w:val="none"/>
              <w:lang w:eastAsia="zh-CN"/>
            </w:rPr>
            <w:t>由来</w:t>
          </w:r>
          <w:r>
            <w:tab/>
          </w:r>
          <w:r>
            <w:fldChar w:fldCharType="begin"/>
          </w:r>
          <w:r>
            <w:instrText xml:space="preserve"> PAGEREF _Toc22376 \h </w:instrText>
          </w:r>
          <w:r>
            <w:fldChar w:fldCharType="separate"/>
          </w:r>
          <w:r>
            <w:t>1</w:t>
          </w:r>
          <w:r>
            <w:fldChar w:fldCharType="end"/>
          </w:r>
          <w:r>
            <w:rPr>
              <w:rFonts w:hint="default" w:ascii="Times New Roman" w:hAnsi="Times New Roman" w:cs="Times New Roman"/>
              <w:color w:val="auto"/>
              <w:szCs w:val="32"/>
              <w:highlight w:val="none"/>
            </w:rPr>
            <w:fldChar w:fldCharType="end"/>
          </w:r>
        </w:p>
        <w:p w14:paraId="6C817C93">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_Toc2693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1.2 </w:t>
          </w:r>
          <w:r>
            <w:rPr>
              <w:rFonts w:hint="default" w:ascii="Times New Roman" w:hAnsi="Times New Roman" w:cs="Times New Roman"/>
              <w:highlight w:val="none"/>
            </w:rPr>
            <w:t>项目</w:t>
          </w:r>
          <w:r>
            <w:rPr>
              <w:rFonts w:hint="default" w:ascii="Times New Roman" w:hAnsi="Times New Roman" w:cs="Times New Roman"/>
              <w:highlight w:val="none"/>
              <w:lang w:val="en-US" w:eastAsia="zh-CN"/>
            </w:rPr>
            <w:t>特点</w:t>
          </w:r>
          <w:r>
            <w:tab/>
          </w:r>
          <w:r>
            <w:fldChar w:fldCharType="begin"/>
          </w:r>
          <w:r>
            <w:instrText xml:space="preserve"> PAGEREF _Toc2693 \h </w:instrText>
          </w:r>
          <w:r>
            <w:fldChar w:fldCharType="separate"/>
          </w:r>
          <w:r>
            <w:t>1</w:t>
          </w:r>
          <w:r>
            <w:fldChar w:fldCharType="end"/>
          </w:r>
          <w:r>
            <w:rPr>
              <w:rFonts w:hint="default" w:ascii="Times New Roman" w:hAnsi="Times New Roman" w:cs="Times New Roman"/>
              <w:color w:val="auto"/>
              <w:szCs w:val="32"/>
              <w:highlight w:val="none"/>
            </w:rPr>
            <w:fldChar w:fldCharType="end"/>
          </w:r>
        </w:p>
        <w:p w14:paraId="6FD9DCF4">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_Toc28978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1.3 </w:t>
          </w:r>
          <w:r>
            <w:rPr>
              <w:rFonts w:hint="default" w:ascii="Times New Roman" w:hAnsi="Times New Roman" w:cs="Times New Roman"/>
              <w:highlight w:val="none"/>
            </w:rPr>
            <w:t>环境影响评价的工作过程</w:t>
          </w:r>
          <w:r>
            <w:tab/>
          </w:r>
          <w:r>
            <w:fldChar w:fldCharType="begin"/>
          </w:r>
          <w:r>
            <w:instrText xml:space="preserve"> PAGEREF _Toc28978 \h </w:instrText>
          </w:r>
          <w:r>
            <w:fldChar w:fldCharType="separate"/>
          </w:r>
          <w:r>
            <w:t>2</w:t>
          </w:r>
          <w:r>
            <w:fldChar w:fldCharType="end"/>
          </w:r>
          <w:r>
            <w:rPr>
              <w:rFonts w:hint="default" w:ascii="Times New Roman" w:hAnsi="Times New Roman" w:cs="Times New Roman"/>
              <w:color w:val="auto"/>
              <w:szCs w:val="32"/>
              <w:highlight w:val="none"/>
            </w:rPr>
            <w:fldChar w:fldCharType="end"/>
          </w:r>
        </w:p>
        <w:p w14:paraId="3D7434DB">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_Toc22416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1.4 </w:t>
          </w:r>
          <w:r>
            <w:rPr>
              <w:rFonts w:hint="default" w:ascii="Times New Roman" w:hAnsi="Times New Roman" w:cs="Times New Roman"/>
              <w:highlight w:val="none"/>
              <w:lang w:val="en-US" w:eastAsia="zh-CN"/>
            </w:rPr>
            <w:t>分析判定相关情况</w:t>
          </w:r>
          <w:r>
            <w:tab/>
          </w:r>
          <w:r>
            <w:fldChar w:fldCharType="begin"/>
          </w:r>
          <w:r>
            <w:instrText xml:space="preserve"> PAGEREF _Toc22416 \h </w:instrText>
          </w:r>
          <w:r>
            <w:fldChar w:fldCharType="separate"/>
          </w:r>
          <w:r>
            <w:t>4</w:t>
          </w:r>
          <w:r>
            <w:fldChar w:fldCharType="end"/>
          </w:r>
          <w:r>
            <w:rPr>
              <w:rFonts w:hint="default" w:ascii="Times New Roman" w:hAnsi="Times New Roman" w:cs="Times New Roman"/>
              <w:color w:val="auto"/>
              <w:szCs w:val="32"/>
              <w:highlight w:val="none"/>
            </w:rPr>
            <w:fldChar w:fldCharType="end"/>
          </w:r>
        </w:p>
        <w:p w14:paraId="5EA21D30">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_Toc17911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1.5 </w:t>
          </w:r>
          <w:r>
            <w:rPr>
              <w:rFonts w:hint="default" w:ascii="Times New Roman" w:hAnsi="Times New Roman" w:cs="Times New Roman"/>
              <w:highlight w:val="none"/>
            </w:rPr>
            <w:t>关注的主要</w:t>
          </w:r>
          <w:r>
            <w:rPr>
              <w:rFonts w:hint="default" w:ascii="Times New Roman" w:hAnsi="Times New Roman" w:cs="Times New Roman"/>
              <w:highlight w:val="none"/>
              <w:lang w:val="en-US" w:eastAsia="zh-CN"/>
            </w:rPr>
            <w:t>环境</w:t>
          </w:r>
          <w:r>
            <w:rPr>
              <w:rFonts w:hint="default" w:ascii="Times New Roman" w:hAnsi="Times New Roman" w:cs="Times New Roman"/>
              <w:highlight w:val="none"/>
            </w:rPr>
            <w:t>问题</w:t>
          </w:r>
          <w:r>
            <w:rPr>
              <w:rFonts w:hint="default" w:ascii="Times New Roman" w:hAnsi="Times New Roman" w:cs="Times New Roman"/>
              <w:highlight w:val="none"/>
              <w:lang w:val="en-US" w:eastAsia="zh-CN"/>
            </w:rPr>
            <w:t>及环境影响</w:t>
          </w:r>
          <w:r>
            <w:tab/>
          </w:r>
          <w:r>
            <w:fldChar w:fldCharType="begin"/>
          </w:r>
          <w:r>
            <w:instrText xml:space="preserve"> PAGEREF _Toc17911 \h </w:instrText>
          </w:r>
          <w:r>
            <w:fldChar w:fldCharType="separate"/>
          </w:r>
          <w:r>
            <w:t>4</w:t>
          </w:r>
          <w:r>
            <w:fldChar w:fldCharType="end"/>
          </w:r>
          <w:r>
            <w:rPr>
              <w:rFonts w:hint="default" w:ascii="Times New Roman" w:hAnsi="Times New Roman" w:cs="Times New Roman"/>
              <w:color w:val="auto"/>
              <w:szCs w:val="32"/>
              <w:highlight w:val="none"/>
            </w:rPr>
            <w:fldChar w:fldCharType="end"/>
          </w:r>
        </w:p>
        <w:p w14:paraId="3F219209">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_Toc1067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1.6 </w:t>
          </w:r>
          <w:r>
            <w:rPr>
              <w:rFonts w:hint="default" w:ascii="Times New Roman" w:hAnsi="Times New Roman" w:cs="Times New Roman"/>
              <w:highlight w:val="none"/>
              <w:lang w:val="en-US" w:eastAsia="zh-CN"/>
            </w:rPr>
            <w:t>环评报告书</w:t>
          </w:r>
          <w:r>
            <w:rPr>
              <w:rFonts w:hint="default" w:ascii="Times New Roman" w:hAnsi="Times New Roman" w:cs="Times New Roman"/>
              <w:highlight w:val="none"/>
            </w:rPr>
            <w:t>主要结论</w:t>
          </w:r>
          <w:r>
            <w:tab/>
          </w:r>
          <w:r>
            <w:fldChar w:fldCharType="begin"/>
          </w:r>
          <w:r>
            <w:instrText xml:space="preserve"> PAGEREF _Toc1067 \h </w:instrText>
          </w:r>
          <w:r>
            <w:fldChar w:fldCharType="separate"/>
          </w:r>
          <w:r>
            <w:t>5</w:t>
          </w:r>
          <w:r>
            <w:fldChar w:fldCharType="end"/>
          </w:r>
          <w:r>
            <w:rPr>
              <w:rFonts w:hint="default" w:ascii="Times New Roman" w:hAnsi="Times New Roman" w:cs="Times New Roman"/>
              <w:color w:val="auto"/>
              <w:szCs w:val="32"/>
              <w:highlight w:val="none"/>
            </w:rPr>
            <w:fldChar w:fldCharType="end"/>
          </w:r>
        </w:p>
        <w:p w14:paraId="663BE1A5">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_Toc9097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第二章 </w:t>
          </w:r>
          <w:r>
            <w:rPr>
              <w:rFonts w:hint="default" w:ascii="Times New Roman" w:hAnsi="Times New Roman" w:cs="Times New Roman"/>
              <w:highlight w:val="none"/>
            </w:rPr>
            <w:t>总则</w:t>
          </w:r>
          <w:r>
            <w:tab/>
          </w:r>
          <w:r>
            <w:fldChar w:fldCharType="begin"/>
          </w:r>
          <w:r>
            <w:instrText xml:space="preserve"> PAGEREF _Toc9097 \h </w:instrText>
          </w:r>
          <w:r>
            <w:fldChar w:fldCharType="separate"/>
          </w:r>
          <w:r>
            <w:t>6</w:t>
          </w:r>
          <w:r>
            <w:fldChar w:fldCharType="end"/>
          </w:r>
          <w:r>
            <w:rPr>
              <w:rFonts w:hint="default" w:ascii="Times New Roman" w:hAnsi="Times New Roman" w:cs="Times New Roman"/>
              <w:color w:val="auto"/>
              <w:szCs w:val="32"/>
              <w:highlight w:val="none"/>
            </w:rPr>
            <w:fldChar w:fldCharType="end"/>
          </w:r>
        </w:p>
        <w:p w14:paraId="0425B40C">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_Toc5365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2.1 </w:t>
          </w:r>
          <w:r>
            <w:rPr>
              <w:rFonts w:hint="default" w:ascii="Times New Roman" w:hAnsi="Times New Roman" w:cs="Times New Roman"/>
              <w:highlight w:val="none"/>
            </w:rPr>
            <w:t>评价目的与指导思想</w:t>
          </w:r>
          <w:r>
            <w:tab/>
          </w:r>
          <w:r>
            <w:fldChar w:fldCharType="begin"/>
          </w:r>
          <w:r>
            <w:instrText xml:space="preserve"> PAGEREF _Toc5365 \h </w:instrText>
          </w:r>
          <w:r>
            <w:fldChar w:fldCharType="separate"/>
          </w:r>
          <w:r>
            <w:t>6</w:t>
          </w:r>
          <w:r>
            <w:fldChar w:fldCharType="end"/>
          </w:r>
          <w:r>
            <w:rPr>
              <w:rFonts w:hint="default" w:ascii="Times New Roman" w:hAnsi="Times New Roman" w:cs="Times New Roman"/>
              <w:color w:val="auto"/>
              <w:szCs w:val="32"/>
              <w:highlight w:val="none"/>
            </w:rPr>
            <w:fldChar w:fldCharType="end"/>
          </w:r>
        </w:p>
        <w:p w14:paraId="184E0544">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_Toc31181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2.2 </w:t>
          </w:r>
          <w:r>
            <w:rPr>
              <w:rFonts w:hint="default" w:ascii="Times New Roman" w:hAnsi="Times New Roman" w:cs="Times New Roman"/>
              <w:highlight w:val="none"/>
            </w:rPr>
            <w:t>编制依据</w:t>
          </w:r>
          <w:r>
            <w:tab/>
          </w:r>
          <w:r>
            <w:fldChar w:fldCharType="begin"/>
          </w:r>
          <w:r>
            <w:instrText xml:space="preserve"> PAGEREF _Toc31181 \h </w:instrText>
          </w:r>
          <w:r>
            <w:fldChar w:fldCharType="separate"/>
          </w:r>
          <w:r>
            <w:t>7</w:t>
          </w:r>
          <w:r>
            <w:fldChar w:fldCharType="end"/>
          </w:r>
          <w:r>
            <w:rPr>
              <w:rFonts w:hint="default" w:ascii="Times New Roman" w:hAnsi="Times New Roman" w:cs="Times New Roman"/>
              <w:color w:val="auto"/>
              <w:szCs w:val="32"/>
              <w:highlight w:val="none"/>
            </w:rPr>
            <w:fldChar w:fldCharType="end"/>
          </w:r>
        </w:p>
        <w:p w14:paraId="012F4334">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_Toc26843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2.3 </w:t>
          </w:r>
          <w:r>
            <w:rPr>
              <w:rFonts w:hint="default" w:ascii="Times New Roman" w:hAnsi="Times New Roman" w:cs="Times New Roman"/>
              <w:highlight w:val="none"/>
              <w:lang w:eastAsia="zh-CN"/>
            </w:rPr>
            <w:t>环境影响识别和评价因子筛选</w:t>
          </w:r>
          <w:r>
            <w:tab/>
          </w:r>
          <w:r>
            <w:fldChar w:fldCharType="begin"/>
          </w:r>
          <w:r>
            <w:instrText xml:space="preserve"> PAGEREF _Toc26843 \h </w:instrText>
          </w:r>
          <w:r>
            <w:fldChar w:fldCharType="separate"/>
          </w:r>
          <w:r>
            <w:t>10</w:t>
          </w:r>
          <w:r>
            <w:fldChar w:fldCharType="end"/>
          </w:r>
          <w:r>
            <w:rPr>
              <w:rFonts w:hint="default" w:ascii="Times New Roman" w:hAnsi="Times New Roman" w:cs="Times New Roman"/>
              <w:color w:val="auto"/>
              <w:szCs w:val="32"/>
              <w:highlight w:val="none"/>
            </w:rPr>
            <w:fldChar w:fldCharType="end"/>
          </w:r>
        </w:p>
        <w:p w14:paraId="25C55753">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_Toc10267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2.4 </w:t>
          </w:r>
          <w:r>
            <w:rPr>
              <w:rFonts w:hint="default" w:ascii="Times New Roman" w:hAnsi="Times New Roman" w:cs="Times New Roman"/>
              <w:highlight w:val="none"/>
            </w:rPr>
            <w:t>评价标准</w:t>
          </w:r>
          <w:r>
            <w:tab/>
          </w:r>
          <w:r>
            <w:fldChar w:fldCharType="begin"/>
          </w:r>
          <w:r>
            <w:instrText xml:space="preserve"> PAGEREF _Toc10267 \h </w:instrText>
          </w:r>
          <w:r>
            <w:fldChar w:fldCharType="separate"/>
          </w:r>
          <w:r>
            <w:t>11</w:t>
          </w:r>
          <w:r>
            <w:fldChar w:fldCharType="end"/>
          </w:r>
          <w:r>
            <w:rPr>
              <w:rFonts w:hint="default" w:ascii="Times New Roman" w:hAnsi="Times New Roman" w:cs="Times New Roman"/>
              <w:color w:val="auto"/>
              <w:szCs w:val="32"/>
              <w:highlight w:val="none"/>
            </w:rPr>
            <w:fldChar w:fldCharType="end"/>
          </w:r>
        </w:p>
        <w:p w14:paraId="767E2993">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_Toc21904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2.5 </w:t>
          </w:r>
          <w:r>
            <w:rPr>
              <w:rFonts w:hint="default" w:ascii="Times New Roman" w:hAnsi="Times New Roman" w:cs="Times New Roman"/>
              <w:highlight w:val="none"/>
            </w:rPr>
            <w:t>评价等级与评价范围</w:t>
          </w:r>
          <w:r>
            <w:tab/>
          </w:r>
          <w:r>
            <w:fldChar w:fldCharType="begin"/>
          </w:r>
          <w:r>
            <w:instrText xml:space="preserve"> PAGEREF _Toc21904 \h </w:instrText>
          </w:r>
          <w:r>
            <w:fldChar w:fldCharType="separate"/>
          </w:r>
          <w:r>
            <w:t>17</w:t>
          </w:r>
          <w:r>
            <w:fldChar w:fldCharType="end"/>
          </w:r>
          <w:r>
            <w:rPr>
              <w:rFonts w:hint="default" w:ascii="Times New Roman" w:hAnsi="Times New Roman" w:cs="Times New Roman"/>
              <w:color w:val="auto"/>
              <w:szCs w:val="32"/>
              <w:highlight w:val="none"/>
            </w:rPr>
            <w:fldChar w:fldCharType="end"/>
          </w:r>
        </w:p>
        <w:p w14:paraId="0B49AF09">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_Toc6724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2.6 </w:t>
          </w:r>
          <w:r>
            <w:rPr>
              <w:rFonts w:hint="default" w:ascii="Times New Roman" w:hAnsi="Times New Roman" w:cs="Times New Roman"/>
              <w:highlight w:val="none"/>
            </w:rPr>
            <w:t>评价</w:t>
          </w:r>
          <w:r>
            <w:rPr>
              <w:rFonts w:hint="default" w:ascii="Times New Roman" w:hAnsi="Times New Roman" w:cs="Times New Roman"/>
              <w:highlight w:val="none"/>
              <w:lang w:eastAsia="zh-CN"/>
            </w:rPr>
            <w:t>内容、评价</w:t>
          </w:r>
          <w:r>
            <w:rPr>
              <w:rFonts w:hint="default" w:ascii="Times New Roman" w:hAnsi="Times New Roman" w:cs="Times New Roman"/>
              <w:highlight w:val="none"/>
            </w:rPr>
            <w:t>重点</w:t>
          </w:r>
          <w:r>
            <w:rPr>
              <w:rFonts w:hint="default" w:ascii="Times New Roman" w:hAnsi="Times New Roman" w:cs="Times New Roman"/>
              <w:highlight w:val="none"/>
              <w:lang w:eastAsia="zh-CN"/>
            </w:rPr>
            <w:t>及评价时段</w:t>
          </w:r>
          <w:r>
            <w:tab/>
          </w:r>
          <w:r>
            <w:fldChar w:fldCharType="begin"/>
          </w:r>
          <w:r>
            <w:instrText xml:space="preserve"> PAGEREF _Toc6724 \h </w:instrText>
          </w:r>
          <w:r>
            <w:fldChar w:fldCharType="separate"/>
          </w:r>
          <w:r>
            <w:t>17</w:t>
          </w:r>
          <w:r>
            <w:fldChar w:fldCharType="end"/>
          </w:r>
          <w:r>
            <w:rPr>
              <w:rFonts w:hint="default" w:ascii="Times New Roman" w:hAnsi="Times New Roman" w:cs="Times New Roman"/>
              <w:color w:val="auto"/>
              <w:szCs w:val="32"/>
              <w:highlight w:val="none"/>
            </w:rPr>
            <w:fldChar w:fldCharType="end"/>
          </w:r>
        </w:p>
        <w:p w14:paraId="269C4F8C">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_Toc30939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2.7 </w:t>
          </w:r>
          <w:r>
            <w:rPr>
              <w:rFonts w:hint="default" w:ascii="Times New Roman" w:hAnsi="Times New Roman" w:cs="Times New Roman"/>
              <w:highlight w:val="none"/>
              <w:lang w:val="en-US" w:eastAsia="zh-CN"/>
            </w:rPr>
            <w:t>产业政策及相关规划符合性分析</w:t>
          </w:r>
          <w:r>
            <w:tab/>
          </w:r>
          <w:r>
            <w:fldChar w:fldCharType="begin"/>
          </w:r>
          <w:r>
            <w:instrText xml:space="preserve"> PAGEREF _Toc30939 \h </w:instrText>
          </w:r>
          <w:r>
            <w:fldChar w:fldCharType="separate"/>
          </w:r>
          <w:r>
            <w:t>18</w:t>
          </w:r>
          <w:r>
            <w:fldChar w:fldCharType="end"/>
          </w:r>
          <w:r>
            <w:rPr>
              <w:rFonts w:hint="default" w:ascii="Times New Roman" w:hAnsi="Times New Roman" w:cs="Times New Roman"/>
              <w:color w:val="auto"/>
              <w:szCs w:val="32"/>
              <w:highlight w:val="none"/>
            </w:rPr>
            <w:fldChar w:fldCharType="end"/>
          </w:r>
        </w:p>
        <w:p w14:paraId="3B6B19DD">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_Toc23341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2.8 </w:t>
          </w:r>
          <w:r>
            <w:rPr>
              <w:rFonts w:hint="default" w:ascii="Times New Roman" w:hAnsi="Times New Roman" w:cs="Times New Roman"/>
              <w:highlight w:val="none"/>
            </w:rPr>
            <w:t>与</w:t>
          </w:r>
          <w:r>
            <w:rPr>
              <w:rFonts w:hint="default" w:ascii="Times New Roman" w:hAnsi="Times New Roman" w:cs="Times New Roman"/>
              <w:highlight w:val="none"/>
              <w:lang w:val="en-US" w:eastAsia="zh-CN"/>
            </w:rPr>
            <w:t>生态环境分区管控要求</w:t>
          </w:r>
          <w:r>
            <w:rPr>
              <w:rFonts w:hint="default" w:ascii="Times New Roman" w:hAnsi="Times New Roman" w:cs="Times New Roman"/>
              <w:highlight w:val="none"/>
            </w:rPr>
            <w:t>符合性分析</w:t>
          </w:r>
          <w:r>
            <w:tab/>
          </w:r>
          <w:r>
            <w:fldChar w:fldCharType="begin"/>
          </w:r>
          <w:r>
            <w:instrText xml:space="preserve"> PAGEREF _Toc23341 \h </w:instrText>
          </w:r>
          <w:r>
            <w:fldChar w:fldCharType="separate"/>
          </w:r>
          <w:r>
            <w:t>32</w:t>
          </w:r>
          <w:r>
            <w:fldChar w:fldCharType="end"/>
          </w:r>
          <w:r>
            <w:rPr>
              <w:rFonts w:hint="default" w:ascii="Times New Roman" w:hAnsi="Times New Roman" w:cs="Times New Roman"/>
              <w:color w:val="auto"/>
              <w:szCs w:val="32"/>
              <w:highlight w:val="none"/>
            </w:rPr>
            <w:fldChar w:fldCharType="end"/>
          </w:r>
        </w:p>
        <w:p w14:paraId="7C161D13">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_Toc28007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2.9 </w:t>
          </w:r>
          <w:r>
            <w:rPr>
              <w:rFonts w:hint="default" w:ascii="Times New Roman" w:hAnsi="Times New Roman" w:cs="Times New Roman"/>
              <w:highlight w:val="none"/>
              <w:lang w:val="en-US" w:eastAsia="zh-CN"/>
            </w:rPr>
            <w:t>选址合理性分析</w:t>
          </w:r>
          <w:r>
            <w:tab/>
          </w:r>
          <w:r>
            <w:fldChar w:fldCharType="begin"/>
          </w:r>
          <w:r>
            <w:instrText xml:space="preserve"> PAGEREF _Toc28007 \h </w:instrText>
          </w:r>
          <w:r>
            <w:fldChar w:fldCharType="separate"/>
          </w:r>
          <w:r>
            <w:t>51</w:t>
          </w:r>
          <w:r>
            <w:fldChar w:fldCharType="end"/>
          </w:r>
          <w:r>
            <w:rPr>
              <w:rFonts w:hint="default" w:ascii="Times New Roman" w:hAnsi="Times New Roman" w:cs="Times New Roman"/>
              <w:color w:val="auto"/>
              <w:szCs w:val="32"/>
              <w:highlight w:val="none"/>
            </w:rPr>
            <w:fldChar w:fldCharType="end"/>
          </w:r>
        </w:p>
        <w:p w14:paraId="63F212F5">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_Toc12511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2.10 </w:t>
          </w:r>
          <w:r>
            <w:rPr>
              <w:rFonts w:hint="default" w:ascii="Times New Roman" w:hAnsi="Times New Roman" w:cs="Times New Roman"/>
              <w:highlight w:val="none"/>
            </w:rPr>
            <w:t>环境保护目标</w:t>
          </w:r>
          <w:r>
            <w:tab/>
          </w:r>
          <w:r>
            <w:fldChar w:fldCharType="begin"/>
          </w:r>
          <w:r>
            <w:instrText xml:space="preserve"> PAGEREF _Toc12511 \h </w:instrText>
          </w:r>
          <w:r>
            <w:fldChar w:fldCharType="separate"/>
          </w:r>
          <w:r>
            <w:t>54</w:t>
          </w:r>
          <w:r>
            <w:fldChar w:fldCharType="end"/>
          </w:r>
          <w:r>
            <w:rPr>
              <w:rFonts w:hint="default" w:ascii="Times New Roman" w:hAnsi="Times New Roman" w:cs="Times New Roman"/>
              <w:color w:val="auto"/>
              <w:szCs w:val="32"/>
              <w:highlight w:val="none"/>
            </w:rPr>
            <w:fldChar w:fldCharType="end"/>
          </w:r>
        </w:p>
        <w:p w14:paraId="6C4F6AE9">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_Toc18160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第三章 </w:t>
          </w:r>
          <w:r>
            <w:rPr>
              <w:rFonts w:hint="default" w:ascii="Times New Roman" w:hAnsi="Times New Roman" w:cs="Times New Roman"/>
              <w:highlight w:val="none"/>
            </w:rPr>
            <w:t>建设项目工程分析</w:t>
          </w:r>
          <w:r>
            <w:tab/>
          </w:r>
          <w:r>
            <w:fldChar w:fldCharType="begin"/>
          </w:r>
          <w:r>
            <w:instrText xml:space="preserve"> PAGEREF _Toc18160 \h </w:instrText>
          </w:r>
          <w:r>
            <w:fldChar w:fldCharType="separate"/>
          </w:r>
          <w:r>
            <w:t>57</w:t>
          </w:r>
          <w:r>
            <w:fldChar w:fldCharType="end"/>
          </w:r>
          <w:r>
            <w:rPr>
              <w:rFonts w:hint="default" w:ascii="Times New Roman" w:hAnsi="Times New Roman" w:cs="Times New Roman"/>
              <w:color w:val="auto"/>
              <w:szCs w:val="32"/>
              <w:highlight w:val="none"/>
            </w:rPr>
            <w:fldChar w:fldCharType="end"/>
          </w:r>
        </w:p>
        <w:p w14:paraId="1AE81FB1">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_Toc13950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3.1 </w:t>
          </w:r>
          <w:r>
            <w:rPr>
              <w:rFonts w:hint="default" w:ascii="Times New Roman" w:hAnsi="Times New Roman" w:cs="Times New Roman"/>
              <w:highlight w:val="none"/>
            </w:rPr>
            <w:t>工程概况</w:t>
          </w:r>
          <w:r>
            <w:tab/>
          </w:r>
          <w:r>
            <w:fldChar w:fldCharType="begin"/>
          </w:r>
          <w:r>
            <w:instrText xml:space="preserve"> PAGEREF _Toc13950 \h </w:instrText>
          </w:r>
          <w:r>
            <w:fldChar w:fldCharType="separate"/>
          </w:r>
          <w:r>
            <w:t>57</w:t>
          </w:r>
          <w:r>
            <w:fldChar w:fldCharType="end"/>
          </w:r>
          <w:r>
            <w:rPr>
              <w:rFonts w:hint="default" w:ascii="Times New Roman" w:hAnsi="Times New Roman" w:cs="Times New Roman"/>
              <w:color w:val="auto"/>
              <w:szCs w:val="32"/>
              <w:highlight w:val="none"/>
            </w:rPr>
            <w:fldChar w:fldCharType="end"/>
          </w:r>
        </w:p>
        <w:p w14:paraId="3199B3B2">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_Toc6407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3.2 </w:t>
          </w:r>
          <w:r>
            <w:rPr>
              <w:rFonts w:hint="default" w:ascii="Times New Roman" w:hAnsi="Times New Roman" w:cs="Times New Roman"/>
              <w:highlight w:val="none"/>
            </w:rPr>
            <w:t>施工期工程分析</w:t>
          </w:r>
          <w:r>
            <w:tab/>
          </w:r>
          <w:r>
            <w:fldChar w:fldCharType="begin"/>
          </w:r>
          <w:r>
            <w:instrText xml:space="preserve"> PAGEREF _Toc6407 \h </w:instrText>
          </w:r>
          <w:r>
            <w:fldChar w:fldCharType="separate"/>
          </w:r>
          <w:r>
            <w:t>73</w:t>
          </w:r>
          <w:r>
            <w:fldChar w:fldCharType="end"/>
          </w:r>
          <w:r>
            <w:rPr>
              <w:rFonts w:hint="default" w:ascii="Times New Roman" w:hAnsi="Times New Roman" w:cs="Times New Roman"/>
              <w:color w:val="auto"/>
              <w:szCs w:val="32"/>
              <w:highlight w:val="none"/>
            </w:rPr>
            <w:fldChar w:fldCharType="end"/>
          </w:r>
        </w:p>
        <w:p w14:paraId="211DD89E">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_Toc19073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3.3 </w:t>
          </w:r>
          <w:r>
            <w:rPr>
              <w:rFonts w:hint="default" w:ascii="Times New Roman" w:hAnsi="Times New Roman" w:cs="Times New Roman"/>
              <w:highlight w:val="none"/>
            </w:rPr>
            <w:t>运营期工程分析</w:t>
          </w:r>
          <w:r>
            <w:tab/>
          </w:r>
          <w:r>
            <w:fldChar w:fldCharType="begin"/>
          </w:r>
          <w:r>
            <w:instrText xml:space="preserve"> PAGEREF _Toc19073 \h </w:instrText>
          </w:r>
          <w:r>
            <w:fldChar w:fldCharType="separate"/>
          </w:r>
          <w:r>
            <w:t>77</w:t>
          </w:r>
          <w:r>
            <w:fldChar w:fldCharType="end"/>
          </w:r>
          <w:r>
            <w:rPr>
              <w:rFonts w:hint="default" w:ascii="Times New Roman" w:hAnsi="Times New Roman" w:cs="Times New Roman"/>
              <w:color w:val="auto"/>
              <w:szCs w:val="32"/>
              <w:highlight w:val="none"/>
            </w:rPr>
            <w:fldChar w:fldCharType="end"/>
          </w:r>
        </w:p>
        <w:p w14:paraId="78436320">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_Toc9411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3.4 </w:t>
          </w:r>
          <w:r>
            <w:rPr>
              <w:rFonts w:hint="default" w:ascii="Times New Roman" w:hAnsi="Times New Roman" w:cs="Times New Roman"/>
              <w:highlight w:val="none"/>
            </w:rPr>
            <w:t>总量控制</w:t>
          </w:r>
          <w:r>
            <w:tab/>
          </w:r>
          <w:r>
            <w:fldChar w:fldCharType="begin"/>
          </w:r>
          <w:r>
            <w:instrText xml:space="preserve"> PAGEREF _Toc9411 \h </w:instrText>
          </w:r>
          <w:r>
            <w:fldChar w:fldCharType="separate"/>
          </w:r>
          <w:r>
            <w:t>97</w:t>
          </w:r>
          <w:r>
            <w:fldChar w:fldCharType="end"/>
          </w:r>
          <w:r>
            <w:rPr>
              <w:rFonts w:hint="default" w:ascii="Times New Roman" w:hAnsi="Times New Roman" w:cs="Times New Roman"/>
              <w:color w:val="auto"/>
              <w:szCs w:val="32"/>
              <w:highlight w:val="none"/>
            </w:rPr>
            <w:fldChar w:fldCharType="end"/>
          </w:r>
        </w:p>
        <w:p w14:paraId="216EBF93">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_Toc7199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第四章 </w:t>
          </w:r>
          <w:r>
            <w:rPr>
              <w:rFonts w:hint="default" w:ascii="Times New Roman" w:hAnsi="Times New Roman" w:cs="Times New Roman"/>
              <w:highlight w:val="none"/>
            </w:rPr>
            <w:t>环境现状调查与评价</w:t>
          </w:r>
          <w:r>
            <w:tab/>
          </w:r>
          <w:r>
            <w:fldChar w:fldCharType="begin"/>
          </w:r>
          <w:r>
            <w:instrText xml:space="preserve"> PAGEREF _Toc7199 \h </w:instrText>
          </w:r>
          <w:r>
            <w:fldChar w:fldCharType="separate"/>
          </w:r>
          <w:r>
            <w:t>99</w:t>
          </w:r>
          <w:r>
            <w:fldChar w:fldCharType="end"/>
          </w:r>
          <w:r>
            <w:rPr>
              <w:rFonts w:hint="default" w:ascii="Times New Roman" w:hAnsi="Times New Roman" w:cs="Times New Roman"/>
              <w:color w:val="auto"/>
              <w:szCs w:val="32"/>
              <w:highlight w:val="none"/>
            </w:rPr>
            <w:fldChar w:fldCharType="end"/>
          </w:r>
        </w:p>
        <w:p w14:paraId="077DDA3C">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_Toc27921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4.1 </w:t>
          </w:r>
          <w:r>
            <w:rPr>
              <w:rFonts w:hint="default" w:ascii="Times New Roman" w:hAnsi="Times New Roman" w:cs="Times New Roman"/>
              <w:highlight w:val="none"/>
            </w:rPr>
            <w:t>自然环境概况</w:t>
          </w:r>
          <w:r>
            <w:tab/>
          </w:r>
          <w:r>
            <w:fldChar w:fldCharType="begin"/>
          </w:r>
          <w:r>
            <w:instrText xml:space="preserve"> PAGEREF _Toc27921 \h </w:instrText>
          </w:r>
          <w:r>
            <w:fldChar w:fldCharType="separate"/>
          </w:r>
          <w:r>
            <w:t>99</w:t>
          </w:r>
          <w:r>
            <w:fldChar w:fldCharType="end"/>
          </w:r>
          <w:r>
            <w:rPr>
              <w:rFonts w:hint="default" w:ascii="Times New Roman" w:hAnsi="Times New Roman" w:cs="Times New Roman"/>
              <w:color w:val="auto"/>
              <w:szCs w:val="32"/>
              <w:highlight w:val="none"/>
            </w:rPr>
            <w:fldChar w:fldCharType="end"/>
          </w:r>
        </w:p>
        <w:p w14:paraId="00AE85E5">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_Toc14556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4.2 </w:t>
          </w:r>
          <w:r>
            <w:rPr>
              <w:rFonts w:hint="default" w:ascii="Times New Roman" w:hAnsi="Times New Roman" w:cs="Times New Roman"/>
              <w:highlight w:val="none"/>
            </w:rPr>
            <w:t>环境空气质量现状评价</w:t>
          </w:r>
          <w:r>
            <w:tab/>
          </w:r>
          <w:r>
            <w:fldChar w:fldCharType="begin"/>
          </w:r>
          <w:r>
            <w:instrText xml:space="preserve"> PAGEREF _Toc14556 \h </w:instrText>
          </w:r>
          <w:r>
            <w:fldChar w:fldCharType="separate"/>
          </w:r>
          <w:r>
            <w:t>101</w:t>
          </w:r>
          <w:r>
            <w:fldChar w:fldCharType="end"/>
          </w:r>
          <w:r>
            <w:rPr>
              <w:rFonts w:hint="default" w:ascii="Times New Roman" w:hAnsi="Times New Roman" w:cs="Times New Roman"/>
              <w:color w:val="auto"/>
              <w:szCs w:val="32"/>
              <w:highlight w:val="none"/>
            </w:rPr>
            <w:fldChar w:fldCharType="end"/>
          </w:r>
        </w:p>
        <w:p w14:paraId="4FCBDE3D">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_Toc11913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4.3 </w:t>
          </w:r>
          <w:r>
            <w:rPr>
              <w:rFonts w:hint="default" w:ascii="Times New Roman" w:hAnsi="Times New Roman" w:cs="Times New Roman"/>
              <w:highlight w:val="none"/>
            </w:rPr>
            <w:t>地表水环境质量现状监测及评价</w:t>
          </w:r>
          <w:r>
            <w:tab/>
          </w:r>
          <w:r>
            <w:fldChar w:fldCharType="begin"/>
          </w:r>
          <w:r>
            <w:instrText xml:space="preserve"> PAGEREF _Toc11913 \h </w:instrText>
          </w:r>
          <w:r>
            <w:fldChar w:fldCharType="separate"/>
          </w:r>
          <w:r>
            <w:t>103</w:t>
          </w:r>
          <w:r>
            <w:fldChar w:fldCharType="end"/>
          </w:r>
          <w:r>
            <w:rPr>
              <w:rFonts w:hint="default" w:ascii="Times New Roman" w:hAnsi="Times New Roman" w:cs="Times New Roman"/>
              <w:color w:val="auto"/>
              <w:szCs w:val="32"/>
              <w:highlight w:val="none"/>
            </w:rPr>
            <w:fldChar w:fldCharType="end"/>
          </w:r>
        </w:p>
        <w:p w14:paraId="0383D2CE">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_Toc17285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4.4 </w:t>
          </w:r>
          <w:r>
            <w:rPr>
              <w:rFonts w:hint="default" w:ascii="Times New Roman" w:hAnsi="Times New Roman" w:cs="Times New Roman"/>
              <w:highlight w:val="none"/>
            </w:rPr>
            <w:t>地下水环境质量现状监测及评价</w:t>
          </w:r>
          <w:r>
            <w:tab/>
          </w:r>
          <w:r>
            <w:fldChar w:fldCharType="begin"/>
          </w:r>
          <w:r>
            <w:instrText xml:space="preserve"> PAGEREF _Toc17285 \h </w:instrText>
          </w:r>
          <w:r>
            <w:fldChar w:fldCharType="separate"/>
          </w:r>
          <w:r>
            <w:t>107</w:t>
          </w:r>
          <w:r>
            <w:fldChar w:fldCharType="end"/>
          </w:r>
          <w:r>
            <w:rPr>
              <w:rFonts w:hint="default" w:ascii="Times New Roman" w:hAnsi="Times New Roman" w:cs="Times New Roman"/>
              <w:color w:val="auto"/>
              <w:szCs w:val="32"/>
              <w:highlight w:val="none"/>
            </w:rPr>
            <w:fldChar w:fldCharType="end"/>
          </w:r>
        </w:p>
        <w:p w14:paraId="610DB2CA">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_Toc24309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4.5 </w:t>
          </w:r>
          <w:r>
            <w:rPr>
              <w:rFonts w:hint="default" w:ascii="Times New Roman" w:hAnsi="Times New Roman" w:cs="Times New Roman"/>
              <w:highlight w:val="none"/>
            </w:rPr>
            <w:t>声环境质量现状监测及评价</w:t>
          </w:r>
          <w:r>
            <w:tab/>
          </w:r>
          <w:r>
            <w:fldChar w:fldCharType="begin"/>
          </w:r>
          <w:r>
            <w:instrText xml:space="preserve"> PAGEREF _Toc24309 \h </w:instrText>
          </w:r>
          <w:r>
            <w:fldChar w:fldCharType="separate"/>
          </w:r>
          <w:r>
            <w:t>108</w:t>
          </w:r>
          <w:r>
            <w:fldChar w:fldCharType="end"/>
          </w:r>
          <w:r>
            <w:rPr>
              <w:rFonts w:hint="default" w:ascii="Times New Roman" w:hAnsi="Times New Roman" w:cs="Times New Roman"/>
              <w:color w:val="auto"/>
              <w:szCs w:val="32"/>
              <w:highlight w:val="none"/>
            </w:rPr>
            <w:fldChar w:fldCharType="end"/>
          </w:r>
        </w:p>
        <w:p w14:paraId="12FE012E">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_Toc2091 </w:instrText>
          </w:r>
          <w:r>
            <w:rPr>
              <w:rFonts w:hint="default" w:ascii="Times New Roman" w:hAnsi="Times New Roman" w:cs="Times New Roman"/>
              <w:szCs w:val="32"/>
              <w:highlight w:val="none"/>
            </w:rPr>
            <w:fldChar w:fldCharType="separate"/>
          </w:r>
          <w:r>
            <w:rPr>
              <w:rFonts w:hint="eastAsia" w:ascii="Times New Roman" w:hAnsi="Times New Roman" w:cs="Times New Roman"/>
              <w:lang w:eastAsia="zh-CN"/>
            </w:rPr>
            <w:t xml:space="preserve">4.6 </w:t>
          </w:r>
          <w:r>
            <w:rPr>
              <w:rFonts w:hint="default" w:ascii="Times New Roman" w:hAnsi="Times New Roman" w:cs="Times New Roman"/>
              <w:highlight w:val="none"/>
              <w:lang w:eastAsia="zh-CN"/>
            </w:rPr>
            <w:t>生态环境质量现状调查</w:t>
          </w:r>
          <w:r>
            <w:tab/>
          </w:r>
          <w:r>
            <w:fldChar w:fldCharType="begin"/>
          </w:r>
          <w:r>
            <w:instrText xml:space="preserve"> PAGEREF _Toc2091 \h </w:instrText>
          </w:r>
          <w:r>
            <w:fldChar w:fldCharType="separate"/>
          </w:r>
          <w:r>
            <w:t>108</w:t>
          </w:r>
          <w:r>
            <w:fldChar w:fldCharType="end"/>
          </w:r>
          <w:r>
            <w:rPr>
              <w:rFonts w:hint="default" w:ascii="Times New Roman" w:hAnsi="Times New Roman" w:cs="Times New Roman"/>
              <w:color w:val="auto"/>
              <w:szCs w:val="32"/>
              <w:highlight w:val="none"/>
            </w:rPr>
            <w:fldChar w:fldCharType="end"/>
          </w:r>
        </w:p>
        <w:p w14:paraId="30E5E7DC">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_Toc14819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第五章 </w:t>
          </w:r>
          <w:r>
            <w:rPr>
              <w:rFonts w:hint="default" w:ascii="Times New Roman" w:hAnsi="Times New Roman" w:cs="Times New Roman"/>
              <w:highlight w:val="none"/>
              <w:lang w:val="en-US" w:eastAsia="zh-CN"/>
            </w:rPr>
            <w:t>施工期环境影响分析</w:t>
          </w:r>
          <w:r>
            <w:tab/>
          </w:r>
          <w:r>
            <w:fldChar w:fldCharType="begin"/>
          </w:r>
          <w:r>
            <w:instrText xml:space="preserve"> PAGEREF _Toc14819 \h </w:instrText>
          </w:r>
          <w:r>
            <w:fldChar w:fldCharType="separate"/>
          </w:r>
          <w:r>
            <w:t>111</w:t>
          </w:r>
          <w:r>
            <w:fldChar w:fldCharType="end"/>
          </w:r>
          <w:r>
            <w:rPr>
              <w:rFonts w:hint="default" w:ascii="Times New Roman" w:hAnsi="Times New Roman" w:cs="Times New Roman"/>
              <w:color w:val="auto"/>
              <w:szCs w:val="32"/>
              <w:highlight w:val="none"/>
            </w:rPr>
            <w:fldChar w:fldCharType="end"/>
          </w:r>
        </w:p>
        <w:p w14:paraId="5922E1D6">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_Toc31965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5.1 </w:t>
          </w:r>
          <w:r>
            <w:rPr>
              <w:rFonts w:hint="default" w:ascii="Times New Roman" w:hAnsi="Times New Roman" w:cs="Times New Roman"/>
              <w:highlight w:val="none"/>
            </w:rPr>
            <w:t>施工期环境影响分析</w:t>
          </w:r>
          <w:r>
            <w:tab/>
          </w:r>
          <w:r>
            <w:fldChar w:fldCharType="begin"/>
          </w:r>
          <w:r>
            <w:instrText xml:space="preserve"> PAGEREF _Toc31965 \h </w:instrText>
          </w:r>
          <w:r>
            <w:fldChar w:fldCharType="separate"/>
          </w:r>
          <w:r>
            <w:t>111</w:t>
          </w:r>
          <w:r>
            <w:fldChar w:fldCharType="end"/>
          </w:r>
          <w:r>
            <w:rPr>
              <w:rFonts w:hint="default" w:ascii="Times New Roman" w:hAnsi="Times New Roman" w:cs="Times New Roman"/>
              <w:color w:val="auto"/>
              <w:szCs w:val="32"/>
              <w:highlight w:val="none"/>
            </w:rPr>
            <w:fldChar w:fldCharType="end"/>
          </w:r>
        </w:p>
        <w:p w14:paraId="7DB7ED87">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_Toc19198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5.2 </w:t>
          </w:r>
          <w:r>
            <w:rPr>
              <w:rFonts w:hint="default" w:ascii="Times New Roman" w:hAnsi="Times New Roman" w:cs="Times New Roman"/>
              <w:highlight w:val="none"/>
            </w:rPr>
            <w:t>施工期环境影响</w:t>
          </w:r>
          <w:r>
            <w:rPr>
              <w:rFonts w:hint="default" w:ascii="Times New Roman" w:hAnsi="Times New Roman" w:cs="Times New Roman"/>
              <w:highlight w:val="none"/>
              <w:lang w:val="en-US" w:eastAsia="zh-CN"/>
            </w:rPr>
            <w:t>小结</w:t>
          </w:r>
          <w:r>
            <w:tab/>
          </w:r>
          <w:r>
            <w:fldChar w:fldCharType="begin"/>
          </w:r>
          <w:r>
            <w:instrText xml:space="preserve"> PAGEREF _Toc19198 \h </w:instrText>
          </w:r>
          <w:r>
            <w:fldChar w:fldCharType="separate"/>
          </w:r>
          <w:r>
            <w:t>115</w:t>
          </w:r>
          <w:r>
            <w:fldChar w:fldCharType="end"/>
          </w:r>
          <w:r>
            <w:rPr>
              <w:rFonts w:hint="default" w:ascii="Times New Roman" w:hAnsi="Times New Roman" w:cs="Times New Roman"/>
              <w:color w:val="auto"/>
              <w:szCs w:val="32"/>
              <w:highlight w:val="none"/>
            </w:rPr>
            <w:fldChar w:fldCharType="end"/>
          </w:r>
        </w:p>
        <w:p w14:paraId="6E5E5625">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_Toc32036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第六章 </w:t>
          </w:r>
          <w:r>
            <w:rPr>
              <w:rFonts w:hint="default" w:ascii="Times New Roman" w:hAnsi="Times New Roman" w:cs="Times New Roman"/>
              <w:highlight w:val="none"/>
              <w:lang w:eastAsia="zh-CN"/>
            </w:rPr>
            <w:t>运营期</w:t>
          </w:r>
          <w:r>
            <w:rPr>
              <w:rFonts w:hint="default" w:ascii="Times New Roman" w:hAnsi="Times New Roman" w:cs="Times New Roman"/>
              <w:highlight w:val="none"/>
            </w:rPr>
            <w:t>环境影响</w:t>
          </w:r>
          <w:r>
            <w:rPr>
              <w:rFonts w:hint="default" w:ascii="Times New Roman" w:hAnsi="Times New Roman" w:cs="Times New Roman"/>
              <w:highlight w:val="none"/>
              <w:lang w:val="en-US" w:eastAsia="zh-CN"/>
            </w:rPr>
            <w:t>分析</w:t>
          </w:r>
          <w:r>
            <w:tab/>
          </w:r>
          <w:r>
            <w:fldChar w:fldCharType="begin"/>
          </w:r>
          <w:r>
            <w:instrText xml:space="preserve"> PAGEREF _Toc32036 \h </w:instrText>
          </w:r>
          <w:r>
            <w:fldChar w:fldCharType="separate"/>
          </w:r>
          <w:r>
            <w:t>116</w:t>
          </w:r>
          <w:r>
            <w:fldChar w:fldCharType="end"/>
          </w:r>
          <w:r>
            <w:rPr>
              <w:rFonts w:hint="default" w:ascii="Times New Roman" w:hAnsi="Times New Roman" w:cs="Times New Roman"/>
              <w:color w:val="auto"/>
              <w:szCs w:val="32"/>
              <w:highlight w:val="none"/>
            </w:rPr>
            <w:fldChar w:fldCharType="end"/>
          </w:r>
        </w:p>
        <w:p w14:paraId="6F202BD5">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_Toc11267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6.1 </w:t>
          </w:r>
          <w:r>
            <w:rPr>
              <w:rFonts w:hint="default" w:ascii="Times New Roman" w:hAnsi="Times New Roman" w:cs="Times New Roman"/>
              <w:highlight w:val="none"/>
              <w:lang w:val="en-US" w:eastAsia="zh-CN"/>
            </w:rPr>
            <w:t>大气环境影响分析</w:t>
          </w:r>
          <w:r>
            <w:tab/>
          </w:r>
          <w:r>
            <w:fldChar w:fldCharType="begin"/>
          </w:r>
          <w:r>
            <w:instrText xml:space="preserve"> PAGEREF _Toc11267 \h </w:instrText>
          </w:r>
          <w:r>
            <w:fldChar w:fldCharType="separate"/>
          </w:r>
          <w:r>
            <w:t>116</w:t>
          </w:r>
          <w:r>
            <w:fldChar w:fldCharType="end"/>
          </w:r>
          <w:r>
            <w:rPr>
              <w:rFonts w:hint="default" w:ascii="Times New Roman" w:hAnsi="Times New Roman" w:cs="Times New Roman"/>
              <w:color w:val="auto"/>
              <w:szCs w:val="32"/>
              <w:highlight w:val="none"/>
            </w:rPr>
            <w:fldChar w:fldCharType="end"/>
          </w:r>
        </w:p>
        <w:p w14:paraId="2F385917">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_Toc16031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6.2 </w:t>
          </w:r>
          <w:r>
            <w:rPr>
              <w:rFonts w:hint="default" w:ascii="Times New Roman" w:hAnsi="Times New Roman" w:cs="Times New Roman"/>
              <w:highlight w:val="none"/>
              <w:lang w:val="en-US" w:eastAsia="zh-CN"/>
            </w:rPr>
            <w:t>地表水环境影响分析</w:t>
          </w:r>
          <w:r>
            <w:tab/>
          </w:r>
          <w:r>
            <w:fldChar w:fldCharType="begin"/>
          </w:r>
          <w:r>
            <w:instrText xml:space="preserve"> PAGEREF _Toc16031 \h </w:instrText>
          </w:r>
          <w:r>
            <w:fldChar w:fldCharType="separate"/>
          </w:r>
          <w:r>
            <w:t>116</w:t>
          </w:r>
          <w:r>
            <w:fldChar w:fldCharType="end"/>
          </w:r>
          <w:r>
            <w:rPr>
              <w:rFonts w:hint="default" w:ascii="Times New Roman" w:hAnsi="Times New Roman" w:cs="Times New Roman"/>
              <w:color w:val="auto"/>
              <w:szCs w:val="32"/>
              <w:highlight w:val="none"/>
            </w:rPr>
            <w:fldChar w:fldCharType="end"/>
          </w:r>
        </w:p>
        <w:p w14:paraId="7DECCD38">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_Toc7055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6.3 </w:t>
          </w:r>
          <w:r>
            <w:rPr>
              <w:rFonts w:hint="default" w:ascii="Times New Roman" w:hAnsi="Times New Roman" w:cs="Times New Roman"/>
              <w:highlight w:val="none"/>
              <w:lang w:val="en-US" w:eastAsia="zh-CN"/>
            </w:rPr>
            <w:t>地下水环境影响分析</w:t>
          </w:r>
          <w:r>
            <w:tab/>
          </w:r>
          <w:r>
            <w:fldChar w:fldCharType="begin"/>
          </w:r>
          <w:r>
            <w:instrText xml:space="preserve"> PAGEREF _Toc7055 \h </w:instrText>
          </w:r>
          <w:r>
            <w:fldChar w:fldCharType="separate"/>
          </w:r>
          <w:r>
            <w:t>117</w:t>
          </w:r>
          <w:r>
            <w:fldChar w:fldCharType="end"/>
          </w:r>
          <w:r>
            <w:rPr>
              <w:rFonts w:hint="default" w:ascii="Times New Roman" w:hAnsi="Times New Roman" w:cs="Times New Roman"/>
              <w:color w:val="auto"/>
              <w:szCs w:val="32"/>
              <w:highlight w:val="none"/>
            </w:rPr>
            <w:fldChar w:fldCharType="end"/>
          </w:r>
        </w:p>
        <w:p w14:paraId="05A52441">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_Toc12072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6.4 </w:t>
          </w:r>
          <w:r>
            <w:rPr>
              <w:rFonts w:hint="default" w:ascii="Times New Roman" w:hAnsi="Times New Roman" w:cs="Times New Roman"/>
              <w:highlight w:val="none"/>
              <w:lang w:val="en-US" w:eastAsia="zh-CN"/>
            </w:rPr>
            <w:t>声环境影响分析</w:t>
          </w:r>
          <w:r>
            <w:tab/>
          </w:r>
          <w:r>
            <w:fldChar w:fldCharType="begin"/>
          </w:r>
          <w:r>
            <w:instrText xml:space="preserve"> PAGEREF _Toc12072 \h </w:instrText>
          </w:r>
          <w:r>
            <w:fldChar w:fldCharType="separate"/>
          </w:r>
          <w:r>
            <w:t>118</w:t>
          </w:r>
          <w:r>
            <w:fldChar w:fldCharType="end"/>
          </w:r>
          <w:r>
            <w:rPr>
              <w:rFonts w:hint="default" w:ascii="Times New Roman" w:hAnsi="Times New Roman" w:cs="Times New Roman"/>
              <w:color w:val="auto"/>
              <w:szCs w:val="32"/>
              <w:highlight w:val="none"/>
            </w:rPr>
            <w:fldChar w:fldCharType="end"/>
          </w:r>
        </w:p>
        <w:p w14:paraId="0F23746A">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_Toc31505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6.5 </w:t>
          </w:r>
          <w:r>
            <w:rPr>
              <w:rFonts w:hint="default" w:ascii="Times New Roman" w:hAnsi="Times New Roman" w:cs="Times New Roman"/>
              <w:highlight w:val="none"/>
              <w:lang w:val="en-US" w:eastAsia="zh-CN"/>
            </w:rPr>
            <w:t>固体废物环境影响分析</w:t>
          </w:r>
          <w:r>
            <w:tab/>
          </w:r>
          <w:r>
            <w:fldChar w:fldCharType="begin"/>
          </w:r>
          <w:r>
            <w:instrText xml:space="preserve"> PAGEREF _Toc31505 \h </w:instrText>
          </w:r>
          <w:r>
            <w:fldChar w:fldCharType="separate"/>
          </w:r>
          <w:r>
            <w:t>119</w:t>
          </w:r>
          <w:r>
            <w:fldChar w:fldCharType="end"/>
          </w:r>
          <w:r>
            <w:rPr>
              <w:rFonts w:hint="default" w:ascii="Times New Roman" w:hAnsi="Times New Roman" w:cs="Times New Roman"/>
              <w:color w:val="auto"/>
              <w:szCs w:val="32"/>
              <w:highlight w:val="none"/>
            </w:rPr>
            <w:fldChar w:fldCharType="end"/>
          </w:r>
        </w:p>
        <w:p w14:paraId="78A08C87">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_Toc12646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6.6 </w:t>
          </w:r>
          <w:r>
            <w:rPr>
              <w:rFonts w:hint="default" w:ascii="Times New Roman" w:hAnsi="Times New Roman" w:cs="Times New Roman"/>
              <w:highlight w:val="none"/>
              <w:lang w:val="en-US" w:eastAsia="zh-CN"/>
            </w:rPr>
            <w:t>土壤环境影响分析</w:t>
          </w:r>
          <w:r>
            <w:tab/>
          </w:r>
          <w:r>
            <w:fldChar w:fldCharType="begin"/>
          </w:r>
          <w:r>
            <w:instrText xml:space="preserve"> PAGEREF _Toc12646 \h </w:instrText>
          </w:r>
          <w:r>
            <w:fldChar w:fldCharType="separate"/>
          </w:r>
          <w:r>
            <w:t>122</w:t>
          </w:r>
          <w:r>
            <w:fldChar w:fldCharType="end"/>
          </w:r>
          <w:r>
            <w:rPr>
              <w:rFonts w:hint="default" w:ascii="Times New Roman" w:hAnsi="Times New Roman" w:cs="Times New Roman"/>
              <w:color w:val="auto"/>
              <w:szCs w:val="32"/>
              <w:highlight w:val="none"/>
            </w:rPr>
            <w:fldChar w:fldCharType="end"/>
          </w:r>
        </w:p>
        <w:p w14:paraId="5FDA177F">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_Toc30124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6.7 </w:t>
          </w:r>
          <w:r>
            <w:rPr>
              <w:rFonts w:hint="eastAsia" w:ascii="Times New Roman" w:hAnsi="Times New Roman" w:cs="Times New Roman"/>
              <w:highlight w:val="none"/>
              <w:lang w:val="en-US" w:eastAsia="zh-CN"/>
            </w:rPr>
            <w:t>对植物的影响</w:t>
          </w:r>
          <w:r>
            <w:rPr>
              <w:rFonts w:hint="default" w:ascii="Times New Roman" w:hAnsi="Times New Roman" w:cs="Times New Roman"/>
              <w:highlight w:val="none"/>
              <w:lang w:val="en-US" w:eastAsia="zh-CN"/>
            </w:rPr>
            <w:t>分析</w:t>
          </w:r>
          <w:r>
            <w:tab/>
          </w:r>
          <w:r>
            <w:fldChar w:fldCharType="begin"/>
          </w:r>
          <w:r>
            <w:instrText xml:space="preserve"> PAGEREF _Toc30124 \h </w:instrText>
          </w:r>
          <w:r>
            <w:fldChar w:fldCharType="separate"/>
          </w:r>
          <w:r>
            <w:t>123</w:t>
          </w:r>
          <w:r>
            <w:fldChar w:fldCharType="end"/>
          </w:r>
          <w:r>
            <w:rPr>
              <w:rFonts w:hint="default" w:ascii="Times New Roman" w:hAnsi="Times New Roman" w:cs="Times New Roman"/>
              <w:color w:val="auto"/>
              <w:szCs w:val="32"/>
              <w:highlight w:val="none"/>
            </w:rPr>
            <w:fldChar w:fldCharType="end"/>
          </w:r>
        </w:p>
        <w:p w14:paraId="2083F3AB">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_Toc4798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第七章 </w:t>
          </w:r>
          <w:r>
            <w:rPr>
              <w:rFonts w:hint="eastAsia" w:cs="Times New Roman"/>
              <w:highlight w:val="none"/>
              <w:lang w:val="en-US" w:eastAsia="zh-CN"/>
            </w:rPr>
            <w:t>生态影响预测与评价</w:t>
          </w:r>
          <w:r>
            <w:tab/>
          </w:r>
          <w:r>
            <w:fldChar w:fldCharType="begin"/>
          </w:r>
          <w:r>
            <w:instrText xml:space="preserve"> PAGEREF _Toc4798 \h </w:instrText>
          </w:r>
          <w:r>
            <w:fldChar w:fldCharType="separate"/>
          </w:r>
          <w:r>
            <w:t>124</w:t>
          </w:r>
          <w:r>
            <w:fldChar w:fldCharType="end"/>
          </w:r>
          <w:r>
            <w:rPr>
              <w:rFonts w:hint="default" w:ascii="Times New Roman" w:hAnsi="Times New Roman" w:cs="Times New Roman"/>
              <w:color w:val="auto"/>
              <w:szCs w:val="32"/>
              <w:highlight w:val="none"/>
            </w:rPr>
            <w:fldChar w:fldCharType="end"/>
          </w:r>
        </w:p>
        <w:p w14:paraId="74D04A7F">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_Toc24269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7.1 </w:t>
          </w:r>
          <w:r>
            <w:rPr>
              <w:rFonts w:hint="eastAsia" w:cs="Times New Roman"/>
              <w:highlight w:val="none"/>
              <w:lang w:val="en-US" w:eastAsia="zh-CN"/>
            </w:rPr>
            <w:t>对土地利用的影响</w:t>
          </w:r>
          <w:r>
            <w:tab/>
          </w:r>
          <w:r>
            <w:fldChar w:fldCharType="begin"/>
          </w:r>
          <w:r>
            <w:instrText xml:space="preserve"> PAGEREF _Toc24269 \h </w:instrText>
          </w:r>
          <w:r>
            <w:fldChar w:fldCharType="separate"/>
          </w:r>
          <w:r>
            <w:t>124</w:t>
          </w:r>
          <w:r>
            <w:fldChar w:fldCharType="end"/>
          </w:r>
          <w:r>
            <w:rPr>
              <w:rFonts w:hint="default" w:ascii="Times New Roman" w:hAnsi="Times New Roman" w:cs="Times New Roman"/>
              <w:color w:val="auto"/>
              <w:szCs w:val="32"/>
              <w:highlight w:val="none"/>
            </w:rPr>
            <w:fldChar w:fldCharType="end"/>
          </w:r>
        </w:p>
        <w:p w14:paraId="664A16C8">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_Toc11775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7.2 </w:t>
          </w:r>
          <w:r>
            <w:rPr>
              <w:rFonts w:hint="default" w:ascii="Times New Roman" w:hAnsi="Times New Roman" w:cs="Times New Roman"/>
              <w:highlight w:val="none"/>
            </w:rPr>
            <w:t>对植被及植物资源的影响</w:t>
          </w:r>
          <w:r>
            <w:tab/>
          </w:r>
          <w:r>
            <w:fldChar w:fldCharType="begin"/>
          </w:r>
          <w:r>
            <w:instrText xml:space="preserve"> PAGEREF _Toc11775 \h </w:instrText>
          </w:r>
          <w:r>
            <w:fldChar w:fldCharType="separate"/>
          </w:r>
          <w:r>
            <w:t>124</w:t>
          </w:r>
          <w:r>
            <w:fldChar w:fldCharType="end"/>
          </w:r>
          <w:r>
            <w:rPr>
              <w:rFonts w:hint="default" w:ascii="Times New Roman" w:hAnsi="Times New Roman" w:cs="Times New Roman"/>
              <w:color w:val="auto"/>
              <w:szCs w:val="32"/>
              <w:highlight w:val="none"/>
            </w:rPr>
            <w:fldChar w:fldCharType="end"/>
          </w:r>
        </w:p>
        <w:p w14:paraId="57C17F59">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_Toc3771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7.3 </w:t>
          </w:r>
          <w:r>
            <w:rPr>
              <w:rFonts w:hint="default" w:ascii="Times New Roman" w:hAnsi="Times New Roman" w:cs="Times New Roman"/>
              <w:highlight w:val="none"/>
            </w:rPr>
            <w:t>运营期对植被及植物的影响</w:t>
          </w:r>
          <w:r>
            <w:tab/>
          </w:r>
          <w:r>
            <w:fldChar w:fldCharType="begin"/>
          </w:r>
          <w:r>
            <w:instrText xml:space="preserve"> PAGEREF _Toc3771 \h </w:instrText>
          </w:r>
          <w:r>
            <w:fldChar w:fldCharType="separate"/>
          </w:r>
          <w:r>
            <w:t>124</w:t>
          </w:r>
          <w:r>
            <w:fldChar w:fldCharType="end"/>
          </w:r>
          <w:r>
            <w:rPr>
              <w:rFonts w:hint="default" w:ascii="Times New Roman" w:hAnsi="Times New Roman" w:cs="Times New Roman"/>
              <w:color w:val="auto"/>
              <w:szCs w:val="32"/>
              <w:highlight w:val="none"/>
            </w:rPr>
            <w:fldChar w:fldCharType="end"/>
          </w:r>
        </w:p>
        <w:p w14:paraId="1522B98A">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_Toc2111 </w:instrText>
          </w:r>
          <w:r>
            <w:rPr>
              <w:rFonts w:hint="default" w:ascii="Times New Roman" w:hAnsi="Times New Roman" w:cs="Times New Roman"/>
              <w:szCs w:val="32"/>
              <w:highlight w:val="none"/>
            </w:rPr>
            <w:fldChar w:fldCharType="separate"/>
          </w:r>
          <w:r>
            <w:rPr>
              <w:rFonts w:hint="eastAsia"/>
            </w:rPr>
            <w:t>7.4 对野生动物的影响</w:t>
          </w:r>
          <w:r>
            <w:tab/>
          </w:r>
          <w:r>
            <w:fldChar w:fldCharType="begin"/>
          </w:r>
          <w:r>
            <w:instrText xml:space="preserve"> PAGEREF _Toc2111 \h </w:instrText>
          </w:r>
          <w:r>
            <w:fldChar w:fldCharType="separate"/>
          </w:r>
          <w:r>
            <w:t>124</w:t>
          </w:r>
          <w:r>
            <w:fldChar w:fldCharType="end"/>
          </w:r>
          <w:r>
            <w:rPr>
              <w:rFonts w:hint="default" w:ascii="Times New Roman" w:hAnsi="Times New Roman" w:cs="Times New Roman"/>
              <w:color w:val="auto"/>
              <w:szCs w:val="32"/>
              <w:highlight w:val="none"/>
            </w:rPr>
            <w:fldChar w:fldCharType="end"/>
          </w:r>
        </w:p>
        <w:p w14:paraId="06C185C4">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_Toc29813 </w:instrText>
          </w:r>
          <w:r>
            <w:rPr>
              <w:rFonts w:hint="default" w:ascii="Times New Roman" w:hAnsi="Times New Roman" w:cs="Times New Roman"/>
              <w:szCs w:val="32"/>
              <w:highlight w:val="none"/>
            </w:rPr>
            <w:fldChar w:fldCharType="separate"/>
          </w:r>
          <w:r>
            <w:rPr>
              <w:rFonts w:hint="eastAsia"/>
            </w:rPr>
            <w:t>7.5 生态系统影响分析</w:t>
          </w:r>
          <w:r>
            <w:tab/>
          </w:r>
          <w:r>
            <w:fldChar w:fldCharType="begin"/>
          </w:r>
          <w:r>
            <w:instrText xml:space="preserve"> PAGEREF _Toc29813 \h </w:instrText>
          </w:r>
          <w:r>
            <w:fldChar w:fldCharType="separate"/>
          </w:r>
          <w:r>
            <w:t>124</w:t>
          </w:r>
          <w:r>
            <w:fldChar w:fldCharType="end"/>
          </w:r>
          <w:r>
            <w:rPr>
              <w:rFonts w:hint="default" w:ascii="Times New Roman" w:hAnsi="Times New Roman" w:cs="Times New Roman"/>
              <w:color w:val="auto"/>
              <w:szCs w:val="32"/>
              <w:highlight w:val="none"/>
            </w:rPr>
            <w:fldChar w:fldCharType="end"/>
          </w:r>
        </w:p>
        <w:p w14:paraId="0E576485">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_Toc25023 </w:instrText>
          </w:r>
          <w:r>
            <w:rPr>
              <w:rFonts w:hint="default" w:ascii="Times New Roman" w:hAnsi="Times New Roman" w:cs="Times New Roman"/>
              <w:szCs w:val="32"/>
              <w:highlight w:val="none"/>
            </w:rPr>
            <w:fldChar w:fldCharType="separate"/>
          </w:r>
          <w:r>
            <w:rPr>
              <w:rFonts w:hint="eastAsia"/>
            </w:rPr>
            <w:t>7.6 对景观影响分析</w:t>
          </w:r>
          <w:r>
            <w:tab/>
          </w:r>
          <w:r>
            <w:fldChar w:fldCharType="begin"/>
          </w:r>
          <w:r>
            <w:instrText xml:space="preserve"> PAGEREF _Toc25023 \h </w:instrText>
          </w:r>
          <w:r>
            <w:fldChar w:fldCharType="separate"/>
          </w:r>
          <w:r>
            <w:t>124</w:t>
          </w:r>
          <w:r>
            <w:fldChar w:fldCharType="end"/>
          </w:r>
          <w:r>
            <w:rPr>
              <w:rFonts w:hint="default" w:ascii="Times New Roman" w:hAnsi="Times New Roman" w:cs="Times New Roman"/>
              <w:color w:val="auto"/>
              <w:szCs w:val="32"/>
              <w:highlight w:val="none"/>
            </w:rPr>
            <w:fldChar w:fldCharType="end"/>
          </w:r>
        </w:p>
        <w:p w14:paraId="0981380C">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_Toc3980 </w:instrText>
          </w:r>
          <w:r>
            <w:rPr>
              <w:rFonts w:hint="default" w:ascii="Times New Roman" w:hAnsi="Times New Roman" w:cs="Times New Roman"/>
              <w:szCs w:val="32"/>
              <w:highlight w:val="none"/>
            </w:rPr>
            <w:fldChar w:fldCharType="separate"/>
          </w:r>
          <w:r>
            <w:rPr>
              <w:rFonts w:hint="eastAsia"/>
            </w:rPr>
            <w:t>7.7 对四川翠云廊古柏省级自然保护区的影响</w:t>
          </w:r>
          <w:r>
            <w:tab/>
          </w:r>
          <w:r>
            <w:fldChar w:fldCharType="begin"/>
          </w:r>
          <w:r>
            <w:instrText xml:space="preserve"> PAGEREF _Toc3980 \h </w:instrText>
          </w:r>
          <w:r>
            <w:fldChar w:fldCharType="separate"/>
          </w:r>
          <w:r>
            <w:t>124</w:t>
          </w:r>
          <w:r>
            <w:fldChar w:fldCharType="end"/>
          </w:r>
          <w:r>
            <w:rPr>
              <w:rFonts w:hint="default" w:ascii="Times New Roman" w:hAnsi="Times New Roman" w:cs="Times New Roman"/>
              <w:color w:val="auto"/>
              <w:szCs w:val="32"/>
              <w:highlight w:val="none"/>
            </w:rPr>
            <w:fldChar w:fldCharType="end"/>
          </w:r>
        </w:p>
        <w:p w14:paraId="36A41DC4">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_Toc17107 </w:instrText>
          </w:r>
          <w:r>
            <w:rPr>
              <w:rFonts w:hint="default" w:ascii="Times New Roman" w:hAnsi="Times New Roman" w:cs="Times New Roman"/>
              <w:szCs w:val="32"/>
              <w:highlight w:val="none"/>
            </w:rPr>
            <w:fldChar w:fldCharType="separate"/>
          </w:r>
          <w:r>
            <w:rPr>
              <w:rFonts w:hint="eastAsia"/>
            </w:rPr>
            <w:t>7.8 对剑门蜀道风景名胜区的影响</w:t>
          </w:r>
          <w:r>
            <w:tab/>
          </w:r>
          <w:r>
            <w:fldChar w:fldCharType="begin"/>
          </w:r>
          <w:r>
            <w:instrText xml:space="preserve"> PAGEREF _Toc17107 \h </w:instrText>
          </w:r>
          <w:r>
            <w:fldChar w:fldCharType="separate"/>
          </w:r>
          <w:r>
            <w:t>126</w:t>
          </w:r>
          <w:r>
            <w:fldChar w:fldCharType="end"/>
          </w:r>
          <w:r>
            <w:rPr>
              <w:rFonts w:hint="default" w:ascii="Times New Roman" w:hAnsi="Times New Roman" w:cs="Times New Roman"/>
              <w:color w:val="auto"/>
              <w:szCs w:val="32"/>
              <w:highlight w:val="none"/>
            </w:rPr>
            <w:fldChar w:fldCharType="end"/>
          </w:r>
        </w:p>
        <w:p w14:paraId="54FAA9E0">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_Toc23017 </w:instrText>
          </w:r>
          <w:r>
            <w:rPr>
              <w:rFonts w:hint="default" w:ascii="Times New Roman" w:hAnsi="Times New Roman" w:cs="Times New Roman"/>
              <w:szCs w:val="32"/>
              <w:highlight w:val="none"/>
            </w:rPr>
            <w:fldChar w:fldCharType="separate"/>
          </w:r>
          <w:r>
            <w:rPr>
              <w:rFonts w:hint="eastAsia"/>
            </w:rPr>
            <w:t>7.9 对剑门关国家森林公园的影响</w:t>
          </w:r>
          <w:r>
            <w:tab/>
          </w:r>
          <w:r>
            <w:fldChar w:fldCharType="begin"/>
          </w:r>
          <w:r>
            <w:instrText xml:space="preserve"> PAGEREF _Toc23017 \h </w:instrText>
          </w:r>
          <w:r>
            <w:fldChar w:fldCharType="separate"/>
          </w:r>
          <w:r>
            <w:t>126</w:t>
          </w:r>
          <w:r>
            <w:fldChar w:fldCharType="end"/>
          </w:r>
          <w:r>
            <w:rPr>
              <w:rFonts w:hint="default" w:ascii="Times New Roman" w:hAnsi="Times New Roman" w:cs="Times New Roman"/>
              <w:color w:val="auto"/>
              <w:szCs w:val="32"/>
              <w:highlight w:val="none"/>
            </w:rPr>
            <w:fldChar w:fldCharType="end"/>
          </w:r>
        </w:p>
        <w:p w14:paraId="3E397C5E">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_Toc3354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第八章 </w:t>
          </w:r>
          <w:r>
            <w:rPr>
              <w:rFonts w:hint="default" w:ascii="Times New Roman" w:hAnsi="Times New Roman" w:cs="Times New Roman"/>
              <w:highlight w:val="none"/>
            </w:rPr>
            <w:t>环境保护措施及其可行性论证</w:t>
          </w:r>
          <w:r>
            <w:tab/>
          </w:r>
          <w:r>
            <w:fldChar w:fldCharType="begin"/>
          </w:r>
          <w:r>
            <w:instrText xml:space="preserve"> PAGEREF _Toc3354 \h </w:instrText>
          </w:r>
          <w:r>
            <w:fldChar w:fldCharType="separate"/>
          </w:r>
          <w:r>
            <w:t>127</w:t>
          </w:r>
          <w:r>
            <w:fldChar w:fldCharType="end"/>
          </w:r>
          <w:r>
            <w:rPr>
              <w:rFonts w:hint="default" w:ascii="Times New Roman" w:hAnsi="Times New Roman" w:cs="Times New Roman"/>
              <w:color w:val="auto"/>
              <w:szCs w:val="32"/>
              <w:highlight w:val="none"/>
            </w:rPr>
            <w:fldChar w:fldCharType="end"/>
          </w:r>
        </w:p>
        <w:p w14:paraId="727E87F2">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_Toc10392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8.1 </w:t>
          </w:r>
          <w:r>
            <w:rPr>
              <w:rFonts w:hint="default" w:ascii="Times New Roman" w:hAnsi="Times New Roman" w:cs="Times New Roman"/>
              <w:highlight w:val="none"/>
            </w:rPr>
            <w:t>施工期环境保护措施及可行性论证</w:t>
          </w:r>
          <w:r>
            <w:tab/>
          </w:r>
          <w:r>
            <w:fldChar w:fldCharType="begin"/>
          </w:r>
          <w:r>
            <w:instrText xml:space="preserve"> PAGEREF _Toc10392 \h </w:instrText>
          </w:r>
          <w:r>
            <w:fldChar w:fldCharType="separate"/>
          </w:r>
          <w:r>
            <w:t>127</w:t>
          </w:r>
          <w:r>
            <w:fldChar w:fldCharType="end"/>
          </w:r>
          <w:r>
            <w:rPr>
              <w:rFonts w:hint="default" w:ascii="Times New Roman" w:hAnsi="Times New Roman" w:cs="Times New Roman"/>
              <w:color w:val="auto"/>
              <w:szCs w:val="32"/>
              <w:highlight w:val="none"/>
            </w:rPr>
            <w:fldChar w:fldCharType="end"/>
          </w:r>
        </w:p>
        <w:p w14:paraId="4FD66E57">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_Toc7067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8.2 </w:t>
          </w:r>
          <w:r>
            <w:rPr>
              <w:rFonts w:hint="default" w:ascii="Times New Roman" w:hAnsi="Times New Roman" w:cs="Times New Roman"/>
              <w:highlight w:val="none"/>
            </w:rPr>
            <w:t>运营期环境保护措施及其可行性论证</w:t>
          </w:r>
          <w:r>
            <w:tab/>
          </w:r>
          <w:r>
            <w:fldChar w:fldCharType="begin"/>
          </w:r>
          <w:r>
            <w:instrText xml:space="preserve"> PAGEREF _Toc7067 \h </w:instrText>
          </w:r>
          <w:r>
            <w:fldChar w:fldCharType="separate"/>
          </w:r>
          <w:r>
            <w:t>129</w:t>
          </w:r>
          <w:r>
            <w:fldChar w:fldCharType="end"/>
          </w:r>
          <w:r>
            <w:rPr>
              <w:rFonts w:hint="default" w:ascii="Times New Roman" w:hAnsi="Times New Roman" w:cs="Times New Roman"/>
              <w:color w:val="auto"/>
              <w:szCs w:val="32"/>
              <w:highlight w:val="none"/>
            </w:rPr>
            <w:fldChar w:fldCharType="end"/>
          </w:r>
        </w:p>
        <w:p w14:paraId="2F2ABA08">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_Toc1037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第九章 </w:t>
          </w:r>
          <w:r>
            <w:rPr>
              <w:rFonts w:hint="default" w:ascii="Times New Roman" w:hAnsi="Times New Roman" w:cs="Times New Roman"/>
              <w:highlight w:val="none"/>
            </w:rPr>
            <w:t>环境风险分析</w:t>
          </w:r>
          <w:r>
            <w:tab/>
          </w:r>
          <w:r>
            <w:fldChar w:fldCharType="begin"/>
          </w:r>
          <w:r>
            <w:instrText xml:space="preserve"> PAGEREF _Toc1037 \h </w:instrText>
          </w:r>
          <w:r>
            <w:fldChar w:fldCharType="separate"/>
          </w:r>
          <w:r>
            <w:t>132</w:t>
          </w:r>
          <w:r>
            <w:fldChar w:fldCharType="end"/>
          </w:r>
          <w:r>
            <w:rPr>
              <w:rFonts w:hint="default" w:ascii="Times New Roman" w:hAnsi="Times New Roman" w:cs="Times New Roman"/>
              <w:color w:val="auto"/>
              <w:szCs w:val="32"/>
              <w:highlight w:val="none"/>
            </w:rPr>
            <w:fldChar w:fldCharType="end"/>
          </w:r>
        </w:p>
        <w:p w14:paraId="3803B16C">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_Toc4210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9.1 </w:t>
          </w:r>
          <w:r>
            <w:rPr>
              <w:rFonts w:hint="eastAsia" w:ascii="Times New Roman" w:hAnsi="Times New Roman" w:cs="Times New Roman"/>
              <w:highlight w:val="none"/>
              <w:lang w:val="en-US" w:eastAsia="zh-CN"/>
            </w:rPr>
            <w:t>环境</w:t>
          </w:r>
          <w:r>
            <w:rPr>
              <w:rFonts w:hint="default" w:ascii="Times New Roman" w:hAnsi="Times New Roman" w:cs="Times New Roman"/>
              <w:highlight w:val="none"/>
              <w:lang w:eastAsia="zh-CN"/>
            </w:rPr>
            <w:t>风险</w:t>
          </w:r>
          <w:r>
            <w:rPr>
              <w:rFonts w:hint="eastAsia" w:ascii="Times New Roman" w:hAnsi="Times New Roman" w:cs="Times New Roman"/>
              <w:highlight w:val="none"/>
              <w:lang w:val="en-US" w:eastAsia="zh-CN"/>
            </w:rPr>
            <w:t>评价概述</w:t>
          </w:r>
          <w:r>
            <w:tab/>
          </w:r>
          <w:r>
            <w:fldChar w:fldCharType="begin"/>
          </w:r>
          <w:r>
            <w:instrText xml:space="preserve"> PAGEREF _Toc4210 \h </w:instrText>
          </w:r>
          <w:r>
            <w:fldChar w:fldCharType="separate"/>
          </w:r>
          <w:r>
            <w:t>132</w:t>
          </w:r>
          <w:r>
            <w:fldChar w:fldCharType="end"/>
          </w:r>
          <w:r>
            <w:rPr>
              <w:rFonts w:hint="default" w:ascii="Times New Roman" w:hAnsi="Times New Roman" w:cs="Times New Roman"/>
              <w:color w:val="auto"/>
              <w:szCs w:val="32"/>
              <w:highlight w:val="none"/>
            </w:rPr>
            <w:fldChar w:fldCharType="end"/>
          </w:r>
        </w:p>
        <w:p w14:paraId="07C7544D">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_Toc15238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9.2 </w:t>
          </w:r>
          <w:r>
            <w:rPr>
              <w:rFonts w:hint="default" w:ascii="Times New Roman" w:hAnsi="Times New Roman" w:cs="Times New Roman"/>
              <w:highlight w:val="none"/>
              <w:lang w:eastAsia="zh-CN"/>
            </w:rPr>
            <w:t>风险调查</w:t>
          </w:r>
          <w:r>
            <w:tab/>
          </w:r>
          <w:r>
            <w:fldChar w:fldCharType="begin"/>
          </w:r>
          <w:r>
            <w:instrText xml:space="preserve"> PAGEREF _Toc15238 \h </w:instrText>
          </w:r>
          <w:r>
            <w:fldChar w:fldCharType="separate"/>
          </w:r>
          <w:r>
            <w:t>134</w:t>
          </w:r>
          <w:r>
            <w:fldChar w:fldCharType="end"/>
          </w:r>
          <w:r>
            <w:rPr>
              <w:rFonts w:hint="default" w:ascii="Times New Roman" w:hAnsi="Times New Roman" w:cs="Times New Roman"/>
              <w:color w:val="auto"/>
              <w:szCs w:val="32"/>
              <w:highlight w:val="none"/>
            </w:rPr>
            <w:fldChar w:fldCharType="end"/>
          </w:r>
        </w:p>
        <w:p w14:paraId="4A41EAD9">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_Toc9520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9.3 </w:t>
          </w:r>
          <w:r>
            <w:rPr>
              <w:rFonts w:hint="default" w:ascii="Times New Roman" w:hAnsi="Times New Roman" w:cs="Times New Roman"/>
              <w:highlight w:val="none"/>
              <w:lang w:val="en-US" w:eastAsia="zh-CN"/>
            </w:rPr>
            <w:t>环境风险潜势初判与评价等级</w:t>
          </w:r>
          <w:r>
            <w:tab/>
          </w:r>
          <w:r>
            <w:fldChar w:fldCharType="begin"/>
          </w:r>
          <w:r>
            <w:instrText xml:space="preserve"> PAGEREF _Toc9520 \h </w:instrText>
          </w:r>
          <w:r>
            <w:fldChar w:fldCharType="separate"/>
          </w:r>
          <w:r>
            <w:t>135</w:t>
          </w:r>
          <w:r>
            <w:fldChar w:fldCharType="end"/>
          </w:r>
          <w:r>
            <w:rPr>
              <w:rFonts w:hint="default" w:ascii="Times New Roman" w:hAnsi="Times New Roman" w:cs="Times New Roman"/>
              <w:color w:val="auto"/>
              <w:szCs w:val="32"/>
              <w:highlight w:val="none"/>
            </w:rPr>
            <w:fldChar w:fldCharType="end"/>
          </w:r>
        </w:p>
        <w:p w14:paraId="78900477">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_Toc21615 </w:instrText>
          </w:r>
          <w:r>
            <w:rPr>
              <w:rFonts w:hint="default" w:ascii="Times New Roman" w:hAnsi="Times New Roman" w:cs="Times New Roman"/>
              <w:szCs w:val="32"/>
              <w:highlight w:val="none"/>
            </w:rPr>
            <w:fldChar w:fldCharType="separate"/>
          </w:r>
          <w:r>
            <w:rPr>
              <w:rFonts w:hint="eastAsia" w:ascii="Times New Roman" w:hAnsi="Times New Roman" w:eastAsia="宋体" w:cs="Times New Roman"/>
              <w:bCs/>
              <w:szCs w:val="28"/>
            </w:rPr>
            <w:t xml:space="preserve">9.4 </w:t>
          </w:r>
          <w:r>
            <w:rPr>
              <w:rFonts w:hint="default" w:ascii="Times New Roman" w:hAnsi="Times New Roman" w:eastAsia="宋体" w:cs="Times New Roman"/>
              <w:bCs/>
              <w:szCs w:val="28"/>
              <w:highlight w:val="none"/>
            </w:rPr>
            <w:t>风险识别</w:t>
          </w:r>
          <w:r>
            <w:tab/>
          </w:r>
          <w:r>
            <w:fldChar w:fldCharType="begin"/>
          </w:r>
          <w:r>
            <w:instrText xml:space="preserve"> PAGEREF _Toc21615 \h </w:instrText>
          </w:r>
          <w:r>
            <w:fldChar w:fldCharType="separate"/>
          </w:r>
          <w:r>
            <w:t>136</w:t>
          </w:r>
          <w:r>
            <w:fldChar w:fldCharType="end"/>
          </w:r>
          <w:r>
            <w:rPr>
              <w:rFonts w:hint="default" w:ascii="Times New Roman" w:hAnsi="Times New Roman" w:cs="Times New Roman"/>
              <w:color w:val="auto"/>
              <w:szCs w:val="32"/>
              <w:highlight w:val="none"/>
            </w:rPr>
            <w:fldChar w:fldCharType="end"/>
          </w:r>
        </w:p>
        <w:p w14:paraId="26824833">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_Toc15149 </w:instrText>
          </w:r>
          <w:r>
            <w:rPr>
              <w:rFonts w:hint="default" w:ascii="Times New Roman" w:hAnsi="Times New Roman" w:cs="Times New Roman"/>
              <w:szCs w:val="32"/>
              <w:highlight w:val="none"/>
            </w:rPr>
            <w:fldChar w:fldCharType="separate"/>
          </w:r>
          <w:r>
            <w:rPr>
              <w:rFonts w:hint="eastAsia" w:ascii="Times New Roman" w:hAnsi="Times New Roman" w:eastAsia="宋体" w:cs="Times New Roman"/>
              <w:bCs/>
              <w:szCs w:val="28"/>
            </w:rPr>
            <w:t xml:space="preserve">9.5 </w:t>
          </w:r>
          <w:r>
            <w:rPr>
              <w:rFonts w:hint="default" w:ascii="Times New Roman" w:hAnsi="Times New Roman" w:eastAsia="宋体" w:cs="Times New Roman"/>
              <w:bCs/>
              <w:szCs w:val="28"/>
              <w:highlight w:val="none"/>
            </w:rPr>
            <w:t>风险事故情形分析</w:t>
          </w:r>
          <w:r>
            <w:tab/>
          </w:r>
          <w:r>
            <w:fldChar w:fldCharType="begin"/>
          </w:r>
          <w:r>
            <w:instrText xml:space="preserve"> PAGEREF _Toc15149 \h </w:instrText>
          </w:r>
          <w:r>
            <w:fldChar w:fldCharType="separate"/>
          </w:r>
          <w:r>
            <w:t>147</w:t>
          </w:r>
          <w:r>
            <w:fldChar w:fldCharType="end"/>
          </w:r>
          <w:r>
            <w:rPr>
              <w:rFonts w:hint="default" w:ascii="Times New Roman" w:hAnsi="Times New Roman" w:cs="Times New Roman"/>
              <w:color w:val="auto"/>
              <w:szCs w:val="32"/>
              <w:highlight w:val="none"/>
            </w:rPr>
            <w:fldChar w:fldCharType="end"/>
          </w:r>
        </w:p>
        <w:p w14:paraId="03D95823">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_Toc15860 </w:instrText>
          </w:r>
          <w:r>
            <w:rPr>
              <w:rFonts w:hint="default" w:ascii="Times New Roman" w:hAnsi="Times New Roman" w:cs="Times New Roman"/>
              <w:szCs w:val="32"/>
              <w:highlight w:val="none"/>
            </w:rPr>
            <w:fldChar w:fldCharType="separate"/>
          </w:r>
          <w:r>
            <w:rPr>
              <w:rFonts w:hint="eastAsia" w:ascii="Times New Roman" w:hAnsi="Times New Roman" w:eastAsia="宋体" w:cs="Times New Roman"/>
              <w:bCs/>
              <w:szCs w:val="28"/>
            </w:rPr>
            <w:t xml:space="preserve">9.6 </w:t>
          </w:r>
          <w:r>
            <w:rPr>
              <w:rFonts w:hint="default" w:ascii="Times New Roman" w:hAnsi="Times New Roman" w:eastAsia="宋体" w:cs="Times New Roman"/>
              <w:bCs/>
              <w:szCs w:val="28"/>
              <w:highlight w:val="none"/>
            </w:rPr>
            <w:t>风险预测与评价</w:t>
          </w:r>
          <w:r>
            <w:tab/>
          </w:r>
          <w:r>
            <w:fldChar w:fldCharType="begin"/>
          </w:r>
          <w:r>
            <w:instrText xml:space="preserve"> PAGEREF _Toc15860 \h </w:instrText>
          </w:r>
          <w:r>
            <w:fldChar w:fldCharType="separate"/>
          </w:r>
          <w:r>
            <w:t>147</w:t>
          </w:r>
          <w:r>
            <w:fldChar w:fldCharType="end"/>
          </w:r>
          <w:r>
            <w:rPr>
              <w:rFonts w:hint="default" w:ascii="Times New Roman" w:hAnsi="Times New Roman" w:cs="Times New Roman"/>
              <w:color w:val="auto"/>
              <w:szCs w:val="32"/>
              <w:highlight w:val="none"/>
            </w:rPr>
            <w:fldChar w:fldCharType="end"/>
          </w:r>
        </w:p>
        <w:p w14:paraId="4451978A">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_Toc4941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9.7 </w:t>
          </w:r>
          <w:r>
            <w:rPr>
              <w:rFonts w:hint="default" w:ascii="Times New Roman" w:hAnsi="Times New Roman" w:cs="Times New Roman"/>
              <w:highlight w:val="none"/>
            </w:rPr>
            <w:t>环境风险防范</w:t>
          </w:r>
          <w:r>
            <w:rPr>
              <w:rFonts w:hint="default" w:ascii="Times New Roman" w:hAnsi="Times New Roman" w:cs="Times New Roman"/>
              <w:highlight w:val="none"/>
              <w:lang w:eastAsia="zh-CN"/>
            </w:rPr>
            <w:t>管理与风险防范措施</w:t>
          </w:r>
          <w:r>
            <w:tab/>
          </w:r>
          <w:r>
            <w:fldChar w:fldCharType="begin"/>
          </w:r>
          <w:r>
            <w:instrText xml:space="preserve"> PAGEREF _Toc4941 \h </w:instrText>
          </w:r>
          <w:r>
            <w:fldChar w:fldCharType="separate"/>
          </w:r>
          <w:r>
            <w:t>148</w:t>
          </w:r>
          <w:r>
            <w:fldChar w:fldCharType="end"/>
          </w:r>
          <w:r>
            <w:rPr>
              <w:rFonts w:hint="default" w:ascii="Times New Roman" w:hAnsi="Times New Roman" w:cs="Times New Roman"/>
              <w:color w:val="auto"/>
              <w:szCs w:val="32"/>
              <w:highlight w:val="none"/>
            </w:rPr>
            <w:fldChar w:fldCharType="end"/>
          </w:r>
        </w:p>
        <w:p w14:paraId="127E7A0E">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_Toc12842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9.8 </w:t>
          </w:r>
          <w:r>
            <w:rPr>
              <w:rFonts w:hint="default" w:ascii="Times New Roman" w:hAnsi="Times New Roman" w:cs="Times New Roman"/>
              <w:highlight w:val="none"/>
              <w:lang w:val="en-US" w:eastAsia="zh-CN"/>
            </w:rPr>
            <w:t>突发环境事件应急预案</w:t>
          </w:r>
          <w:r>
            <w:tab/>
          </w:r>
          <w:r>
            <w:fldChar w:fldCharType="begin"/>
          </w:r>
          <w:r>
            <w:instrText xml:space="preserve"> PAGEREF _Toc12842 \h </w:instrText>
          </w:r>
          <w:r>
            <w:fldChar w:fldCharType="separate"/>
          </w:r>
          <w:r>
            <w:t>155</w:t>
          </w:r>
          <w:r>
            <w:fldChar w:fldCharType="end"/>
          </w:r>
          <w:r>
            <w:rPr>
              <w:rFonts w:hint="default" w:ascii="Times New Roman" w:hAnsi="Times New Roman" w:cs="Times New Roman"/>
              <w:color w:val="auto"/>
              <w:szCs w:val="32"/>
              <w:highlight w:val="none"/>
            </w:rPr>
            <w:fldChar w:fldCharType="end"/>
          </w:r>
        </w:p>
        <w:p w14:paraId="5D1117E8">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_Toc4362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9.9 </w:t>
          </w:r>
          <w:r>
            <w:rPr>
              <w:rFonts w:hint="eastAsia" w:cs="Times New Roman"/>
              <w:highlight w:val="none"/>
              <w:lang w:val="en-US" w:eastAsia="zh-CN"/>
            </w:rPr>
            <w:t>环境</w:t>
          </w:r>
          <w:r>
            <w:rPr>
              <w:rFonts w:hint="default" w:ascii="Times New Roman" w:hAnsi="Times New Roman" w:cs="Times New Roman"/>
              <w:highlight w:val="none"/>
            </w:rPr>
            <w:t>风险</w:t>
          </w:r>
          <w:r>
            <w:rPr>
              <w:rFonts w:hint="eastAsia" w:cs="Times New Roman"/>
              <w:highlight w:val="none"/>
              <w:lang w:val="en-US" w:eastAsia="zh-CN"/>
            </w:rPr>
            <w:t>评价</w:t>
          </w:r>
          <w:r>
            <w:rPr>
              <w:rFonts w:hint="default" w:ascii="Times New Roman" w:hAnsi="Times New Roman" w:cs="Times New Roman"/>
              <w:highlight w:val="none"/>
            </w:rPr>
            <w:t>结论</w:t>
          </w:r>
          <w:r>
            <w:tab/>
          </w:r>
          <w:r>
            <w:fldChar w:fldCharType="begin"/>
          </w:r>
          <w:r>
            <w:instrText xml:space="preserve"> PAGEREF _Toc4362 \h </w:instrText>
          </w:r>
          <w:r>
            <w:fldChar w:fldCharType="separate"/>
          </w:r>
          <w:r>
            <w:t>157</w:t>
          </w:r>
          <w:r>
            <w:fldChar w:fldCharType="end"/>
          </w:r>
          <w:r>
            <w:rPr>
              <w:rFonts w:hint="default" w:ascii="Times New Roman" w:hAnsi="Times New Roman" w:cs="Times New Roman"/>
              <w:color w:val="auto"/>
              <w:szCs w:val="32"/>
              <w:highlight w:val="none"/>
            </w:rPr>
            <w:fldChar w:fldCharType="end"/>
          </w:r>
        </w:p>
        <w:p w14:paraId="0EB352DD">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_Toc14707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第十章 </w:t>
          </w:r>
          <w:r>
            <w:rPr>
              <w:rFonts w:hint="default" w:ascii="Times New Roman" w:hAnsi="Times New Roman" w:cs="Times New Roman"/>
              <w:highlight w:val="none"/>
            </w:rPr>
            <w:t>环境影响经济损益分析</w:t>
          </w:r>
          <w:r>
            <w:tab/>
          </w:r>
          <w:r>
            <w:fldChar w:fldCharType="begin"/>
          </w:r>
          <w:r>
            <w:instrText xml:space="preserve"> PAGEREF _Toc14707 \h </w:instrText>
          </w:r>
          <w:r>
            <w:fldChar w:fldCharType="separate"/>
          </w:r>
          <w:r>
            <w:t>158</w:t>
          </w:r>
          <w:r>
            <w:fldChar w:fldCharType="end"/>
          </w:r>
          <w:r>
            <w:rPr>
              <w:rFonts w:hint="default" w:ascii="Times New Roman" w:hAnsi="Times New Roman" w:cs="Times New Roman"/>
              <w:color w:val="auto"/>
              <w:szCs w:val="32"/>
              <w:highlight w:val="none"/>
            </w:rPr>
            <w:fldChar w:fldCharType="end"/>
          </w:r>
        </w:p>
        <w:p w14:paraId="2CE461CA">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_Toc19144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10.1 </w:t>
          </w:r>
          <w:r>
            <w:rPr>
              <w:rFonts w:hint="default" w:ascii="Times New Roman" w:hAnsi="Times New Roman" w:cs="Times New Roman"/>
              <w:highlight w:val="none"/>
              <w:lang w:eastAsia="zh-CN"/>
            </w:rPr>
            <w:t>经济</w:t>
          </w:r>
          <w:r>
            <w:rPr>
              <w:rFonts w:hint="default" w:ascii="Times New Roman" w:hAnsi="Times New Roman" w:cs="Times New Roman"/>
              <w:highlight w:val="none"/>
            </w:rPr>
            <w:t>效益</w:t>
          </w:r>
          <w:r>
            <w:rPr>
              <w:rFonts w:hint="default" w:ascii="Times New Roman" w:hAnsi="Times New Roman" w:cs="Times New Roman"/>
              <w:highlight w:val="none"/>
              <w:lang w:eastAsia="zh-CN"/>
            </w:rPr>
            <w:t>分析</w:t>
          </w:r>
          <w:r>
            <w:tab/>
          </w:r>
          <w:r>
            <w:fldChar w:fldCharType="begin"/>
          </w:r>
          <w:r>
            <w:instrText xml:space="preserve"> PAGEREF _Toc19144 \h </w:instrText>
          </w:r>
          <w:r>
            <w:fldChar w:fldCharType="separate"/>
          </w:r>
          <w:r>
            <w:t>158</w:t>
          </w:r>
          <w:r>
            <w:fldChar w:fldCharType="end"/>
          </w:r>
          <w:r>
            <w:rPr>
              <w:rFonts w:hint="default" w:ascii="Times New Roman" w:hAnsi="Times New Roman" w:cs="Times New Roman"/>
              <w:color w:val="auto"/>
              <w:szCs w:val="32"/>
              <w:highlight w:val="none"/>
            </w:rPr>
            <w:fldChar w:fldCharType="end"/>
          </w:r>
        </w:p>
        <w:p w14:paraId="38FBE416">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_Toc10762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10.2 </w:t>
          </w:r>
          <w:r>
            <w:rPr>
              <w:rFonts w:hint="default" w:ascii="Times New Roman" w:hAnsi="Times New Roman" w:cs="Times New Roman"/>
              <w:highlight w:val="none"/>
              <w:lang w:eastAsia="zh-CN"/>
            </w:rPr>
            <w:t>社会</w:t>
          </w:r>
          <w:r>
            <w:rPr>
              <w:rFonts w:hint="default" w:ascii="Times New Roman" w:hAnsi="Times New Roman" w:cs="Times New Roman"/>
              <w:highlight w:val="none"/>
            </w:rPr>
            <w:t>效益分析</w:t>
          </w:r>
          <w:r>
            <w:tab/>
          </w:r>
          <w:r>
            <w:fldChar w:fldCharType="begin"/>
          </w:r>
          <w:r>
            <w:instrText xml:space="preserve"> PAGEREF _Toc10762 \h </w:instrText>
          </w:r>
          <w:r>
            <w:fldChar w:fldCharType="separate"/>
          </w:r>
          <w:r>
            <w:t>158</w:t>
          </w:r>
          <w:r>
            <w:fldChar w:fldCharType="end"/>
          </w:r>
          <w:r>
            <w:rPr>
              <w:rFonts w:hint="default" w:ascii="Times New Roman" w:hAnsi="Times New Roman" w:cs="Times New Roman"/>
              <w:color w:val="auto"/>
              <w:szCs w:val="32"/>
              <w:highlight w:val="none"/>
            </w:rPr>
            <w:fldChar w:fldCharType="end"/>
          </w:r>
        </w:p>
        <w:p w14:paraId="59297F60">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_Toc31157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10.3 </w:t>
          </w:r>
          <w:r>
            <w:rPr>
              <w:rFonts w:hint="default" w:ascii="Times New Roman" w:hAnsi="Times New Roman" w:cs="Times New Roman"/>
              <w:highlight w:val="none"/>
              <w:lang w:val="en-US" w:eastAsia="zh-CN"/>
            </w:rPr>
            <w:t>环境损益</w:t>
          </w:r>
          <w:r>
            <w:rPr>
              <w:rFonts w:hint="default" w:ascii="Times New Roman" w:hAnsi="Times New Roman" w:cs="Times New Roman"/>
              <w:highlight w:val="none"/>
            </w:rPr>
            <w:t>分析</w:t>
          </w:r>
          <w:r>
            <w:tab/>
          </w:r>
          <w:r>
            <w:fldChar w:fldCharType="begin"/>
          </w:r>
          <w:r>
            <w:instrText xml:space="preserve"> PAGEREF _Toc31157 \h </w:instrText>
          </w:r>
          <w:r>
            <w:fldChar w:fldCharType="separate"/>
          </w:r>
          <w:r>
            <w:t>159</w:t>
          </w:r>
          <w:r>
            <w:fldChar w:fldCharType="end"/>
          </w:r>
          <w:r>
            <w:rPr>
              <w:rFonts w:hint="default" w:ascii="Times New Roman" w:hAnsi="Times New Roman" w:cs="Times New Roman"/>
              <w:color w:val="auto"/>
              <w:szCs w:val="32"/>
              <w:highlight w:val="none"/>
            </w:rPr>
            <w:fldChar w:fldCharType="end"/>
          </w:r>
        </w:p>
        <w:p w14:paraId="4E4DF17A">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_Toc3283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10.4 </w:t>
          </w:r>
          <w:r>
            <w:rPr>
              <w:rFonts w:hint="default" w:ascii="Times New Roman" w:hAnsi="Times New Roman" w:cs="Times New Roman"/>
              <w:highlight w:val="none"/>
            </w:rPr>
            <w:t>小结</w:t>
          </w:r>
          <w:r>
            <w:tab/>
          </w:r>
          <w:r>
            <w:fldChar w:fldCharType="begin"/>
          </w:r>
          <w:r>
            <w:instrText xml:space="preserve"> PAGEREF _Toc3283 \h </w:instrText>
          </w:r>
          <w:r>
            <w:fldChar w:fldCharType="separate"/>
          </w:r>
          <w:r>
            <w:t>159</w:t>
          </w:r>
          <w:r>
            <w:fldChar w:fldCharType="end"/>
          </w:r>
          <w:r>
            <w:rPr>
              <w:rFonts w:hint="default" w:ascii="Times New Roman" w:hAnsi="Times New Roman" w:cs="Times New Roman"/>
              <w:color w:val="auto"/>
              <w:szCs w:val="32"/>
              <w:highlight w:val="none"/>
            </w:rPr>
            <w:fldChar w:fldCharType="end"/>
          </w:r>
        </w:p>
        <w:p w14:paraId="50CB0603">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_Toc11719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第十一章 </w:t>
          </w:r>
          <w:r>
            <w:rPr>
              <w:rFonts w:hint="default" w:ascii="Times New Roman" w:hAnsi="Times New Roman" w:cs="Times New Roman"/>
              <w:highlight w:val="none"/>
            </w:rPr>
            <w:t>环境管理</w:t>
          </w:r>
          <w:r>
            <w:rPr>
              <w:rFonts w:hint="eastAsia" w:cs="Times New Roman"/>
              <w:highlight w:val="none"/>
              <w:lang w:val="en-US" w:eastAsia="zh-CN"/>
            </w:rPr>
            <w:t>与</w:t>
          </w:r>
          <w:r>
            <w:rPr>
              <w:rFonts w:hint="default" w:ascii="Times New Roman" w:hAnsi="Times New Roman" w:cs="Times New Roman"/>
              <w:highlight w:val="none"/>
            </w:rPr>
            <w:t>监测计划</w:t>
          </w:r>
          <w:r>
            <w:tab/>
          </w:r>
          <w:r>
            <w:fldChar w:fldCharType="begin"/>
          </w:r>
          <w:r>
            <w:instrText xml:space="preserve"> PAGEREF _Toc11719 \h </w:instrText>
          </w:r>
          <w:r>
            <w:fldChar w:fldCharType="separate"/>
          </w:r>
          <w:r>
            <w:t>161</w:t>
          </w:r>
          <w:r>
            <w:fldChar w:fldCharType="end"/>
          </w:r>
          <w:r>
            <w:rPr>
              <w:rFonts w:hint="default" w:ascii="Times New Roman" w:hAnsi="Times New Roman" w:cs="Times New Roman"/>
              <w:color w:val="auto"/>
              <w:szCs w:val="32"/>
              <w:highlight w:val="none"/>
            </w:rPr>
            <w:fldChar w:fldCharType="end"/>
          </w:r>
        </w:p>
        <w:p w14:paraId="67491D29">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_Toc23024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11.1 </w:t>
          </w:r>
          <w:r>
            <w:rPr>
              <w:rFonts w:hint="default" w:ascii="Times New Roman" w:hAnsi="Times New Roman" w:cs="Times New Roman"/>
              <w:highlight w:val="none"/>
            </w:rPr>
            <w:t>环境管理</w:t>
          </w:r>
          <w:r>
            <w:tab/>
          </w:r>
          <w:r>
            <w:fldChar w:fldCharType="begin"/>
          </w:r>
          <w:r>
            <w:instrText xml:space="preserve"> PAGEREF _Toc23024 \h </w:instrText>
          </w:r>
          <w:r>
            <w:fldChar w:fldCharType="separate"/>
          </w:r>
          <w:r>
            <w:t>161</w:t>
          </w:r>
          <w:r>
            <w:fldChar w:fldCharType="end"/>
          </w:r>
          <w:r>
            <w:rPr>
              <w:rFonts w:hint="default" w:ascii="Times New Roman" w:hAnsi="Times New Roman" w:cs="Times New Roman"/>
              <w:color w:val="auto"/>
              <w:szCs w:val="32"/>
              <w:highlight w:val="none"/>
            </w:rPr>
            <w:fldChar w:fldCharType="end"/>
          </w:r>
        </w:p>
        <w:p w14:paraId="7906CF5A">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_Toc3737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11.2 </w:t>
          </w:r>
          <w:r>
            <w:rPr>
              <w:rFonts w:hint="eastAsia" w:cs="Times New Roman"/>
              <w:highlight w:val="none"/>
              <w:lang w:val="en-US" w:eastAsia="zh-CN"/>
            </w:rPr>
            <w:t>管理要求</w:t>
          </w:r>
          <w:r>
            <w:tab/>
          </w:r>
          <w:r>
            <w:fldChar w:fldCharType="begin"/>
          </w:r>
          <w:r>
            <w:instrText xml:space="preserve"> PAGEREF _Toc3737 \h </w:instrText>
          </w:r>
          <w:r>
            <w:fldChar w:fldCharType="separate"/>
          </w:r>
          <w:r>
            <w:t>164</w:t>
          </w:r>
          <w:r>
            <w:fldChar w:fldCharType="end"/>
          </w:r>
          <w:r>
            <w:rPr>
              <w:rFonts w:hint="default" w:ascii="Times New Roman" w:hAnsi="Times New Roman" w:cs="Times New Roman"/>
              <w:color w:val="auto"/>
              <w:szCs w:val="32"/>
              <w:highlight w:val="none"/>
            </w:rPr>
            <w:fldChar w:fldCharType="end"/>
          </w:r>
        </w:p>
        <w:p w14:paraId="72072FA1">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_Toc21154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11.3 </w:t>
          </w:r>
          <w:r>
            <w:rPr>
              <w:rFonts w:hint="default" w:ascii="Times New Roman" w:hAnsi="Times New Roman" w:cs="Times New Roman"/>
              <w:highlight w:val="none"/>
            </w:rPr>
            <w:t>环境监测</w:t>
          </w:r>
          <w:r>
            <w:rPr>
              <w:rFonts w:hint="default" w:ascii="Times New Roman" w:hAnsi="Times New Roman" w:cs="Times New Roman"/>
              <w:highlight w:val="none"/>
              <w:lang w:val="en-US" w:eastAsia="zh-CN"/>
            </w:rPr>
            <w:t>计划</w:t>
          </w:r>
          <w:r>
            <w:tab/>
          </w:r>
          <w:r>
            <w:fldChar w:fldCharType="begin"/>
          </w:r>
          <w:r>
            <w:instrText xml:space="preserve"> PAGEREF _Toc21154 \h </w:instrText>
          </w:r>
          <w:r>
            <w:fldChar w:fldCharType="separate"/>
          </w:r>
          <w:r>
            <w:t>169</w:t>
          </w:r>
          <w:r>
            <w:fldChar w:fldCharType="end"/>
          </w:r>
          <w:r>
            <w:rPr>
              <w:rFonts w:hint="default" w:ascii="Times New Roman" w:hAnsi="Times New Roman" w:cs="Times New Roman"/>
              <w:color w:val="auto"/>
              <w:szCs w:val="32"/>
              <w:highlight w:val="none"/>
            </w:rPr>
            <w:fldChar w:fldCharType="end"/>
          </w:r>
        </w:p>
        <w:p w14:paraId="542EE930">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_Toc30768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11.4 </w:t>
          </w:r>
          <w:r>
            <w:rPr>
              <w:rFonts w:hint="eastAsia" w:ascii="Times New Roman" w:hAnsi="Times New Roman" w:cs="Times New Roman"/>
              <w:highlight w:val="none"/>
              <w:lang w:val="en-US" w:eastAsia="zh-CN"/>
            </w:rPr>
            <w:t>竣工环保验收</w:t>
          </w:r>
          <w:r>
            <w:tab/>
          </w:r>
          <w:r>
            <w:fldChar w:fldCharType="begin"/>
          </w:r>
          <w:r>
            <w:instrText xml:space="preserve"> PAGEREF _Toc30768 \h </w:instrText>
          </w:r>
          <w:r>
            <w:fldChar w:fldCharType="separate"/>
          </w:r>
          <w:r>
            <w:t>170</w:t>
          </w:r>
          <w:r>
            <w:fldChar w:fldCharType="end"/>
          </w:r>
          <w:r>
            <w:rPr>
              <w:rFonts w:hint="default" w:ascii="Times New Roman" w:hAnsi="Times New Roman" w:cs="Times New Roman"/>
              <w:color w:val="auto"/>
              <w:szCs w:val="32"/>
              <w:highlight w:val="none"/>
            </w:rPr>
            <w:fldChar w:fldCharType="end"/>
          </w:r>
        </w:p>
        <w:p w14:paraId="00C08748">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_Toc11128 </w:instrText>
          </w:r>
          <w:r>
            <w:rPr>
              <w:rFonts w:hint="default" w:ascii="Times New Roman" w:hAnsi="Times New Roman" w:cs="Times New Roman"/>
              <w:szCs w:val="32"/>
              <w:highlight w:val="none"/>
            </w:rPr>
            <w:fldChar w:fldCharType="separate"/>
          </w:r>
          <w:r>
            <w:rPr>
              <w:rFonts w:hint="eastAsia" w:ascii="Times New Roman" w:hAnsi="Times New Roman" w:cs="Times New Roman"/>
              <w:lang w:val="en-US" w:eastAsia="zh-CN"/>
            </w:rPr>
            <w:t xml:space="preserve">11.5 </w:t>
          </w:r>
          <w:r>
            <w:rPr>
              <w:rFonts w:hint="default" w:ascii="Times New Roman" w:hAnsi="Times New Roman" w:cs="Times New Roman"/>
              <w:highlight w:val="none"/>
              <w:lang w:val="en-US" w:eastAsia="zh-CN"/>
            </w:rPr>
            <w:t>小结</w:t>
          </w:r>
          <w:r>
            <w:tab/>
          </w:r>
          <w:r>
            <w:fldChar w:fldCharType="begin"/>
          </w:r>
          <w:r>
            <w:instrText xml:space="preserve"> PAGEREF _Toc11128 \h </w:instrText>
          </w:r>
          <w:r>
            <w:fldChar w:fldCharType="separate"/>
          </w:r>
          <w:r>
            <w:t>172</w:t>
          </w:r>
          <w:r>
            <w:fldChar w:fldCharType="end"/>
          </w:r>
          <w:r>
            <w:rPr>
              <w:rFonts w:hint="default" w:ascii="Times New Roman" w:hAnsi="Times New Roman" w:cs="Times New Roman"/>
              <w:color w:val="auto"/>
              <w:szCs w:val="32"/>
              <w:highlight w:val="none"/>
            </w:rPr>
            <w:fldChar w:fldCharType="end"/>
          </w:r>
        </w:p>
        <w:p w14:paraId="6A02A7ED">
          <w:pPr>
            <w:pStyle w:val="23"/>
            <w:tabs>
              <w:tab w:val="right" w:leader="dot" w:pos="9072"/>
              <w:tab w:val="clear" w:pos="9060"/>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_Toc31477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第十二章 </w:t>
          </w:r>
          <w:r>
            <w:rPr>
              <w:rFonts w:hint="default" w:ascii="Times New Roman" w:hAnsi="Times New Roman" w:cs="Times New Roman"/>
              <w:highlight w:val="none"/>
            </w:rPr>
            <w:t>结论及建议</w:t>
          </w:r>
          <w:r>
            <w:tab/>
          </w:r>
          <w:r>
            <w:fldChar w:fldCharType="begin"/>
          </w:r>
          <w:r>
            <w:instrText xml:space="preserve"> PAGEREF _Toc31477 \h </w:instrText>
          </w:r>
          <w:r>
            <w:fldChar w:fldCharType="separate"/>
          </w:r>
          <w:r>
            <w:t>173</w:t>
          </w:r>
          <w:r>
            <w:fldChar w:fldCharType="end"/>
          </w:r>
          <w:r>
            <w:rPr>
              <w:rFonts w:hint="default" w:ascii="Times New Roman" w:hAnsi="Times New Roman" w:cs="Times New Roman"/>
              <w:color w:val="auto"/>
              <w:szCs w:val="32"/>
              <w:highlight w:val="none"/>
            </w:rPr>
            <w:fldChar w:fldCharType="end"/>
          </w:r>
        </w:p>
        <w:p w14:paraId="19D7F4F1">
          <w:pPr>
            <w:pStyle w:val="28"/>
            <w:tabs>
              <w:tab w:val="right" w:leader="dot" w:pos="9072"/>
            </w:tabs>
          </w:pPr>
          <w:r>
            <w:rPr>
              <w:rFonts w:hint="default" w:ascii="Times New Roman" w:hAnsi="Times New Roman" w:cs="Times New Roman"/>
              <w:color w:val="auto"/>
              <w:szCs w:val="32"/>
              <w:highlight w:val="none"/>
            </w:rPr>
            <w:fldChar w:fldCharType="begin"/>
          </w:r>
          <w:r>
            <w:rPr>
              <w:rFonts w:hint="default" w:ascii="Times New Roman" w:hAnsi="Times New Roman" w:cs="Times New Roman"/>
              <w:szCs w:val="32"/>
              <w:highlight w:val="none"/>
            </w:rPr>
            <w:instrText xml:space="preserve"> HYPERLINK \l _Toc4335 </w:instrText>
          </w:r>
          <w:r>
            <w:rPr>
              <w:rFonts w:hint="default" w:ascii="Times New Roman" w:hAnsi="Times New Roman" w:cs="Times New Roman"/>
              <w:szCs w:val="32"/>
              <w:highlight w:val="none"/>
            </w:rPr>
            <w:fldChar w:fldCharType="separate"/>
          </w:r>
          <w:r>
            <w:rPr>
              <w:rFonts w:hint="eastAsia" w:ascii="Times New Roman" w:hAnsi="Times New Roman" w:cs="Times New Roman"/>
            </w:rPr>
            <w:t xml:space="preserve">12.1 </w:t>
          </w:r>
          <w:r>
            <w:rPr>
              <w:rFonts w:hint="default" w:ascii="Times New Roman" w:hAnsi="Times New Roman" w:cs="Times New Roman"/>
              <w:highlight w:val="none"/>
            </w:rPr>
            <w:t>结论</w:t>
          </w:r>
          <w:r>
            <w:tab/>
          </w:r>
          <w:r>
            <w:fldChar w:fldCharType="begin"/>
          </w:r>
          <w:r>
            <w:instrText xml:space="preserve"> PAGEREF _Toc4335 \h </w:instrText>
          </w:r>
          <w:r>
            <w:fldChar w:fldCharType="separate"/>
          </w:r>
          <w:r>
            <w:t>173</w:t>
          </w:r>
          <w:r>
            <w:fldChar w:fldCharType="end"/>
          </w:r>
          <w:r>
            <w:rPr>
              <w:rFonts w:hint="default" w:ascii="Times New Roman" w:hAnsi="Times New Roman" w:cs="Times New Roman"/>
              <w:color w:val="auto"/>
              <w:szCs w:val="32"/>
              <w:highlight w:val="none"/>
            </w:rPr>
            <w:fldChar w:fldCharType="end"/>
          </w:r>
        </w:p>
        <w:p w14:paraId="670218A3">
          <w:pPr>
            <w:numPr>
              <w:ilvl w:val="2"/>
              <w:numId w:val="0"/>
            </w:numPr>
            <w:spacing w:before="0" w:beforeLines="0" w:after="0" w:afterLines="0" w:line="240" w:lineRule="auto"/>
            <w:ind w:left="0" w:leftChars="0" w:right="0" w:rightChars="0" w:firstLine="0" w:firstLineChars="0"/>
            <w:jc w:val="center"/>
            <w:outlineLvl w:val="9"/>
            <w:rPr>
              <w:rFonts w:hint="default" w:ascii="Times New Roman" w:hAnsi="Times New Roman" w:cs="Times New Roman"/>
              <w:b/>
              <w:color w:val="auto"/>
              <w:sz w:val="32"/>
              <w:szCs w:val="32"/>
              <w:highlight w:val="none"/>
            </w:rPr>
          </w:pPr>
          <w:r>
            <w:rPr>
              <w:rFonts w:hint="default" w:ascii="Times New Roman" w:hAnsi="Times New Roman" w:cs="Times New Roman"/>
              <w:b/>
              <w:color w:val="auto"/>
              <w:szCs w:val="32"/>
              <w:highlight w:val="none"/>
            </w:rPr>
            <w:fldChar w:fldCharType="end"/>
          </w:r>
        </w:p>
      </w:sdtContent>
    </w:sdt>
    <w:p w14:paraId="4F01E069">
      <w:pPr>
        <w:pStyle w:val="14"/>
        <w:ind w:firstLine="420"/>
        <w:rPr>
          <w:rFonts w:hint="default" w:ascii="Times New Roman" w:hAnsi="Times New Roman" w:cs="Times New Roman"/>
          <w:color w:val="auto"/>
          <w:sz w:val="21"/>
          <w:highlight w:val="none"/>
        </w:rPr>
      </w:pPr>
    </w:p>
    <w:p w14:paraId="27DD86CB">
      <w:pPr>
        <w:pStyle w:val="14"/>
        <w:keepNext w:val="0"/>
        <w:keepLines w:val="0"/>
        <w:pageBreakBefore w:val="0"/>
        <w:widowControl w:val="0"/>
        <w:kinsoku/>
        <w:wordWrap/>
        <w:overflowPunct/>
        <w:topLinePunct w:val="0"/>
        <w:autoSpaceDE/>
        <w:autoSpaceDN/>
        <w:bidi w:val="0"/>
        <w:adjustRightInd/>
        <w:snapToGrid/>
        <w:ind w:firstLine="420"/>
        <w:textAlignment w:val="auto"/>
        <w:outlineLvl w:val="9"/>
        <w:rPr>
          <w:rFonts w:hint="default" w:ascii="Times New Roman" w:hAnsi="Times New Roman" w:cs="Times New Roman"/>
          <w:color w:val="auto"/>
          <w:highlight w:val="none"/>
        </w:rPr>
        <w:sectPr>
          <w:headerReference r:id="rId11" w:type="default"/>
          <w:footerReference r:id="rId12" w:type="default"/>
          <w:pgSz w:w="11906" w:h="16838"/>
          <w:pgMar w:top="1417" w:right="1417" w:bottom="1417" w:left="1417" w:header="851" w:footer="992" w:gutter="0"/>
          <w:pgBorders>
            <w:top w:val="none" w:sz="0" w:space="0"/>
            <w:left w:val="none" w:sz="0" w:space="0"/>
            <w:bottom w:val="none" w:sz="0" w:space="0"/>
            <w:right w:val="none" w:sz="0" w:space="0"/>
          </w:pgBorders>
          <w:pgNumType w:fmt="decimal" w:start="1"/>
          <w:cols w:space="0" w:num="1"/>
          <w:docGrid w:type="linesAndChars" w:linePitch="312" w:charSpace="0"/>
        </w:sectPr>
      </w:pPr>
    </w:p>
    <w:p w14:paraId="00FF2300">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2" w:name="_Toc22593"/>
      <w:bookmarkStart w:id="3" w:name="_Toc30290"/>
      <w:bookmarkStart w:id="4" w:name="_Toc14246"/>
      <w:r>
        <w:rPr>
          <w:rFonts w:hint="default" w:ascii="Times New Roman" w:hAnsi="Times New Roman" w:cs="Times New Roman"/>
          <w:color w:val="auto"/>
          <w:highlight w:val="none"/>
        </w:rPr>
        <w:t>概述</w:t>
      </w:r>
      <w:bookmarkEnd w:id="2"/>
      <w:bookmarkEnd w:id="3"/>
      <w:bookmarkEnd w:id="4"/>
    </w:p>
    <w:p w14:paraId="6EAB76A5">
      <w:pPr>
        <w:pStyle w:val="3"/>
        <w:spacing w:before="156" w:after="156"/>
        <w:rPr>
          <w:rFonts w:hint="default" w:ascii="Times New Roman" w:hAnsi="Times New Roman" w:cs="Times New Roman"/>
          <w:color w:val="auto"/>
          <w:highlight w:val="none"/>
        </w:rPr>
      </w:pPr>
      <w:bookmarkStart w:id="5" w:name="_Toc17015"/>
      <w:bookmarkStart w:id="6" w:name="_Toc15862"/>
      <w:bookmarkStart w:id="7" w:name="_Toc22376"/>
      <w:r>
        <w:rPr>
          <w:rFonts w:hint="default" w:ascii="Times New Roman" w:hAnsi="Times New Roman" w:cs="Times New Roman"/>
          <w:color w:val="auto"/>
          <w:highlight w:val="none"/>
        </w:rPr>
        <w:t>项目</w:t>
      </w:r>
      <w:bookmarkEnd w:id="5"/>
      <w:r>
        <w:rPr>
          <w:rFonts w:hint="default" w:ascii="Times New Roman" w:hAnsi="Times New Roman" w:cs="Times New Roman"/>
          <w:color w:val="auto"/>
          <w:highlight w:val="none"/>
          <w:lang w:eastAsia="zh-CN"/>
        </w:rPr>
        <w:t>由来</w:t>
      </w:r>
      <w:bookmarkEnd w:id="6"/>
      <w:bookmarkEnd w:id="7"/>
    </w:p>
    <w:p w14:paraId="5222D11D">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随着城市化进程的加快和人民生活水平的提高，生活垃圾的产量迅速增长。为改善生活环境质量，促进国民经济的可持续发展，满足生活垃圾无害化处理的需要。四川胜宏环保科技有限公司拟投资6800 万元，在剑阁县普安镇剑坪村一组（普安镇原生活垃圾场厂址内）建设《剑阁县城乡生活垃圾无害化处理设施建设项目》（以下简称“本项目”），拟采用绝氧热分解焚烧工艺处理剑阁县境</w:t>
      </w:r>
      <w:bookmarkStart w:id="215" w:name="_GoBack"/>
      <w:bookmarkEnd w:id="215"/>
      <w:r>
        <w:rPr>
          <w:rFonts w:hint="default" w:ascii="Times New Roman" w:hAnsi="Times New Roman" w:eastAsia="宋体" w:cs="Times New Roman"/>
          <w:color w:val="auto"/>
          <w:kern w:val="0"/>
          <w:sz w:val="24"/>
          <w:szCs w:val="24"/>
          <w:highlight w:val="none"/>
          <w:lang w:val="en-US" w:eastAsia="zh-CN" w:bidi="ar"/>
        </w:rPr>
        <w:t>内生活垃圾，处理规模为180t/d，主要建设内容包括：新建垃圾预处理线、垃圾烘干系统、垃圾热分解焚烧系统、再生可燃气体净化系统、烟气净化处理系统、烟气实时在线监测系统、渗滤液处理系统、各条生产线的厂房及办公室、生活区、电力配电室、数字化控制室、炭基肥和碳棒生产系统和再生气发电系统。本项目建成后可有效解决区域生活垃圾处理问题，完善区域基础设施建设，为当地居民创造洁净优美的生活环境。</w:t>
      </w:r>
    </w:p>
    <w:p w14:paraId="10780DC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根据《中华人民共和国环境保护法》《中华人民共和国环境影响评价法》和国务院第682号令《国务院关于修改〈建设项目环境保护管理条例〉的决定》的要求，“</w:t>
      </w:r>
      <w:r>
        <w:rPr>
          <w:rFonts w:hint="default" w:ascii="Times New Roman" w:hAnsi="Times New Roman" w:cs="Times New Roman"/>
          <w:color w:val="auto"/>
          <w:highlight w:val="none"/>
          <w:lang w:val="en-US" w:eastAsia="zh-CN"/>
        </w:rPr>
        <w:t>剑阁县城乡生活垃圾无害化处理设施建设项目</w:t>
      </w:r>
      <w:r>
        <w:rPr>
          <w:rFonts w:hint="default" w:ascii="Times New Roman" w:hAnsi="Times New Roman" w:cs="Times New Roman"/>
          <w:color w:val="auto"/>
          <w:highlight w:val="none"/>
        </w:rPr>
        <w:t>”须进行环境影响评价。根据《建设项目环境影响评价分类管理</w:t>
      </w:r>
      <w:r>
        <w:rPr>
          <w:rFonts w:hint="default" w:ascii="Times New Roman" w:hAnsi="Times New Roman" w:cs="Times New Roman"/>
          <w:color w:val="auto"/>
          <w:highlight w:val="none"/>
          <w:lang w:val="en-US" w:eastAsia="zh-CN"/>
        </w:rPr>
        <w:t>名录</w:t>
      </w:r>
      <w:r>
        <w:rPr>
          <w:rFonts w:hint="default" w:ascii="Times New Roman" w:hAnsi="Times New Roman" w:eastAsia="宋体" w:cs="Times New Roman"/>
          <w:color w:val="auto"/>
          <w:kern w:val="0"/>
          <w:sz w:val="24"/>
          <w:szCs w:val="24"/>
          <w:highlight w:val="none"/>
          <w:lang w:val="en-US" w:eastAsia="zh-CN" w:bidi="ar"/>
        </w:rPr>
        <w:t>（2021 年版）</w:t>
      </w:r>
      <w:r>
        <w:rPr>
          <w:rFonts w:hint="default" w:ascii="Times New Roman" w:hAnsi="Times New Roman" w:cs="Times New Roman"/>
          <w:color w:val="auto"/>
          <w:highlight w:val="none"/>
        </w:rPr>
        <w:t>》，</w:t>
      </w:r>
      <w:r>
        <w:rPr>
          <w:rFonts w:hint="default" w:ascii="Times New Roman" w:hAnsi="Times New Roman" w:eastAsia="黑体" w:cs="Times New Roman"/>
          <w:bCs/>
          <w:color w:val="auto"/>
          <w:kern w:val="2"/>
          <w:sz w:val="24"/>
          <w:szCs w:val="21"/>
          <w:highlight w:val="none"/>
          <w:lang w:val="en-US" w:eastAsia="zh-CN" w:bidi="ar-SA"/>
        </w:rPr>
        <w:t>本项目属于第“四十八条 公共设施管理业”中“第 106 生活垃圾（含餐厨废弃物）集中处置 其他处置方式日处置能力 50 吨以上的”，本项目为采用绝氧热分解焚烧工艺日处理生活垃圾180吨，</w:t>
      </w:r>
      <w:r>
        <w:rPr>
          <w:rFonts w:hint="default" w:ascii="Times New Roman" w:hAnsi="Times New Roman" w:eastAsia="宋体" w:cs="Times New Roman"/>
          <w:color w:val="auto"/>
          <w:kern w:val="0"/>
          <w:sz w:val="24"/>
          <w:szCs w:val="24"/>
          <w:highlight w:val="none"/>
          <w:lang w:val="en-US" w:eastAsia="zh-CN" w:bidi="ar"/>
        </w:rPr>
        <w:t>应开展环境影响评价，编制环境影响报告书</w:t>
      </w:r>
      <w:r>
        <w:rPr>
          <w:rFonts w:hint="default" w:ascii="Times New Roman" w:hAnsi="Times New Roman" w:cs="Times New Roman"/>
          <w:color w:val="auto"/>
          <w:highlight w:val="none"/>
        </w:rPr>
        <w:t>。为此，</w:t>
      </w:r>
      <w:r>
        <w:rPr>
          <w:rFonts w:hint="default" w:ascii="Times New Roman" w:hAnsi="Times New Roman" w:cs="Times New Roman"/>
          <w:color w:val="auto"/>
          <w:highlight w:val="none"/>
          <w:lang w:val="en-US" w:eastAsia="zh-CN"/>
        </w:rPr>
        <w:t>四川胜宏环保科技有限公司</w:t>
      </w:r>
      <w:r>
        <w:rPr>
          <w:rFonts w:hint="default" w:ascii="Times New Roman" w:hAnsi="Times New Roman" w:cs="Times New Roman"/>
          <w:color w:val="auto"/>
          <w:highlight w:val="none"/>
        </w:rPr>
        <w:t>委托</w:t>
      </w:r>
      <w:r>
        <w:rPr>
          <w:rFonts w:hint="default" w:ascii="Times New Roman" w:hAnsi="Times New Roman" w:cs="Times New Roman"/>
          <w:color w:val="auto"/>
          <w:highlight w:val="none"/>
          <w:lang w:val="en-US" w:eastAsia="zh-CN"/>
        </w:rPr>
        <w:t>四川久测环境技术咨询有限公司</w:t>
      </w:r>
      <w:r>
        <w:rPr>
          <w:rFonts w:hint="default" w:ascii="Times New Roman" w:hAnsi="Times New Roman" w:cs="Times New Roman"/>
          <w:color w:val="auto"/>
          <w:highlight w:val="none"/>
        </w:rPr>
        <w:t>承担本项目的环境影响评价工作。我公司接受委托后，立即开展了详细现场踏勘、资料收集工作，现根据环境影响评价技术导则等有关技术规范编制完成了《</w:t>
      </w:r>
      <w:r>
        <w:rPr>
          <w:rFonts w:hint="default" w:ascii="Times New Roman" w:hAnsi="Times New Roman" w:eastAsia="宋体" w:cs="Times New Roman"/>
          <w:color w:val="auto"/>
          <w:kern w:val="0"/>
          <w:highlight w:val="none"/>
          <w:lang w:eastAsia="zh-CN"/>
        </w:rPr>
        <w:t>剑阁县城乡生活垃圾无害化处理设施建设项目</w:t>
      </w:r>
      <w:r>
        <w:rPr>
          <w:rFonts w:hint="default" w:ascii="Times New Roman" w:hAnsi="Times New Roman" w:cs="Times New Roman"/>
          <w:color w:val="auto"/>
          <w:highlight w:val="none"/>
        </w:rPr>
        <w:t>环境影响报告书》，呈报</w:t>
      </w:r>
      <w:r>
        <w:rPr>
          <w:rFonts w:hint="default" w:ascii="Times New Roman" w:hAnsi="Times New Roman" w:cs="Times New Roman"/>
          <w:color w:val="auto"/>
          <w:highlight w:val="none"/>
          <w:lang w:eastAsia="zh-CN"/>
        </w:rPr>
        <w:t>广元市生态环境局审批</w:t>
      </w:r>
      <w:r>
        <w:rPr>
          <w:rFonts w:hint="default" w:ascii="Times New Roman" w:hAnsi="Times New Roman" w:cs="Times New Roman"/>
          <w:color w:val="auto"/>
          <w:highlight w:val="none"/>
        </w:rPr>
        <w:t>。</w:t>
      </w:r>
    </w:p>
    <w:p w14:paraId="5E8BD891">
      <w:pPr>
        <w:pStyle w:val="3"/>
        <w:spacing w:before="156" w:after="156"/>
        <w:rPr>
          <w:rFonts w:hint="default" w:ascii="Times New Roman" w:hAnsi="Times New Roman" w:cs="Times New Roman"/>
          <w:color w:val="auto"/>
          <w:highlight w:val="none"/>
        </w:rPr>
      </w:pPr>
      <w:bookmarkStart w:id="8" w:name="_Toc2693"/>
      <w:bookmarkStart w:id="9" w:name="_Toc26650"/>
      <w:bookmarkStart w:id="10" w:name="_Toc26816"/>
      <w:r>
        <w:rPr>
          <w:rFonts w:hint="default" w:ascii="Times New Roman" w:hAnsi="Times New Roman" w:cs="Times New Roman"/>
          <w:color w:val="auto"/>
          <w:highlight w:val="none"/>
        </w:rPr>
        <w:t>项目</w:t>
      </w:r>
      <w:r>
        <w:rPr>
          <w:rFonts w:hint="default" w:ascii="Times New Roman" w:hAnsi="Times New Roman" w:cs="Times New Roman"/>
          <w:color w:val="auto"/>
          <w:highlight w:val="none"/>
          <w:lang w:val="en-US" w:eastAsia="zh-CN"/>
        </w:rPr>
        <w:t>特点</w:t>
      </w:r>
      <w:bookmarkEnd w:id="8"/>
      <w:bookmarkEnd w:id="9"/>
      <w:bookmarkEnd w:id="10"/>
    </w:p>
    <w:p w14:paraId="7AA4402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both"/>
        <w:textAlignment w:val="baseline"/>
        <w:rPr>
          <w:rFonts w:hint="default" w:ascii="Times New Roman" w:hAnsi="Times New Roman" w:cs="Times New Roman"/>
          <w:b w:val="0"/>
          <w:bCs w:val="0"/>
          <w:color w:val="auto"/>
          <w:sz w:val="24"/>
          <w:highlight w:val="none"/>
          <w:lang w:val="en-US" w:eastAsia="zh-CN"/>
        </w:rPr>
      </w:pPr>
      <w:r>
        <w:rPr>
          <w:rFonts w:hint="default" w:ascii="Times New Roman" w:hAnsi="Times New Roman" w:cs="Times New Roman"/>
          <w:b w:val="0"/>
          <w:bCs w:val="0"/>
          <w:color w:val="auto"/>
          <w:sz w:val="24"/>
          <w:highlight w:val="none"/>
          <w:lang w:val="en-US" w:eastAsia="zh-CN"/>
        </w:rPr>
        <w:t>本项目位于在原普安镇垃圾填埋场（填埋区南侧），属于普安环卫所用地，服务范围为全县的生活垃圾，项目建成后，处理能力为生活垃圾180t/d。本项目特点主要体现在以下：</w:t>
      </w:r>
    </w:p>
    <w:p w14:paraId="423DE4E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both"/>
        <w:textAlignment w:val="baseline"/>
        <w:rPr>
          <w:rFonts w:hint="default" w:ascii="Times New Roman" w:hAnsi="Times New Roman" w:cs="Times New Roman"/>
          <w:b w:val="0"/>
          <w:bCs w:val="0"/>
          <w:color w:val="auto"/>
          <w:sz w:val="24"/>
          <w:highlight w:val="none"/>
          <w:lang w:val="en-US" w:eastAsia="zh-CN"/>
        </w:rPr>
      </w:pPr>
      <w:r>
        <w:rPr>
          <w:rFonts w:hint="default" w:ascii="Times New Roman" w:hAnsi="Times New Roman" w:cs="Times New Roman"/>
          <w:b w:val="0"/>
          <w:bCs w:val="0"/>
          <w:color w:val="auto"/>
          <w:sz w:val="24"/>
          <w:highlight w:val="none"/>
          <w:lang w:val="en-US" w:eastAsia="zh-CN"/>
        </w:rPr>
        <w:t>1、本项目采用间接加热式热解回转窑处理生活垃圾，生活垃圾采用“预处理+热解”处理工艺，物料经外热作用，在无氧高温状态下迅速发生热解反应，释放出富含能量的热解气体，其中部分热解气（净化后）被引回热解回转窑燃烧器燃烧供能，从而保证热解回转窑的连续运转，热解气净化过程产生的焦油，交由有资质单位处置。</w:t>
      </w:r>
    </w:p>
    <w:p w14:paraId="70CAD4C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both"/>
        <w:textAlignment w:val="baseline"/>
        <w:rPr>
          <w:rFonts w:hint="default" w:ascii="Times New Roman" w:hAnsi="Times New Roman" w:cs="Times New Roman"/>
          <w:b w:val="0"/>
          <w:bCs w:val="0"/>
          <w:color w:val="auto"/>
          <w:sz w:val="24"/>
          <w:highlight w:val="none"/>
          <w:lang w:val="en-US" w:eastAsia="zh-CN"/>
        </w:rPr>
      </w:pPr>
      <w:r>
        <w:rPr>
          <w:rFonts w:hint="default" w:ascii="Times New Roman" w:hAnsi="Times New Roman" w:cs="Times New Roman"/>
          <w:b w:val="0"/>
          <w:bCs w:val="0"/>
          <w:color w:val="auto"/>
          <w:sz w:val="24"/>
          <w:highlight w:val="none"/>
          <w:lang w:val="en-US" w:eastAsia="zh-CN"/>
        </w:rPr>
        <w:t>2、本项目采用热解工艺，相较于垃圾填埋，产生甲烷等温室气体较少，相较于垃圾焚烧，因为其热解生产炭黑渣，每年可减排大量 CO</w:t>
      </w:r>
      <w:r>
        <w:rPr>
          <w:rFonts w:hint="default" w:ascii="Times New Roman" w:hAnsi="Times New Roman" w:cs="Times New Roman"/>
          <w:b w:val="0"/>
          <w:bCs w:val="0"/>
          <w:color w:val="auto"/>
          <w:sz w:val="24"/>
          <w:highlight w:val="none"/>
          <w:vertAlign w:val="subscript"/>
          <w:lang w:val="en-US" w:eastAsia="zh-CN"/>
        </w:rPr>
        <w:t>2</w:t>
      </w:r>
      <w:r>
        <w:rPr>
          <w:rFonts w:hint="default" w:ascii="Times New Roman" w:hAnsi="Times New Roman" w:cs="Times New Roman"/>
          <w:b w:val="0"/>
          <w:bCs w:val="0"/>
          <w:color w:val="auto"/>
          <w:sz w:val="24"/>
          <w:highlight w:val="none"/>
          <w:lang w:val="en-US" w:eastAsia="zh-CN"/>
        </w:rPr>
        <w:t xml:space="preserve"> ，对节能减排贡献大，“碳中和”效益明显，本项目在无氧条件下将生活垃圾进行热解、气化、还原，在末端烧掉的是气体而非固体，所产生的烟气量比直接焚烧的少，烟气中污染物含量较少，热解气可实现循环利用，实现垃圾能量循环，减少辅助燃料使用，降低处理成本，实现资源化综合效益。</w:t>
      </w:r>
    </w:p>
    <w:p w14:paraId="52F93C6B">
      <w:pPr>
        <w:pStyle w:val="3"/>
        <w:spacing w:before="156" w:after="156"/>
        <w:rPr>
          <w:rFonts w:hint="default" w:ascii="Times New Roman" w:hAnsi="Times New Roman" w:cs="Times New Roman"/>
          <w:color w:val="auto"/>
          <w:highlight w:val="none"/>
        </w:rPr>
      </w:pPr>
      <w:bookmarkStart w:id="11" w:name="_Toc24534"/>
      <w:bookmarkStart w:id="12" w:name="_Toc28978"/>
      <w:bookmarkStart w:id="13" w:name="_Toc16432"/>
      <w:r>
        <w:rPr>
          <w:rFonts w:hint="default" w:ascii="Times New Roman" w:hAnsi="Times New Roman" w:cs="Times New Roman"/>
          <w:color w:val="auto"/>
          <w:highlight w:val="none"/>
        </w:rPr>
        <w:t>环境影响评价的工作过程</w:t>
      </w:r>
      <w:bookmarkEnd w:id="11"/>
      <w:bookmarkEnd w:id="12"/>
      <w:bookmarkEnd w:id="13"/>
    </w:p>
    <w:p w14:paraId="6E52140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中华人民共和国环境影响评价法》和《建设项目环境影响评价分类管理名录（2021年版）》（生态环境部部令第16号）等相关法律法规的规定，本项目属于“四十八、公共设施管理业中第106项生活垃圾（含餐厨废弃物）集中处置（生活垃圾发电除外）中其他处置方式日处置能力 50 吨及以上的”，应编制环境影响报告书。为此，建设单位（四川胜宏环保科技有限公司）于2024年8月委托评价单位（</w:t>
      </w:r>
      <w:r>
        <w:rPr>
          <w:rFonts w:hint="default" w:ascii="Times New Roman" w:hAnsi="Times New Roman" w:cs="Times New Roman"/>
          <w:color w:val="auto"/>
          <w:sz w:val="24"/>
          <w:highlight w:val="none"/>
        </w:rPr>
        <w:t>四川</w:t>
      </w:r>
      <w:r>
        <w:rPr>
          <w:rFonts w:hint="default" w:ascii="Times New Roman" w:hAnsi="Times New Roman" w:cs="Times New Roman"/>
          <w:color w:val="auto"/>
          <w:sz w:val="24"/>
          <w:highlight w:val="none"/>
          <w:lang w:val="en-US" w:eastAsia="zh-CN"/>
        </w:rPr>
        <w:t>久测环境技术咨询有限公司</w:t>
      </w:r>
      <w:r>
        <w:rPr>
          <w:rFonts w:hint="default" w:ascii="Times New Roman" w:hAnsi="Times New Roman" w:eastAsia="宋体" w:cs="Times New Roman"/>
          <w:color w:val="auto"/>
          <w:kern w:val="0"/>
          <w:sz w:val="24"/>
          <w:szCs w:val="24"/>
          <w:highlight w:val="none"/>
          <w:lang w:val="en-US" w:eastAsia="zh-CN" w:bidi="ar"/>
        </w:rPr>
        <w:t>）实施该项目环境影响评价工作。</w:t>
      </w:r>
    </w:p>
    <w:p w14:paraId="4897B997">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 xml:space="preserve">接受委托后，我单位按照环境影响评价技术导则等技术规范要求，立即组织人员对项目进行现场踏勘，详细了解了项目建设内容，收集了当地区域自然环境等相关资料。在此基础上开展了该项目环境影响评价工作，编制完成本环境影响报告书。 </w:t>
      </w:r>
    </w:p>
    <w:p w14:paraId="59E3B96F">
      <w:pPr>
        <w:pStyle w:val="14"/>
        <w:ind w:firstLine="480"/>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环境影响评价工作分为三个阶段，即前期准备、调研和工作方案阶段，分析论证和预测阶段，环境影响评价文件编制阶段。</w:t>
      </w:r>
      <w:r>
        <w:rPr>
          <w:rFonts w:hint="default" w:ascii="Times New Roman" w:hAnsi="Times New Roman" w:cs="Times New Roman"/>
          <w:color w:val="auto"/>
          <w:highlight w:val="none"/>
        </w:rPr>
        <w:t>本项目环境影响评价工作程序</w:t>
      </w:r>
      <w:r>
        <w:rPr>
          <w:rFonts w:hint="default" w:ascii="Times New Roman" w:hAnsi="Times New Roman" w:cs="Times New Roman"/>
          <w:color w:val="auto"/>
          <w:highlight w:val="none"/>
          <w:lang w:val="en-US" w:eastAsia="zh-CN"/>
        </w:rPr>
        <w:t>如下</w:t>
      </w:r>
      <w:r>
        <w:rPr>
          <w:rFonts w:hint="default" w:ascii="Times New Roman" w:hAnsi="Times New Roman" w:cs="Times New Roman"/>
          <w:color w:val="auto"/>
          <w:highlight w:val="none"/>
        </w:rPr>
        <w:t>。</w:t>
      </w:r>
    </w:p>
    <w:p w14:paraId="54DE7B0D">
      <w:pPr>
        <w:pStyle w:val="14"/>
        <w:ind w:firstLine="0" w:firstLineChars="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object>
          <v:shape id="_x0000_i1025" o:spt="75" type="#_x0000_t75" style="height:493.95pt;width:292.2pt;" o:ole="t" filled="f" o:preferrelative="t" stroked="f" coordsize="21600,21600">
            <v:path/>
            <v:fill on="f" focussize="0,0"/>
            <v:stroke on="f"/>
            <v:imagedata r:id="rId42" o:title=""/>
            <o:lock v:ext="edit" aspectratio="t"/>
            <w10:wrap type="none"/>
            <w10:anchorlock/>
          </v:shape>
          <o:OLEObject Type="Embed" ProgID="Visio.Drawing.11" ShapeID="_x0000_i1025" DrawAspect="Content" ObjectID="_1468075725" r:id="rId41">
            <o:LockedField>false</o:LockedField>
          </o:OLEObject>
        </w:object>
      </w:r>
    </w:p>
    <w:p w14:paraId="527AB81A">
      <w:pPr>
        <w:pStyle w:val="11"/>
        <w:spacing w:line="360" w:lineRule="auto"/>
        <w:rPr>
          <w:rFonts w:hint="default" w:ascii="Times New Roman" w:hAnsi="Times New Roman" w:cs="Times New Roman"/>
          <w:color w:val="auto"/>
          <w:highlight w:val="none"/>
        </w:rPr>
      </w:pPr>
      <w:r>
        <w:rPr>
          <w:rFonts w:hint="default" w:ascii="Times New Roman" w:hAnsi="Times New Roman" w:cs="Times New Roman"/>
          <w:color w:val="auto"/>
          <w:highlight w:val="none"/>
        </w:rPr>
        <w:t>图1.</w:t>
      </w:r>
      <w:r>
        <w:rPr>
          <w:rFonts w:hint="default" w:ascii="Times New Roman" w:hAnsi="Times New Roman" w:cs="Times New Roman"/>
          <w:color w:val="auto"/>
          <w:highlight w:val="none"/>
          <w:lang w:val="en-US" w:eastAsia="zh-CN"/>
        </w:rPr>
        <w:t>3</w:t>
      </w:r>
      <w:r>
        <w:rPr>
          <w:rFonts w:hint="default" w:ascii="Times New Roman" w:hAnsi="Times New Roman" w:cs="Times New Roman"/>
          <w:color w:val="auto"/>
          <w:highlight w:val="none"/>
        </w:rPr>
        <w:t>-1  建设项目环境影响评价工作流程图</w:t>
      </w:r>
    </w:p>
    <w:p w14:paraId="0705A0E2">
      <w:pPr>
        <w:keepNext w:val="0"/>
        <w:keepLines w:val="0"/>
        <w:widowControl/>
        <w:suppressLineNumbers w:val="0"/>
        <w:spacing w:line="360" w:lineRule="auto"/>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根据《环境影响评价公众参与办法》（生态环境部令 第 4 号）的相关规定，本项目建设单位于202</w:t>
      </w:r>
      <w:r>
        <w:rPr>
          <w:rFonts w:hint="eastAsia" w:ascii="Times New Roman" w:hAnsi="Times New Roman" w:eastAsia="宋体" w:cs="Times New Roman"/>
          <w:color w:val="auto"/>
          <w:kern w:val="0"/>
          <w:sz w:val="24"/>
          <w:szCs w:val="24"/>
          <w:highlight w:val="none"/>
          <w:lang w:val="en-US" w:eastAsia="zh-CN" w:bidi="ar"/>
        </w:rPr>
        <w:t>4</w:t>
      </w:r>
      <w:r>
        <w:rPr>
          <w:rFonts w:hint="default" w:ascii="Times New Roman" w:hAnsi="Times New Roman" w:eastAsia="宋体" w:cs="Times New Roman"/>
          <w:color w:val="auto"/>
          <w:kern w:val="0"/>
          <w:sz w:val="24"/>
          <w:szCs w:val="24"/>
          <w:highlight w:val="none"/>
          <w:lang w:val="en-US" w:eastAsia="zh-CN" w:bidi="ar"/>
        </w:rPr>
        <w:t>年</w:t>
      </w:r>
      <w:r>
        <w:rPr>
          <w:rFonts w:hint="eastAsia" w:ascii="Times New Roman" w:hAnsi="Times New Roman" w:eastAsia="宋体" w:cs="Times New Roman"/>
          <w:color w:val="auto"/>
          <w:kern w:val="0"/>
          <w:sz w:val="24"/>
          <w:szCs w:val="24"/>
          <w:highlight w:val="none"/>
          <w:lang w:val="en-US" w:eastAsia="zh-CN" w:bidi="ar"/>
        </w:rPr>
        <w:t>9</w:t>
      </w:r>
      <w:r>
        <w:rPr>
          <w:rFonts w:hint="default" w:ascii="Times New Roman" w:hAnsi="Times New Roman" w:eastAsia="宋体" w:cs="Times New Roman"/>
          <w:color w:val="auto"/>
          <w:kern w:val="0"/>
          <w:sz w:val="24"/>
          <w:szCs w:val="24"/>
          <w:highlight w:val="none"/>
          <w:lang w:val="en-US" w:eastAsia="zh-CN" w:bidi="ar"/>
        </w:rPr>
        <w:t>月6日在“</w:t>
      </w:r>
      <w:r>
        <w:rPr>
          <w:rFonts w:hint="eastAsia" w:ascii="Times New Roman" w:hAnsi="Times New Roman" w:eastAsia="宋体" w:cs="Times New Roman"/>
          <w:color w:val="auto"/>
          <w:kern w:val="0"/>
          <w:sz w:val="24"/>
          <w:szCs w:val="24"/>
          <w:highlight w:val="none"/>
          <w:lang w:val="en-US" w:eastAsia="zh-CN" w:bidi="ar"/>
        </w:rPr>
        <w:t>剑阁县人民政府</w:t>
      </w:r>
      <w:r>
        <w:rPr>
          <w:rFonts w:hint="default" w:ascii="Times New Roman" w:hAnsi="Times New Roman" w:eastAsia="宋体" w:cs="Times New Roman"/>
          <w:color w:val="auto"/>
          <w:kern w:val="0"/>
          <w:sz w:val="24"/>
          <w:szCs w:val="24"/>
          <w:highlight w:val="none"/>
          <w:lang w:val="en-US" w:eastAsia="zh-CN" w:bidi="ar"/>
        </w:rPr>
        <w:t>”上进行了环境影响评价第一次公示，202</w:t>
      </w:r>
      <w:r>
        <w:rPr>
          <w:rFonts w:hint="eastAsia" w:ascii="Times New Roman" w:hAnsi="Times New Roman" w:eastAsia="宋体" w:cs="Times New Roman"/>
          <w:color w:val="auto"/>
          <w:kern w:val="0"/>
          <w:sz w:val="24"/>
          <w:szCs w:val="24"/>
          <w:highlight w:val="none"/>
          <w:lang w:val="en-US" w:eastAsia="zh-CN" w:bidi="ar"/>
        </w:rPr>
        <w:t>5</w:t>
      </w:r>
      <w:r>
        <w:rPr>
          <w:rFonts w:hint="default" w:ascii="Times New Roman" w:hAnsi="Times New Roman" w:eastAsia="宋体" w:cs="Times New Roman"/>
          <w:color w:val="auto"/>
          <w:kern w:val="0"/>
          <w:sz w:val="24"/>
          <w:szCs w:val="24"/>
          <w:highlight w:val="none"/>
          <w:lang w:val="en-US" w:eastAsia="zh-CN" w:bidi="ar"/>
        </w:rPr>
        <w:t>年</w:t>
      </w:r>
      <w:r>
        <w:rPr>
          <w:rFonts w:hint="eastAsia" w:ascii="Times New Roman" w:hAnsi="Times New Roman" w:eastAsia="宋体" w:cs="Times New Roman"/>
          <w:color w:val="auto"/>
          <w:kern w:val="0"/>
          <w:sz w:val="24"/>
          <w:szCs w:val="24"/>
          <w:highlight w:val="none"/>
          <w:lang w:val="en-US" w:eastAsia="zh-CN" w:bidi="ar"/>
        </w:rPr>
        <w:t>3</w:t>
      </w:r>
      <w:r>
        <w:rPr>
          <w:rFonts w:hint="default" w:ascii="Times New Roman" w:hAnsi="Times New Roman" w:eastAsia="宋体" w:cs="Times New Roman"/>
          <w:color w:val="auto"/>
          <w:kern w:val="0"/>
          <w:sz w:val="24"/>
          <w:szCs w:val="24"/>
          <w:highlight w:val="none"/>
          <w:lang w:val="en-US" w:eastAsia="zh-CN" w:bidi="ar"/>
        </w:rPr>
        <w:t>月</w:t>
      </w:r>
      <w:r>
        <w:rPr>
          <w:rFonts w:hint="eastAsia" w:ascii="Times New Roman" w:hAnsi="Times New Roman" w:eastAsia="宋体" w:cs="Times New Roman"/>
          <w:color w:val="auto"/>
          <w:kern w:val="0"/>
          <w:sz w:val="24"/>
          <w:szCs w:val="24"/>
          <w:highlight w:val="none"/>
          <w:lang w:val="en-US" w:eastAsia="zh-CN" w:bidi="ar"/>
        </w:rPr>
        <w:t>30</w:t>
      </w:r>
      <w:r>
        <w:rPr>
          <w:rFonts w:hint="default" w:ascii="Times New Roman" w:hAnsi="Times New Roman" w:eastAsia="宋体" w:cs="Times New Roman"/>
          <w:color w:val="auto"/>
          <w:kern w:val="0"/>
          <w:sz w:val="24"/>
          <w:szCs w:val="24"/>
          <w:highlight w:val="none"/>
          <w:lang w:val="en-US" w:eastAsia="zh-CN" w:bidi="ar"/>
        </w:rPr>
        <w:t>日在“环境影响评价信息公示平台”进行了第二次信息公示，第二次公示期间，建设单位将本项目环评相关信息在四川科技报进行了两次登报公示，同时在项目现场进行了张贴公示。公示时间均为10个工作日，公示期间，均未收到公众意见及反馈。</w:t>
      </w:r>
    </w:p>
    <w:p w14:paraId="01F31D67">
      <w:pPr>
        <w:keepNext w:val="0"/>
        <w:keepLines w:val="0"/>
        <w:widowControl/>
        <w:suppressLineNumbers w:val="0"/>
        <w:spacing w:line="360" w:lineRule="auto"/>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本项目环评报告书编制过程中，得到了各级生态环境部门、相关行政管理部门以及建设单位的大力支持和协助。在此，一并致以衷心的感谢。</w:t>
      </w:r>
    </w:p>
    <w:p w14:paraId="72E17F59">
      <w:pPr>
        <w:pStyle w:val="3"/>
        <w:spacing w:before="156" w:after="156"/>
        <w:rPr>
          <w:rFonts w:hint="default" w:ascii="Times New Roman" w:hAnsi="Times New Roman" w:cs="Times New Roman"/>
          <w:color w:val="auto"/>
          <w:highlight w:val="none"/>
        </w:rPr>
      </w:pPr>
      <w:bookmarkStart w:id="14" w:name="_Toc26461"/>
      <w:bookmarkStart w:id="15" w:name="_Toc12965"/>
      <w:bookmarkStart w:id="16" w:name="_Toc22416"/>
      <w:r>
        <w:rPr>
          <w:rFonts w:hint="default" w:ascii="Times New Roman" w:hAnsi="Times New Roman" w:cs="Times New Roman"/>
          <w:color w:val="auto"/>
          <w:highlight w:val="none"/>
          <w:lang w:val="en-US" w:eastAsia="zh-CN"/>
        </w:rPr>
        <w:t>分析判定相关情况</w:t>
      </w:r>
      <w:bookmarkEnd w:id="14"/>
      <w:bookmarkEnd w:id="15"/>
      <w:bookmarkEnd w:id="16"/>
    </w:p>
    <w:p w14:paraId="3DE00773">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根据《国民经济行业分类（GB/T4754-2017）》，本项目属于 N7820 环境卫生管理项目。根据国家发展和改革委员会令第 29 号《产业结构调整指导目录（2024 年本）》，本项目属于鼓励类中的“第四十二、环境保护与资源节约综合利用”—“3、城镇垃圾、农村生活垃圾、城镇生活污水、农村生活污水、污泥及其他固体废弃物减量化、资源化、无害化处理和综合利用工程”。</w:t>
      </w:r>
      <w:r>
        <w:rPr>
          <w:rFonts w:hint="default" w:ascii="Times New Roman" w:hAnsi="Times New Roman" w:eastAsia="宋体" w:cs="Times New Roman"/>
          <w:b/>
          <w:bCs/>
          <w:color w:val="auto"/>
          <w:kern w:val="0"/>
          <w:sz w:val="24"/>
          <w:szCs w:val="24"/>
          <w:highlight w:val="none"/>
          <w:lang w:val="en-US" w:eastAsia="zh-CN" w:bidi="ar"/>
        </w:rPr>
        <w:t>本项目建设符合国家产业政策的要求。</w:t>
      </w:r>
    </w:p>
    <w:p w14:paraId="2F12FCCC">
      <w:pPr>
        <w:spacing w:line="360" w:lineRule="auto"/>
        <w:ind w:firstLine="480" w:firstLineChars="200"/>
        <w:rPr>
          <w:rFonts w:hint="default" w:ascii="Times New Roman" w:hAnsi="Times New Roman" w:cs="Times New Roman"/>
          <w:b/>
          <w:bCs/>
          <w:color w:val="auto"/>
          <w:sz w:val="24"/>
          <w:szCs w:val="24"/>
          <w:highlight w:val="none"/>
        </w:rPr>
      </w:pPr>
      <w:r>
        <w:rPr>
          <w:rFonts w:hint="default" w:ascii="Times New Roman" w:hAnsi="Times New Roman" w:cs="Times New Roman"/>
          <w:color w:val="auto"/>
          <w:sz w:val="24"/>
          <w:highlight w:val="none"/>
          <w:lang w:val="en-US" w:eastAsia="zh-CN"/>
        </w:rPr>
        <w:t>本项目位于</w:t>
      </w:r>
      <w:r>
        <w:rPr>
          <w:rFonts w:hint="default" w:ascii="Times New Roman" w:hAnsi="Times New Roman" w:eastAsia="宋体" w:cs="Times New Roman"/>
          <w:color w:val="auto"/>
          <w:kern w:val="0"/>
          <w:sz w:val="24"/>
          <w:szCs w:val="24"/>
          <w:highlight w:val="none"/>
          <w:lang w:val="en-US" w:eastAsia="zh-CN" w:bidi="ar"/>
        </w:rPr>
        <w:t>剑阁县普安镇剑坪村一组，剑阁县普安镇垃圾填埋场西侧。</w:t>
      </w:r>
      <w:r>
        <w:rPr>
          <w:rFonts w:hint="default" w:ascii="Times New Roman" w:hAnsi="Times New Roman" w:eastAsia="宋体" w:cs="Times New Roman"/>
          <w:color w:val="auto"/>
          <w:sz w:val="24"/>
          <w:highlight w:val="none"/>
          <w:lang w:val="en-US" w:eastAsia="zh-CN"/>
        </w:rPr>
        <w:t>根据剑阁县自然资源</w:t>
      </w:r>
      <w:r>
        <w:rPr>
          <w:rFonts w:hint="default" w:ascii="Times New Roman" w:hAnsi="Times New Roman" w:eastAsia="宋体" w:cs="Times New Roman"/>
          <w:color w:val="auto"/>
          <w:kern w:val="0"/>
          <w:sz w:val="24"/>
          <w:szCs w:val="24"/>
          <w:highlight w:val="none"/>
          <w:lang w:val="en-US" w:eastAsia="zh-CN" w:bidi="ar"/>
        </w:rPr>
        <w:t>局出具的《剑阁县环卫事务中心城市生活垃圾填埋场地块分宗示意图》（剑资源规字（2022）13号），普安环卫所用地面积为68848.60平方米，其中地块一为医疗处置项目用地，用地面积2416.4平方米，地块二为城乡生活垃圾处理项目用地，用地面积9958.17平方米，地块三为餐厨垃圾处理地块，用地面积为10427.10平方米。</w:t>
      </w:r>
      <w:r>
        <w:rPr>
          <w:rFonts w:hint="default" w:ascii="Times New Roman" w:hAnsi="Times New Roman" w:eastAsia="宋体" w:cs="Times New Roman"/>
          <w:b w:val="0"/>
          <w:bCs w:val="0"/>
          <w:color w:val="auto"/>
          <w:kern w:val="0"/>
          <w:sz w:val="24"/>
          <w:szCs w:val="24"/>
          <w:highlight w:val="none"/>
          <w:lang w:val="en-US" w:eastAsia="zh-CN" w:bidi="ar"/>
        </w:rPr>
        <w:t>本项目用地为地块二</w:t>
      </w:r>
      <w:r>
        <w:rPr>
          <w:rFonts w:hint="default" w:ascii="Times New Roman" w:hAnsi="Times New Roman" w:eastAsia="宋体" w:cs="Times New Roman"/>
          <w:color w:val="auto"/>
          <w:kern w:val="0"/>
          <w:sz w:val="24"/>
          <w:szCs w:val="24"/>
          <w:highlight w:val="none"/>
          <w:lang w:val="en-US" w:eastAsia="zh-CN" w:bidi="ar"/>
        </w:rPr>
        <w:t>城乡生活垃圾处理项目</w:t>
      </w:r>
      <w:r>
        <w:rPr>
          <w:rFonts w:hint="default" w:ascii="Times New Roman" w:hAnsi="Times New Roman" w:eastAsia="宋体" w:cs="Times New Roman"/>
          <w:b w:val="0"/>
          <w:bCs w:val="0"/>
          <w:color w:val="auto"/>
          <w:kern w:val="0"/>
          <w:sz w:val="24"/>
          <w:szCs w:val="24"/>
          <w:highlight w:val="none"/>
          <w:lang w:val="en-US" w:eastAsia="zh-CN" w:bidi="ar"/>
        </w:rPr>
        <w:t>地块</w:t>
      </w:r>
      <w:r>
        <w:rPr>
          <w:rFonts w:hint="default" w:ascii="Times New Roman" w:hAnsi="Times New Roman" w:eastAsia="宋体" w:cs="Times New Roman"/>
          <w:color w:val="auto"/>
          <w:kern w:val="0"/>
          <w:sz w:val="24"/>
          <w:szCs w:val="24"/>
          <w:highlight w:val="none"/>
          <w:lang w:val="en-US" w:eastAsia="zh-CN" w:bidi="ar"/>
        </w:rPr>
        <w:t>。根据</w:t>
      </w:r>
      <w:r>
        <w:rPr>
          <w:rFonts w:hint="default" w:ascii="Times New Roman" w:hAnsi="Times New Roman" w:cs="Times New Roman"/>
          <w:color w:val="auto"/>
          <w:kern w:val="0"/>
          <w:sz w:val="24"/>
          <w:szCs w:val="24"/>
          <w:highlight w:val="none"/>
          <w:lang w:val="en-US" w:eastAsia="zh-CN" w:bidi="ar"/>
        </w:rPr>
        <w:t>《剑阁县普安镇（含城北）控制性详细规划》及相关规范要求，剑阁县自然资源局对本项目出具了</w:t>
      </w:r>
      <w:r>
        <w:rPr>
          <w:rFonts w:hint="default" w:ascii="Times New Roman" w:hAnsi="Times New Roman" w:eastAsia="宋体" w:cs="Times New Roman"/>
          <w:color w:val="auto"/>
          <w:kern w:val="0"/>
          <w:sz w:val="24"/>
          <w:szCs w:val="24"/>
          <w:highlight w:val="none"/>
          <w:lang w:val="en-US" w:eastAsia="zh-CN" w:bidi="ar"/>
        </w:rPr>
        <w:t>《剑阁县规划设计条件通知书》（剑资源规字（2023）86号）和《普安镇原垃圾处理厂拟建用地红线图》（剑资源规字（2023）86号），明确拟建地块规划建设用地9958.17平方米，</w:t>
      </w:r>
      <w:r>
        <w:rPr>
          <w:rFonts w:hint="default" w:ascii="Times New Roman" w:hAnsi="Times New Roman" w:eastAsia="宋体" w:cs="Times New Roman"/>
          <w:b w:val="0"/>
          <w:bCs w:val="0"/>
          <w:color w:val="auto"/>
          <w:kern w:val="0"/>
          <w:sz w:val="24"/>
          <w:szCs w:val="24"/>
          <w:highlight w:val="none"/>
          <w:lang w:val="en-US" w:eastAsia="zh-CN" w:bidi="ar"/>
        </w:rPr>
        <w:t>用地性质为环卫用地。</w:t>
      </w:r>
      <w:r>
        <w:rPr>
          <w:rFonts w:hint="default" w:ascii="Times New Roman" w:hAnsi="Times New Roman" w:eastAsia="宋体" w:cs="Times New Roman"/>
          <w:b w:val="0"/>
          <w:bCs w:val="0"/>
          <w:color w:val="auto"/>
          <w:sz w:val="24"/>
          <w:highlight w:val="none"/>
          <w:lang w:val="en-US" w:eastAsia="zh-CN"/>
        </w:rPr>
        <w:t>本</w:t>
      </w:r>
      <w:r>
        <w:rPr>
          <w:rFonts w:hint="default" w:ascii="Times New Roman" w:hAnsi="Times New Roman" w:eastAsia="宋体" w:cs="Times New Roman"/>
          <w:b w:val="0"/>
          <w:bCs w:val="0"/>
          <w:color w:val="auto"/>
          <w:sz w:val="24"/>
          <w:highlight w:val="none"/>
        </w:rPr>
        <w:t>项目</w:t>
      </w:r>
      <w:r>
        <w:rPr>
          <w:rFonts w:hint="default" w:ascii="Times New Roman" w:hAnsi="Times New Roman" w:eastAsia="宋体" w:cs="Times New Roman"/>
          <w:b w:val="0"/>
          <w:bCs w:val="0"/>
          <w:color w:val="auto"/>
          <w:sz w:val="24"/>
          <w:highlight w:val="none"/>
          <w:lang w:val="en-US" w:eastAsia="zh-CN"/>
        </w:rPr>
        <w:t>建设</w:t>
      </w:r>
      <w:r>
        <w:rPr>
          <w:rFonts w:hint="default" w:ascii="Times New Roman" w:hAnsi="Times New Roman" w:eastAsia="宋体" w:cs="Times New Roman"/>
          <w:b w:val="0"/>
          <w:bCs w:val="0"/>
          <w:color w:val="auto"/>
          <w:sz w:val="24"/>
          <w:highlight w:val="none"/>
          <w:lang w:eastAsia="zh-CN"/>
        </w:rPr>
        <w:t>符合当地用地规划要求</w:t>
      </w:r>
      <w:r>
        <w:rPr>
          <w:rFonts w:hint="default" w:ascii="Times New Roman" w:hAnsi="Times New Roman" w:eastAsia="宋体" w:cs="Times New Roman"/>
          <w:b w:val="0"/>
          <w:bCs w:val="0"/>
          <w:color w:val="auto"/>
          <w:sz w:val="24"/>
          <w:highlight w:val="none"/>
        </w:rPr>
        <w:t>。</w:t>
      </w:r>
    </w:p>
    <w:p w14:paraId="6402582D">
      <w:pPr>
        <w:ind w:firstLine="480"/>
        <w:rPr>
          <w:rFonts w:hint="default" w:ascii="Times New Roman" w:hAnsi="Times New Roman" w:cs="Times New Roman"/>
          <w:b/>
          <w:color w:val="auto"/>
          <w:sz w:val="24"/>
          <w:szCs w:val="24"/>
          <w:highlight w:val="none"/>
        </w:rPr>
      </w:pPr>
      <w:r>
        <w:rPr>
          <w:rFonts w:hint="default" w:ascii="Times New Roman" w:hAnsi="Times New Roman" w:cs="Times New Roman"/>
          <w:color w:val="auto"/>
          <w:sz w:val="24"/>
          <w:highlight w:val="none"/>
          <w:lang w:val="en-US" w:eastAsia="zh-CN"/>
        </w:rPr>
        <w:t>根据资料调查和现场踏勘，</w:t>
      </w:r>
      <w:r>
        <w:rPr>
          <w:rFonts w:hint="default" w:ascii="Times New Roman" w:hAnsi="Times New Roman" w:eastAsia="宋体" w:cs="Times New Roman"/>
          <w:color w:val="auto"/>
          <w:sz w:val="24"/>
          <w:highlight w:val="none"/>
          <w:lang w:val="en-US" w:eastAsia="zh-CN"/>
        </w:rPr>
        <w:t>本项目周边居民饮用水为自来水，</w:t>
      </w:r>
      <w:r>
        <w:rPr>
          <w:rFonts w:hint="default" w:ascii="Times New Roman" w:hAnsi="Times New Roman" w:eastAsia="宋体" w:cs="Times New Roman"/>
          <w:color w:val="auto"/>
          <w:kern w:val="0"/>
          <w:sz w:val="24"/>
          <w:szCs w:val="24"/>
          <w:highlight w:val="none"/>
          <w:lang w:val="en-US" w:eastAsia="zh-CN" w:bidi="ar"/>
        </w:rPr>
        <w:t>项目选址不在生态红线范围内，满足广元市“生态环境分区管控”要求，卫生防护距离范围内无居民区、文教、医院、医药食品企业等敏感目标，只要建设单位在严格按照环评提出的污染防治措施实施厂区生产管理的条件下，对环境影响较小</w:t>
      </w:r>
      <w:r>
        <w:rPr>
          <w:rFonts w:hint="default" w:ascii="Times New Roman" w:hAnsi="Times New Roman" w:cs="Times New Roman"/>
          <w:b w:val="0"/>
          <w:bCs/>
          <w:color w:val="auto"/>
          <w:sz w:val="24"/>
          <w:szCs w:val="24"/>
          <w:highlight w:val="none"/>
        </w:rPr>
        <w:t>，选址</w:t>
      </w:r>
      <w:r>
        <w:rPr>
          <w:rFonts w:hint="default" w:ascii="Times New Roman" w:hAnsi="Times New Roman" w:cs="Times New Roman"/>
          <w:b w:val="0"/>
          <w:bCs/>
          <w:color w:val="auto"/>
          <w:sz w:val="24"/>
          <w:szCs w:val="24"/>
          <w:highlight w:val="none"/>
          <w:lang w:val="en-US" w:eastAsia="zh-CN"/>
        </w:rPr>
        <w:t>可行</w:t>
      </w:r>
      <w:r>
        <w:rPr>
          <w:rFonts w:hint="default" w:ascii="Times New Roman" w:hAnsi="Times New Roman" w:cs="Times New Roman"/>
          <w:b w:val="0"/>
          <w:bCs/>
          <w:color w:val="auto"/>
          <w:sz w:val="24"/>
          <w:szCs w:val="24"/>
          <w:highlight w:val="none"/>
        </w:rPr>
        <w:t>。</w:t>
      </w:r>
    </w:p>
    <w:p w14:paraId="122CD21F">
      <w:pPr>
        <w:pStyle w:val="3"/>
        <w:spacing w:before="156" w:after="156"/>
        <w:rPr>
          <w:rFonts w:hint="default" w:ascii="Times New Roman" w:hAnsi="Times New Roman" w:cs="Times New Roman"/>
          <w:color w:val="auto"/>
          <w:highlight w:val="none"/>
        </w:rPr>
      </w:pPr>
      <w:bookmarkStart w:id="17" w:name="_Toc1077"/>
      <w:bookmarkStart w:id="18" w:name="_Toc17911"/>
      <w:bookmarkStart w:id="19" w:name="_Toc30388"/>
      <w:r>
        <w:rPr>
          <w:rFonts w:hint="default" w:ascii="Times New Roman" w:hAnsi="Times New Roman" w:cs="Times New Roman"/>
          <w:color w:val="auto"/>
          <w:highlight w:val="none"/>
        </w:rPr>
        <w:t>关注的主要</w:t>
      </w:r>
      <w:r>
        <w:rPr>
          <w:rFonts w:hint="default" w:ascii="Times New Roman" w:hAnsi="Times New Roman" w:cs="Times New Roman"/>
          <w:color w:val="auto"/>
          <w:highlight w:val="none"/>
          <w:lang w:val="en-US" w:eastAsia="zh-CN"/>
        </w:rPr>
        <w:t>环境</w:t>
      </w:r>
      <w:r>
        <w:rPr>
          <w:rFonts w:hint="default" w:ascii="Times New Roman" w:hAnsi="Times New Roman" w:cs="Times New Roman"/>
          <w:color w:val="auto"/>
          <w:highlight w:val="none"/>
        </w:rPr>
        <w:t>问题</w:t>
      </w:r>
      <w:r>
        <w:rPr>
          <w:rFonts w:hint="default" w:ascii="Times New Roman" w:hAnsi="Times New Roman" w:cs="Times New Roman"/>
          <w:color w:val="auto"/>
          <w:highlight w:val="none"/>
          <w:lang w:val="en-US" w:eastAsia="zh-CN"/>
        </w:rPr>
        <w:t>及环境影响</w:t>
      </w:r>
      <w:bookmarkEnd w:id="17"/>
      <w:bookmarkEnd w:id="18"/>
      <w:bookmarkEnd w:id="19"/>
    </w:p>
    <w:p w14:paraId="45D0C28B">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本次评价主要评价施工期和运营期对厂区周围环境的影响，重点关注的问题包括：</w:t>
      </w:r>
    </w:p>
    <w:p w14:paraId="6BDCCB0E">
      <w:pPr>
        <w:keepNext w:val="0"/>
        <w:keepLines w:val="0"/>
        <w:widowControl/>
        <w:numPr>
          <w:ilvl w:val="0"/>
          <w:numId w:val="6"/>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热解气（净化后）燃烧废气、垃圾卸料、堆放、污水池散发出恶臭气体对大气环境及周围环境敏感目标的影响及控制措施。</w:t>
      </w:r>
    </w:p>
    <w:p w14:paraId="59C9FA51">
      <w:pPr>
        <w:keepNext w:val="0"/>
        <w:keepLines w:val="0"/>
        <w:widowControl/>
        <w:numPr>
          <w:ilvl w:val="0"/>
          <w:numId w:val="6"/>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本项目产生的渗滤液、场地和设备冲洗水、冷却塔循环排污、碱液喷淋塔排污、初期雨水等对区域水环境及水环境保护目标的影响、环保治理措施、废水处理工艺的可行性分析。 </w:t>
      </w:r>
    </w:p>
    <w:p w14:paraId="3D67DCD1">
      <w:pPr>
        <w:keepNext w:val="0"/>
        <w:keepLines w:val="0"/>
        <w:widowControl/>
        <w:numPr>
          <w:ilvl w:val="0"/>
          <w:numId w:val="6"/>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生产设备、风机、水泵等设备，对周围声环境的影响及控制措施。</w:t>
      </w:r>
    </w:p>
    <w:p w14:paraId="5A167A30">
      <w:pPr>
        <w:keepNext w:val="0"/>
        <w:keepLines w:val="0"/>
        <w:widowControl/>
        <w:numPr>
          <w:ilvl w:val="0"/>
          <w:numId w:val="6"/>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本项目产生的危险废物、一般工业固体废物及生活垃圾收集、储存和处理等对周围环境的影响及控制措施。</w:t>
      </w:r>
    </w:p>
    <w:p w14:paraId="59B64EF0">
      <w:pPr>
        <w:keepNext w:val="0"/>
        <w:keepLines w:val="0"/>
        <w:widowControl/>
        <w:numPr>
          <w:ilvl w:val="0"/>
          <w:numId w:val="6"/>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工艺过程产生固体废物、废水依托设施的处理能力是否满足要求。</w:t>
      </w:r>
    </w:p>
    <w:p w14:paraId="51EB5771">
      <w:pPr>
        <w:pStyle w:val="3"/>
        <w:spacing w:before="156" w:after="156"/>
        <w:rPr>
          <w:rFonts w:hint="default" w:ascii="Times New Roman" w:hAnsi="Times New Roman" w:cs="Times New Roman"/>
          <w:color w:val="auto"/>
          <w:highlight w:val="none"/>
        </w:rPr>
      </w:pPr>
      <w:bookmarkStart w:id="20" w:name="_Toc21635"/>
      <w:bookmarkStart w:id="21" w:name="_Toc1067"/>
      <w:bookmarkStart w:id="22" w:name="_Toc1797"/>
      <w:r>
        <w:rPr>
          <w:rFonts w:hint="default" w:ascii="Times New Roman" w:hAnsi="Times New Roman" w:cs="Times New Roman"/>
          <w:color w:val="auto"/>
          <w:highlight w:val="none"/>
          <w:lang w:val="en-US" w:eastAsia="zh-CN"/>
        </w:rPr>
        <w:t>环评报告书</w:t>
      </w:r>
      <w:r>
        <w:rPr>
          <w:rFonts w:hint="default" w:ascii="Times New Roman" w:hAnsi="Times New Roman" w:cs="Times New Roman"/>
          <w:color w:val="auto"/>
          <w:highlight w:val="none"/>
        </w:rPr>
        <w:t>主要结论</w:t>
      </w:r>
      <w:bookmarkEnd w:id="20"/>
      <w:bookmarkEnd w:id="21"/>
      <w:bookmarkEnd w:id="22"/>
    </w:p>
    <w:p w14:paraId="0E986928">
      <w:pPr>
        <w:pStyle w:val="14"/>
        <w:ind w:firstLine="480"/>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四川胜宏环保科技有限公司</w:t>
      </w:r>
      <w:r>
        <w:rPr>
          <w:rFonts w:hint="default" w:ascii="Times New Roman" w:hAnsi="Times New Roman" w:cs="Times New Roman"/>
          <w:color w:val="auto"/>
          <w:highlight w:val="none"/>
          <w:lang w:eastAsia="zh-CN"/>
        </w:rPr>
        <w:t>剑阁县城乡生活垃圾无害化处理设施建设项目</w:t>
      </w:r>
      <w:r>
        <w:rPr>
          <w:rFonts w:hint="default" w:ascii="Times New Roman" w:hAnsi="Times New Roman" w:cs="Times New Roman"/>
          <w:color w:val="auto"/>
          <w:highlight w:val="none"/>
          <w:lang w:val="en-US" w:eastAsia="zh-CN"/>
        </w:rPr>
        <w:t>，符合现行国家产业政策，符合区域规划，无环境制约因素，选址合理，经采取措施后均做到达标排放，不会改变项目所在区域的环境功能；满足总量控制要求；风险管理措施合理可行，风险事故发生的可能性和危害可控制在接受范围，满足环保要求。评价认为，本工程在实施总量控制、达标排放以及本报告书所提出的各项环保措施的前提下，从环境保护角度分析，项目建设可行。</w:t>
      </w:r>
    </w:p>
    <w:p w14:paraId="3A426CC3">
      <w:pPr>
        <w:pStyle w:val="14"/>
        <w:ind w:firstLine="480"/>
        <w:rPr>
          <w:rFonts w:hint="default" w:ascii="Times New Roman" w:hAnsi="Times New Roman" w:cs="Times New Roman"/>
          <w:color w:val="auto"/>
          <w:highlight w:val="none"/>
        </w:rPr>
      </w:pPr>
    </w:p>
    <w:p w14:paraId="7D48A92A">
      <w:pPr>
        <w:pStyle w:val="14"/>
        <w:ind w:firstLine="480"/>
        <w:rPr>
          <w:rFonts w:hint="default" w:ascii="Times New Roman" w:hAnsi="Times New Roman" w:cs="Times New Roman"/>
          <w:color w:val="auto"/>
          <w:highlight w:val="none"/>
        </w:rPr>
      </w:pPr>
    </w:p>
    <w:p w14:paraId="27FA44D1">
      <w:pPr>
        <w:pStyle w:val="14"/>
        <w:ind w:firstLine="480"/>
        <w:rPr>
          <w:rFonts w:hint="default" w:ascii="Times New Roman" w:hAnsi="Times New Roman" w:cs="Times New Roman"/>
          <w:color w:val="auto"/>
          <w:highlight w:val="none"/>
        </w:rPr>
        <w:sectPr>
          <w:headerReference r:id="rId13" w:type="default"/>
          <w:footerReference r:id="rId14" w:type="default"/>
          <w:pgSz w:w="11906" w:h="16838"/>
          <w:pgMar w:top="1417" w:right="1417" w:bottom="1417" w:left="1417" w:header="851" w:footer="992" w:gutter="0"/>
          <w:pgBorders>
            <w:top w:val="none" w:sz="0" w:space="0"/>
            <w:left w:val="none" w:sz="0" w:space="0"/>
            <w:bottom w:val="none" w:sz="0" w:space="0"/>
            <w:right w:val="none" w:sz="0" w:space="0"/>
          </w:pgBorders>
          <w:pgNumType w:fmt="decimal" w:start="1"/>
          <w:cols w:space="0" w:num="1"/>
          <w:docGrid w:type="linesAndChars" w:linePitch="312" w:charSpace="0"/>
        </w:sectPr>
      </w:pPr>
    </w:p>
    <w:p w14:paraId="229653B1">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23" w:name="_Toc19147"/>
      <w:bookmarkStart w:id="24" w:name="_Toc5453"/>
      <w:bookmarkStart w:id="25" w:name="_Toc9097"/>
      <w:r>
        <w:rPr>
          <w:rFonts w:hint="default" w:ascii="Times New Roman" w:hAnsi="Times New Roman" w:cs="Times New Roman"/>
          <w:color w:val="auto"/>
          <w:highlight w:val="none"/>
        </w:rPr>
        <w:t>总则</w:t>
      </w:r>
      <w:bookmarkEnd w:id="23"/>
      <w:bookmarkEnd w:id="24"/>
      <w:bookmarkEnd w:id="25"/>
    </w:p>
    <w:p w14:paraId="2CF8D8AB">
      <w:pPr>
        <w:pStyle w:val="3"/>
        <w:spacing w:before="156" w:after="156"/>
        <w:rPr>
          <w:rFonts w:hint="default" w:ascii="Times New Roman" w:hAnsi="Times New Roman" w:cs="Times New Roman"/>
          <w:color w:val="auto"/>
          <w:highlight w:val="none"/>
        </w:rPr>
      </w:pPr>
      <w:bookmarkStart w:id="26" w:name="_Toc17085"/>
      <w:bookmarkStart w:id="27" w:name="_Toc5365"/>
      <w:bookmarkStart w:id="28" w:name="_Toc2882"/>
      <w:r>
        <w:rPr>
          <w:rFonts w:hint="default" w:ascii="Times New Roman" w:hAnsi="Times New Roman" w:cs="Times New Roman"/>
          <w:color w:val="auto"/>
          <w:highlight w:val="none"/>
        </w:rPr>
        <w:t>评价目的与指导思想</w:t>
      </w:r>
      <w:bookmarkEnd w:id="26"/>
      <w:bookmarkEnd w:id="27"/>
      <w:bookmarkEnd w:id="28"/>
    </w:p>
    <w:p w14:paraId="11C294E8">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评价目的</w:t>
      </w:r>
    </w:p>
    <w:p w14:paraId="4BF70E98">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环境影响评价作为建设项目管理的一项制度，其基本目的是贯彻“保护环境”这项基本国策，认真执行“以防为主，防治结合，综合利用”的环境管理方针。实现项目与自然、经济、环境的协调发展。通过评价，查清建设项目所在区域的环境现状，分析该项目的工程特征和污染特征，分析项目建设对当地环境可造成的不良影响，弄清楚影响程度和范围，从而制定避免污染、减少污染的防治对策，对项目实现合理布局、最佳设计、为环保行政部门的管理提供科学依据。本项目对环境的影响主要体现在大气、地表水、固废及声环境方面。因此确定本次环境评价工作的具体的目的及要求是：</w:t>
      </w:r>
    </w:p>
    <w:p w14:paraId="3B44E463">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（1）通过现场调查与监测分析，了解工程所在区域的地表水、地下水、环境空气、土壤及声环境现状。针对建设内容和环境特征各有侧重地进行评价，确保对环境的影响控制在标准和有关规定允许的范围内。 </w:t>
      </w:r>
    </w:p>
    <w:p w14:paraId="541F29B5">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（2）对工程的污染特征进行达标排放和清洁生产措施分析，弄清生产系统各种污染物排放源点及源强，有针对性地提出污染防治措施。 </w:t>
      </w:r>
    </w:p>
    <w:p w14:paraId="73708713">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（3）按国家有关节约用水、提高水的循环利用率、保护水资源的要求，提出相应的措施，指导项目按可持续发展战略进行建设。 </w:t>
      </w:r>
    </w:p>
    <w:p w14:paraId="663EB9F6">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（4）评价本项目建成投产后，对周围环境的影响程度和范围。通过对工程拟采取的污染治理措施进行论证，评价环境保护措施的可行性，并提出合理化建议。</w:t>
      </w:r>
    </w:p>
    <w:p w14:paraId="130220BB">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（5）通过对工程的环境经济分析，论述工程的社会、经济和环境效益。 </w:t>
      </w:r>
    </w:p>
    <w:p w14:paraId="3F7117EA">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（6）通过以上分析论述，并结合区域规划，从环境保护角度论述项目规模、选址、平面布置及污染防治措施等的可行性，并对其可能存在的问题提出合理化建议，为环境管理和工程建设提供依据</w:t>
      </w:r>
      <w:r>
        <w:rPr>
          <w:rFonts w:hint="default" w:ascii="Times New Roman" w:hAnsi="Times New Roman" w:cs="Times New Roman"/>
          <w:color w:val="auto"/>
          <w:kern w:val="2"/>
          <w:sz w:val="24"/>
          <w:szCs w:val="21"/>
          <w:highlight w:val="none"/>
          <w:lang w:val="en-US" w:eastAsia="zh-CN" w:bidi="ar-SA"/>
        </w:rPr>
        <w:t>。</w:t>
      </w:r>
    </w:p>
    <w:p w14:paraId="24B85A48">
      <w:pPr>
        <w:pStyle w:val="44"/>
        <w:rPr>
          <w:rFonts w:hint="default" w:ascii="Times New Roman" w:hAnsi="Times New Roman" w:cs="Times New Roman" w:eastAsiaTheme="minorEastAsia"/>
          <w:color w:val="auto"/>
          <w:kern w:val="2"/>
          <w:sz w:val="24"/>
          <w:szCs w:val="21"/>
          <w:highlight w:val="none"/>
          <w:lang w:val="en-US" w:eastAsia="zh-CN" w:bidi="ar-SA"/>
        </w:rPr>
      </w:pPr>
    </w:p>
    <w:p w14:paraId="6EBB1AC8">
      <w:pPr>
        <w:pStyle w:val="44"/>
        <w:rPr>
          <w:rFonts w:hint="default" w:ascii="Times New Roman" w:hAnsi="Times New Roman" w:cs="Times New Roman" w:eastAsiaTheme="minorEastAsia"/>
          <w:color w:val="auto"/>
          <w:kern w:val="2"/>
          <w:sz w:val="24"/>
          <w:szCs w:val="21"/>
          <w:highlight w:val="none"/>
          <w:lang w:val="en-US" w:eastAsia="zh-CN" w:bidi="ar-SA"/>
        </w:rPr>
      </w:pPr>
    </w:p>
    <w:p w14:paraId="10D2F787">
      <w:pPr>
        <w:pStyle w:val="44"/>
        <w:rPr>
          <w:rFonts w:hint="default" w:ascii="Times New Roman" w:hAnsi="Times New Roman" w:cs="Times New Roman" w:eastAsiaTheme="minorEastAsia"/>
          <w:color w:val="auto"/>
          <w:kern w:val="2"/>
          <w:sz w:val="24"/>
          <w:szCs w:val="21"/>
          <w:highlight w:val="none"/>
          <w:lang w:val="en-US" w:eastAsia="zh-CN" w:bidi="ar-SA"/>
        </w:rPr>
      </w:pPr>
    </w:p>
    <w:p w14:paraId="52CEDA24">
      <w:pPr>
        <w:pStyle w:val="44"/>
        <w:rPr>
          <w:rFonts w:hint="default" w:ascii="Times New Roman" w:hAnsi="Times New Roman" w:cs="Times New Roman" w:eastAsiaTheme="minorEastAsia"/>
          <w:color w:val="auto"/>
          <w:kern w:val="2"/>
          <w:sz w:val="24"/>
          <w:szCs w:val="21"/>
          <w:highlight w:val="none"/>
          <w:lang w:val="en-US" w:eastAsia="zh-CN" w:bidi="ar-SA"/>
        </w:rPr>
      </w:pPr>
    </w:p>
    <w:p w14:paraId="6EDA0029">
      <w:pPr>
        <w:pStyle w:val="44"/>
        <w:rPr>
          <w:rFonts w:hint="default" w:ascii="Times New Roman" w:hAnsi="Times New Roman" w:cs="Times New Roman" w:eastAsiaTheme="minorEastAsia"/>
          <w:color w:val="auto"/>
          <w:kern w:val="2"/>
          <w:sz w:val="24"/>
          <w:szCs w:val="21"/>
          <w:highlight w:val="none"/>
          <w:lang w:val="en-US" w:eastAsia="zh-CN" w:bidi="ar-SA"/>
        </w:rPr>
      </w:pPr>
    </w:p>
    <w:p w14:paraId="323D4466">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评价原则</w:t>
      </w:r>
    </w:p>
    <w:p w14:paraId="4BE95E21">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突出环境影响评价的源头预防作用，坚持保护和改善环境质量。 </w:t>
      </w:r>
    </w:p>
    <w:p w14:paraId="3659EF61">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（1）依法评价 </w:t>
      </w:r>
    </w:p>
    <w:p w14:paraId="16088EC8">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贯彻执行我国环境保护相关法律法规、标准、政策和规划等，优化项目建设，服务环境管理。 </w:t>
      </w:r>
    </w:p>
    <w:p w14:paraId="41DFDD80">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（2）科学评价 </w:t>
      </w:r>
    </w:p>
    <w:p w14:paraId="5D1234C8">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规范环境影响评价方法，科学分析项目建设对环境质量的影响。 </w:t>
      </w:r>
    </w:p>
    <w:p w14:paraId="42E491B0">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（3）突出重点 </w:t>
      </w:r>
    </w:p>
    <w:p w14:paraId="472A5464">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根据建设项目的工程内容及其特点，明确与环境要素间的作用效应关系，根据规划环境影响评价结论和审查意见，充分利用符合时效的数据资料及成果，对建设项目主要环境影响予以重点分析和评价。</w:t>
      </w:r>
    </w:p>
    <w:p w14:paraId="10CDFE4F">
      <w:pPr>
        <w:pStyle w:val="3"/>
        <w:spacing w:before="156" w:after="156"/>
        <w:rPr>
          <w:rFonts w:hint="default" w:ascii="Times New Roman" w:hAnsi="Times New Roman" w:cs="Times New Roman"/>
          <w:color w:val="auto"/>
          <w:highlight w:val="none"/>
        </w:rPr>
      </w:pPr>
      <w:bookmarkStart w:id="29" w:name="_Toc31181"/>
      <w:bookmarkStart w:id="30" w:name="_Toc22556"/>
      <w:bookmarkStart w:id="31" w:name="_Toc27853"/>
      <w:r>
        <w:rPr>
          <w:rFonts w:hint="default" w:ascii="Times New Roman" w:hAnsi="Times New Roman" w:cs="Times New Roman"/>
          <w:color w:val="auto"/>
          <w:highlight w:val="none"/>
        </w:rPr>
        <w:t>编制依据</w:t>
      </w:r>
      <w:bookmarkEnd w:id="29"/>
      <w:bookmarkEnd w:id="30"/>
      <w:bookmarkEnd w:id="31"/>
    </w:p>
    <w:p w14:paraId="56055372">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国家相关</w:t>
      </w:r>
      <w:r>
        <w:rPr>
          <w:rFonts w:hint="default" w:ascii="Times New Roman" w:hAnsi="Times New Roman" w:cs="Times New Roman"/>
          <w:color w:val="auto"/>
          <w:highlight w:val="none"/>
        </w:rPr>
        <w:t>法律</w:t>
      </w:r>
    </w:p>
    <w:p w14:paraId="19DB513C">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1、《中华人民共和国环境保护法》，2015.1.1；</w:t>
      </w:r>
    </w:p>
    <w:p w14:paraId="519315D0">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2、《中华人民共和国水污染防治法》，2018.1.1；</w:t>
      </w:r>
    </w:p>
    <w:p w14:paraId="368FF25C">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3、《中华人民共和国大气污染防治法》，2018.10.26；</w:t>
      </w:r>
    </w:p>
    <w:p w14:paraId="241E6D7F">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4、《中华人民共和国噪声污染防治法》，2022.6.5；</w:t>
      </w:r>
    </w:p>
    <w:p w14:paraId="6DC8AB45">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5、《中华人民共和国固体废物污染环境防治法》，2020.4.29；</w:t>
      </w:r>
    </w:p>
    <w:p w14:paraId="0C60B9F1">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6、《中华人民共和国土壤污染防治法》，2019.1.1；</w:t>
      </w:r>
    </w:p>
    <w:p w14:paraId="1D730634">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7、《中华人民共和国环境影响评价法》，2018.12.29。</w:t>
      </w:r>
    </w:p>
    <w:p w14:paraId="6942F78B">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行政</w:t>
      </w:r>
      <w:r>
        <w:rPr>
          <w:rFonts w:hint="default" w:ascii="Times New Roman" w:hAnsi="Times New Roman" w:cs="Times New Roman"/>
          <w:color w:val="auto"/>
          <w:highlight w:val="none"/>
        </w:rPr>
        <w:t>法规</w:t>
      </w:r>
      <w:r>
        <w:rPr>
          <w:rFonts w:hint="default" w:ascii="Times New Roman" w:hAnsi="Times New Roman" w:cs="Times New Roman"/>
          <w:color w:val="auto"/>
          <w:highlight w:val="none"/>
          <w:lang w:eastAsia="zh-CN"/>
        </w:rPr>
        <w:t>和部门规章</w:t>
      </w:r>
    </w:p>
    <w:p w14:paraId="18212DCA">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1、《建设项目环境保护管理条例》，国务院令第682号，2017.7.16；</w:t>
      </w:r>
    </w:p>
    <w:p w14:paraId="0F1EBFEB">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2、《建设项目环境影响评价分类管理名录》，生态环境部令第16号，2021.1.1；</w:t>
      </w:r>
    </w:p>
    <w:p w14:paraId="7FC2CF0A">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3、《产业结构调整指导目录》（2019年本）；</w:t>
      </w:r>
    </w:p>
    <w:p w14:paraId="42BA60F4">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4、《国家危险废物名录》（2021年版）；</w:t>
      </w:r>
    </w:p>
    <w:p w14:paraId="66C3AF09">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5、《建设项目环境影响评价政府信息公开指南 （试行）》（环办[2013]103号）；</w:t>
      </w:r>
    </w:p>
    <w:p w14:paraId="0706FFBA">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6、《关于以改善环境质量为核心加强环境影响评价管理的通知》（环环评[2016]150号）；</w:t>
      </w:r>
    </w:p>
    <w:p w14:paraId="0B824808">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7、《关于进一步加强环境影响评价管理防范环境风险的通知》（环发[2012]77号）；</w:t>
      </w:r>
    </w:p>
    <w:p w14:paraId="3DA44909">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8、《关于切实加强风险防范严格环境影响评价管理的通知》（环发[2012]98号）；</w:t>
      </w:r>
    </w:p>
    <w:p w14:paraId="33B186F0">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9、《国务院关于空气质量持续改善行动计划的通知》（国发[2023]4号）；</w:t>
      </w:r>
    </w:p>
    <w:p w14:paraId="413ECCA7">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10、</w:t>
      </w:r>
      <w:r>
        <w:rPr>
          <w:rFonts w:hint="default" w:ascii="Times New Roman" w:hAnsi="Times New Roman" w:cs="Times New Roman"/>
          <w:color w:val="auto"/>
          <w:sz w:val="24"/>
          <w:highlight w:val="none"/>
          <w:lang w:val="en-US" w:eastAsia="zh-CN"/>
        </w:rPr>
        <w:t>《关于进一步加强城市生活垃圾处理工作意见的通知》（国发[2011]9 号）；</w:t>
      </w:r>
    </w:p>
    <w:p w14:paraId="2C52516B">
      <w:pPr>
        <w:pStyle w:val="14"/>
        <w:ind w:firstLine="480"/>
        <w:rPr>
          <w:rFonts w:hint="default" w:ascii="Times New Roman" w:hAnsi="Times New Roman" w:cs="Times New Roman"/>
          <w:color w:val="auto"/>
          <w:highlight w:val="none"/>
          <w:lang w:val="en-US" w:eastAsia="zh-CN"/>
        </w:rPr>
      </w:pPr>
      <w:r>
        <w:rPr>
          <w:rFonts w:hint="default" w:ascii="Times New Roman" w:hAnsi="Times New Roman" w:eastAsia="宋体" w:cs="Times New Roman"/>
          <w:color w:val="auto"/>
          <w:highlight w:val="none"/>
          <w:lang w:val="en-US" w:eastAsia="zh-CN"/>
        </w:rPr>
        <w:t>11、</w:t>
      </w:r>
      <w:r>
        <w:rPr>
          <w:rFonts w:hint="default" w:ascii="Times New Roman" w:hAnsi="Times New Roman" w:cs="Times New Roman"/>
          <w:color w:val="auto"/>
          <w:highlight w:val="none"/>
          <w:lang w:val="en-US" w:eastAsia="zh-CN"/>
        </w:rPr>
        <w:t>《“十四五”全国城镇生活垃圾无害化处理设施建设规划》；</w:t>
      </w:r>
    </w:p>
    <w:p w14:paraId="6B70534C">
      <w:pPr>
        <w:pStyle w:val="14"/>
        <w:ind w:firstLine="480"/>
        <w:rPr>
          <w:rFonts w:hint="default" w:ascii="Times New Roman" w:hAnsi="Times New Roman" w:cs="Times New Roman"/>
          <w:color w:val="auto"/>
          <w:highlight w:val="none"/>
          <w:lang w:val="en-US" w:eastAsia="zh-CN"/>
        </w:rPr>
      </w:pPr>
      <w:r>
        <w:rPr>
          <w:rFonts w:hint="default" w:ascii="Times New Roman" w:hAnsi="Times New Roman" w:eastAsia="宋体" w:cs="Times New Roman"/>
          <w:color w:val="auto"/>
          <w:highlight w:val="none"/>
          <w:lang w:val="en-US" w:eastAsia="zh-CN"/>
        </w:rPr>
        <w:t>12、</w:t>
      </w:r>
      <w:r>
        <w:rPr>
          <w:rFonts w:hint="default" w:ascii="Times New Roman" w:hAnsi="Times New Roman" w:cs="Times New Roman"/>
          <w:color w:val="auto"/>
          <w:highlight w:val="none"/>
        </w:rPr>
        <w:t>《长江经济带生态环境保护规划》（环规财[2017]88号）</w:t>
      </w:r>
      <w:r>
        <w:rPr>
          <w:rFonts w:hint="default" w:ascii="Times New Roman" w:hAnsi="Times New Roman" w:cs="Times New Roman"/>
          <w:color w:val="auto"/>
          <w:highlight w:val="none"/>
          <w:lang w:val="en-US" w:eastAsia="zh-CN"/>
        </w:rPr>
        <w:t>；</w:t>
      </w:r>
    </w:p>
    <w:p w14:paraId="5B190444">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13、《环境影响评价公众参与办法》，生态环保部令第4号，2019.1.1；</w:t>
      </w:r>
    </w:p>
    <w:p w14:paraId="767F394B">
      <w:pPr>
        <w:pStyle w:val="14"/>
        <w:ind w:firstLine="480"/>
        <w:rPr>
          <w:rFonts w:hint="default" w:ascii="Times New Roman" w:hAnsi="Times New Roman" w:cs="Times New Roman"/>
          <w:color w:val="auto"/>
          <w:highlight w:val="none"/>
          <w:lang w:val="en-US" w:eastAsia="zh-CN"/>
        </w:rPr>
      </w:pPr>
      <w:r>
        <w:rPr>
          <w:rFonts w:hint="default" w:ascii="Times New Roman" w:hAnsi="Times New Roman" w:eastAsia="宋体" w:cs="Times New Roman"/>
          <w:color w:val="auto"/>
          <w:highlight w:val="none"/>
          <w:lang w:val="en-US" w:eastAsia="zh-CN"/>
        </w:rPr>
        <w:t>14、</w:t>
      </w:r>
      <w:r>
        <w:rPr>
          <w:rFonts w:hint="default" w:ascii="Times New Roman" w:hAnsi="Times New Roman" w:cs="Times New Roman"/>
          <w:color w:val="auto"/>
          <w:kern w:val="2"/>
          <w:sz w:val="24"/>
          <w:szCs w:val="21"/>
          <w:highlight w:val="none"/>
          <w:lang w:val="en-US" w:eastAsia="zh-CN" w:bidi="ar-SA"/>
        </w:rPr>
        <w:t>《关于印发&lt;四川省、重庆市长江经济带发展负面清单指南实施细则（试行，2022年版）&gt;的通知》（川长江办[2022]17号）</w:t>
      </w:r>
      <w:r>
        <w:rPr>
          <w:rFonts w:hint="default" w:ascii="Times New Roman" w:hAnsi="Times New Roman" w:cs="Times New Roman"/>
          <w:color w:val="auto"/>
          <w:highlight w:val="none"/>
          <w:lang w:val="en-US" w:eastAsia="zh-CN"/>
        </w:rPr>
        <w:t>。</w:t>
      </w:r>
    </w:p>
    <w:p w14:paraId="3B7206A8">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地方政策法规</w:t>
      </w:r>
    </w:p>
    <w:p w14:paraId="04171585">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1、《四川省环境保护条例（修订）》，2018.1.1；</w:t>
      </w:r>
    </w:p>
    <w:p w14:paraId="039DAA2B">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2、《关于印发土壤污染防治行动计划四川省工作方案的通知》（川府发[2016]63号）；</w:t>
      </w:r>
    </w:p>
    <w:p w14:paraId="0D57E22A">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3、《四川省人民政府关于印发四川省打赢蓝天保卫战等九个实施方案的通知》，川府发[2019]4号；</w:t>
      </w:r>
    </w:p>
    <w:p w14:paraId="5E03658D">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4、《四川省人民政府关于印发四川省生态保护红线方案的通知》（川府发[2018]24号）；</w:t>
      </w:r>
    </w:p>
    <w:p w14:paraId="40B0533A">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5、《广元市人民政府关于落实生态保护红线、环境质量底线、资源利用上线和生态环境准入清单实施生态环境分区管控的通知》（广府发[2021] 4 号）；</w:t>
      </w:r>
    </w:p>
    <w:p w14:paraId="69A0C079">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6、《四川省城乡环境综合治理条例》；</w:t>
      </w:r>
    </w:p>
    <w:p w14:paraId="75A93D90">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7、《四川省“十四五”生态环境保护规划》；</w:t>
      </w:r>
    </w:p>
    <w:p w14:paraId="4D033C13">
      <w:pPr>
        <w:pStyle w:val="14"/>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8、《广元市“十四五”生态环境保护规划》；</w:t>
      </w:r>
    </w:p>
    <w:p w14:paraId="20FEDF0F">
      <w:pPr>
        <w:pStyle w:val="14"/>
        <w:ind w:firstLine="48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9、《四川广元市城乡生活垃圾处理设施建设三年推进实施方案（2021-2023年）》；</w:t>
      </w:r>
    </w:p>
    <w:p w14:paraId="19581AED">
      <w:pPr>
        <w:pStyle w:val="14"/>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10、《广元市城市市容和环境卫生管理条例》；</w:t>
      </w:r>
    </w:p>
    <w:p w14:paraId="5612DE64">
      <w:pPr>
        <w:pStyle w:val="14"/>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11、《广元市人民政府关于印发&lt;广元市打好污染防治攻坚战“八大战役”实施方案&gt;的通知》（广府发〔2019〕9号）。</w:t>
      </w:r>
    </w:p>
    <w:p w14:paraId="75A24A2C">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导则和</w:t>
      </w:r>
      <w:r>
        <w:rPr>
          <w:rFonts w:hint="default" w:ascii="Times New Roman" w:hAnsi="Times New Roman" w:cs="Times New Roman"/>
          <w:color w:val="auto"/>
          <w:highlight w:val="none"/>
        </w:rPr>
        <w:t>技术</w:t>
      </w:r>
      <w:r>
        <w:rPr>
          <w:rFonts w:hint="default" w:ascii="Times New Roman" w:hAnsi="Times New Roman" w:cs="Times New Roman"/>
          <w:color w:val="auto"/>
          <w:highlight w:val="none"/>
          <w:lang w:val="en-US" w:eastAsia="zh-CN"/>
        </w:rPr>
        <w:t>规范</w:t>
      </w:r>
    </w:p>
    <w:p w14:paraId="2F2B6D7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1、《环境影响评价技术导则</w:t>
      </w:r>
      <w:r>
        <w:rPr>
          <w:rFonts w:hint="default" w:ascii="Times New Roman" w:hAnsi="Times New Roman" w:cs="Times New Roman"/>
          <w:color w:val="auto"/>
          <w:highlight w:val="none"/>
          <w:lang w:val="en-US" w:eastAsia="zh-CN"/>
        </w:rPr>
        <w:t xml:space="preserve"> </w:t>
      </w:r>
      <w:r>
        <w:rPr>
          <w:rFonts w:hint="default" w:ascii="Times New Roman" w:hAnsi="Times New Roman" w:cs="Times New Roman"/>
          <w:color w:val="auto"/>
          <w:highlight w:val="none"/>
        </w:rPr>
        <w:t xml:space="preserve"> 总纲》</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HJ2.1-2016</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w:t>
      </w:r>
    </w:p>
    <w:p w14:paraId="5E16D54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2、《环境影响评价技术导则 </w:t>
      </w:r>
      <w:r>
        <w:rPr>
          <w:rFonts w:hint="default" w:ascii="Times New Roman" w:hAnsi="Times New Roman" w:cs="Times New Roman"/>
          <w:color w:val="auto"/>
          <w:highlight w:val="none"/>
          <w:lang w:val="en-US" w:eastAsia="zh-CN"/>
        </w:rPr>
        <w:t xml:space="preserve"> </w:t>
      </w:r>
      <w:r>
        <w:rPr>
          <w:rFonts w:hint="default" w:ascii="Times New Roman" w:hAnsi="Times New Roman" w:cs="Times New Roman"/>
          <w:color w:val="auto"/>
          <w:highlight w:val="none"/>
        </w:rPr>
        <w:t>大气环境》</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HJ2.2-2018</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w:t>
      </w:r>
    </w:p>
    <w:p w14:paraId="7B52FD8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3、《环境影响评价技术导则</w:t>
      </w:r>
      <w:r>
        <w:rPr>
          <w:rFonts w:hint="default" w:ascii="Times New Roman" w:hAnsi="Times New Roman" w:cs="Times New Roman"/>
          <w:color w:val="auto"/>
          <w:highlight w:val="none"/>
          <w:lang w:val="en-US" w:eastAsia="zh-CN"/>
        </w:rPr>
        <w:t xml:space="preserve"> </w:t>
      </w:r>
      <w:r>
        <w:rPr>
          <w:rFonts w:hint="default" w:ascii="Times New Roman" w:hAnsi="Times New Roman" w:cs="Times New Roman"/>
          <w:color w:val="auto"/>
          <w:highlight w:val="none"/>
        </w:rPr>
        <w:t xml:space="preserve"> 地表水环境》</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HJ2.3-2018</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w:t>
      </w:r>
    </w:p>
    <w:p w14:paraId="2A94073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4、《环境影响评价技术导则</w:t>
      </w:r>
      <w:r>
        <w:rPr>
          <w:rFonts w:hint="default" w:ascii="Times New Roman" w:hAnsi="Times New Roman" w:cs="Times New Roman"/>
          <w:color w:val="auto"/>
          <w:highlight w:val="none"/>
          <w:lang w:val="en-US" w:eastAsia="zh-CN"/>
        </w:rPr>
        <w:t xml:space="preserve"> </w:t>
      </w:r>
      <w:r>
        <w:rPr>
          <w:rFonts w:hint="default" w:ascii="Times New Roman" w:hAnsi="Times New Roman" w:cs="Times New Roman"/>
          <w:color w:val="auto"/>
          <w:highlight w:val="none"/>
        </w:rPr>
        <w:t xml:space="preserve"> 地下水环境》</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HJ610-2016</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w:t>
      </w:r>
    </w:p>
    <w:p w14:paraId="465E044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5、《环境影响评价技术导则</w:t>
      </w:r>
      <w:r>
        <w:rPr>
          <w:rFonts w:hint="default" w:ascii="Times New Roman" w:hAnsi="Times New Roman" w:cs="Times New Roman"/>
          <w:color w:val="auto"/>
          <w:highlight w:val="none"/>
          <w:lang w:val="en-US" w:eastAsia="zh-CN"/>
        </w:rPr>
        <w:t xml:space="preserve"> </w:t>
      </w:r>
      <w:r>
        <w:rPr>
          <w:rFonts w:hint="default" w:ascii="Times New Roman" w:hAnsi="Times New Roman" w:cs="Times New Roman"/>
          <w:color w:val="auto"/>
          <w:highlight w:val="none"/>
        </w:rPr>
        <w:t xml:space="preserve"> 声环境》</w:t>
      </w:r>
      <w:r>
        <w:rPr>
          <w:rFonts w:hint="default" w:ascii="Times New Roman" w:hAnsi="Times New Roman" w:cs="Times New Roman"/>
          <w:color w:val="auto"/>
          <w:highlight w:val="none"/>
          <w:lang w:eastAsia="zh-CN"/>
        </w:rPr>
        <w:t>（</w:t>
      </w:r>
      <w:r>
        <w:rPr>
          <w:rFonts w:hint="default" w:ascii="Times New Roman" w:hAnsi="Times New Roman" w:cs="Times New Roman"/>
          <w:color w:val="auto"/>
          <w:szCs w:val="24"/>
          <w:highlight w:val="none"/>
        </w:rPr>
        <w:t>HJ2.4-2021</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w:t>
      </w:r>
    </w:p>
    <w:p w14:paraId="074BC871">
      <w:pPr>
        <w:pStyle w:val="14"/>
        <w:ind w:firstLine="480"/>
        <w:rPr>
          <w:rFonts w:hint="default" w:ascii="Times New Roman" w:hAnsi="Times New Roman" w:cs="Times New Roman"/>
          <w:color w:val="auto"/>
          <w:highlight w:val="none"/>
          <w:lang w:eastAsia="zh-CN"/>
        </w:rPr>
      </w:pPr>
      <w:r>
        <w:rPr>
          <w:rFonts w:hint="default" w:ascii="Times New Roman" w:hAnsi="Times New Roman" w:cs="Times New Roman"/>
          <w:color w:val="auto"/>
          <w:highlight w:val="none"/>
        </w:rPr>
        <w:t>6、《环境影响评价技术导则</w:t>
      </w:r>
      <w:r>
        <w:rPr>
          <w:rFonts w:hint="default" w:ascii="Times New Roman" w:hAnsi="Times New Roman" w:cs="Times New Roman"/>
          <w:color w:val="auto"/>
          <w:highlight w:val="none"/>
          <w:lang w:val="en-US" w:eastAsia="zh-CN"/>
        </w:rPr>
        <w:t xml:space="preserve">  </w:t>
      </w:r>
      <w:r>
        <w:rPr>
          <w:rFonts w:hint="default" w:ascii="Times New Roman" w:hAnsi="Times New Roman" w:cs="Times New Roman"/>
          <w:color w:val="auto"/>
          <w:highlight w:val="none"/>
        </w:rPr>
        <w:t>土壤环境</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试行</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HJ964-2018</w:t>
      </w:r>
      <w:r>
        <w:rPr>
          <w:rFonts w:hint="default" w:ascii="Times New Roman" w:hAnsi="Times New Roman" w:cs="Times New Roman"/>
          <w:color w:val="auto"/>
          <w:highlight w:val="none"/>
          <w:lang w:eastAsia="zh-CN"/>
        </w:rPr>
        <w:t>）；</w:t>
      </w:r>
    </w:p>
    <w:p w14:paraId="1EFEF25A">
      <w:pPr>
        <w:ind w:firstLine="480" w:firstLineChars="200"/>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color w:val="auto"/>
          <w:kern w:val="2"/>
          <w:sz w:val="24"/>
          <w:szCs w:val="21"/>
          <w:highlight w:val="none"/>
          <w:lang w:val="en-US" w:eastAsia="zh-CN" w:bidi="ar-SA"/>
        </w:rPr>
        <w:t>7、</w:t>
      </w:r>
      <w:r>
        <w:rPr>
          <w:rFonts w:hint="default" w:ascii="Times New Roman" w:hAnsi="Times New Roman" w:cs="Times New Roman" w:eastAsiaTheme="minorEastAsia"/>
          <w:color w:val="auto"/>
          <w:kern w:val="2"/>
          <w:sz w:val="24"/>
          <w:szCs w:val="21"/>
          <w:highlight w:val="none"/>
          <w:lang w:val="en-US" w:eastAsia="zh-CN" w:bidi="ar-SA"/>
        </w:rPr>
        <w:t>《环境影响评价技术导则</w:t>
      </w:r>
      <w:r>
        <w:rPr>
          <w:rFonts w:hint="default" w:ascii="Times New Roman" w:hAnsi="Times New Roman" w:cs="Times New Roman"/>
          <w:color w:val="auto"/>
          <w:kern w:val="2"/>
          <w:sz w:val="24"/>
          <w:szCs w:val="21"/>
          <w:highlight w:val="none"/>
          <w:lang w:val="en-US" w:eastAsia="zh-CN" w:bidi="ar-SA"/>
        </w:rPr>
        <w:t xml:space="preserve">  </w:t>
      </w:r>
      <w:r>
        <w:rPr>
          <w:rFonts w:hint="default" w:ascii="Times New Roman" w:hAnsi="Times New Roman" w:cs="Times New Roman" w:eastAsiaTheme="minorEastAsia"/>
          <w:color w:val="auto"/>
          <w:kern w:val="2"/>
          <w:sz w:val="24"/>
          <w:szCs w:val="21"/>
          <w:highlight w:val="none"/>
          <w:lang w:val="en-US" w:eastAsia="zh-CN" w:bidi="ar-SA"/>
        </w:rPr>
        <w:t>生态影响》（HJ</w:t>
      </w:r>
      <w:r>
        <w:rPr>
          <w:rFonts w:hint="default" w:ascii="Times New Roman" w:hAnsi="Times New Roman" w:cs="Times New Roman"/>
          <w:color w:val="auto"/>
          <w:kern w:val="2"/>
          <w:sz w:val="24"/>
          <w:szCs w:val="21"/>
          <w:highlight w:val="none"/>
          <w:lang w:val="en-US" w:eastAsia="zh-CN" w:bidi="ar-SA"/>
        </w:rPr>
        <w:t>19</w:t>
      </w:r>
      <w:r>
        <w:rPr>
          <w:rFonts w:hint="default" w:ascii="Times New Roman" w:hAnsi="Times New Roman" w:cs="Times New Roman" w:eastAsiaTheme="minorEastAsia"/>
          <w:color w:val="auto"/>
          <w:kern w:val="2"/>
          <w:sz w:val="24"/>
          <w:szCs w:val="21"/>
          <w:highlight w:val="none"/>
          <w:lang w:val="en-US" w:eastAsia="zh-CN" w:bidi="ar-SA"/>
        </w:rPr>
        <w:t>-20</w:t>
      </w:r>
      <w:r>
        <w:rPr>
          <w:rFonts w:hint="default" w:ascii="Times New Roman" w:hAnsi="Times New Roman" w:cs="Times New Roman"/>
          <w:color w:val="auto"/>
          <w:kern w:val="2"/>
          <w:sz w:val="24"/>
          <w:szCs w:val="21"/>
          <w:highlight w:val="none"/>
          <w:lang w:val="en-US" w:eastAsia="zh-CN" w:bidi="ar-SA"/>
        </w:rPr>
        <w:t>22</w:t>
      </w:r>
      <w:r>
        <w:rPr>
          <w:rFonts w:hint="default" w:ascii="Times New Roman" w:hAnsi="Times New Roman" w:cs="Times New Roman" w:eastAsiaTheme="minorEastAsia"/>
          <w:color w:val="auto"/>
          <w:kern w:val="2"/>
          <w:sz w:val="24"/>
          <w:szCs w:val="21"/>
          <w:highlight w:val="none"/>
          <w:lang w:val="en-US" w:eastAsia="zh-CN" w:bidi="ar-SA"/>
        </w:rPr>
        <w:t>）；</w:t>
      </w:r>
    </w:p>
    <w:p w14:paraId="22FD39F4">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8、</w:t>
      </w:r>
      <w:r>
        <w:rPr>
          <w:rFonts w:hint="default" w:ascii="Times New Roman" w:hAnsi="Times New Roman" w:cs="Times New Roman"/>
          <w:color w:val="auto"/>
          <w:highlight w:val="none"/>
        </w:rPr>
        <w:t>《建设项目环境风险评价技术导则》</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HJ169-2018</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w:t>
      </w:r>
    </w:p>
    <w:p w14:paraId="7AADDD57">
      <w:pPr>
        <w:pStyle w:val="14"/>
        <w:ind w:firstLine="480"/>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highlight w:val="none"/>
          <w:lang w:val="en-US" w:eastAsia="zh-CN"/>
        </w:rPr>
        <w:t>9、</w:t>
      </w:r>
      <w:r>
        <w:rPr>
          <w:rFonts w:hint="default" w:ascii="Times New Roman" w:hAnsi="Times New Roman" w:eastAsia="宋体" w:cs="Times New Roman"/>
          <w:color w:val="auto"/>
          <w:kern w:val="0"/>
          <w:sz w:val="24"/>
          <w:szCs w:val="24"/>
          <w:highlight w:val="none"/>
          <w:lang w:val="en-US" w:eastAsia="zh-CN" w:bidi="ar"/>
        </w:rPr>
        <w:t>《污染源源强核算技术指南  准则》（HJ 884-2018）；</w:t>
      </w:r>
    </w:p>
    <w:p w14:paraId="579E973E">
      <w:pPr>
        <w:pStyle w:val="14"/>
        <w:ind w:firstLine="480"/>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10、《排污单位自行监测技术指南  总则》（HJ 819-2017）；</w:t>
      </w:r>
    </w:p>
    <w:p w14:paraId="77BF5C3C">
      <w:pPr>
        <w:pStyle w:val="14"/>
        <w:ind w:firstLine="480"/>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11、《排污许可证申请与核发技术规范  总则》（HJ 942-2018）；</w:t>
      </w:r>
    </w:p>
    <w:p w14:paraId="37B97F84">
      <w:pPr>
        <w:pStyle w:val="14"/>
        <w:ind w:firstLine="480"/>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 xml:space="preserve">12、《排污单位环境管理台账及排污许可证执行报告技术规范  总则（试 </w:t>
      </w:r>
    </w:p>
    <w:p w14:paraId="2542134F">
      <w:pPr>
        <w:keepNext w:val="0"/>
        <w:keepLines w:val="0"/>
        <w:widowControl/>
        <w:suppressLineNumbers w:val="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行）》（HJ944-2018）；</w:t>
      </w:r>
    </w:p>
    <w:p w14:paraId="7B2136B1">
      <w:pPr>
        <w:keepNext w:val="0"/>
        <w:keepLines w:val="0"/>
        <w:widowControl/>
        <w:numPr>
          <w:ilvl w:val="0"/>
          <w:numId w:val="7"/>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《排污单位自行监测技术指南  总则》（HJ 819-2017）；</w:t>
      </w:r>
    </w:p>
    <w:p w14:paraId="2509C01E">
      <w:pPr>
        <w:keepNext w:val="0"/>
        <w:keepLines w:val="0"/>
        <w:widowControl/>
        <w:numPr>
          <w:ilvl w:val="0"/>
          <w:numId w:val="7"/>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《排污许可证申请与核发技术规范 危险废物焚烧》（HJ1038-2019）；</w:t>
      </w:r>
    </w:p>
    <w:p w14:paraId="4CCB1D11">
      <w:pPr>
        <w:keepNext w:val="0"/>
        <w:keepLines w:val="0"/>
        <w:widowControl/>
        <w:numPr>
          <w:ilvl w:val="0"/>
          <w:numId w:val="7"/>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《排污许可证申请与核发技术规范 生活垃圾焚烧》（HJ1039-2019）；</w:t>
      </w:r>
    </w:p>
    <w:p w14:paraId="3CCAAF5B">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16、《排污许可证申请与核发技术规范  环境卫生管理业》（HJ1106-2020）；</w:t>
      </w:r>
    </w:p>
    <w:p w14:paraId="07140D79">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17、《城市生活垃圾处理及污染防治技术政策》（建成[2000] 120 号）；</w:t>
      </w:r>
    </w:p>
    <w:p w14:paraId="538509BD">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18、《建设项目危险废物环境影响评价指南》（原环保部公告 2017 年第 43号）；</w:t>
      </w:r>
    </w:p>
    <w:p w14:paraId="00328ABE">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19、《危险废物贮存污染控制标准》（GB18597-2023）；</w:t>
      </w:r>
    </w:p>
    <w:p w14:paraId="4C2398FF">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20、《危险废物收集、贮存、运输技术规范》（HJ 2025-2012）；</w:t>
      </w:r>
    </w:p>
    <w:p w14:paraId="2064F2F8">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21、《生活垃圾焚烧处理工程技术规范》（CJJ90-2009）；</w:t>
      </w:r>
    </w:p>
    <w:p w14:paraId="6E0D3159">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22、《生活垃圾渗滤液处理工程技术规范（试行）》（CJJ564-2010）；</w:t>
      </w:r>
    </w:p>
    <w:p w14:paraId="766A175F">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23、《生活垃圾焚烧厂运行维护和安全技术规范》（CJJ128-2009）；</w:t>
      </w:r>
    </w:p>
    <w:p w14:paraId="39322D97">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24、《国家危险废物名录》（2021年版）；</w:t>
      </w:r>
    </w:p>
    <w:p w14:paraId="2E7A80EA">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25、 《建设项目危险废物环境影响评价指南》（环境保护部公告 2017 年 第 43 号）；</w:t>
      </w:r>
    </w:p>
    <w:p w14:paraId="643BE5A3">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26、《固体废物处理处置工程技术导则》（HJ2035-2013）；</w:t>
      </w:r>
    </w:p>
    <w:p w14:paraId="05D4C5CD">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27、《固体废物再生利用污染防治技术导则》（HJ1091-2020）；</w:t>
      </w:r>
    </w:p>
    <w:p w14:paraId="344D6B2B">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28、《垃圾焚烧袋式除尘工程技术规范》（HJ2012-2012）；</w:t>
      </w:r>
    </w:p>
    <w:p w14:paraId="40574EC8">
      <w:pPr>
        <w:keepNext w:val="0"/>
        <w:keepLines w:val="0"/>
        <w:widowControl/>
        <w:numPr>
          <w:ilvl w:val="0"/>
          <w:numId w:val="0"/>
        </w:numPr>
        <w:suppressLineNumbers w:val="0"/>
        <w:ind w:left="478" w:leftChars="228" w:firstLine="0" w:firstLineChars="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29</w:t>
      </w:r>
      <w:r>
        <w:rPr>
          <w:rFonts w:hint="default" w:ascii="Times New Roman" w:hAnsi="Times New Roman" w:eastAsia="宋体" w:cs="Times New Roman"/>
          <w:color w:val="auto"/>
          <w:kern w:val="0"/>
          <w:sz w:val="24"/>
          <w:szCs w:val="24"/>
          <w:highlight w:val="none"/>
          <w:lang w:val="en-US" w:eastAsia="zh-CN" w:bidi="ar"/>
        </w:rPr>
        <w:t>、 《重点行业二噁英类污染防治技术政策》（环境保护部公告 2015 年 第 90 号）；</w:t>
      </w:r>
    </w:p>
    <w:p w14:paraId="699B7E00">
      <w:pPr>
        <w:keepNext w:val="0"/>
        <w:keepLines w:val="0"/>
        <w:widowControl/>
        <w:numPr>
          <w:ilvl w:val="0"/>
          <w:numId w:val="0"/>
        </w:numPr>
        <w:suppressLineNumbers w:val="0"/>
        <w:ind w:left="478" w:leftChars="228" w:firstLine="0" w:firstLineChars="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 w:cs="Times New Roman"/>
          <w:color w:val="auto"/>
          <w:kern w:val="0"/>
          <w:sz w:val="24"/>
          <w:szCs w:val="24"/>
          <w:highlight w:val="none"/>
          <w:lang w:val="en-US" w:eastAsia="zh-CN" w:bidi="ar"/>
        </w:rPr>
        <w:t>3</w:t>
      </w:r>
      <w:r>
        <w:rPr>
          <w:rFonts w:hint="eastAsia" w:ascii="Times New Roman" w:hAnsi="Times New Roman" w:eastAsia="宋" w:cs="Times New Roman"/>
          <w:color w:val="auto"/>
          <w:kern w:val="0"/>
          <w:sz w:val="24"/>
          <w:szCs w:val="24"/>
          <w:highlight w:val="none"/>
          <w:lang w:val="en-US" w:eastAsia="zh-CN" w:bidi="ar"/>
        </w:rPr>
        <w:t>0</w:t>
      </w:r>
      <w:r>
        <w:rPr>
          <w:rFonts w:hint="default" w:ascii="Times New Roman" w:hAnsi="Times New Roman" w:eastAsia="宋" w:cs="Times New Roman"/>
          <w:color w:val="auto"/>
          <w:kern w:val="0"/>
          <w:sz w:val="24"/>
          <w:szCs w:val="24"/>
          <w:highlight w:val="none"/>
          <w:lang w:val="en-US" w:eastAsia="zh-CN" w:bidi="ar"/>
        </w:rPr>
        <w:t>、《城市环境卫生设施规划标准》（GBT 50337-2018）</w:t>
      </w:r>
      <w:r>
        <w:rPr>
          <w:rFonts w:hint="default" w:ascii="Times New Roman" w:hAnsi="Times New Roman" w:eastAsia="宋体" w:cs="Times New Roman"/>
          <w:color w:val="auto"/>
          <w:kern w:val="0"/>
          <w:sz w:val="24"/>
          <w:szCs w:val="24"/>
          <w:highlight w:val="none"/>
          <w:lang w:val="en-US" w:eastAsia="zh-CN" w:bidi="ar"/>
        </w:rPr>
        <w:t>。</w:t>
      </w:r>
    </w:p>
    <w:p w14:paraId="31523FCB">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建设项目相关资料</w:t>
      </w:r>
    </w:p>
    <w:p w14:paraId="3110146F">
      <w:pPr>
        <w:pStyle w:val="14"/>
        <w:numPr>
          <w:ilvl w:val="0"/>
          <w:numId w:val="8"/>
        </w:numPr>
        <w:ind w:firstLine="480"/>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color w:val="auto"/>
          <w:highlight w:val="none"/>
          <w:lang w:val="en-US" w:eastAsia="zh-CN"/>
        </w:rPr>
        <w:t>环评委托书</w:t>
      </w:r>
      <w:r>
        <w:rPr>
          <w:rFonts w:hint="default" w:ascii="Times New Roman" w:hAnsi="Times New Roman" w:cs="Times New Roman"/>
          <w:color w:val="auto"/>
          <w:highlight w:val="none"/>
        </w:rPr>
        <w:t>；</w:t>
      </w:r>
    </w:p>
    <w:p w14:paraId="53D16560">
      <w:pPr>
        <w:pStyle w:val="14"/>
        <w:numPr>
          <w:ilvl w:val="0"/>
          <w:numId w:val="8"/>
        </w:numPr>
        <w:ind w:firstLine="480"/>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w:t>
      </w:r>
      <w:r>
        <w:rPr>
          <w:rFonts w:hint="default" w:ascii="Times New Roman" w:hAnsi="Times New Roman" w:cs="Times New Roman"/>
          <w:color w:val="auto"/>
          <w:kern w:val="2"/>
          <w:sz w:val="24"/>
          <w:szCs w:val="21"/>
          <w:highlight w:val="none"/>
          <w:lang w:val="en-US" w:eastAsia="zh-CN" w:bidi="ar-SA"/>
        </w:rPr>
        <w:t>四川胜宏环保科技有限公司剑阁县城乡生活垃圾无害化处理设施建设项目建筑</w:t>
      </w:r>
      <w:r>
        <w:rPr>
          <w:rFonts w:hint="default" w:ascii="Times New Roman" w:hAnsi="Times New Roman" w:cs="Times New Roman" w:eastAsiaTheme="minorEastAsia"/>
          <w:color w:val="auto"/>
          <w:kern w:val="2"/>
          <w:sz w:val="24"/>
          <w:szCs w:val="21"/>
          <w:highlight w:val="none"/>
          <w:lang w:val="en-US" w:eastAsia="zh-CN" w:bidi="ar-SA"/>
        </w:rPr>
        <w:t>设计方案》，</w:t>
      </w:r>
      <w:r>
        <w:rPr>
          <w:rFonts w:hint="default" w:ascii="Times New Roman" w:hAnsi="Times New Roman" w:cs="Times New Roman"/>
          <w:color w:val="auto"/>
          <w:kern w:val="2"/>
          <w:sz w:val="24"/>
          <w:szCs w:val="21"/>
          <w:highlight w:val="none"/>
          <w:lang w:val="en-US" w:eastAsia="zh-CN" w:bidi="ar-SA"/>
        </w:rPr>
        <w:t>中国矿业大学工程咨询研究院（江苏）有限公司，</w:t>
      </w:r>
      <w:r>
        <w:rPr>
          <w:rFonts w:hint="default" w:ascii="Times New Roman" w:hAnsi="Times New Roman" w:cs="Times New Roman" w:eastAsiaTheme="minorEastAsia"/>
          <w:color w:val="auto"/>
          <w:kern w:val="2"/>
          <w:sz w:val="24"/>
          <w:szCs w:val="21"/>
          <w:highlight w:val="none"/>
          <w:lang w:val="en-US" w:eastAsia="zh-CN" w:bidi="ar-SA"/>
        </w:rPr>
        <w:t>202</w:t>
      </w:r>
      <w:r>
        <w:rPr>
          <w:rFonts w:hint="default" w:ascii="Times New Roman" w:hAnsi="Times New Roman" w:cs="Times New Roman"/>
          <w:color w:val="auto"/>
          <w:kern w:val="2"/>
          <w:sz w:val="24"/>
          <w:szCs w:val="21"/>
          <w:highlight w:val="none"/>
          <w:lang w:val="en-US" w:eastAsia="zh-CN" w:bidi="ar-SA"/>
        </w:rPr>
        <w:t>4</w:t>
      </w:r>
      <w:r>
        <w:rPr>
          <w:rFonts w:hint="default" w:ascii="Times New Roman" w:hAnsi="Times New Roman" w:cs="Times New Roman" w:eastAsiaTheme="minorEastAsia"/>
          <w:color w:val="auto"/>
          <w:kern w:val="2"/>
          <w:sz w:val="24"/>
          <w:szCs w:val="21"/>
          <w:highlight w:val="none"/>
          <w:lang w:val="en-US" w:eastAsia="zh-CN" w:bidi="ar-SA"/>
        </w:rPr>
        <w:t>.</w:t>
      </w:r>
      <w:r>
        <w:rPr>
          <w:rFonts w:hint="default" w:ascii="Times New Roman" w:hAnsi="Times New Roman" w:cs="Times New Roman"/>
          <w:color w:val="auto"/>
          <w:kern w:val="2"/>
          <w:sz w:val="24"/>
          <w:szCs w:val="21"/>
          <w:highlight w:val="none"/>
          <w:lang w:val="en-US" w:eastAsia="zh-CN" w:bidi="ar-SA"/>
        </w:rPr>
        <w:t>5</w:t>
      </w:r>
      <w:r>
        <w:rPr>
          <w:rFonts w:hint="default" w:ascii="Times New Roman" w:hAnsi="Times New Roman" w:cs="Times New Roman" w:eastAsiaTheme="minorEastAsia"/>
          <w:color w:val="auto"/>
          <w:kern w:val="2"/>
          <w:sz w:val="24"/>
          <w:szCs w:val="21"/>
          <w:highlight w:val="none"/>
          <w:lang w:val="en-US" w:eastAsia="zh-CN" w:bidi="ar-SA"/>
        </w:rPr>
        <w:t>；</w:t>
      </w:r>
    </w:p>
    <w:p w14:paraId="0C5F291C">
      <w:pPr>
        <w:pStyle w:val="14"/>
        <w:numPr>
          <w:ilvl w:val="0"/>
          <w:numId w:val="8"/>
        </w:numPr>
        <w:ind w:left="0" w:leftChars="0" w:firstLine="480" w:firstLineChars="20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建设单位提供的其它相关资料。</w:t>
      </w:r>
    </w:p>
    <w:p w14:paraId="73E81932">
      <w:pPr>
        <w:pStyle w:val="3"/>
        <w:spacing w:before="156" w:after="156"/>
        <w:rPr>
          <w:rFonts w:hint="default" w:ascii="Times New Roman" w:hAnsi="Times New Roman" w:cs="Times New Roman"/>
          <w:color w:val="auto"/>
          <w:highlight w:val="none"/>
        </w:rPr>
      </w:pPr>
      <w:bookmarkStart w:id="32" w:name="_Toc26072"/>
      <w:bookmarkStart w:id="33" w:name="_Toc26843"/>
      <w:r>
        <w:rPr>
          <w:rFonts w:hint="default" w:ascii="Times New Roman" w:hAnsi="Times New Roman" w:cs="Times New Roman"/>
          <w:color w:val="auto"/>
          <w:highlight w:val="none"/>
          <w:lang w:eastAsia="zh-CN"/>
        </w:rPr>
        <w:t>环境影响识别和评价因子筛选</w:t>
      </w:r>
      <w:bookmarkEnd w:id="32"/>
      <w:bookmarkEnd w:id="33"/>
    </w:p>
    <w:p w14:paraId="150B1E37">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环境影响因子识别</w:t>
      </w:r>
    </w:p>
    <w:p w14:paraId="21683EB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综合考虑项目的性质、工程特点、实施阶段（施工期、营运期）及其所处的环境特征，通过类比分析识别本项目建设和营运活动可能对各环境要素产生的影响，通过初步分析识别环境因素，并依据污染物排放量的大小等，筛选本次评价的各项评价因子。</w:t>
      </w:r>
    </w:p>
    <w:p w14:paraId="37BDBC75">
      <w:pPr>
        <w:pStyle w:val="14"/>
        <w:ind w:firstLine="480"/>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本项目环境影响识别结果</w:t>
      </w:r>
      <w:r>
        <w:rPr>
          <w:rFonts w:hint="default" w:ascii="Times New Roman" w:hAnsi="Times New Roman" w:cs="Times New Roman"/>
          <w:color w:val="auto"/>
          <w:highlight w:val="none"/>
        </w:rPr>
        <w:t>见下表。</w:t>
      </w:r>
    </w:p>
    <w:p w14:paraId="1E2F4660">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2.3</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1</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环境影响因素识别表</w:t>
      </w:r>
    </w:p>
    <w:tbl>
      <w:tblPr>
        <w:tblStyle w:val="35"/>
        <w:tblW w:w="5000"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289"/>
        <w:gridCol w:w="1294"/>
        <w:gridCol w:w="1296"/>
        <w:gridCol w:w="1296"/>
        <w:gridCol w:w="1296"/>
        <w:gridCol w:w="1296"/>
        <w:gridCol w:w="1305"/>
      </w:tblGrid>
      <w:tr w14:paraId="727769B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vMerge w:val="restart"/>
            <w:tcBorders>
              <w:tl2br w:val="nil"/>
              <w:tr2bl w:val="nil"/>
            </w:tcBorders>
            <w:vAlign w:val="center"/>
          </w:tcPr>
          <w:p w14:paraId="369706F3">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val="0"/>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影响因子</w:t>
            </w:r>
          </w:p>
        </w:tc>
        <w:tc>
          <w:tcPr>
            <w:tcW w:w="713" w:type="pct"/>
            <w:vMerge w:val="restart"/>
            <w:tcBorders>
              <w:tl2br w:val="nil"/>
              <w:tr2bl w:val="nil"/>
            </w:tcBorders>
            <w:vAlign w:val="center"/>
          </w:tcPr>
          <w:p w14:paraId="52A311A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val="0"/>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施工期</w:t>
            </w:r>
          </w:p>
        </w:tc>
        <w:tc>
          <w:tcPr>
            <w:tcW w:w="3575" w:type="pct"/>
            <w:gridSpan w:val="5"/>
            <w:tcBorders>
              <w:tl2br w:val="nil"/>
              <w:tr2bl w:val="nil"/>
            </w:tcBorders>
            <w:vAlign w:val="center"/>
          </w:tcPr>
          <w:p w14:paraId="0DA278F2">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val="0"/>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运营期</w:t>
            </w:r>
          </w:p>
        </w:tc>
      </w:tr>
      <w:tr w14:paraId="13DE6B0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vMerge w:val="continue"/>
            <w:tcBorders>
              <w:tl2br w:val="nil"/>
              <w:tr2bl w:val="nil"/>
            </w:tcBorders>
            <w:vAlign w:val="center"/>
          </w:tcPr>
          <w:p w14:paraId="3A99EBF5">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p>
        </w:tc>
        <w:tc>
          <w:tcPr>
            <w:tcW w:w="713" w:type="pct"/>
            <w:vMerge w:val="continue"/>
            <w:tcBorders>
              <w:tl2br w:val="nil"/>
              <w:tr2bl w:val="nil"/>
            </w:tcBorders>
            <w:vAlign w:val="center"/>
          </w:tcPr>
          <w:p w14:paraId="4CBEABD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p>
        </w:tc>
        <w:tc>
          <w:tcPr>
            <w:tcW w:w="714" w:type="pct"/>
            <w:tcBorders>
              <w:tl2br w:val="nil"/>
              <w:tr2bl w:val="nil"/>
            </w:tcBorders>
            <w:vAlign w:val="center"/>
          </w:tcPr>
          <w:p w14:paraId="28BB8386">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val="0"/>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废气</w:t>
            </w:r>
          </w:p>
        </w:tc>
        <w:tc>
          <w:tcPr>
            <w:tcW w:w="714" w:type="pct"/>
            <w:tcBorders>
              <w:tl2br w:val="nil"/>
              <w:tr2bl w:val="nil"/>
            </w:tcBorders>
            <w:vAlign w:val="center"/>
          </w:tcPr>
          <w:p w14:paraId="41AEFF74">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val="0"/>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废水</w:t>
            </w:r>
          </w:p>
        </w:tc>
        <w:tc>
          <w:tcPr>
            <w:tcW w:w="714" w:type="pct"/>
            <w:tcBorders>
              <w:tl2br w:val="nil"/>
              <w:tr2bl w:val="nil"/>
            </w:tcBorders>
            <w:vAlign w:val="center"/>
          </w:tcPr>
          <w:p w14:paraId="19616928">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val="0"/>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噪声</w:t>
            </w:r>
          </w:p>
        </w:tc>
        <w:tc>
          <w:tcPr>
            <w:tcW w:w="714" w:type="pct"/>
            <w:tcBorders>
              <w:tl2br w:val="nil"/>
              <w:tr2bl w:val="nil"/>
            </w:tcBorders>
            <w:vAlign w:val="center"/>
          </w:tcPr>
          <w:p w14:paraId="3F394560">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val="0"/>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固废</w:t>
            </w:r>
          </w:p>
        </w:tc>
        <w:tc>
          <w:tcPr>
            <w:tcW w:w="718" w:type="pct"/>
            <w:tcBorders>
              <w:tl2br w:val="nil"/>
              <w:tr2bl w:val="nil"/>
            </w:tcBorders>
            <w:vAlign w:val="center"/>
          </w:tcPr>
          <w:p w14:paraId="0A451DF5">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
                <w:bCs w:val="0"/>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车辆交通</w:t>
            </w:r>
          </w:p>
        </w:tc>
      </w:tr>
      <w:tr w14:paraId="3EF67E1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31AD7C8A">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eastAsia="zh-CN"/>
              </w:rPr>
              <w:t>地表水</w:t>
            </w:r>
          </w:p>
        </w:tc>
        <w:tc>
          <w:tcPr>
            <w:tcW w:w="713" w:type="pct"/>
            <w:tcBorders>
              <w:tl2br w:val="nil"/>
              <w:tr2bl w:val="nil"/>
            </w:tcBorders>
            <w:vAlign w:val="center"/>
          </w:tcPr>
          <w:p w14:paraId="3E99EBA4">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4BF1855D">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674A1E54">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val="en-US" w:eastAsia="zh-CN"/>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707ABF46">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4B3DC3D9">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8" w:type="pct"/>
            <w:tcBorders>
              <w:tl2br w:val="nil"/>
              <w:tr2bl w:val="nil"/>
            </w:tcBorders>
            <w:vAlign w:val="center"/>
          </w:tcPr>
          <w:p w14:paraId="7D25D17D">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r>
      <w:tr w14:paraId="320F323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393A1B8A">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eastAsia="zh-CN"/>
              </w:rPr>
              <w:t>地下水</w:t>
            </w:r>
          </w:p>
        </w:tc>
        <w:tc>
          <w:tcPr>
            <w:tcW w:w="713" w:type="pct"/>
            <w:tcBorders>
              <w:tl2br w:val="nil"/>
              <w:tr2bl w:val="nil"/>
            </w:tcBorders>
            <w:vAlign w:val="center"/>
          </w:tcPr>
          <w:p w14:paraId="14C9EC8A">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48DF2375">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2F55546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val="en-US" w:eastAsia="zh-CN"/>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627B915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47D1A96D">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-S</w:t>
            </w:r>
          </w:p>
        </w:tc>
        <w:tc>
          <w:tcPr>
            <w:tcW w:w="718" w:type="pct"/>
            <w:tcBorders>
              <w:tl2br w:val="nil"/>
              <w:tr2bl w:val="nil"/>
            </w:tcBorders>
            <w:vAlign w:val="center"/>
          </w:tcPr>
          <w:p w14:paraId="586C6B4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r>
      <w:tr w14:paraId="57839CCC">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65C375C8">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eastAsia="zh-CN"/>
              </w:rPr>
              <w:t>大气环境</w:t>
            </w:r>
          </w:p>
        </w:tc>
        <w:tc>
          <w:tcPr>
            <w:tcW w:w="713" w:type="pct"/>
            <w:tcBorders>
              <w:tl2br w:val="nil"/>
              <w:tr2bl w:val="nil"/>
            </w:tcBorders>
            <w:vAlign w:val="center"/>
          </w:tcPr>
          <w:p w14:paraId="03AB54A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3B30EB43">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-M</w:t>
            </w:r>
          </w:p>
        </w:tc>
        <w:tc>
          <w:tcPr>
            <w:tcW w:w="714" w:type="pct"/>
            <w:tcBorders>
              <w:tl2br w:val="nil"/>
              <w:tr2bl w:val="nil"/>
            </w:tcBorders>
            <w:vAlign w:val="center"/>
          </w:tcPr>
          <w:p w14:paraId="2B79B7C4">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24D7207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526A5BB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-S</w:t>
            </w:r>
          </w:p>
        </w:tc>
        <w:tc>
          <w:tcPr>
            <w:tcW w:w="718" w:type="pct"/>
            <w:tcBorders>
              <w:tl2br w:val="nil"/>
              <w:tr2bl w:val="nil"/>
            </w:tcBorders>
            <w:vAlign w:val="center"/>
          </w:tcPr>
          <w:p w14:paraId="45588EAE">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-S</w:t>
            </w:r>
          </w:p>
        </w:tc>
      </w:tr>
      <w:tr w14:paraId="174F6A3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7B24C900">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eastAsia="zh-CN"/>
              </w:rPr>
              <w:t>土壤环境</w:t>
            </w:r>
          </w:p>
        </w:tc>
        <w:tc>
          <w:tcPr>
            <w:tcW w:w="713" w:type="pct"/>
            <w:tcBorders>
              <w:tl2br w:val="nil"/>
              <w:tr2bl w:val="nil"/>
            </w:tcBorders>
            <w:vAlign w:val="center"/>
          </w:tcPr>
          <w:p w14:paraId="017313B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516CC846">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62E830D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492815F4">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07995CED">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-S</w:t>
            </w:r>
          </w:p>
        </w:tc>
        <w:tc>
          <w:tcPr>
            <w:tcW w:w="718" w:type="pct"/>
            <w:tcBorders>
              <w:tl2br w:val="nil"/>
              <w:tr2bl w:val="nil"/>
            </w:tcBorders>
            <w:vAlign w:val="center"/>
          </w:tcPr>
          <w:p w14:paraId="7392C3B8">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r>
      <w:tr w14:paraId="4215D0E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0D4740A0">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eastAsia="zh-CN"/>
              </w:rPr>
              <w:t>声环境</w:t>
            </w:r>
          </w:p>
        </w:tc>
        <w:tc>
          <w:tcPr>
            <w:tcW w:w="713" w:type="pct"/>
            <w:tcBorders>
              <w:tl2br w:val="nil"/>
              <w:tr2bl w:val="nil"/>
            </w:tcBorders>
            <w:vAlign w:val="center"/>
          </w:tcPr>
          <w:p w14:paraId="31963B0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5A63502D">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168EBB80">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639308F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09A3F7D5">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8" w:type="pct"/>
            <w:tcBorders>
              <w:tl2br w:val="nil"/>
              <w:tr2bl w:val="nil"/>
            </w:tcBorders>
            <w:vAlign w:val="center"/>
          </w:tcPr>
          <w:p w14:paraId="1C44B29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-S</w:t>
            </w:r>
          </w:p>
        </w:tc>
      </w:tr>
      <w:tr w14:paraId="50924A6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3BA837DD">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kern w:val="2"/>
                <w:sz w:val="20"/>
                <w:szCs w:val="20"/>
                <w:highlight w:val="none"/>
                <w:lang w:val="en-US" w:eastAsia="zh-CN" w:bidi="ar-SA"/>
              </w:rPr>
              <w:t>水生生物</w:t>
            </w:r>
          </w:p>
        </w:tc>
        <w:tc>
          <w:tcPr>
            <w:tcW w:w="713" w:type="pct"/>
            <w:tcBorders>
              <w:tl2br w:val="nil"/>
              <w:tr2bl w:val="nil"/>
            </w:tcBorders>
            <w:vAlign w:val="center"/>
          </w:tcPr>
          <w:p w14:paraId="62A0575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val="en-US" w:eastAsia="zh-CN"/>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30A10A17">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1FDC4E85">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5EF76B0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6C939461">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w:t>
            </w:r>
          </w:p>
        </w:tc>
        <w:tc>
          <w:tcPr>
            <w:tcW w:w="718" w:type="pct"/>
            <w:tcBorders>
              <w:tl2br w:val="nil"/>
              <w:tr2bl w:val="nil"/>
            </w:tcBorders>
            <w:vAlign w:val="center"/>
          </w:tcPr>
          <w:p w14:paraId="54F8453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w:t>
            </w:r>
          </w:p>
        </w:tc>
      </w:tr>
      <w:tr w14:paraId="232D826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6C94DA88">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kern w:val="2"/>
                <w:sz w:val="20"/>
                <w:szCs w:val="20"/>
                <w:highlight w:val="none"/>
                <w:lang w:val="en-US" w:eastAsia="zh-CN" w:bidi="ar-SA"/>
              </w:rPr>
              <w:t>陆生生物</w:t>
            </w:r>
          </w:p>
        </w:tc>
        <w:tc>
          <w:tcPr>
            <w:tcW w:w="713" w:type="pct"/>
            <w:tcBorders>
              <w:tl2br w:val="nil"/>
              <w:tr2bl w:val="nil"/>
            </w:tcBorders>
            <w:vAlign w:val="center"/>
          </w:tcPr>
          <w:p w14:paraId="75474F6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val="en-US" w:eastAsia="zh-CN"/>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41D6DFD4">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6057573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6995886A">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0480D31D">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-S</w:t>
            </w:r>
          </w:p>
        </w:tc>
        <w:tc>
          <w:tcPr>
            <w:tcW w:w="718" w:type="pct"/>
            <w:tcBorders>
              <w:tl2br w:val="nil"/>
              <w:tr2bl w:val="nil"/>
            </w:tcBorders>
            <w:vAlign w:val="center"/>
          </w:tcPr>
          <w:p w14:paraId="4DDA7A36">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2"/>
                <w:sz w:val="20"/>
                <w:szCs w:val="20"/>
                <w:highlight w:val="none"/>
                <w:lang w:val="en-US" w:eastAsia="zh-CN" w:bidi="ar-SA"/>
              </w:rPr>
            </w:pPr>
            <w:r>
              <w:rPr>
                <w:rFonts w:hint="default" w:ascii="Times New Roman" w:hAnsi="Times New Roman" w:eastAsia="宋体" w:cs="Times New Roman"/>
                <w:bCs/>
                <w:color w:val="auto"/>
                <w:sz w:val="20"/>
                <w:szCs w:val="20"/>
                <w:highlight w:val="none"/>
                <w:lang w:val="en-US" w:eastAsia="zh-CN"/>
              </w:rPr>
              <w:t>-S</w:t>
            </w:r>
          </w:p>
        </w:tc>
      </w:tr>
      <w:tr w14:paraId="243BCCA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46FC1AD6">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eastAsia="zh-CN"/>
              </w:rPr>
              <w:t>植被</w:t>
            </w:r>
          </w:p>
        </w:tc>
        <w:tc>
          <w:tcPr>
            <w:tcW w:w="713" w:type="pct"/>
            <w:tcBorders>
              <w:tl2br w:val="nil"/>
              <w:tr2bl w:val="nil"/>
            </w:tcBorders>
            <w:vAlign w:val="center"/>
          </w:tcPr>
          <w:p w14:paraId="076030A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39452BA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5FDFC35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7020B326">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3F9133D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8" w:type="pct"/>
            <w:tcBorders>
              <w:tl2br w:val="nil"/>
              <w:tr2bl w:val="nil"/>
            </w:tcBorders>
            <w:vAlign w:val="center"/>
          </w:tcPr>
          <w:p w14:paraId="76DDEB54">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r>
      <w:tr w14:paraId="03D6F8E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711" w:type="pct"/>
            <w:tcBorders>
              <w:tl2br w:val="nil"/>
              <w:tr2bl w:val="nil"/>
            </w:tcBorders>
            <w:vAlign w:val="center"/>
          </w:tcPr>
          <w:p w14:paraId="6E2BB7D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eastAsia="zh-CN"/>
              </w:rPr>
              <w:t>水土流失</w:t>
            </w:r>
          </w:p>
        </w:tc>
        <w:tc>
          <w:tcPr>
            <w:tcW w:w="713" w:type="pct"/>
            <w:tcBorders>
              <w:tl2br w:val="nil"/>
              <w:tr2bl w:val="nil"/>
            </w:tcBorders>
            <w:vAlign w:val="center"/>
          </w:tcPr>
          <w:p w14:paraId="753456E1">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Cs/>
                <w:color w:val="auto"/>
                <w:sz w:val="20"/>
                <w:szCs w:val="20"/>
                <w:highlight w:val="none"/>
                <w:lang w:val="en-US" w:eastAsia="zh-CN"/>
              </w:rPr>
              <w:t>-S</w:t>
            </w:r>
          </w:p>
        </w:tc>
        <w:tc>
          <w:tcPr>
            <w:tcW w:w="714" w:type="pct"/>
            <w:tcBorders>
              <w:tl2br w:val="nil"/>
              <w:tr2bl w:val="nil"/>
            </w:tcBorders>
            <w:vAlign w:val="center"/>
          </w:tcPr>
          <w:p w14:paraId="68EB7540">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399F558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0CD3356A">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4" w:type="pct"/>
            <w:tcBorders>
              <w:tl2br w:val="nil"/>
              <w:tr2bl w:val="nil"/>
            </w:tcBorders>
            <w:vAlign w:val="center"/>
          </w:tcPr>
          <w:p w14:paraId="293C7ED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c>
          <w:tcPr>
            <w:tcW w:w="718" w:type="pct"/>
            <w:tcBorders>
              <w:tl2br w:val="nil"/>
              <w:tr2bl w:val="nil"/>
            </w:tcBorders>
            <w:vAlign w:val="center"/>
          </w:tcPr>
          <w:p w14:paraId="3377F161">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rPr>
            </w:pPr>
            <w:r>
              <w:rPr>
                <w:rFonts w:hint="default" w:ascii="Times New Roman" w:hAnsi="Times New Roman" w:eastAsia="宋体" w:cs="Times New Roman"/>
                <w:bCs/>
                <w:color w:val="auto"/>
                <w:sz w:val="20"/>
                <w:szCs w:val="20"/>
                <w:highlight w:val="none"/>
                <w:lang w:val="en-US" w:eastAsia="zh-CN"/>
              </w:rPr>
              <w:t>×</w:t>
            </w:r>
          </w:p>
        </w:tc>
      </w:tr>
    </w:tbl>
    <w:p w14:paraId="1A83C7B1">
      <w:pPr>
        <w:pStyle w:val="14"/>
        <w:spacing w:line="240" w:lineRule="auto"/>
        <w:ind w:firstLine="480"/>
        <w:rPr>
          <w:rFonts w:hint="default" w:ascii="Times New Roman" w:hAnsi="Times New Roman" w:cs="Times New Roman"/>
          <w:bCs/>
          <w:color w:val="auto"/>
          <w:kern w:val="0"/>
          <w:sz w:val="20"/>
          <w:szCs w:val="20"/>
          <w:highlight w:val="none"/>
        </w:rPr>
      </w:pPr>
      <w:r>
        <w:rPr>
          <w:rFonts w:hint="default" w:ascii="Times New Roman" w:hAnsi="Times New Roman" w:cs="Times New Roman"/>
          <w:color w:val="auto"/>
          <w:sz w:val="20"/>
          <w:szCs w:val="20"/>
          <w:highlight w:val="none"/>
        </w:rPr>
        <w:t>注：</w:t>
      </w:r>
      <w:r>
        <w:rPr>
          <w:rFonts w:hint="default" w:ascii="Times New Roman" w:hAnsi="Times New Roman" w:cs="Times New Roman"/>
          <w:color w:val="auto"/>
          <w:sz w:val="20"/>
          <w:szCs w:val="20"/>
          <w:highlight w:val="none"/>
          <w:lang w:val="en-US" w:eastAsia="zh-CN"/>
        </w:rPr>
        <w:t>“×”表示无影响；“+”、“-”分别表示有利影响和不利影响；“L、M、S”分别表示影响程度：大、中、小。</w:t>
      </w:r>
    </w:p>
    <w:p w14:paraId="693A53E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从上表可以看出，</w:t>
      </w:r>
      <w:r>
        <w:rPr>
          <w:rFonts w:hint="default" w:ascii="Times New Roman" w:hAnsi="Times New Roman" w:cs="Times New Roman"/>
          <w:color w:val="auto"/>
          <w:highlight w:val="none"/>
          <w:lang w:eastAsia="zh-CN"/>
        </w:rPr>
        <w:t>本项目</w:t>
      </w:r>
      <w:r>
        <w:rPr>
          <w:rFonts w:hint="default" w:ascii="Times New Roman" w:hAnsi="Times New Roman" w:cs="Times New Roman"/>
          <w:color w:val="auto"/>
          <w:highlight w:val="none"/>
        </w:rPr>
        <w:t>施工期</w:t>
      </w:r>
      <w:r>
        <w:rPr>
          <w:rFonts w:hint="default" w:ascii="Times New Roman" w:hAnsi="Times New Roman" w:cs="Times New Roman"/>
          <w:color w:val="auto"/>
          <w:highlight w:val="none"/>
          <w:lang w:eastAsia="zh-CN"/>
        </w:rPr>
        <w:t>影响较小，运营期主要是废水和废气</w:t>
      </w:r>
      <w:r>
        <w:rPr>
          <w:rFonts w:hint="default" w:ascii="Times New Roman" w:hAnsi="Times New Roman" w:cs="Times New Roman"/>
          <w:color w:val="auto"/>
          <w:highlight w:val="none"/>
        </w:rPr>
        <w:t>对环境的影响。</w:t>
      </w:r>
    </w:p>
    <w:p w14:paraId="3B321A72">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eastAsia="zh-CN"/>
        </w:rPr>
      </w:pPr>
      <w:r>
        <w:rPr>
          <w:rFonts w:hint="default" w:ascii="Times New Roman" w:hAnsi="Times New Roman" w:cs="Times New Roman"/>
          <w:color w:val="auto"/>
          <w:highlight w:val="none"/>
          <w:lang w:eastAsia="zh-CN"/>
        </w:rPr>
        <w:t>评价因子筛选</w:t>
      </w:r>
    </w:p>
    <w:p w14:paraId="5CD676F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在识别项目主要环境影响因素的基础上，根据本工程的特点，同时类比同类项目情况，确定本次评价因子见下表。</w:t>
      </w:r>
    </w:p>
    <w:p w14:paraId="11A9AEC0">
      <w:pPr>
        <w:pStyle w:val="11"/>
        <w:keepNext/>
        <w:rPr>
          <w:rFonts w:hint="default" w:ascii="Times New Roman" w:hAnsi="Times New Roman" w:cs="Times New Roman"/>
          <w:color w:val="auto"/>
          <w:highlight w:val="none"/>
        </w:rPr>
      </w:pPr>
    </w:p>
    <w:p w14:paraId="359E56F3">
      <w:pPr>
        <w:pStyle w:val="11"/>
        <w:keepNext/>
        <w:rPr>
          <w:rFonts w:hint="default" w:ascii="Times New Roman" w:hAnsi="Times New Roman" w:eastAsia="宋体" w:cs="Times New Roman"/>
          <w:color w:val="auto"/>
          <w:highlight w:val="none"/>
          <w:lang w:eastAsia="zh-CN"/>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2.3</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评价因子</w:t>
      </w:r>
      <w:r>
        <w:rPr>
          <w:rFonts w:hint="default" w:ascii="Times New Roman" w:hAnsi="Times New Roman" w:cs="Times New Roman"/>
          <w:color w:val="auto"/>
          <w:highlight w:val="none"/>
          <w:lang w:eastAsia="zh-CN"/>
        </w:rPr>
        <w:t>表</w:t>
      </w:r>
    </w:p>
    <w:tbl>
      <w:tblPr>
        <w:tblStyle w:val="35"/>
        <w:tblW w:w="9070"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0" w:type="dxa"/>
          <w:bottom w:w="0" w:type="dxa"/>
          <w:right w:w="0" w:type="dxa"/>
        </w:tblCellMar>
      </w:tblPr>
      <w:tblGrid>
        <w:gridCol w:w="1488"/>
        <w:gridCol w:w="5061"/>
        <w:gridCol w:w="2521"/>
      </w:tblGrid>
      <w:tr w14:paraId="3ACF8AE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488" w:type="dxa"/>
            <w:tcBorders>
              <w:tl2br w:val="nil"/>
              <w:tr2bl w:val="nil"/>
            </w:tcBorders>
            <w:vAlign w:val="center"/>
          </w:tcPr>
          <w:p w14:paraId="5A90BFE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项目</w:t>
            </w:r>
          </w:p>
        </w:tc>
        <w:tc>
          <w:tcPr>
            <w:tcW w:w="5061" w:type="dxa"/>
            <w:tcBorders>
              <w:tl2br w:val="nil"/>
              <w:tr2bl w:val="nil"/>
            </w:tcBorders>
            <w:vAlign w:val="center"/>
          </w:tcPr>
          <w:p w14:paraId="3C611D20">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b/>
                <w:bCs w:val="0"/>
                <w:color w:val="auto"/>
                <w:sz w:val="20"/>
                <w:szCs w:val="20"/>
                <w:highlight w:val="none"/>
                <w:lang w:eastAsia="zh-CN"/>
              </w:rPr>
              <w:t>现状评价因子</w:t>
            </w:r>
          </w:p>
        </w:tc>
        <w:tc>
          <w:tcPr>
            <w:tcW w:w="2521" w:type="dxa"/>
            <w:tcBorders>
              <w:tl2br w:val="nil"/>
              <w:tr2bl w:val="nil"/>
            </w:tcBorders>
            <w:vAlign w:val="center"/>
          </w:tcPr>
          <w:p w14:paraId="19473F6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影响评价因子</w:t>
            </w:r>
          </w:p>
        </w:tc>
      </w:tr>
      <w:tr w14:paraId="062AF84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488" w:type="dxa"/>
            <w:tcBorders>
              <w:tl2br w:val="nil"/>
              <w:tr2bl w:val="nil"/>
            </w:tcBorders>
            <w:vAlign w:val="center"/>
          </w:tcPr>
          <w:p w14:paraId="630606A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大气环境</w:t>
            </w:r>
          </w:p>
        </w:tc>
        <w:tc>
          <w:tcPr>
            <w:tcW w:w="5061" w:type="dxa"/>
            <w:tcBorders>
              <w:tl2br w:val="nil"/>
              <w:tr2bl w:val="nil"/>
            </w:tcBorders>
            <w:vAlign w:val="center"/>
          </w:tcPr>
          <w:p w14:paraId="685DB66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eastAsia="宋体" w:cs="Times New Roman"/>
                <w:bCs/>
                <w:color w:val="auto"/>
                <w:sz w:val="20"/>
                <w:szCs w:val="20"/>
                <w:highlight w:val="none"/>
                <w:lang w:val="en-US" w:eastAsia="zh-CN"/>
              </w:rPr>
            </w:pPr>
            <w:r>
              <w:rPr>
                <w:rFonts w:hint="default" w:ascii="Times New Roman" w:hAnsi="Times New Roman" w:eastAsia="宋体" w:cs="Times New Roman"/>
                <w:bCs/>
                <w:color w:val="auto"/>
                <w:sz w:val="20"/>
                <w:szCs w:val="20"/>
                <w:highlight w:val="none"/>
                <w:lang w:eastAsia="zh-CN"/>
              </w:rPr>
              <w:t>SO</w:t>
            </w:r>
            <w:r>
              <w:rPr>
                <w:rFonts w:hint="default" w:ascii="Times New Roman" w:hAnsi="Times New Roman" w:eastAsia="宋体" w:cs="Times New Roman"/>
                <w:bCs/>
                <w:color w:val="auto"/>
                <w:sz w:val="20"/>
                <w:szCs w:val="20"/>
                <w:highlight w:val="none"/>
                <w:vertAlign w:val="subscript"/>
                <w:lang w:eastAsia="zh-CN"/>
              </w:rPr>
              <w:t>2</w:t>
            </w:r>
            <w:r>
              <w:rPr>
                <w:rFonts w:hint="default" w:ascii="Times New Roman" w:hAnsi="Times New Roman" w:eastAsia="宋体" w:cs="Times New Roman"/>
                <w:bCs/>
                <w:color w:val="auto"/>
                <w:sz w:val="20"/>
                <w:szCs w:val="20"/>
                <w:highlight w:val="none"/>
                <w:lang w:eastAsia="zh-CN"/>
              </w:rPr>
              <w:t>、NO</w:t>
            </w:r>
            <w:r>
              <w:rPr>
                <w:rFonts w:hint="default" w:ascii="Times New Roman" w:hAnsi="Times New Roman" w:eastAsia="宋体" w:cs="Times New Roman"/>
                <w:bCs/>
                <w:color w:val="auto"/>
                <w:sz w:val="20"/>
                <w:szCs w:val="20"/>
                <w:highlight w:val="none"/>
                <w:vertAlign w:val="subscript"/>
                <w:lang w:eastAsia="zh-CN"/>
              </w:rPr>
              <w:t>2</w:t>
            </w:r>
            <w:r>
              <w:rPr>
                <w:rFonts w:hint="default" w:ascii="Times New Roman" w:hAnsi="Times New Roman" w:eastAsia="宋体" w:cs="Times New Roman"/>
                <w:bCs/>
                <w:color w:val="auto"/>
                <w:sz w:val="20"/>
                <w:szCs w:val="20"/>
                <w:highlight w:val="none"/>
                <w:lang w:eastAsia="zh-CN"/>
              </w:rPr>
              <w:t>、PM</w:t>
            </w:r>
            <w:r>
              <w:rPr>
                <w:rFonts w:hint="default" w:ascii="Times New Roman" w:hAnsi="Times New Roman" w:eastAsia="宋体" w:cs="Times New Roman"/>
                <w:bCs/>
                <w:color w:val="auto"/>
                <w:sz w:val="20"/>
                <w:szCs w:val="20"/>
                <w:highlight w:val="none"/>
                <w:vertAlign w:val="subscript"/>
                <w:lang w:eastAsia="zh-CN"/>
              </w:rPr>
              <w:t>2.5</w:t>
            </w:r>
            <w:r>
              <w:rPr>
                <w:rFonts w:hint="default" w:ascii="Times New Roman" w:hAnsi="Times New Roman" w:eastAsia="宋体" w:cs="Times New Roman"/>
                <w:bCs/>
                <w:color w:val="auto"/>
                <w:sz w:val="20"/>
                <w:szCs w:val="20"/>
                <w:highlight w:val="none"/>
                <w:lang w:eastAsia="zh-CN"/>
              </w:rPr>
              <w:t>、PM</w:t>
            </w:r>
            <w:r>
              <w:rPr>
                <w:rFonts w:hint="default" w:ascii="Times New Roman" w:hAnsi="Times New Roman" w:eastAsia="宋体" w:cs="Times New Roman"/>
                <w:bCs/>
                <w:color w:val="auto"/>
                <w:sz w:val="20"/>
                <w:szCs w:val="20"/>
                <w:highlight w:val="none"/>
                <w:vertAlign w:val="subscript"/>
                <w:lang w:eastAsia="zh-CN"/>
              </w:rPr>
              <w:t>10</w:t>
            </w:r>
            <w:r>
              <w:rPr>
                <w:rFonts w:hint="default" w:ascii="Times New Roman" w:hAnsi="Times New Roman" w:eastAsia="宋体" w:cs="Times New Roman"/>
                <w:bCs/>
                <w:color w:val="auto"/>
                <w:sz w:val="20"/>
                <w:szCs w:val="20"/>
                <w:highlight w:val="none"/>
                <w:lang w:eastAsia="zh-CN"/>
              </w:rPr>
              <w:t>、CO、O</w:t>
            </w:r>
            <w:r>
              <w:rPr>
                <w:rFonts w:hint="default" w:ascii="Times New Roman" w:hAnsi="Times New Roman" w:eastAsia="宋体" w:cs="Times New Roman"/>
                <w:bCs/>
                <w:color w:val="auto"/>
                <w:sz w:val="20"/>
                <w:szCs w:val="20"/>
                <w:highlight w:val="none"/>
                <w:vertAlign w:val="subscript"/>
                <w:lang w:eastAsia="zh-CN"/>
              </w:rPr>
              <w:t>3</w:t>
            </w:r>
            <w:r>
              <w:rPr>
                <w:rFonts w:hint="default" w:ascii="Times New Roman" w:hAnsi="Times New Roman" w:eastAsia="宋体" w:cs="Times New Roman"/>
                <w:bCs/>
                <w:color w:val="auto"/>
                <w:sz w:val="20"/>
                <w:szCs w:val="20"/>
                <w:highlight w:val="none"/>
                <w:lang w:eastAsia="zh-CN"/>
              </w:rPr>
              <w:t>、</w:t>
            </w:r>
            <w:r>
              <w:rPr>
                <w:rFonts w:hint="default" w:ascii="Times New Roman" w:hAnsi="Times New Roman" w:cs="Times New Roman"/>
                <w:color w:val="auto"/>
                <w:sz w:val="20"/>
                <w:szCs w:val="20"/>
                <w:highlight w:val="none"/>
                <w:lang w:bidi="ar"/>
              </w:rPr>
              <w:t>TSP</w:t>
            </w:r>
            <w:r>
              <w:rPr>
                <w:rFonts w:hint="default" w:ascii="Times New Roman" w:hAnsi="Times New Roman" w:cs="Times New Roman"/>
                <w:color w:val="auto"/>
                <w:sz w:val="20"/>
                <w:szCs w:val="20"/>
                <w:highlight w:val="none"/>
                <w:lang w:eastAsia="zh-CN" w:bidi="ar"/>
              </w:rPr>
              <w:t>，</w:t>
            </w:r>
            <w:r>
              <w:rPr>
                <w:rFonts w:hint="default" w:ascii="Times New Roman" w:hAnsi="Times New Roman" w:cs="Times New Roman"/>
                <w:color w:val="auto"/>
                <w:sz w:val="20"/>
                <w:szCs w:val="20"/>
                <w:highlight w:val="none"/>
                <w:lang w:val="en-US" w:eastAsia="zh-CN" w:bidi="ar"/>
              </w:rPr>
              <w:t>NOx，</w:t>
            </w:r>
            <w:r>
              <w:rPr>
                <w:rFonts w:hint="default" w:ascii="Times New Roman" w:hAnsi="Times New Roman" w:cs="Times New Roman"/>
                <w:color w:val="auto"/>
                <w:sz w:val="20"/>
                <w:szCs w:val="20"/>
                <w:highlight w:val="none"/>
                <w:lang w:bidi="ar"/>
              </w:rPr>
              <w:t>氟化物</w:t>
            </w:r>
            <w:r>
              <w:rPr>
                <w:rFonts w:hint="default" w:ascii="Times New Roman" w:hAnsi="Times New Roman" w:cs="Times New Roman"/>
                <w:color w:val="auto"/>
                <w:sz w:val="20"/>
                <w:szCs w:val="20"/>
                <w:highlight w:val="none"/>
                <w:lang w:eastAsia="zh-CN" w:bidi="ar"/>
              </w:rPr>
              <w:t>，</w:t>
            </w:r>
            <w:r>
              <w:rPr>
                <w:rFonts w:hint="default" w:ascii="Times New Roman" w:hAnsi="Times New Roman" w:cs="Times New Roman"/>
                <w:color w:val="auto"/>
                <w:sz w:val="20"/>
                <w:szCs w:val="20"/>
                <w:highlight w:val="none"/>
                <w:lang w:bidi="ar"/>
              </w:rPr>
              <w:t>HCl</w:t>
            </w:r>
            <w:r>
              <w:rPr>
                <w:rFonts w:hint="default" w:ascii="Times New Roman" w:hAnsi="Times New Roman" w:cs="Times New Roman"/>
                <w:color w:val="auto"/>
                <w:sz w:val="20"/>
                <w:szCs w:val="20"/>
                <w:highlight w:val="none"/>
                <w:lang w:eastAsia="zh-CN" w:bidi="ar"/>
              </w:rPr>
              <w:t>，</w:t>
            </w:r>
            <w:r>
              <w:rPr>
                <w:rFonts w:hint="default" w:ascii="Times New Roman" w:hAnsi="Times New Roman" w:cs="Times New Roman"/>
                <w:color w:val="auto"/>
                <w:sz w:val="20"/>
                <w:szCs w:val="20"/>
                <w:highlight w:val="none"/>
                <w:lang w:bidi="ar"/>
              </w:rPr>
              <w:t>H</w:t>
            </w:r>
            <w:r>
              <w:rPr>
                <w:rFonts w:hint="default" w:ascii="Times New Roman" w:hAnsi="Times New Roman" w:cs="Times New Roman"/>
                <w:color w:val="auto"/>
                <w:sz w:val="20"/>
                <w:szCs w:val="20"/>
                <w:highlight w:val="none"/>
                <w:vertAlign w:val="subscript"/>
                <w:lang w:bidi="ar"/>
              </w:rPr>
              <w:t>2</w:t>
            </w:r>
            <w:r>
              <w:rPr>
                <w:rFonts w:hint="default" w:ascii="Times New Roman" w:hAnsi="Times New Roman" w:cs="Times New Roman"/>
                <w:color w:val="auto"/>
                <w:sz w:val="20"/>
                <w:szCs w:val="20"/>
                <w:highlight w:val="none"/>
                <w:lang w:bidi="ar"/>
              </w:rPr>
              <w:t>S</w:t>
            </w:r>
            <w:r>
              <w:rPr>
                <w:rFonts w:hint="default" w:ascii="Times New Roman" w:hAnsi="Times New Roman" w:cs="Times New Roman"/>
                <w:color w:val="auto"/>
                <w:sz w:val="20"/>
                <w:szCs w:val="20"/>
                <w:highlight w:val="none"/>
                <w:lang w:eastAsia="zh-CN" w:bidi="ar"/>
              </w:rPr>
              <w:t>，</w:t>
            </w:r>
            <w:r>
              <w:rPr>
                <w:rFonts w:hint="default" w:ascii="Times New Roman" w:hAnsi="Times New Roman" w:cs="Times New Roman"/>
                <w:color w:val="auto"/>
                <w:sz w:val="20"/>
                <w:szCs w:val="20"/>
                <w:highlight w:val="none"/>
                <w:lang w:bidi="ar"/>
              </w:rPr>
              <w:t>NH</w:t>
            </w:r>
            <w:r>
              <w:rPr>
                <w:rFonts w:hint="default" w:ascii="Times New Roman" w:hAnsi="Times New Roman" w:cs="Times New Roman"/>
                <w:color w:val="auto"/>
                <w:sz w:val="20"/>
                <w:szCs w:val="20"/>
                <w:highlight w:val="none"/>
                <w:vertAlign w:val="subscript"/>
                <w:lang w:bidi="ar"/>
              </w:rPr>
              <w:t>3</w:t>
            </w:r>
            <w:r>
              <w:rPr>
                <w:rFonts w:hint="default" w:ascii="Times New Roman" w:hAnsi="Times New Roman" w:cs="Times New Roman"/>
                <w:color w:val="auto"/>
                <w:sz w:val="20"/>
                <w:szCs w:val="20"/>
                <w:highlight w:val="none"/>
                <w:lang w:eastAsia="zh-CN" w:bidi="ar"/>
              </w:rPr>
              <w:t>，</w:t>
            </w:r>
            <w:r>
              <w:rPr>
                <w:rFonts w:hint="default" w:ascii="Times New Roman" w:hAnsi="Times New Roman" w:cs="Times New Roman"/>
                <w:color w:val="auto"/>
                <w:sz w:val="20"/>
                <w:szCs w:val="20"/>
                <w:highlight w:val="none"/>
                <w:lang w:bidi="ar"/>
              </w:rPr>
              <w:t>臭气浓度</w:t>
            </w:r>
            <w:r>
              <w:rPr>
                <w:rFonts w:hint="default" w:ascii="Times New Roman" w:hAnsi="Times New Roman" w:cs="Times New Roman"/>
                <w:color w:val="auto"/>
                <w:sz w:val="20"/>
                <w:szCs w:val="20"/>
                <w:highlight w:val="none"/>
                <w:lang w:eastAsia="zh-CN" w:bidi="ar"/>
              </w:rPr>
              <w:t>，</w:t>
            </w:r>
            <w:r>
              <w:rPr>
                <w:rFonts w:hint="default" w:ascii="Times New Roman" w:hAnsi="Times New Roman" w:cs="Times New Roman"/>
                <w:color w:val="auto"/>
                <w:sz w:val="20"/>
                <w:szCs w:val="20"/>
                <w:highlight w:val="none"/>
                <w:lang w:bidi="ar"/>
              </w:rPr>
              <w:t>非甲烷总烃</w:t>
            </w:r>
            <w:r>
              <w:rPr>
                <w:rFonts w:hint="default" w:ascii="Times New Roman" w:hAnsi="Times New Roman" w:cs="Times New Roman"/>
                <w:color w:val="auto"/>
                <w:sz w:val="20"/>
                <w:szCs w:val="20"/>
                <w:highlight w:val="none"/>
                <w:lang w:eastAsia="zh-CN" w:bidi="ar"/>
              </w:rPr>
              <w:t>，</w:t>
            </w:r>
            <w:r>
              <w:rPr>
                <w:rFonts w:hint="default" w:ascii="Times New Roman" w:hAnsi="Times New Roman" w:eastAsia="宋体" w:cs="Times New Roman"/>
                <w:b w:val="0"/>
                <w:bCs w:val="0"/>
                <w:color w:val="auto"/>
                <w:sz w:val="20"/>
                <w:szCs w:val="20"/>
                <w:highlight w:val="none"/>
              </w:rPr>
              <w:t>锰</w:t>
            </w:r>
            <w:r>
              <w:rPr>
                <w:rFonts w:hint="default" w:ascii="Times New Roman" w:hAnsi="Times New Roman" w:cs="Times New Roman"/>
                <w:color w:val="auto"/>
                <w:sz w:val="20"/>
                <w:szCs w:val="20"/>
                <w:highlight w:val="none"/>
                <w:lang w:val="en-US" w:eastAsia="zh-CN" w:bidi="ar"/>
              </w:rPr>
              <w:t>及其化合物，</w:t>
            </w:r>
            <w:r>
              <w:rPr>
                <w:rFonts w:hint="default" w:ascii="Times New Roman" w:hAnsi="Times New Roman" w:eastAsia="宋体" w:cs="Times New Roman"/>
                <w:b w:val="0"/>
                <w:bCs w:val="0"/>
                <w:color w:val="auto"/>
                <w:sz w:val="20"/>
                <w:szCs w:val="20"/>
                <w:highlight w:val="none"/>
              </w:rPr>
              <w:t>锑、砷、铅、铬、钴、铜、</w:t>
            </w:r>
            <w:r>
              <w:rPr>
                <w:rFonts w:hint="default" w:ascii="Times New Roman" w:hAnsi="Times New Roman" w:eastAsia="宋体" w:cs="Times New Roman"/>
                <w:b w:val="0"/>
                <w:bCs w:val="0"/>
                <w:color w:val="auto"/>
                <w:sz w:val="20"/>
                <w:szCs w:val="20"/>
                <w:highlight w:val="none"/>
                <w:lang w:val="en-US" w:eastAsia="zh-CN"/>
              </w:rPr>
              <w:t>镍及其化合物，</w:t>
            </w:r>
            <w:r>
              <w:rPr>
                <w:rFonts w:hint="default" w:ascii="Times New Roman" w:hAnsi="Times New Roman" w:eastAsia="宋体" w:cs="Times New Roman"/>
                <w:b w:val="0"/>
                <w:bCs w:val="0"/>
                <w:color w:val="auto"/>
                <w:sz w:val="20"/>
                <w:szCs w:val="20"/>
                <w:highlight w:val="none"/>
              </w:rPr>
              <w:t>汞</w:t>
            </w:r>
            <w:r>
              <w:rPr>
                <w:rFonts w:hint="default" w:ascii="Times New Roman" w:hAnsi="Times New Roman" w:eastAsia="宋体" w:cs="Times New Roman"/>
                <w:b w:val="0"/>
                <w:bCs w:val="0"/>
                <w:color w:val="auto"/>
                <w:sz w:val="20"/>
                <w:szCs w:val="20"/>
                <w:highlight w:val="none"/>
                <w:lang w:val="en-US" w:eastAsia="zh-CN"/>
              </w:rPr>
              <w:t>及其化合物</w:t>
            </w:r>
            <w:r>
              <w:rPr>
                <w:rFonts w:hint="default" w:ascii="Times New Roman" w:hAnsi="Times New Roman" w:eastAsia="宋体" w:cs="Times New Roman"/>
                <w:b w:val="0"/>
                <w:bCs w:val="0"/>
                <w:color w:val="auto"/>
                <w:sz w:val="20"/>
                <w:szCs w:val="20"/>
                <w:highlight w:val="none"/>
                <w:lang w:eastAsia="zh-CN"/>
              </w:rPr>
              <w:t>，</w:t>
            </w:r>
            <w:r>
              <w:rPr>
                <w:rFonts w:hint="default" w:ascii="Times New Roman" w:hAnsi="Times New Roman" w:eastAsia="宋体" w:cs="Times New Roman"/>
                <w:b w:val="0"/>
                <w:bCs w:val="0"/>
                <w:color w:val="auto"/>
                <w:sz w:val="20"/>
                <w:szCs w:val="20"/>
                <w:highlight w:val="none"/>
              </w:rPr>
              <w:t>镉、铊</w:t>
            </w:r>
            <w:r>
              <w:rPr>
                <w:rFonts w:hint="default" w:ascii="Times New Roman" w:hAnsi="Times New Roman" w:eastAsia="宋体" w:cs="Times New Roman"/>
                <w:b w:val="0"/>
                <w:bCs w:val="0"/>
                <w:color w:val="auto"/>
                <w:sz w:val="20"/>
                <w:szCs w:val="20"/>
                <w:highlight w:val="none"/>
                <w:lang w:val="en-US" w:eastAsia="zh-CN"/>
              </w:rPr>
              <w:t>及其化合物</w:t>
            </w:r>
            <w:r>
              <w:rPr>
                <w:rFonts w:hint="default" w:ascii="Times New Roman" w:hAnsi="Times New Roman" w:cs="Times New Roman"/>
                <w:color w:val="auto"/>
                <w:spacing w:val="-1"/>
                <w:sz w:val="20"/>
                <w:szCs w:val="20"/>
                <w:highlight w:val="none"/>
                <w:lang w:eastAsia="zh-CN"/>
              </w:rPr>
              <w:t>，</w:t>
            </w:r>
            <w:r>
              <w:rPr>
                <w:rFonts w:hint="default" w:ascii="Times New Roman" w:hAnsi="Times New Roman" w:cs="Times New Roman"/>
                <w:color w:val="auto"/>
                <w:spacing w:val="-1"/>
                <w:sz w:val="20"/>
                <w:szCs w:val="20"/>
                <w:highlight w:val="none"/>
                <w:lang w:val="en-US" w:eastAsia="zh-CN"/>
              </w:rPr>
              <w:t>二噁英类，六价铬</w:t>
            </w:r>
          </w:p>
        </w:tc>
        <w:tc>
          <w:tcPr>
            <w:tcW w:w="2521" w:type="dxa"/>
            <w:tcBorders>
              <w:tl2br w:val="nil"/>
              <w:tr2bl w:val="nil"/>
            </w:tcBorders>
            <w:vAlign w:val="center"/>
          </w:tcPr>
          <w:p w14:paraId="7451493F">
            <w:pPr>
              <w:pStyle w:val="45"/>
              <w:keepNext w:val="0"/>
              <w:keepLines w:val="0"/>
              <w:suppressLineNumbers w:val="0"/>
              <w:spacing w:before="0" w:beforeAutospacing="0" w:after="0" w:afterAutospacing="0" w:line="240" w:lineRule="auto"/>
              <w:ind w:left="0" w:right="0"/>
              <w:jc w:val="both"/>
              <w:rPr>
                <w:rFonts w:hint="default" w:ascii="Times New Roman" w:hAnsi="Times New Roman" w:cs="Times New Roman"/>
                <w:b w:val="0"/>
                <w:bCs/>
                <w:color w:val="auto"/>
                <w:sz w:val="20"/>
                <w:szCs w:val="20"/>
                <w:highlight w:val="none"/>
                <w:vertAlign w:val="baseline"/>
                <w:lang w:val="en-US" w:eastAsia="zh-CN"/>
              </w:rPr>
            </w:pPr>
            <w:r>
              <w:rPr>
                <w:rFonts w:hint="default" w:ascii="Times New Roman" w:hAnsi="Times New Roman" w:cs="Times New Roman"/>
                <w:b w:val="0"/>
                <w:bCs/>
                <w:color w:val="auto"/>
                <w:sz w:val="20"/>
                <w:szCs w:val="20"/>
                <w:highlight w:val="none"/>
                <w:lang w:val="en-US" w:eastAsia="zh-CN"/>
              </w:rPr>
              <w:t>正常排放预测因子（SO</w:t>
            </w:r>
            <w:r>
              <w:rPr>
                <w:rFonts w:hint="default" w:ascii="Times New Roman" w:hAnsi="Times New Roman" w:cs="Times New Roman"/>
                <w:b w:val="0"/>
                <w:bCs/>
                <w:color w:val="auto"/>
                <w:sz w:val="20"/>
                <w:szCs w:val="20"/>
                <w:highlight w:val="none"/>
                <w:vertAlign w:val="subscript"/>
                <w:lang w:val="en-US" w:eastAsia="zh-CN"/>
              </w:rPr>
              <w:t>2</w:t>
            </w:r>
            <w:r>
              <w:rPr>
                <w:rFonts w:hint="default" w:ascii="Times New Roman" w:hAnsi="Times New Roman" w:cs="Times New Roman"/>
                <w:b w:val="0"/>
                <w:bCs/>
                <w:color w:val="auto"/>
                <w:sz w:val="20"/>
                <w:szCs w:val="20"/>
                <w:highlight w:val="none"/>
                <w:lang w:val="en-US" w:eastAsia="zh-CN"/>
              </w:rPr>
              <w:t>、NO</w:t>
            </w:r>
            <w:r>
              <w:rPr>
                <w:rFonts w:hint="default" w:ascii="Times New Roman" w:hAnsi="Times New Roman" w:cs="Times New Roman"/>
                <w:b w:val="0"/>
                <w:bCs/>
                <w:color w:val="auto"/>
                <w:sz w:val="20"/>
                <w:szCs w:val="20"/>
                <w:highlight w:val="none"/>
                <w:vertAlign w:val="subscript"/>
                <w:lang w:val="en-US" w:eastAsia="zh-CN"/>
              </w:rPr>
              <w:t>2</w:t>
            </w:r>
            <w:r>
              <w:rPr>
                <w:rFonts w:hint="default" w:ascii="Times New Roman" w:hAnsi="Times New Roman" w:cs="Times New Roman"/>
                <w:b w:val="0"/>
                <w:bCs/>
                <w:color w:val="auto"/>
                <w:sz w:val="20"/>
                <w:szCs w:val="20"/>
                <w:highlight w:val="none"/>
                <w:lang w:val="en-US" w:eastAsia="zh-CN"/>
              </w:rPr>
              <w:t>、PM</w:t>
            </w:r>
            <w:r>
              <w:rPr>
                <w:rFonts w:hint="default" w:ascii="Times New Roman" w:hAnsi="Times New Roman" w:cs="Times New Roman"/>
                <w:b w:val="0"/>
                <w:bCs/>
                <w:color w:val="auto"/>
                <w:sz w:val="20"/>
                <w:szCs w:val="20"/>
                <w:highlight w:val="none"/>
                <w:vertAlign w:val="subscript"/>
                <w:lang w:val="en-US" w:eastAsia="zh-CN"/>
              </w:rPr>
              <w:t>10</w:t>
            </w:r>
            <w:r>
              <w:rPr>
                <w:rFonts w:hint="default" w:ascii="Times New Roman" w:hAnsi="Times New Roman" w:cs="Times New Roman"/>
                <w:b w:val="0"/>
                <w:bCs/>
                <w:color w:val="auto"/>
                <w:sz w:val="20"/>
                <w:szCs w:val="20"/>
                <w:highlight w:val="none"/>
                <w:vertAlign w:val="baseline"/>
                <w:lang w:val="en-US" w:eastAsia="zh-CN"/>
              </w:rPr>
              <w:t>、CO、HCl、Pb、Hg、As、Cd、Mn、Cr</w:t>
            </w:r>
            <w:r>
              <w:rPr>
                <w:rFonts w:hint="default" w:ascii="Times New Roman" w:hAnsi="Times New Roman" w:cs="Times New Roman"/>
                <w:b w:val="0"/>
                <w:bCs/>
                <w:color w:val="auto"/>
                <w:sz w:val="20"/>
                <w:szCs w:val="20"/>
                <w:highlight w:val="none"/>
                <w:vertAlign w:val="superscript"/>
                <w:lang w:val="en-US" w:eastAsia="zh-CN"/>
              </w:rPr>
              <w:t>6+</w:t>
            </w:r>
            <w:r>
              <w:rPr>
                <w:rFonts w:hint="default" w:ascii="Times New Roman" w:hAnsi="Times New Roman" w:cs="Times New Roman"/>
                <w:b w:val="0"/>
                <w:bCs/>
                <w:color w:val="auto"/>
                <w:sz w:val="20"/>
                <w:szCs w:val="20"/>
                <w:highlight w:val="none"/>
                <w:vertAlign w:val="baseline"/>
                <w:lang w:val="en-US" w:eastAsia="zh-CN"/>
              </w:rPr>
              <w:t>、二噁英类、NH</w:t>
            </w:r>
            <w:r>
              <w:rPr>
                <w:rFonts w:hint="default" w:ascii="Times New Roman" w:hAnsi="Times New Roman" w:cs="Times New Roman"/>
                <w:b w:val="0"/>
                <w:bCs/>
                <w:color w:val="auto"/>
                <w:sz w:val="20"/>
                <w:szCs w:val="20"/>
                <w:highlight w:val="none"/>
                <w:vertAlign w:val="subscript"/>
                <w:lang w:val="en-US" w:eastAsia="zh-CN"/>
              </w:rPr>
              <w:t>3</w:t>
            </w:r>
            <w:r>
              <w:rPr>
                <w:rFonts w:hint="default" w:ascii="Times New Roman" w:hAnsi="Times New Roman" w:cs="Times New Roman"/>
                <w:b w:val="0"/>
                <w:bCs/>
                <w:color w:val="auto"/>
                <w:sz w:val="20"/>
                <w:szCs w:val="20"/>
                <w:highlight w:val="none"/>
                <w:vertAlign w:val="baseline"/>
                <w:lang w:val="en-US" w:eastAsia="zh-CN"/>
              </w:rPr>
              <w:t>、H</w:t>
            </w:r>
            <w:r>
              <w:rPr>
                <w:rFonts w:hint="default" w:ascii="Times New Roman" w:hAnsi="Times New Roman" w:cs="Times New Roman"/>
                <w:b w:val="0"/>
                <w:bCs/>
                <w:color w:val="auto"/>
                <w:sz w:val="20"/>
                <w:szCs w:val="20"/>
                <w:highlight w:val="none"/>
                <w:vertAlign w:val="subscript"/>
                <w:lang w:val="en-US" w:eastAsia="zh-CN"/>
              </w:rPr>
              <w:t>2</w:t>
            </w:r>
            <w:r>
              <w:rPr>
                <w:rFonts w:hint="default" w:ascii="Times New Roman" w:hAnsi="Times New Roman" w:cs="Times New Roman"/>
                <w:b w:val="0"/>
                <w:bCs/>
                <w:color w:val="auto"/>
                <w:sz w:val="20"/>
                <w:szCs w:val="20"/>
                <w:highlight w:val="none"/>
                <w:vertAlign w:val="baseline"/>
                <w:lang w:val="en-US" w:eastAsia="zh-CN"/>
              </w:rPr>
              <w:t>S、TVOC）</w:t>
            </w:r>
          </w:p>
          <w:p w14:paraId="57F7F7B3">
            <w:pPr>
              <w:pStyle w:val="45"/>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b w:val="0"/>
                <w:bCs/>
                <w:color w:val="auto"/>
                <w:sz w:val="20"/>
                <w:szCs w:val="20"/>
                <w:highlight w:val="none"/>
                <w:lang w:val="en-US" w:eastAsia="zh-CN"/>
              </w:rPr>
            </w:pPr>
            <w:r>
              <w:rPr>
                <w:rFonts w:hint="default" w:ascii="Times New Roman" w:hAnsi="Times New Roman" w:eastAsia="宋体" w:cs="Times New Roman"/>
                <w:b w:val="0"/>
                <w:bCs/>
                <w:color w:val="auto"/>
                <w:sz w:val="20"/>
                <w:szCs w:val="20"/>
                <w:highlight w:val="none"/>
                <w:vertAlign w:val="baseline"/>
                <w:lang w:val="en-US" w:eastAsia="zh-CN"/>
              </w:rPr>
              <w:t>非正常排放预测因子（SO</w:t>
            </w:r>
            <w:r>
              <w:rPr>
                <w:rFonts w:hint="default" w:ascii="Times New Roman" w:hAnsi="Times New Roman" w:eastAsia="宋体" w:cs="Times New Roman"/>
                <w:b w:val="0"/>
                <w:bCs/>
                <w:color w:val="auto"/>
                <w:sz w:val="20"/>
                <w:szCs w:val="20"/>
                <w:highlight w:val="none"/>
                <w:vertAlign w:val="subscript"/>
                <w:lang w:val="en-US" w:eastAsia="zh-CN"/>
              </w:rPr>
              <w:t>2</w:t>
            </w:r>
            <w:r>
              <w:rPr>
                <w:rFonts w:hint="default" w:ascii="Times New Roman" w:hAnsi="Times New Roman" w:eastAsia="宋体" w:cs="Times New Roman"/>
                <w:b w:val="0"/>
                <w:bCs/>
                <w:color w:val="auto"/>
                <w:sz w:val="20"/>
                <w:szCs w:val="20"/>
                <w:highlight w:val="none"/>
                <w:vertAlign w:val="baseline"/>
                <w:lang w:val="en-US" w:eastAsia="zh-CN"/>
              </w:rPr>
              <w:t>、NO</w:t>
            </w:r>
            <w:r>
              <w:rPr>
                <w:rFonts w:hint="default" w:ascii="Times New Roman" w:hAnsi="Times New Roman" w:eastAsia="宋体" w:cs="Times New Roman"/>
                <w:b w:val="0"/>
                <w:bCs/>
                <w:color w:val="auto"/>
                <w:sz w:val="20"/>
                <w:szCs w:val="20"/>
                <w:highlight w:val="none"/>
                <w:vertAlign w:val="subscript"/>
                <w:lang w:val="en-US" w:eastAsia="zh-CN"/>
              </w:rPr>
              <w:t>2</w:t>
            </w:r>
            <w:r>
              <w:rPr>
                <w:rFonts w:hint="default" w:ascii="Times New Roman" w:hAnsi="Times New Roman" w:eastAsia="宋体" w:cs="Times New Roman"/>
                <w:b w:val="0"/>
                <w:bCs/>
                <w:color w:val="auto"/>
                <w:sz w:val="20"/>
                <w:szCs w:val="20"/>
                <w:highlight w:val="none"/>
                <w:vertAlign w:val="baseline"/>
                <w:lang w:val="en-US" w:eastAsia="zh-CN"/>
              </w:rPr>
              <w:t>、颗粒物、H</w:t>
            </w:r>
            <w:r>
              <w:rPr>
                <w:rFonts w:hint="default" w:ascii="Times New Roman" w:hAnsi="Times New Roman" w:eastAsia="宋体" w:cs="Times New Roman"/>
                <w:b w:val="0"/>
                <w:bCs/>
                <w:color w:val="auto"/>
                <w:sz w:val="20"/>
                <w:szCs w:val="20"/>
                <w:highlight w:val="none"/>
                <w:vertAlign w:val="subscript"/>
                <w:lang w:val="en-US" w:eastAsia="zh-CN"/>
              </w:rPr>
              <w:t>2</w:t>
            </w:r>
            <w:r>
              <w:rPr>
                <w:rFonts w:hint="default" w:ascii="Times New Roman" w:hAnsi="Times New Roman" w:eastAsia="宋体" w:cs="Times New Roman"/>
                <w:b w:val="0"/>
                <w:bCs/>
                <w:color w:val="auto"/>
                <w:sz w:val="20"/>
                <w:szCs w:val="20"/>
                <w:highlight w:val="none"/>
                <w:vertAlign w:val="baseline"/>
                <w:lang w:val="en-US" w:eastAsia="zh-CN"/>
              </w:rPr>
              <w:t>S、NH</w:t>
            </w:r>
            <w:r>
              <w:rPr>
                <w:rFonts w:hint="default" w:ascii="Times New Roman" w:hAnsi="Times New Roman" w:eastAsia="宋体" w:cs="Times New Roman"/>
                <w:b w:val="0"/>
                <w:bCs/>
                <w:color w:val="auto"/>
                <w:sz w:val="20"/>
                <w:szCs w:val="20"/>
                <w:highlight w:val="none"/>
                <w:vertAlign w:val="subscript"/>
                <w:lang w:val="en-US" w:eastAsia="zh-CN"/>
              </w:rPr>
              <w:t>3</w:t>
            </w:r>
            <w:r>
              <w:rPr>
                <w:rFonts w:hint="default" w:ascii="Times New Roman" w:hAnsi="Times New Roman" w:eastAsia="宋体" w:cs="Times New Roman"/>
                <w:b w:val="0"/>
                <w:bCs/>
                <w:color w:val="auto"/>
                <w:sz w:val="20"/>
                <w:szCs w:val="20"/>
                <w:highlight w:val="none"/>
                <w:vertAlign w:val="baseline"/>
                <w:lang w:val="en-US" w:eastAsia="zh-CN"/>
              </w:rPr>
              <w:t xml:space="preserve"> 、HCl、TVOC 、Pb、 Hg、As、Cd 、Mn 、Cr</w:t>
            </w:r>
            <w:r>
              <w:rPr>
                <w:rFonts w:hint="default" w:ascii="Times New Roman" w:hAnsi="Times New Roman" w:eastAsia="宋体" w:cs="Times New Roman"/>
                <w:b w:val="0"/>
                <w:bCs/>
                <w:color w:val="auto"/>
                <w:sz w:val="20"/>
                <w:szCs w:val="20"/>
                <w:highlight w:val="none"/>
                <w:vertAlign w:val="superscript"/>
                <w:lang w:val="en-US" w:eastAsia="zh-CN"/>
              </w:rPr>
              <w:t>6+</w:t>
            </w:r>
            <w:r>
              <w:rPr>
                <w:rFonts w:hint="default" w:ascii="Times New Roman" w:hAnsi="Times New Roman" w:eastAsia="宋体" w:cs="Times New Roman"/>
                <w:b w:val="0"/>
                <w:bCs/>
                <w:color w:val="auto"/>
                <w:sz w:val="20"/>
                <w:szCs w:val="20"/>
                <w:highlight w:val="none"/>
                <w:vertAlign w:val="baseline"/>
                <w:lang w:val="en-US" w:eastAsia="zh-CN"/>
              </w:rPr>
              <w:t>、二噁英类）</w:t>
            </w:r>
          </w:p>
        </w:tc>
      </w:tr>
      <w:tr w14:paraId="2A8BF50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488" w:type="dxa"/>
            <w:tcBorders>
              <w:tl2br w:val="nil"/>
              <w:tr2bl w:val="nil"/>
            </w:tcBorders>
            <w:vAlign w:val="center"/>
          </w:tcPr>
          <w:p w14:paraId="6339D17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地表水环境</w:t>
            </w:r>
          </w:p>
        </w:tc>
        <w:tc>
          <w:tcPr>
            <w:tcW w:w="5061" w:type="dxa"/>
            <w:tcBorders>
              <w:tl2br w:val="nil"/>
              <w:tr2bl w:val="nil"/>
            </w:tcBorders>
            <w:vAlign w:val="center"/>
          </w:tcPr>
          <w:p w14:paraId="2BE8171A">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Cs/>
                <w:color w:val="auto"/>
                <w:sz w:val="20"/>
                <w:szCs w:val="20"/>
                <w:highlight w:val="none"/>
                <w:lang w:eastAsia="zh-CN"/>
              </w:rPr>
            </w:pPr>
            <w:r>
              <w:rPr>
                <w:rFonts w:hint="default" w:ascii="Times New Roman" w:hAnsi="Times New Roman" w:eastAsia="宋体" w:cs="Times New Roman"/>
                <w:color w:val="auto"/>
                <w:sz w:val="20"/>
                <w:szCs w:val="20"/>
                <w:highlight w:val="none"/>
              </w:rPr>
              <w:t>pH、COD、BOD</w:t>
            </w:r>
            <w:r>
              <w:rPr>
                <w:rFonts w:hint="default" w:ascii="Times New Roman" w:hAnsi="Times New Roman" w:eastAsia="宋体" w:cs="Times New Roman"/>
                <w:color w:val="auto"/>
                <w:sz w:val="20"/>
                <w:szCs w:val="20"/>
                <w:highlight w:val="none"/>
                <w:vertAlign w:val="subscript"/>
              </w:rPr>
              <w:t>5</w:t>
            </w:r>
            <w:r>
              <w:rPr>
                <w:rFonts w:hint="default" w:ascii="Times New Roman" w:hAnsi="Times New Roman" w:eastAsia="宋体" w:cs="Times New Roman"/>
                <w:color w:val="auto"/>
                <w:sz w:val="20"/>
                <w:szCs w:val="20"/>
                <w:highlight w:val="none"/>
              </w:rPr>
              <w:t>、悬浮物、</w:t>
            </w:r>
            <w:r>
              <w:rPr>
                <w:rFonts w:hint="default" w:ascii="Times New Roman" w:hAnsi="Times New Roman" w:eastAsia="宋体" w:cs="Times New Roman"/>
                <w:color w:val="auto"/>
                <w:sz w:val="20"/>
                <w:szCs w:val="20"/>
                <w:highlight w:val="none"/>
                <w:lang w:eastAsia="zh-CN"/>
              </w:rPr>
              <w:t>总氮、</w:t>
            </w:r>
            <w:r>
              <w:rPr>
                <w:rFonts w:hint="default" w:ascii="Times New Roman" w:hAnsi="Times New Roman" w:eastAsia="宋体" w:cs="Times New Roman"/>
                <w:color w:val="auto"/>
                <w:sz w:val="20"/>
                <w:szCs w:val="20"/>
                <w:highlight w:val="none"/>
              </w:rPr>
              <w:t>氨氮、总磷、</w:t>
            </w:r>
            <w:r>
              <w:rPr>
                <w:rFonts w:hint="default" w:ascii="Times New Roman" w:hAnsi="Times New Roman" w:eastAsia="宋体" w:cs="Times New Roman"/>
                <w:color w:val="auto"/>
                <w:sz w:val="20"/>
                <w:szCs w:val="20"/>
                <w:highlight w:val="none"/>
                <w:lang w:val="en-US" w:eastAsia="zh-CN"/>
              </w:rPr>
              <w:t>粪大肠菌群、</w:t>
            </w:r>
            <w:r>
              <w:rPr>
                <w:rFonts w:hint="default" w:ascii="Times New Roman" w:hAnsi="Times New Roman" w:eastAsia="宋体" w:cs="Times New Roman"/>
                <w:color w:val="auto"/>
                <w:sz w:val="20"/>
                <w:szCs w:val="20"/>
                <w:highlight w:val="none"/>
              </w:rPr>
              <w:t>硫化物、</w:t>
            </w:r>
            <w:r>
              <w:rPr>
                <w:rFonts w:hint="default" w:ascii="Times New Roman" w:hAnsi="Times New Roman" w:eastAsia="宋体" w:cs="Times New Roman"/>
                <w:color w:val="auto"/>
                <w:sz w:val="20"/>
                <w:szCs w:val="20"/>
                <w:highlight w:val="none"/>
                <w:lang w:val="en-US" w:eastAsia="zh-CN"/>
              </w:rPr>
              <w:t>石油类</w:t>
            </w:r>
            <w:r>
              <w:rPr>
                <w:rFonts w:hint="default" w:ascii="Times New Roman" w:hAnsi="Times New Roman" w:eastAsia="宋体" w:cs="Times New Roman"/>
                <w:color w:val="auto"/>
                <w:sz w:val="20"/>
                <w:szCs w:val="20"/>
                <w:highlight w:val="none"/>
                <w:lang w:eastAsia="zh-CN"/>
              </w:rPr>
              <w:t>、</w:t>
            </w:r>
            <w:r>
              <w:rPr>
                <w:rFonts w:hint="default" w:ascii="Times New Roman" w:hAnsi="Times New Roman" w:eastAsia="宋体" w:cs="Times New Roman"/>
                <w:color w:val="auto"/>
                <w:sz w:val="20"/>
                <w:szCs w:val="20"/>
                <w:highlight w:val="none"/>
                <w:lang w:val="en-US" w:eastAsia="zh-CN"/>
              </w:rPr>
              <w:t>汞、镉、铬、六价铬、砷、铅、色度、水温</w:t>
            </w:r>
          </w:p>
        </w:tc>
        <w:tc>
          <w:tcPr>
            <w:tcW w:w="2521" w:type="dxa"/>
            <w:tcBorders>
              <w:tl2br w:val="nil"/>
              <w:tr2bl w:val="nil"/>
            </w:tcBorders>
            <w:vAlign w:val="center"/>
          </w:tcPr>
          <w:p w14:paraId="02BADF59">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b w:val="0"/>
                <w:bCs/>
                <w:color w:val="auto"/>
                <w:sz w:val="20"/>
                <w:szCs w:val="20"/>
                <w:highlight w:val="none"/>
                <w:lang w:val="pt-BR"/>
              </w:rPr>
            </w:pPr>
            <w:r>
              <w:rPr>
                <w:rFonts w:hint="default" w:ascii="Times New Roman" w:hAnsi="Times New Roman" w:eastAsia="宋体" w:cs="Times New Roman"/>
                <w:b w:val="0"/>
                <w:bCs/>
                <w:color w:val="auto"/>
                <w:sz w:val="20"/>
                <w:szCs w:val="20"/>
                <w:highlight w:val="none"/>
                <w:lang w:val="pt-BR"/>
              </w:rPr>
              <w:t>简单分析</w:t>
            </w:r>
          </w:p>
        </w:tc>
      </w:tr>
      <w:tr w14:paraId="67EC210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488" w:type="dxa"/>
            <w:tcBorders>
              <w:tl2br w:val="nil"/>
              <w:tr2bl w:val="nil"/>
            </w:tcBorders>
            <w:vAlign w:val="center"/>
          </w:tcPr>
          <w:p w14:paraId="19FF2F6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地下水环境</w:t>
            </w:r>
          </w:p>
        </w:tc>
        <w:tc>
          <w:tcPr>
            <w:tcW w:w="5061" w:type="dxa"/>
            <w:tcBorders>
              <w:tl2br w:val="nil"/>
              <w:tr2bl w:val="nil"/>
            </w:tcBorders>
            <w:vAlign w:val="center"/>
          </w:tcPr>
          <w:p w14:paraId="6B5C94B7">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eastAsia="zh-CN"/>
              </w:rPr>
            </w:pPr>
            <w:r>
              <w:rPr>
                <w:rFonts w:hint="default" w:ascii="Times New Roman" w:hAnsi="Times New Roman" w:cs="Times New Roman"/>
                <w:color w:val="auto"/>
                <w:sz w:val="20"/>
                <w:szCs w:val="20"/>
                <w:highlight w:val="none"/>
              </w:rPr>
              <w:t>K</w:t>
            </w:r>
            <w:r>
              <w:rPr>
                <w:rFonts w:hint="default" w:ascii="Times New Roman" w:hAnsi="Times New Roman" w:cs="Times New Roman"/>
                <w:color w:val="auto"/>
                <w:sz w:val="20"/>
                <w:szCs w:val="20"/>
                <w:highlight w:val="none"/>
                <w:vertAlign w:val="superscript"/>
              </w:rPr>
              <w:t>+</w:t>
            </w:r>
            <w:r>
              <w:rPr>
                <w:rFonts w:hint="default" w:ascii="Times New Roman" w:hAnsi="Times New Roman" w:cs="Times New Roman"/>
                <w:color w:val="auto"/>
                <w:sz w:val="20"/>
                <w:szCs w:val="20"/>
                <w:highlight w:val="none"/>
              </w:rPr>
              <w:t>、Na</w:t>
            </w:r>
            <w:r>
              <w:rPr>
                <w:rFonts w:hint="default" w:ascii="Times New Roman" w:hAnsi="Times New Roman" w:cs="Times New Roman"/>
                <w:color w:val="auto"/>
                <w:sz w:val="20"/>
                <w:szCs w:val="20"/>
                <w:highlight w:val="none"/>
                <w:vertAlign w:val="superscript"/>
              </w:rPr>
              <w:t>+</w:t>
            </w:r>
            <w:r>
              <w:rPr>
                <w:rFonts w:hint="default" w:ascii="Times New Roman" w:hAnsi="Times New Roman" w:cs="Times New Roman"/>
                <w:color w:val="auto"/>
                <w:sz w:val="20"/>
                <w:szCs w:val="20"/>
                <w:highlight w:val="none"/>
              </w:rPr>
              <w:t>、Ca</w:t>
            </w:r>
            <w:r>
              <w:rPr>
                <w:rFonts w:hint="default" w:ascii="Times New Roman" w:hAnsi="Times New Roman" w:cs="Times New Roman"/>
                <w:color w:val="auto"/>
                <w:sz w:val="20"/>
                <w:szCs w:val="20"/>
                <w:highlight w:val="none"/>
                <w:vertAlign w:val="superscript"/>
              </w:rPr>
              <w:t>2+</w:t>
            </w:r>
            <w:r>
              <w:rPr>
                <w:rFonts w:hint="default" w:ascii="Times New Roman" w:hAnsi="Times New Roman" w:cs="Times New Roman"/>
                <w:color w:val="auto"/>
                <w:sz w:val="20"/>
                <w:szCs w:val="20"/>
                <w:highlight w:val="none"/>
              </w:rPr>
              <w:t>、Mg</w:t>
            </w:r>
            <w:r>
              <w:rPr>
                <w:rFonts w:hint="default" w:ascii="Times New Roman" w:hAnsi="Times New Roman" w:cs="Times New Roman"/>
                <w:color w:val="auto"/>
                <w:sz w:val="20"/>
                <w:szCs w:val="20"/>
                <w:highlight w:val="none"/>
                <w:vertAlign w:val="superscript"/>
              </w:rPr>
              <w:t>2+</w:t>
            </w:r>
            <w:r>
              <w:rPr>
                <w:rFonts w:hint="default" w:ascii="Times New Roman" w:hAnsi="Times New Roman" w:cs="Times New Roman"/>
                <w:color w:val="auto"/>
                <w:sz w:val="20"/>
                <w:szCs w:val="20"/>
                <w:highlight w:val="none"/>
              </w:rPr>
              <w:t>、CO</w:t>
            </w:r>
            <w:r>
              <w:rPr>
                <w:rFonts w:hint="default" w:ascii="Times New Roman" w:hAnsi="Times New Roman" w:cs="Times New Roman"/>
                <w:color w:val="auto"/>
                <w:sz w:val="20"/>
                <w:szCs w:val="20"/>
                <w:highlight w:val="none"/>
                <w:vertAlign w:val="subscript"/>
              </w:rPr>
              <w:t>3</w:t>
            </w:r>
            <w:r>
              <w:rPr>
                <w:rFonts w:hint="default" w:ascii="Times New Roman" w:hAnsi="Times New Roman" w:cs="Times New Roman"/>
                <w:color w:val="auto"/>
                <w:sz w:val="20"/>
                <w:szCs w:val="20"/>
                <w:highlight w:val="none"/>
                <w:vertAlign w:val="superscript"/>
              </w:rPr>
              <w:t>2-</w:t>
            </w:r>
            <w:r>
              <w:rPr>
                <w:rFonts w:hint="default" w:ascii="Times New Roman" w:hAnsi="Times New Roman" w:cs="Times New Roman"/>
                <w:color w:val="auto"/>
                <w:sz w:val="20"/>
                <w:szCs w:val="20"/>
                <w:highlight w:val="none"/>
              </w:rPr>
              <w:t>、HCO</w:t>
            </w:r>
            <w:r>
              <w:rPr>
                <w:rFonts w:hint="default" w:ascii="Times New Roman" w:hAnsi="Times New Roman" w:cs="Times New Roman"/>
                <w:color w:val="auto"/>
                <w:sz w:val="20"/>
                <w:szCs w:val="20"/>
                <w:highlight w:val="none"/>
                <w:vertAlign w:val="subscript"/>
              </w:rPr>
              <w:t>3</w:t>
            </w:r>
            <w:r>
              <w:rPr>
                <w:rFonts w:hint="default" w:ascii="Times New Roman" w:hAnsi="Times New Roman" w:cs="Times New Roman"/>
                <w:color w:val="auto"/>
                <w:sz w:val="20"/>
                <w:szCs w:val="20"/>
                <w:highlight w:val="none"/>
                <w:vertAlign w:val="superscript"/>
              </w:rPr>
              <w:t>-</w:t>
            </w:r>
            <w:r>
              <w:rPr>
                <w:rFonts w:hint="default" w:ascii="Times New Roman" w:hAnsi="Times New Roman" w:cs="Times New Roman"/>
                <w:color w:val="auto"/>
                <w:sz w:val="20"/>
                <w:szCs w:val="20"/>
                <w:highlight w:val="none"/>
              </w:rPr>
              <w:t>、Cl</w:t>
            </w:r>
            <w:r>
              <w:rPr>
                <w:rFonts w:hint="default" w:ascii="Times New Roman" w:hAnsi="Times New Roman" w:cs="Times New Roman"/>
                <w:color w:val="auto"/>
                <w:sz w:val="20"/>
                <w:szCs w:val="20"/>
                <w:highlight w:val="none"/>
                <w:vertAlign w:val="superscript"/>
              </w:rPr>
              <w:t>-</w:t>
            </w:r>
            <w:r>
              <w:rPr>
                <w:rFonts w:hint="default" w:ascii="Times New Roman" w:hAnsi="Times New Roman" w:cs="Times New Roman"/>
                <w:color w:val="auto"/>
                <w:sz w:val="20"/>
                <w:szCs w:val="20"/>
                <w:highlight w:val="none"/>
              </w:rPr>
              <w:t>、SO</w:t>
            </w:r>
            <w:r>
              <w:rPr>
                <w:rFonts w:hint="default" w:ascii="Times New Roman" w:hAnsi="Times New Roman" w:cs="Times New Roman"/>
                <w:color w:val="auto"/>
                <w:sz w:val="20"/>
                <w:szCs w:val="20"/>
                <w:highlight w:val="none"/>
                <w:vertAlign w:val="subscript"/>
              </w:rPr>
              <w:t>4</w:t>
            </w:r>
            <w:r>
              <w:rPr>
                <w:rFonts w:hint="default" w:ascii="Times New Roman" w:hAnsi="Times New Roman" w:cs="Times New Roman"/>
                <w:color w:val="auto"/>
                <w:sz w:val="20"/>
                <w:szCs w:val="20"/>
                <w:highlight w:val="none"/>
                <w:vertAlign w:val="superscript"/>
              </w:rPr>
              <w:t>2-</w:t>
            </w:r>
            <w:r>
              <w:rPr>
                <w:rFonts w:hint="default" w:ascii="Times New Roman" w:hAnsi="Times New Roman" w:cs="Times New Roman"/>
                <w:color w:val="auto"/>
                <w:sz w:val="20"/>
                <w:szCs w:val="20"/>
                <w:highlight w:val="none"/>
              </w:rPr>
              <w:t>、pH、氨氮、硝酸盐、亚硝酸盐、挥发性酚类、氰化物、砷、汞、铬（六价）、总硬度、铅、氟、镉、铁、锰、溶解性总固体、耗氧量、硫酸盐、氯化物、总大肠菌群、细菌总数</w:t>
            </w:r>
            <w:r>
              <w:rPr>
                <w:rFonts w:hint="default" w:ascii="Times New Roman" w:hAnsi="Times New Roman" w:cs="Times New Roman"/>
                <w:color w:val="auto"/>
                <w:sz w:val="20"/>
                <w:szCs w:val="20"/>
                <w:highlight w:val="none"/>
                <w:lang w:eastAsia="zh-CN"/>
              </w:rPr>
              <w:t>；</w:t>
            </w:r>
          </w:p>
          <w:p w14:paraId="0F4A996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cs="Times New Roman"/>
                <w:color w:val="auto"/>
                <w:sz w:val="20"/>
                <w:szCs w:val="20"/>
                <w:highlight w:val="none"/>
                <w:lang w:val="en-US" w:eastAsia="zh-CN"/>
              </w:rPr>
              <w:t>色度、</w:t>
            </w:r>
            <w:r>
              <w:rPr>
                <w:rFonts w:hint="default" w:ascii="Times New Roman" w:hAnsi="Times New Roman" w:cs="Times New Roman"/>
                <w:color w:val="auto"/>
                <w:sz w:val="20"/>
                <w:szCs w:val="20"/>
                <w:highlight w:val="none"/>
              </w:rPr>
              <w:t>阴离子表面活性剂、硫化物、</w:t>
            </w:r>
            <w:r>
              <w:rPr>
                <w:rFonts w:hint="default" w:ascii="Times New Roman" w:hAnsi="Times New Roman" w:cs="Times New Roman"/>
                <w:color w:val="auto"/>
                <w:sz w:val="20"/>
                <w:szCs w:val="20"/>
                <w:highlight w:val="none"/>
                <w:lang w:val="en-US" w:eastAsia="zh-CN"/>
              </w:rPr>
              <w:t>挥发性酚类</w:t>
            </w:r>
            <w:r>
              <w:rPr>
                <w:rFonts w:hint="default" w:ascii="Times New Roman" w:hAnsi="Times New Roman" w:eastAsia="宋体" w:cs="Times New Roman"/>
                <w:b w:val="0"/>
                <w:bCs w:val="0"/>
                <w:color w:val="auto"/>
                <w:sz w:val="20"/>
                <w:szCs w:val="20"/>
                <w:highlight w:val="none"/>
                <w:lang w:eastAsia="zh-CN"/>
              </w:rPr>
              <w:t>、</w:t>
            </w:r>
            <w:r>
              <w:rPr>
                <w:rFonts w:hint="default" w:ascii="Times New Roman" w:hAnsi="Times New Roman" w:cs="Times New Roman"/>
                <w:color w:val="auto"/>
                <w:sz w:val="20"/>
                <w:szCs w:val="20"/>
                <w:highlight w:val="none"/>
              </w:rPr>
              <w:t>苯、甲苯</w:t>
            </w:r>
            <w:r>
              <w:rPr>
                <w:rFonts w:hint="default" w:ascii="Times New Roman" w:hAnsi="Times New Roman" w:eastAsia="宋体" w:cs="Times New Roman"/>
                <w:color w:val="auto"/>
                <w:sz w:val="20"/>
                <w:szCs w:val="20"/>
                <w:highlight w:val="none"/>
              </w:rPr>
              <w:t>、锑、钴、铜、</w:t>
            </w:r>
            <w:r>
              <w:rPr>
                <w:rFonts w:hint="default" w:ascii="Times New Roman" w:hAnsi="Times New Roman" w:eastAsia="宋体" w:cs="Times New Roman"/>
                <w:color w:val="auto"/>
                <w:sz w:val="20"/>
                <w:szCs w:val="20"/>
                <w:highlight w:val="none"/>
                <w:lang w:val="en-US" w:eastAsia="zh-CN"/>
              </w:rPr>
              <w:t>镍；</w:t>
            </w:r>
            <w:r>
              <w:rPr>
                <w:rFonts w:hint="default" w:ascii="Times New Roman" w:hAnsi="Times New Roman" w:eastAsia="宋体" w:cs="Times New Roman"/>
                <w:color w:val="auto"/>
                <w:sz w:val="20"/>
                <w:szCs w:val="20"/>
                <w:highlight w:val="none"/>
              </w:rPr>
              <w:t>铊</w:t>
            </w:r>
            <w:r>
              <w:rPr>
                <w:rFonts w:hint="default" w:ascii="Times New Roman" w:hAnsi="Times New Roman" w:eastAsia="宋体" w:cs="Times New Roman"/>
                <w:color w:val="auto"/>
                <w:sz w:val="20"/>
                <w:szCs w:val="20"/>
                <w:highlight w:val="none"/>
                <w:lang w:eastAsia="zh-CN"/>
              </w:rPr>
              <w:t>、</w:t>
            </w:r>
            <w:r>
              <w:rPr>
                <w:rFonts w:hint="default" w:ascii="Times New Roman" w:hAnsi="Times New Roman" w:eastAsia="宋体" w:cs="Times New Roman"/>
                <w:color w:val="auto"/>
                <w:sz w:val="20"/>
                <w:szCs w:val="20"/>
                <w:highlight w:val="none"/>
              </w:rPr>
              <w:t>石油类</w:t>
            </w:r>
          </w:p>
        </w:tc>
        <w:tc>
          <w:tcPr>
            <w:tcW w:w="2521" w:type="dxa"/>
            <w:tcBorders>
              <w:tl2br w:val="nil"/>
              <w:tr2bl w:val="nil"/>
            </w:tcBorders>
            <w:vAlign w:val="center"/>
          </w:tcPr>
          <w:p w14:paraId="1EAA253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COD、NH</w:t>
            </w:r>
            <w:r>
              <w:rPr>
                <w:rFonts w:hint="default" w:ascii="Times New Roman" w:hAnsi="Times New Roman" w:eastAsia="宋体" w:cs="Times New Roman"/>
                <w:color w:val="auto"/>
                <w:sz w:val="20"/>
                <w:szCs w:val="20"/>
                <w:highlight w:val="none"/>
                <w:vertAlign w:val="subscript"/>
                <w:lang w:val="en-US" w:eastAsia="zh-CN"/>
              </w:rPr>
              <w:t>3</w:t>
            </w:r>
            <w:r>
              <w:rPr>
                <w:rFonts w:hint="default" w:ascii="Times New Roman" w:hAnsi="Times New Roman" w:eastAsia="宋体" w:cs="Times New Roman"/>
                <w:color w:val="auto"/>
                <w:sz w:val="20"/>
                <w:szCs w:val="20"/>
                <w:highlight w:val="none"/>
                <w:lang w:val="en-US" w:eastAsia="zh-CN"/>
              </w:rPr>
              <w:t>-N</w:t>
            </w:r>
          </w:p>
        </w:tc>
      </w:tr>
      <w:tr w14:paraId="67DE0D8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488" w:type="dxa"/>
            <w:tcBorders>
              <w:tl2br w:val="nil"/>
              <w:tr2bl w:val="nil"/>
            </w:tcBorders>
            <w:vAlign w:val="center"/>
          </w:tcPr>
          <w:p w14:paraId="792AD40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声环境</w:t>
            </w:r>
          </w:p>
        </w:tc>
        <w:tc>
          <w:tcPr>
            <w:tcW w:w="5061" w:type="dxa"/>
            <w:tcBorders>
              <w:tl2br w:val="nil"/>
              <w:tr2bl w:val="nil"/>
            </w:tcBorders>
            <w:vAlign w:val="center"/>
          </w:tcPr>
          <w:p w14:paraId="3FF99C1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val="en-US" w:eastAsia="zh-CN"/>
              </w:rPr>
              <w:t>等效连续 A 声级</w:t>
            </w:r>
          </w:p>
        </w:tc>
        <w:tc>
          <w:tcPr>
            <w:tcW w:w="2521" w:type="dxa"/>
            <w:tcBorders>
              <w:tl2br w:val="nil"/>
              <w:tr2bl w:val="nil"/>
            </w:tcBorders>
            <w:vAlign w:val="center"/>
          </w:tcPr>
          <w:p w14:paraId="47F0CF9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val="en-US" w:eastAsia="zh-CN"/>
              </w:rPr>
              <w:t>等效连续 A 声级</w:t>
            </w:r>
          </w:p>
        </w:tc>
      </w:tr>
      <w:tr w14:paraId="79A58E2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488" w:type="dxa"/>
            <w:tcBorders>
              <w:tl2br w:val="nil"/>
              <w:tr2bl w:val="nil"/>
            </w:tcBorders>
            <w:vAlign w:val="center"/>
          </w:tcPr>
          <w:p w14:paraId="2199545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固体废物</w:t>
            </w:r>
          </w:p>
        </w:tc>
        <w:tc>
          <w:tcPr>
            <w:tcW w:w="5061" w:type="dxa"/>
            <w:tcBorders>
              <w:tl2br w:val="nil"/>
              <w:tr2bl w:val="nil"/>
            </w:tcBorders>
            <w:vAlign w:val="center"/>
          </w:tcPr>
          <w:p w14:paraId="4315110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521" w:type="dxa"/>
            <w:tcBorders>
              <w:tl2br w:val="nil"/>
              <w:tr2bl w:val="nil"/>
            </w:tcBorders>
            <w:vAlign w:val="center"/>
          </w:tcPr>
          <w:p w14:paraId="595AE99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固体废物的产生、处理或处理方式、去向</w:t>
            </w:r>
          </w:p>
        </w:tc>
      </w:tr>
      <w:tr w14:paraId="4ACCA62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488" w:type="dxa"/>
            <w:tcBorders>
              <w:tl2br w:val="nil"/>
              <w:tr2bl w:val="nil"/>
            </w:tcBorders>
            <w:vAlign w:val="center"/>
          </w:tcPr>
          <w:p w14:paraId="53CC3AE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土壤环境</w:t>
            </w:r>
          </w:p>
        </w:tc>
        <w:tc>
          <w:tcPr>
            <w:tcW w:w="5061" w:type="dxa"/>
            <w:tcBorders>
              <w:tl2br w:val="nil"/>
              <w:tr2bl w:val="nil"/>
            </w:tcBorders>
            <w:vAlign w:val="center"/>
          </w:tcPr>
          <w:p w14:paraId="3F9F4CA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土壤45项基本因子</w:t>
            </w:r>
            <w:r>
              <w:rPr>
                <w:rFonts w:hint="default"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lang w:val="en-US" w:eastAsia="zh-CN"/>
              </w:rPr>
              <w:t>铬、锌、</w:t>
            </w:r>
            <w:r>
              <w:rPr>
                <w:rFonts w:hint="default" w:ascii="Times New Roman" w:hAnsi="Times New Roman" w:eastAsia="宋体" w:cs="Times New Roman"/>
                <w:color w:val="auto"/>
                <w:sz w:val="20"/>
                <w:szCs w:val="20"/>
                <w:highlight w:val="none"/>
                <w:lang w:val="en-US" w:eastAsia="zh-CN"/>
              </w:rPr>
              <w:t>氯化物</w:t>
            </w:r>
            <w:r>
              <w:rPr>
                <w:rFonts w:hint="default" w:ascii="Times New Roman" w:hAnsi="Times New Roman" w:cs="Times New Roman"/>
                <w:color w:val="auto"/>
                <w:sz w:val="20"/>
                <w:szCs w:val="20"/>
                <w:highlight w:val="none"/>
                <w:lang w:val="en-US" w:eastAsia="zh-CN"/>
              </w:rPr>
              <w:t>、硫化物、</w:t>
            </w:r>
            <w:r>
              <w:rPr>
                <w:rFonts w:hint="default" w:ascii="Times New Roman" w:hAnsi="Times New Roman" w:eastAsia="宋体" w:cs="Times New Roman"/>
                <w:b w:val="0"/>
                <w:bCs w:val="0"/>
                <w:color w:val="auto"/>
                <w:sz w:val="20"/>
                <w:szCs w:val="20"/>
                <w:highlight w:val="none"/>
              </w:rPr>
              <w:t>锑、钴、</w:t>
            </w:r>
            <w:r>
              <w:rPr>
                <w:rFonts w:hint="default" w:ascii="Times New Roman" w:hAnsi="Times New Roman" w:cs="Times New Roman"/>
                <w:color w:val="auto"/>
                <w:sz w:val="20"/>
                <w:szCs w:val="20"/>
                <w:highlight w:val="none"/>
                <w:lang w:val="en-US" w:eastAsia="zh-CN"/>
              </w:rPr>
              <w:t>二噁英类、石油烃（C10~40）、锰、</w:t>
            </w:r>
            <w:r>
              <w:rPr>
                <w:rFonts w:hint="default" w:ascii="Times New Roman" w:hAnsi="Times New Roman" w:eastAsia="宋体" w:cs="Times New Roman"/>
                <w:b w:val="0"/>
                <w:bCs w:val="0"/>
                <w:color w:val="auto"/>
                <w:sz w:val="20"/>
                <w:szCs w:val="20"/>
                <w:highlight w:val="none"/>
              </w:rPr>
              <w:t>铊</w:t>
            </w:r>
            <w:r>
              <w:rPr>
                <w:rFonts w:hint="default" w:ascii="Times New Roman" w:hAnsi="Times New Roman" w:cs="Times New Roman"/>
                <w:color w:val="auto"/>
                <w:sz w:val="20"/>
                <w:szCs w:val="20"/>
                <w:highlight w:val="none"/>
                <w:lang w:bidi="ar"/>
              </w:rPr>
              <w:t>、</w:t>
            </w:r>
            <w:r>
              <w:rPr>
                <w:rFonts w:hint="default" w:ascii="Times New Roman" w:hAnsi="Times New Roman" w:cs="Times New Roman"/>
                <w:color w:val="auto"/>
                <w:sz w:val="20"/>
                <w:szCs w:val="20"/>
                <w:highlight w:val="none"/>
                <w:lang w:val="en-US" w:eastAsia="zh-CN"/>
              </w:rPr>
              <w:t>氟化物、pH、土壤盐分含量</w:t>
            </w:r>
          </w:p>
        </w:tc>
        <w:tc>
          <w:tcPr>
            <w:tcW w:w="2521" w:type="dxa"/>
            <w:tcBorders>
              <w:tl2br w:val="nil"/>
              <w:tr2bl w:val="nil"/>
            </w:tcBorders>
            <w:vAlign w:val="center"/>
          </w:tcPr>
          <w:p w14:paraId="72C9376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对环境要素（地下水、环境空气、地表水）的影响</w:t>
            </w:r>
          </w:p>
        </w:tc>
      </w:tr>
      <w:tr w14:paraId="7FB7BC0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jc w:val="center"/>
        </w:trPr>
        <w:tc>
          <w:tcPr>
            <w:tcW w:w="1488" w:type="dxa"/>
            <w:tcBorders>
              <w:tl2br w:val="nil"/>
              <w:tr2bl w:val="nil"/>
            </w:tcBorders>
            <w:vAlign w:val="center"/>
          </w:tcPr>
          <w:p w14:paraId="67986CE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eastAsia="zh-CN"/>
              </w:rPr>
              <w:t>生态</w:t>
            </w:r>
          </w:p>
        </w:tc>
        <w:tc>
          <w:tcPr>
            <w:tcW w:w="7582" w:type="dxa"/>
            <w:gridSpan w:val="2"/>
            <w:tcBorders>
              <w:tl2br w:val="nil"/>
              <w:tr2bl w:val="nil"/>
            </w:tcBorders>
            <w:vAlign w:val="center"/>
          </w:tcPr>
          <w:p w14:paraId="5AAB1B3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土地利用类型、植被类型、野生动植物</w:t>
            </w:r>
          </w:p>
        </w:tc>
      </w:tr>
    </w:tbl>
    <w:p w14:paraId="2C57346E">
      <w:pPr>
        <w:pStyle w:val="3"/>
        <w:spacing w:before="156" w:after="156"/>
        <w:rPr>
          <w:rFonts w:hint="default" w:ascii="Times New Roman" w:hAnsi="Times New Roman" w:cs="Times New Roman"/>
          <w:color w:val="auto"/>
          <w:highlight w:val="none"/>
        </w:rPr>
      </w:pPr>
      <w:bookmarkStart w:id="34" w:name="_Toc10267"/>
      <w:bookmarkStart w:id="35" w:name="_Toc20019"/>
      <w:bookmarkStart w:id="36" w:name="_Toc7760"/>
      <w:r>
        <w:rPr>
          <w:rFonts w:hint="default" w:ascii="Times New Roman" w:hAnsi="Times New Roman" w:cs="Times New Roman"/>
          <w:color w:val="auto"/>
          <w:highlight w:val="none"/>
        </w:rPr>
        <w:t>评价标准</w:t>
      </w:r>
      <w:bookmarkEnd w:id="34"/>
      <w:bookmarkEnd w:id="35"/>
      <w:bookmarkEnd w:id="36"/>
    </w:p>
    <w:p w14:paraId="46ECED09">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环境功能区划</w:t>
      </w:r>
    </w:p>
    <w:p w14:paraId="0F9FBE69">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本项目位</w:t>
      </w:r>
      <w:r>
        <w:rPr>
          <w:rFonts w:hint="default" w:ascii="Times New Roman" w:hAnsi="Times New Roman" w:cs="Times New Roman"/>
          <w:color w:val="auto"/>
          <w:sz w:val="24"/>
          <w:highlight w:val="none"/>
        </w:rPr>
        <w:t>于</w:t>
      </w:r>
      <w:r>
        <w:rPr>
          <w:rFonts w:hint="default" w:ascii="Times New Roman" w:hAnsi="Times New Roman" w:cs="Times New Roman"/>
          <w:color w:val="auto"/>
          <w:sz w:val="24"/>
          <w:szCs w:val="24"/>
          <w:highlight w:val="none"/>
          <w:lang w:val="en-US" w:eastAsia="zh-CN"/>
        </w:rPr>
        <w:t>剑阁县普安镇剑坪</w:t>
      </w:r>
      <w:r>
        <w:rPr>
          <w:rFonts w:hint="default" w:ascii="Times New Roman" w:hAnsi="Times New Roman" w:eastAsia="宋体" w:cs="Times New Roman"/>
          <w:color w:val="auto"/>
          <w:sz w:val="24"/>
          <w:szCs w:val="24"/>
          <w:highlight w:val="none"/>
          <w:lang w:val="en-US" w:eastAsia="zh-CN"/>
        </w:rPr>
        <w:t>村一组</w:t>
      </w:r>
      <w:r>
        <w:rPr>
          <w:rFonts w:hint="default" w:ascii="Times New Roman" w:hAnsi="Times New Roman" w:cs="Times New Roman"/>
          <w:color w:val="auto"/>
          <w:sz w:val="24"/>
          <w:highlight w:val="none"/>
          <w:lang w:val="en-US" w:eastAsia="zh-CN"/>
        </w:rPr>
        <w:t>，</w:t>
      </w:r>
      <w:r>
        <w:rPr>
          <w:rFonts w:hint="default" w:ascii="Times New Roman" w:hAnsi="Times New Roman" w:cs="Times New Roman"/>
          <w:color w:val="auto"/>
          <w:sz w:val="24"/>
          <w:highlight w:val="none"/>
          <w:lang w:eastAsia="zh-CN"/>
        </w:rPr>
        <w:t>在普安镇原垃圾填埋场</w:t>
      </w:r>
      <w:r>
        <w:rPr>
          <w:rFonts w:hint="default" w:ascii="Times New Roman" w:hAnsi="Times New Roman" w:cs="Times New Roman"/>
          <w:color w:val="auto"/>
          <w:sz w:val="24"/>
          <w:highlight w:val="none"/>
          <w:lang w:val="en-US" w:eastAsia="zh-CN"/>
        </w:rPr>
        <w:t>，属于普安环卫所用地南侧地块内</w:t>
      </w:r>
      <w:r>
        <w:rPr>
          <w:rFonts w:hint="default" w:ascii="Times New Roman" w:hAnsi="Times New Roman" w:cs="Times New Roman"/>
          <w:color w:val="auto"/>
          <w:highlight w:val="none"/>
          <w:lang w:val="en-US" w:eastAsia="zh-CN"/>
        </w:rPr>
        <w:t>。</w:t>
      </w:r>
    </w:p>
    <w:p w14:paraId="2332261B">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rPr>
        <w:t>大气环境功能</w:t>
      </w:r>
      <w:r>
        <w:rPr>
          <w:rFonts w:hint="default" w:ascii="Times New Roman" w:hAnsi="Times New Roman" w:cs="Times New Roman"/>
          <w:color w:val="auto"/>
          <w:highlight w:val="none"/>
          <w:lang w:val="en-US" w:eastAsia="zh-CN"/>
        </w:rPr>
        <w:t xml:space="preserve">区划 </w:t>
      </w:r>
    </w:p>
    <w:p w14:paraId="1270F47D">
      <w:pPr>
        <w:pStyle w:val="14"/>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项目大气环境评价区内四川翠云廊古柏自然保护区、剑门蜀道剑门关景区属于一类环境空气功能区，执行《环境空气质量标准》（GB3095-2012）一级标准；其它区域属于二类环境空气功能区，执行《环境空气质量标准》（GB3095-2012）二级标准。</w:t>
      </w:r>
    </w:p>
    <w:p w14:paraId="768C39E9">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地表水环境功能</w:t>
      </w:r>
      <w:r>
        <w:rPr>
          <w:rFonts w:hint="default" w:ascii="Times New Roman" w:hAnsi="Times New Roman" w:cs="Times New Roman"/>
          <w:color w:val="auto"/>
          <w:highlight w:val="none"/>
          <w:lang w:val="en-US" w:eastAsia="zh-CN"/>
        </w:rPr>
        <w:t>区划</w:t>
      </w:r>
    </w:p>
    <w:p w14:paraId="2755FCF5">
      <w:pPr>
        <w:pStyle w:val="14"/>
        <w:ind w:firstLine="480"/>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项目所在区域主要地表水体为北面约834m的闻溪河</w:t>
      </w:r>
      <w:r>
        <w:rPr>
          <w:rFonts w:hint="default" w:ascii="Times New Roman" w:hAnsi="Times New Roman" w:cs="Times New Roman"/>
          <w:color w:val="auto"/>
          <w:highlight w:val="none"/>
          <w:lang w:val="en-US" w:eastAsia="zh-CN"/>
        </w:rPr>
        <w:t>（</w:t>
      </w:r>
      <w:r>
        <w:rPr>
          <w:rFonts w:hint="default" w:ascii="Times New Roman" w:hAnsi="Times New Roman" w:cs="Times New Roman"/>
          <w:color w:val="auto"/>
          <w:highlight w:val="none"/>
        </w:rPr>
        <w:t>主要水</w:t>
      </w:r>
      <w:r>
        <w:rPr>
          <w:rFonts w:hint="default" w:ascii="Times New Roman" w:hAnsi="Times New Roman" w:cs="Times New Roman"/>
          <w:color w:val="auto"/>
          <w:highlight w:val="none"/>
          <w:lang w:val="en-US" w:eastAsia="zh-CN"/>
        </w:rPr>
        <w:t>体</w:t>
      </w:r>
      <w:r>
        <w:rPr>
          <w:rFonts w:hint="default" w:ascii="Times New Roman" w:hAnsi="Times New Roman" w:cs="Times New Roman"/>
          <w:color w:val="auto"/>
          <w:highlight w:val="none"/>
        </w:rPr>
        <w:t>功能为</w:t>
      </w:r>
      <w:r>
        <w:rPr>
          <w:rFonts w:hint="default" w:ascii="Times New Roman" w:hAnsi="Times New Roman" w:cs="Times New Roman"/>
          <w:color w:val="auto"/>
          <w:highlight w:val="none"/>
          <w:lang w:val="en-US" w:eastAsia="zh-CN"/>
        </w:rPr>
        <w:t>泄洪、灌溉、工农业用水）；南侧约844m的光荣水库（主要水体功能为</w:t>
      </w:r>
      <w:r>
        <w:rPr>
          <w:rFonts w:hint="default" w:ascii="Times New Roman" w:hAnsi="Times New Roman" w:cs="Times New Roman" w:eastAsiaTheme="minorEastAsia"/>
          <w:color w:val="auto"/>
          <w:kern w:val="0"/>
          <w:sz w:val="24"/>
          <w:szCs w:val="24"/>
          <w:highlight w:val="none"/>
          <w:lang w:val="en-US" w:eastAsia="zh-CN" w:bidi="ar"/>
        </w:rPr>
        <w:t>灌溉、泄洪</w:t>
      </w:r>
      <w:r>
        <w:rPr>
          <w:rFonts w:hint="default" w:ascii="Times New Roman" w:hAnsi="Times New Roman" w:cs="Times New Roman"/>
          <w:color w:val="auto"/>
          <w:highlight w:val="none"/>
          <w:lang w:val="en-US" w:eastAsia="zh-CN"/>
        </w:rPr>
        <w:t>）；</w:t>
      </w:r>
      <w:r>
        <w:rPr>
          <w:rFonts w:hint="default" w:ascii="Times New Roman" w:hAnsi="Times New Roman" w:eastAsia="宋体" w:cs="Times New Roman"/>
          <w:color w:val="auto"/>
          <w:kern w:val="0"/>
          <w:sz w:val="24"/>
          <w:szCs w:val="24"/>
          <w:highlight w:val="none"/>
          <w:lang w:val="en-US" w:eastAsia="zh-CN" w:bidi="ar"/>
        </w:rPr>
        <w:t>西侧约173m的水塘（</w:t>
      </w:r>
      <w:r>
        <w:rPr>
          <w:rFonts w:hint="default" w:ascii="Times New Roman" w:hAnsi="Times New Roman" w:cs="Times New Roman"/>
          <w:color w:val="auto"/>
          <w:highlight w:val="none"/>
        </w:rPr>
        <w:t>主要水</w:t>
      </w:r>
      <w:r>
        <w:rPr>
          <w:rFonts w:hint="default" w:ascii="Times New Roman" w:hAnsi="Times New Roman" w:cs="Times New Roman"/>
          <w:color w:val="auto"/>
          <w:highlight w:val="none"/>
          <w:lang w:val="en-US" w:eastAsia="zh-CN"/>
        </w:rPr>
        <w:t>体</w:t>
      </w:r>
      <w:r>
        <w:rPr>
          <w:rFonts w:hint="default" w:ascii="Times New Roman" w:hAnsi="Times New Roman" w:cs="Times New Roman"/>
          <w:color w:val="auto"/>
          <w:highlight w:val="none"/>
        </w:rPr>
        <w:t>功能为</w:t>
      </w:r>
      <w:r>
        <w:rPr>
          <w:rFonts w:hint="default" w:ascii="Times New Roman" w:hAnsi="Times New Roman" w:cs="Times New Roman"/>
          <w:color w:val="auto"/>
          <w:highlight w:val="none"/>
          <w:lang w:val="en-US" w:eastAsia="zh-CN"/>
        </w:rPr>
        <w:t>泄洪、灌溉</w:t>
      </w:r>
      <w:r>
        <w:rPr>
          <w:rFonts w:hint="default" w:ascii="Times New Roman" w:hAnsi="Times New Roman" w:eastAsia="宋体" w:cs="Times New Roman"/>
          <w:color w:val="auto"/>
          <w:kern w:val="0"/>
          <w:sz w:val="24"/>
          <w:szCs w:val="24"/>
          <w:highlight w:val="none"/>
          <w:lang w:val="en-US" w:eastAsia="zh-CN" w:bidi="ar"/>
        </w:rPr>
        <w:t>），属Ⅲ类水环境功能区，执行《地表水环境质量标准》</w:t>
      </w:r>
      <w:r>
        <w:rPr>
          <w:rFonts w:hint="default" w:ascii="Times New Roman" w:hAnsi="Times New Roman" w:eastAsia="TimesNewRomanPSMT" w:cs="Times New Roman"/>
          <w:color w:val="auto"/>
          <w:kern w:val="0"/>
          <w:sz w:val="24"/>
          <w:szCs w:val="24"/>
          <w:highlight w:val="none"/>
          <w:lang w:val="en-US" w:eastAsia="zh-CN" w:bidi="ar"/>
        </w:rPr>
        <w:t>（GB3838-2002）</w:t>
      </w:r>
      <w:r>
        <w:rPr>
          <w:rFonts w:hint="default" w:ascii="Times New Roman" w:hAnsi="Times New Roman" w:eastAsia="宋体" w:cs="Times New Roman"/>
          <w:color w:val="auto"/>
          <w:kern w:val="0"/>
          <w:sz w:val="24"/>
          <w:szCs w:val="24"/>
          <w:highlight w:val="none"/>
          <w:lang w:val="en-US" w:eastAsia="zh-CN" w:bidi="ar"/>
        </w:rPr>
        <w:t>Ⅲ类水域标准。</w:t>
      </w:r>
    </w:p>
    <w:p w14:paraId="63CC18E6">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地下水环境功能</w:t>
      </w:r>
      <w:r>
        <w:rPr>
          <w:rFonts w:hint="default" w:ascii="Times New Roman" w:hAnsi="Times New Roman" w:cs="Times New Roman"/>
          <w:color w:val="auto"/>
          <w:highlight w:val="none"/>
          <w:lang w:val="en-US" w:eastAsia="zh-CN"/>
        </w:rPr>
        <w:t>区划</w:t>
      </w:r>
    </w:p>
    <w:p w14:paraId="4F94B36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项目所在区域地下水属Ⅲ类水环境功能区，执行《地下水质量标准》（GB/T14848-2017）Ⅲ类标准。</w:t>
      </w:r>
    </w:p>
    <w:p w14:paraId="10D30A93">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声环境功能区</w:t>
      </w:r>
      <w:r>
        <w:rPr>
          <w:rFonts w:hint="default" w:ascii="Times New Roman" w:hAnsi="Times New Roman" w:cs="Times New Roman"/>
          <w:color w:val="auto"/>
          <w:highlight w:val="none"/>
          <w:lang w:val="en-US" w:eastAsia="zh-CN"/>
        </w:rPr>
        <w:t>划</w:t>
      </w:r>
    </w:p>
    <w:p w14:paraId="2E7D2C2F">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 xml:space="preserve">项目所在区域噪声环境评价区属于 </w:t>
      </w:r>
      <w:r>
        <w:rPr>
          <w:rFonts w:hint="default" w:ascii="Times New Roman" w:hAnsi="Times New Roman" w:eastAsia="TimesNewRomanPSMT" w:cs="Times New Roman"/>
          <w:color w:val="auto"/>
          <w:kern w:val="0"/>
          <w:sz w:val="24"/>
          <w:szCs w:val="24"/>
          <w:highlight w:val="none"/>
          <w:lang w:val="en-US" w:eastAsia="zh-CN" w:bidi="ar"/>
        </w:rPr>
        <w:t xml:space="preserve">2 </w:t>
      </w:r>
      <w:r>
        <w:rPr>
          <w:rFonts w:hint="default" w:ascii="Times New Roman" w:hAnsi="Times New Roman" w:eastAsia="宋体" w:cs="Times New Roman"/>
          <w:color w:val="auto"/>
          <w:kern w:val="0"/>
          <w:sz w:val="24"/>
          <w:szCs w:val="24"/>
          <w:highlight w:val="none"/>
          <w:lang w:val="en-US" w:eastAsia="zh-CN" w:bidi="ar"/>
        </w:rPr>
        <w:t>类声环境功能区，执行《声环境质量标准》</w:t>
      </w:r>
      <w:r>
        <w:rPr>
          <w:rFonts w:hint="default" w:ascii="Times New Roman" w:hAnsi="Times New Roman" w:eastAsia="TimesNewRomanPSMT" w:cs="Times New Roman"/>
          <w:color w:val="auto"/>
          <w:kern w:val="0"/>
          <w:sz w:val="24"/>
          <w:szCs w:val="24"/>
          <w:highlight w:val="none"/>
          <w:lang w:val="en-US" w:eastAsia="zh-CN" w:bidi="ar"/>
        </w:rPr>
        <w:t>（GB3096-2008）</w:t>
      </w:r>
      <w:r>
        <w:rPr>
          <w:rFonts w:hint="default" w:ascii="Times New Roman" w:hAnsi="Times New Roman" w:eastAsia="宋体" w:cs="Times New Roman"/>
          <w:color w:val="auto"/>
          <w:kern w:val="0"/>
          <w:sz w:val="24"/>
          <w:szCs w:val="24"/>
          <w:highlight w:val="none"/>
          <w:lang w:val="en-US" w:eastAsia="zh-CN" w:bidi="ar"/>
        </w:rPr>
        <w:t xml:space="preserve">中的 </w:t>
      </w:r>
      <w:r>
        <w:rPr>
          <w:rFonts w:hint="default" w:ascii="Times New Roman" w:hAnsi="Times New Roman" w:eastAsia="TimesNewRomanPSMT" w:cs="Times New Roman"/>
          <w:color w:val="auto"/>
          <w:kern w:val="0"/>
          <w:sz w:val="24"/>
          <w:szCs w:val="24"/>
          <w:highlight w:val="none"/>
          <w:lang w:val="en-US" w:eastAsia="zh-CN" w:bidi="ar"/>
        </w:rPr>
        <w:t xml:space="preserve">2 </w:t>
      </w:r>
      <w:r>
        <w:rPr>
          <w:rFonts w:hint="default" w:ascii="Times New Roman" w:hAnsi="Times New Roman" w:eastAsia="宋体" w:cs="Times New Roman"/>
          <w:color w:val="auto"/>
          <w:kern w:val="0"/>
          <w:sz w:val="24"/>
          <w:szCs w:val="24"/>
          <w:highlight w:val="none"/>
          <w:lang w:val="en-US" w:eastAsia="zh-CN" w:bidi="ar"/>
        </w:rPr>
        <w:t>类区标准。</w:t>
      </w:r>
    </w:p>
    <w:p w14:paraId="328ACE0B">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土壤</w:t>
      </w:r>
      <w:r>
        <w:rPr>
          <w:rFonts w:hint="default" w:ascii="Times New Roman" w:hAnsi="Times New Roman" w:cs="Times New Roman"/>
          <w:color w:val="auto"/>
          <w:highlight w:val="none"/>
        </w:rPr>
        <w:t>环境功能</w:t>
      </w:r>
      <w:r>
        <w:rPr>
          <w:rFonts w:hint="default" w:ascii="Times New Roman" w:hAnsi="Times New Roman" w:cs="Times New Roman"/>
          <w:color w:val="auto"/>
          <w:highlight w:val="none"/>
          <w:lang w:val="en-US" w:eastAsia="zh-CN"/>
        </w:rPr>
        <w:t>区划</w:t>
      </w:r>
    </w:p>
    <w:p w14:paraId="6CAC1142">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cs="Times New Roman"/>
          <w:color w:val="auto"/>
          <w:kern w:val="2"/>
          <w:sz w:val="24"/>
          <w:szCs w:val="21"/>
          <w:highlight w:val="none"/>
          <w:lang w:val="en-US" w:eastAsia="zh-CN" w:bidi="ar-SA"/>
        </w:rPr>
        <w:t>项目占地范围内土地性质为环卫用地，</w:t>
      </w:r>
      <w:r>
        <w:rPr>
          <w:rFonts w:hint="default" w:ascii="Times New Roman" w:hAnsi="Times New Roman" w:cs="Times New Roman" w:eastAsiaTheme="minorEastAsia"/>
          <w:color w:val="auto"/>
          <w:kern w:val="2"/>
          <w:sz w:val="24"/>
          <w:szCs w:val="21"/>
          <w:highlight w:val="none"/>
          <w:lang w:val="en-US" w:eastAsia="zh-CN" w:bidi="ar-SA"/>
        </w:rPr>
        <w:t>土壤环境质量执行《土壤环境质量 建设用地土壤污染风险管控标准（试行）》（GB 36600-2018）中“第二类用地”筛选标准</w:t>
      </w:r>
      <w:r>
        <w:rPr>
          <w:rFonts w:hint="default" w:ascii="Times New Roman" w:hAnsi="Times New Roman" w:eastAsia="宋体" w:cs="Times New Roman"/>
          <w:color w:val="auto"/>
          <w:kern w:val="0"/>
          <w:sz w:val="24"/>
          <w:szCs w:val="24"/>
          <w:highlight w:val="none"/>
          <w:lang w:val="en-US" w:eastAsia="zh-CN" w:bidi="ar"/>
        </w:rPr>
        <w:t>。</w:t>
      </w:r>
    </w:p>
    <w:p w14:paraId="5415D17F">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环境功能属性汇总</w:t>
      </w:r>
    </w:p>
    <w:p w14:paraId="4EA35507">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本项目所在地区域功能属性见下表。</w:t>
      </w:r>
    </w:p>
    <w:p w14:paraId="40AA1B08">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1</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项目所在地环境功能属性</w:t>
      </w:r>
    </w:p>
    <w:tbl>
      <w:tblPr>
        <w:tblStyle w:val="35"/>
        <w:tblW w:w="9072"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985"/>
        <w:gridCol w:w="6378"/>
      </w:tblGrid>
      <w:tr w14:paraId="6475ABE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09" w:type="dxa"/>
            <w:tcBorders>
              <w:tl2br w:val="nil"/>
              <w:tr2bl w:val="nil"/>
            </w:tcBorders>
            <w:vAlign w:val="center"/>
          </w:tcPr>
          <w:p w14:paraId="0B1DF73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编号</w:t>
            </w:r>
          </w:p>
        </w:tc>
        <w:tc>
          <w:tcPr>
            <w:tcW w:w="1985" w:type="dxa"/>
            <w:tcBorders>
              <w:tl2br w:val="nil"/>
              <w:tr2bl w:val="nil"/>
            </w:tcBorders>
            <w:vAlign w:val="center"/>
          </w:tcPr>
          <w:p w14:paraId="6B10E3C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项目</w:t>
            </w:r>
          </w:p>
        </w:tc>
        <w:tc>
          <w:tcPr>
            <w:tcW w:w="6378" w:type="dxa"/>
            <w:tcBorders>
              <w:tl2br w:val="nil"/>
              <w:tr2bl w:val="nil"/>
            </w:tcBorders>
            <w:vAlign w:val="center"/>
          </w:tcPr>
          <w:p w14:paraId="6BF3FC8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功能属性及执行标准</w:t>
            </w:r>
          </w:p>
        </w:tc>
      </w:tr>
      <w:tr w14:paraId="40C7975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tcBorders>
              <w:tl2br w:val="nil"/>
              <w:tr2bl w:val="nil"/>
            </w:tcBorders>
            <w:vAlign w:val="center"/>
          </w:tcPr>
          <w:p w14:paraId="22BA0DD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1</w:t>
            </w:r>
          </w:p>
        </w:tc>
        <w:tc>
          <w:tcPr>
            <w:tcW w:w="1985" w:type="dxa"/>
            <w:tcBorders>
              <w:tl2br w:val="nil"/>
              <w:tr2bl w:val="nil"/>
            </w:tcBorders>
            <w:vAlign w:val="center"/>
          </w:tcPr>
          <w:p w14:paraId="409B6D5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环境空气</w:t>
            </w:r>
          </w:p>
        </w:tc>
        <w:tc>
          <w:tcPr>
            <w:tcW w:w="6378" w:type="dxa"/>
            <w:tcBorders>
              <w:tl2br w:val="nil"/>
              <w:tr2bl w:val="nil"/>
            </w:tcBorders>
            <w:vAlign w:val="center"/>
          </w:tcPr>
          <w:p w14:paraId="04C013D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大气环境评价区内四川翠云廊古柏自然保护区、剑门蜀道剑门关景区属于一类环境空气功能区；其它区域属于二类环境空气功能区</w:t>
            </w:r>
          </w:p>
        </w:tc>
      </w:tr>
      <w:tr w14:paraId="38F198F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tcBorders>
              <w:tl2br w:val="nil"/>
              <w:tr2bl w:val="nil"/>
            </w:tcBorders>
            <w:vAlign w:val="center"/>
          </w:tcPr>
          <w:p w14:paraId="3B893F4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2</w:t>
            </w:r>
          </w:p>
        </w:tc>
        <w:tc>
          <w:tcPr>
            <w:tcW w:w="1985" w:type="dxa"/>
            <w:tcBorders>
              <w:tl2br w:val="nil"/>
              <w:tr2bl w:val="nil"/>
            </w:tcBorders>
            <w:vAlign w:val="center"/>
          </w:tcPr>
          <w:p w14:paraId="173E56B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地表水环境</w:t>
            </w:r>
          </w:p>
        </w:tc>
        <w:tc>
          <w:tcPr>
            <w:tcW w:w="6378" w:type="dxa"/>
            <w:tcBorders>
              <w:tl2br w:val="nil"/>
              <w:tr2bl w:val="nil"/>
            </w:tcBorders>
            <w:vAlign w:val="center"/>
          </w:tcPr>
          <w:p w14:paraId="23B73D1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执行《地表水环境质量标准》（GB3838-2002）Ⅲ类</w:t>
            </w:r>
          </w:p>
        </w:tc>
      </w:tr>
      <w:tr w14:paraId="27D361F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tcBorders>
              <w:tl2br w:val="nil"/>
              <w:tr2bl w:val="nil"/>
            </w:tcBorders>
            <w:vAlign w:val="center"/>
          </w:tcPr>
          <w:p w14:paraId="47C0EE6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3</w:t>
            </w:r>
          </w:p>
        </w:tc>
        <w:tc>
          <w:tcPr>
            <w:tcW w:w="1985" w:type="dxa"/>
            <w:tcBorders>
              <w:tl2br w:val="nil"/>
              <w:tr2bl w:val="nil"/>
            </w:tcBorders>
            <w:vAlign w:val="center"/>
          </w:tcPr>
          <w:p w14:paraId="22E6C50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地下水环境</w:t>
            </w:r>
          </w:p>
        </w:tc>
        <w:tc>
          <w:tcPr>
            <w:tcW w:w="6378" w:type="dxa"/>
            <w:tcBorders>
              <w:tl2br w:val="nil"/>
              <w:tr2bl w:val="nil"/>
            </w:tcBorders>
            <w:vAlign w:val="center"/>
          </w:tcPr>
          <w:p w14:paraId="6576B56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执行《地下水质量标准》（GB/T14848-2017）Ⅲ类</w:t>
            </w:r>
          </w:p>
        </w:tc>
      </w:tr>
      <w:tr w14:paraId="287FB3B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tcBorders>
              <w:tl2br w:val="nil"/>
              <w:tr2bl w:val="nil"/>
            </w:tcBorders>
            <w:vAlign w:val="center"/>
          </w:tcPr>
          <w:p w14:paraId="7A662F4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4</w:t>
            </w:r>
          </w:p>
        </w:tc>
        <w:tc>
          <w:tcPr>
            <w:tcW w:w="1985" w:type="dxa"/>
            <w:tcBorders>
              <w:tl2br w:val="nil"/>
              <w:tr2bl w:val="nil"/>
            </w:tcBorders>
            <w:vAlign w:val="center"/>
          </w:tcPr>
          <w:p w14:paraId="4387446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声环境</w:t>
            </w:r>
          </w:p>
        </w:tc>
        <w:tc>
          <w:tcPr>
            <w:tcW w:w="6378" w:type="dxa"/>
            <w:tcBorders>
              <w:tl2br w:val="nil"/>
              <w:tr2bl w:val="nil"/>
            </w:tcBorders>
            <w:vAlign w:val="center"/>
          </w:tcPr>
          <w:p w14:paraId="03C931A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执行《声环境质量标准》（GB3096-2008）2类环境噪声限值</w:t>
            </w:r>
          </w:p>
        </w:tc>
      </w:tr>
      <w:tr w14:paraId="09BA28A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9" w:type="dxa"/>
            <w:tcBorders>
              <w:tl2br w:val="nil"/>
              <w:tr2bl w:val="nil"/>
            </w:tcBorders>
            <w:vAlign w:val="center"/>
          </w:tcPr>
          <w:p w14:paraId="73B1942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5</w:t>
            </w:r>
          </w:p>
        </w:tc>
        <w:tc>
          <w:tcPr>
            <w:tcW w:w="1985" w:type="dxa"/>
            <w:tcBorders>
              <w:tl2br w:val="nil"/>
              <w:tr2bl w:val="nil"/>
            </w:tcBorders>
            <w:vAlign w:val="center"/>
          </w:tcPr>
          <w:p w14:paraId="37B633B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rPr>
              <w:t>土壤</w:t>
            </w:r>
            <w:r>
              <w:rPr>
                <w:rFonts w:hint="default" w:ascii="Times New Roman" w:hAnsi="Times New Roman" w:eastAsia="宋体" w:cs="Times New Roman"/>
                <w:color w:val="auto"/>
                <w:sz w:val="20"/>
                <w:szCs w:val="20"/>
                <w:highlight w:val="none"/>
                <w:lang w:val="en-US" w:eastAsia="zh-CN"/>
              </w:rPr>
              <w:t>环境</w:t>
            </w:r>
          </w:p>
        </w:tc>
        <w:tc>
          <w:tcPr>
            <w:tcW w:w="6378" w:type="dxa"/>
            <w:tcBorders>
              <w:tl2br w:val="nil"/>
              <w:tr2bl w:val="nil"/>
            </w:tcBorders>
            <w:vAlign w:val="center"/>
          </w:tcPr>
          <w:p w14:paraId="48E43CF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执行《土壤环境质量 建设用地土壤污染风险管控标准（试行）》（GB 36600-2018）</w:t>
            </w:r>
          </w:p>
        </w:tc>
      </w:tr>
    </w:tbl>
    <w:p w14:paraId="73D78677">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环境质量标准</w:t>
      </w:r>
    </w:p>
    <w:p w14:paraId="0FAD9242">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环境空气</w:t>
      </w:r>
    </w:p>
    <w:p w14:paraId="53E337F8">
      <w:pPr>
        <w:pStyle w:val="14"/>
        <w:ind w:firstLine="480"/>
        <w:rPr>
          <w:rFonts w:hint="default" w:ascii="Times New Roman" w:hAnsi="Times New Roman" w:cs="Times New Roman"/>
          <w:color w:val="auto"/>
          <w:sz w:val="24"/>
          <w:szCs w:val="24"/>
          <w:highlight w:val="none"/>
        </w:rPr>
      </w:pPr>
      <w:r>
        <w:rPr>
          <w:rFonts w:hint="default" w:ascii="Times New Roman" w:hAnsi="Times New Roman" w:eastAsia="宋体" w:cs="Times New Roman"/>
          <w:color w:val="auto"/>
          <w:kern w:val="0"/>
          <w:sz w:val="24"/>
          <w:szCs w:val="24"/>
          <w:highlight w:val="none"/>
          <w:lang w:val="en-US" w:eastAsia="zh-CN" w:bidi="ar"/>
        </w:rPr>
        <w:t>项目所在区域四川翠云廊古柏自然保护区、剑门蜀道剑门关景区执行《环境空气质量标准》（GB3095-2012）一级标准</w:t>
      </w:r>
      <w:r>
        <w:rPr>
          <w:rFonts w:hint="eastAsia"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其它区域执行《环境空气质量标准》（GB3095-2012）二级标准</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bidi="ar"/>
        </w:rPr>
        <w:t>H</w:t>
      </w:r>
      <w:r>
        <w:rPr>
          <w:rFonts w:hint="default" w:ascii="Times New Roman" w:hAnsi="Times New Roman" w:cs="Times New Roman"/>
          <w:color w:val="auto"/>
          <w:sz w:val="24"/>
          <w:szCs w:val="24"/>
          <w:highlight w:val="none"/>
          <w:vertAlign w:val="subscript"/>
          <w:lang w:bidi="ar"/>
        </w:rPr>
        <w:t>2</w:t>
      </w:r>
      <w:r>
        <w:rPr>
          <w:rFonts w:hint="default" w:ascii="Times New Roman" w:hAnsi="Times New Roman" w:cs="Times New Roman"/>
          <w:color w:val="auto"/>
          <w:sz w:val="24"/>
          <w:szCs w:val="24"/>
          <w:highlight w:val="none"/>
          <w:lang w:bidi="ar"/>
        </w:rPr>
        <w:t>S、HCl、NH</w:t>
      </w:r>
      <w:r>
        <w:rPr>
          <w:rFonts w:hint="default" w:ascii="Times New Roman" w:hAnsi="Times New Roman" w:cs="Times New Roman"/>
          <w:color w:val="auto"/>
          <w:sz w:val="24"/>
          <w:szCs w:val="24"/>
          <w:highlight w:val="none"/>
          <w:vertAlign w:val="subscript"/>
          <w:lang w:bidi="ar"/>
        </w:rPr>
        <w:t>3</w:t>
      </w:r>
      <w:r>
        <w:rPr>
          <w:rFonts w:hint="default" w:ascii="Times New Roman" w:hAnsi="Times New Roman" w:cs="Times New Roman"/>
          <w:color w:val="auto"/>
          <w:sz w:val="24"/>
          <w:szCs w:val="24"/>
          <w:highlight w:val="none"/>
          <w:lang w:bidi="ar"/>
        </w:rPr>
        <w:t>、</w:t>
      </w:r>
      <w:r>
        <w:rPr>
          <w:rFonts w:hint="eastAsia" w:cs="Times New Roman"/>
          <w:color w:val="auto"/>
          <w:sz w:val="24"/>
          <w:szCs w:val="24"/>
          <w:highlight w:val="none"/>
          <w:lang w:val="en-US" w:eastAsia="zh-CN" w:bidi="ar"/>
        </w:rPr>
        <w:t>Mn及其化合物</w:t>
      </w:r>
      <w:r>
        <w:rPr>
          <w:rFonts w:hint="default" w:ascii="Times New Roman" w:hAnsi="Times New Roman" w:cs="Times New Roman"/>
          <w:color w:val="auto"/>
          <w:sz w:val="24"/>
          <w:szCs w:val="24"/>
          <w:highlight w:val="none"/>
          <w:lang w:val="en-US" w:eastAsia="zh-CN" w:bidi="ar"/>
        </w:rPr>
        <w:t>执行</w:t>
      </w:r>
      <w:r>
        <w:rPr>
          <w:rFonts w:hint="default" w:ascii="Times New Roman" w:hAnsi="Times New Roman" w:cs="Times New Roman"/>
          <w:color w:val="auto"/>
          <w:sz w:val="24"/>
          <w:szCs w:val="24"/>
          <w:highlight w:val="none"/>
          <w:lang w:bidi="ar"/>
        </w:rPr>
        <w:t>《环境影响评价技术导则</w:t>
      </w:r>
      <w:r>
        <w:rPr>
          <w:rFonts w:hint="eastAsia" w:cs="Times New Roman"/>
          <w:color w:val="auto"/>
          <w:sz w:val="24"/>
          <w:szCs w:val="24"/>
          <w:highlight w:val="none"/>
          <w:lang w:val="en-US" w:eastAsia="zh-CN" w:bidi="ar"/>
        </w:rPr>
        <w:t xml:space="preserve"> </w:t>
      </w:r>
      <w:r>
        <w:rPr>
          <w:rFonts w:hint="default" w:ascii="Times New Roman" w:hAnsi="Times New Roman" w:cs="Times New Roman"/>
          <w:color w:val="auto"/>
          <w:sz w:val="24"/>
          <w:szCs w:val="24"/>
          <w:highlight w:val="none"/>
          <w:lang w:bidi="ar"/>
        </w:rPr>
        <w:t>大气环境》</w:t>
      </w:r>
      <w:r>
        <w:rPr>
          <w:rFonts w:hint="eastAsia" w:cs="Times New Roman"/>
          <w:color w:val="auto"/>
          <w:sz w:val="24"/>
          <w:szCs w:val="24"/>
          <w:highlight w:val="none"/>
          <w:lang w:eastAsia="zh-CN" w:bidi="ar"/>
        </w:rPr>
        <w:t>（</w:t>
      </w:r>
      <w:r>
        <w:rPr>
          <w:rFonts w:hint="default" w:ascii="Times New Roman" w:hAnsi="Times New Roman" w:cs="Times New Roman"/>
          <w:color w:val="auto"/>
          <w:sz w:val="24"/>
          <w:szCs w:val="24"/>
          <w:highlight w:val="none"/>
          <w:lang w:bidi="ar"/>
        </w:rPr>
        <w:t>HJ2.2-2018</w:t>
      </w:r>
      <w:r>
        <w:rPr>
          <w:rFonts w:hint="eastAsia" w:cs="Times New Roman"/>
          <w:color w:val="auto"/>
          <w:sz w:val="24"/>
          <w:szCs w:val="24"/>
          <w:highlight w:val="none"/>
          <w:lang w:eastAsia="zh-CN" w:bidi="ar"/>
        </w:rPr>
        <w:t>）</w:t>
      </w:r>
      <w:r>
        <w:rPr>
          <w:rFonts w:hint="default" w:ascii="Times New Roman" w:hAnsi="Times New Roman" w:cs="Times New Roman"/>
          <w:color w:val="auto"/>
          <w:sz w:val="24"/>
          <w:szCs w:val="24"/>
          <w:highlight w:val="none"/>
          <w:lang w:bidi="ar"/>
        </w:rPr>
        <w:t>附录 D 中表 D.1 其他污染物空气质量浓度参考限值要求；非甲烷总烃</w:t>
      </w:r>
      <w:r>
        <w:rPr>
          <w:rFonts w:hint="default" w:ascii="Times New Roman" w:hAnsi="Times New Roman" w:cs="Times New Roman"/>
          <w:color w:val="auto"/>
          <w:sz w:val="24"/>
          <w:szCs w:val="24"/>
          <w:highlight w:val="none"/>
          <w:lang w:val="en-US" w:eastAsia="zh-CN" w:bidi="ar"/>
        </w:rPr>
        <w:t>执行</w:t>
      </w:r>
      <w:r>
        <w:rPr>
          <w:rFonts w:hint="default" w:ascii="Times New Roman" w:hAnsi="Times New Roman" w:cs="Times New Roman"/>
          <w:color w:val="auto"/>
          <w:sz w:val="24"/>
          <w:szCs w:val="24"/>
          <w:highlight w:val="none"/>
          <w:lang w:bidi="ar"/>
        </w:rPr>
        <w:t>《大气污染物综合排放标准详解》</w:t>
      </w:r>
      <w:r>
        <w:rPr>
          <w:rFonts w:hint="eastAsia" w:cs="Times New Roman"/>
          <w:color w:val="auto"/>
          <w:sz w:val="24"/>
          <w:szCs w:val="24"/>
          <w:highlight w:val="none"/>
          <w:lang w:eastAsia="zh-CN" w:bidi="ar"/>
        </w:rPr>
        <w:t>（</w:t>
      </w:r>
      <w:r>
        <w:rPr>
          <w:rFonts w:hint="default" w:ascii="Times New Roman" w:hAnsi="Times New Roman" w:cs="Times New Roman"/>
          <w:color w:val="auto"/>
          <w:sz w:val="24"/>
          <w:szCs w:val="24"/>
          <w:highlight w:val="none"/>
          <w:lang w:bidi="ar"/>
        </w:rPr>
        <w:t>国家环境保护局科技标准司</w:t>
      </w:r>
      <w:r>
        <w:rPr>
          <w:rFonts w:hint="eastAsia" w:cs="Times New Roman"/>
          <w:color w:val="auto"/>
          <w:sz w:val="24"/>
          <w:szCs w:val="24"/>
          <w:highlight w:val="none"/>
          <w:lang w:eastAsia="zh-CN" w:bidi="ar"/>
        </w:rPr>
        <w:t>）</w:t>
      </w:r>
      <w:r>
        <w:rPr>
          <w:rFonts w:hint="default" w:ascii="Times New Roman" w:hAnsi="Times New Roman" w:cs="Times New Roman"/>
          <w:color w:val="auto"/>
          <w:sz w:val="24"/>
          <w:szCs w:val="24"/>
          <w:highlight w:val="none"/>
          <w:lang w:bidi="ar"/>
        </w:rPr>
        <w:t>的要求；二噁英日均值</w:t>
      </w:r>
      <w:r>
        <w:rPr>
          <w:rFonts w:hint="default" w:ascii="Times New Roman" w:hAnsi="Times New Roman" w:cs="Times New Roman"/>
          <w:color w:val="auto"/>
          <w:sz w:val="24"/>
          <w:szCs w:val="24"/>
          <w:highlight w:val="none"/>
          <w:lang w:val="en-US" w:eastAsia="zh-CN" w:bidi="ar"/>
        </w:rPr>
        <w:t>执行</w:t>
      </w:r>
      <w:r>
        <w:rPr>
          <w:rFonts w:hint="default" w:ascii="Times New Roman" w:hAnsi="Times New Roman" w:cs="Times New Roman"/>
          <w:color w:val="auto"/>
          <w:sz w:val="24"/>
          <w:szCs w:val="24"/>
          <w:highlight w:val="none"/>
          <w:lang w:bidi="ar"/>
        </w:rPr>
        <w:t>环发[2008]82 号文中规定（“二噁英参照日本年均浓度标准”3倍计”）</w:t>
      </w:r>
      <w:r>
        <w:rPr>
          <w:rFonts w:hint="default"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相关标准</w:t>
      </w:r>
      <w:r>
        <w:rPr>
          <w:rFonts w:hint="default" w:ascii="Times New Roman" w:hAnsi="Times New Roman" w:cs="Times New Roman"/>
          <w:color w:val="auto"/>
          <w:sz w:val="24"/>
          <w:szCs w:val="24"/>
          <w:highlight w:val="none"/>
          <w:lang w:val="en-US" w:eastAsia="zh-CN"/>
        </w:rPr>
        <w:t>见</w:t>
      </w:r>
      <w:r>
        <w:rPr>
          <w:rFonts w:hint="default" w:ascii="Times New Roman" w:hAnsi="Times New Roman" w:cs="Times New Roman"/>
          <w:color w:val="auto"/>
          <w:sz w:val="24"/>
          <w:szCs w:val="24"/>
          <w:highlight w:val="none"/>
        </w:rPr>
        <w:t>下表。</w:t>
      </w:r>
    </w:p>
    <w:p w14:paraId="4C7CC03A">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color w:val="auto"/>
          <w:highlight w:val="none"/>
          <w:lang w:eastAsia="zh-CN"/>
        </w:rPr>
        <w:t>大气环境质量评价</w:t>
      </w:r>
      <w:r>
        <w:rPr>
          <w:rFonts w:hint="default" w:ascii="Times New Roman" w:hAnsi="Times New Roman" w:cs="Times New Roman"/>
          <w:color w:val="auto"/>
          <w:highlight w:val="none"/>
        </w:rPr>
        <w:t>标准</w:t>
      </w:r>
    </w:p>
    <w:tbl>
      <w:tblPr>
        <w:tblStyle w:val="35"/>
        <w:tblW w:w="4996"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108" w:type="dxa"/>
          <w:bottom w:w="0" w:type="dxa"/>
          <w:right w:w="108" w:type="dxa"/>
        </w:tblCellMar>
      </w:tblPr>
      <w:tblGrid>
        <w:gridCol w:w="1577"/>
        <w:gridCol w:w="1360"/>
        <w:gridCol w:w="1270"/>
        <w:gridCol w:w="1257"/>
        <w:gridCol w:w="1177"/>
        <w:gridCol w:w="2640"/>
      </w:tblGrid>
      <w:tr w14:paraId="588D267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tblHeader/>
          <w:jc w:val="center"/>
        </w:trPr>
        <w:tc>
          <w:tcPr>
            <w:tcW w:w="850" w:type="pct"/>
            <w:vMerge w:val="restart"/>
            <w:tcBorders>
              <w:tl2br w:val="nil"/>
              <w:tr2bl w:val="nil"/>
            </w:tcBorders>
            <w:vAlign w:val="center"/>
          </w:tcPr>
          <w:p w14:paraId="61F1890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项目</w:t>
            </w:r>
          </w:p>
        </w:tc>
        <w:tc>
          <w:tcPr>
            <w:tcW w:w="733" w:type="pct"/>
            <w:vMerge w:val="restart"/>
            <w:tcBorders>
              <w:left w:val="single" w:color="auto" w:sz="4" w:space="0"/>
              <w:tl2br w:val="nil"/>
              <w:tr2bl w:val="nil"/>
            </w:tcBorders>
            <w:vAlign w:val="center"/>
          </w:tcPr>
          <w:p w14:paraId="70CE3D0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平均时间</w:t>
            </w:r>
          </w:p>
        </w:tc>
        <w:tc>
          <w:tcPr>
            <w:tcW w:w="1361" w:type="pct"/>
            <w:gridSpan w:val="2"/>
            <w:tcBorders>
              <w:left w:val="single" w:color="auto" w:sz="4" w:space="0"/>
              <w:tl2br w:val="nil"/>
              <w:tr2bl w:val="nil"/>
            </w:tcBorders>
            <w:vAlign w:val="center"/>
          </w:tcPr>
          <w:p w14:paraId="7F8BB88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eastAsia" w:ascii="Times New Roman" w:hAnsi="Times New Roman" w:eastAsia="宋体" w:cs="Times New Roman"/>
                <w:b/>
                <w:bCs/>
                <w:color w:val="auto"/>
                <w:sz w:val="20"/>
                <w:szCs w:val="20"/>
                <w:highlight w:val="none"/>
                <w:lang w:val="en-US" w:eastAsia="zh-CN"/>
              </w:rPr>
              <w:t>浓度限值</w:t>
            </w:r>
          </w:p>
        </w:tc>
        <w:tc>
          <w:tcPr>
            <w:tcW w:w="634" w:type="pct"/>
            <w:vMerge w:val="restart"/>
            <w:tcBorders>
              <w:left w:val="single" w:color="auto" w:sz="4" w:space="0"/>
              <w:tl2br w:val="nil"/>
              <w:tr2bl w:val="nil"/>
            </w:tcBorders>
            <w:vAlign w:val="center"/>
          </w:tcPr>
          <w:p w14:paraId="66E6966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单位</w:t>
            </w:r>
          </w:p>
        </w:tc>
        <w:tc>
          <w:tcPr>
            <w:tcW w:w="1419" w:type="pct"/>
            <w:vMerge w:val="restart"/>
            <w:tcBorders>
              <w:tl2br w:val="nil"/>
              <w:tr2bl w:val="nil"/>
            </w:tcBorders>
            <w:vAlign w:val="center"/>
          </w:tcPr>
          <w:p w14:paraId="4F2CF68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标准来源</w:t>
            </w:r>
          </w:p>
        </w:tc>
      </w:tr>
      <w:tr w14:paraId="615A4B5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tblHeader/>
          <w:jc w:val="center"/>
        </w:trPr>
        <w:tc>
          <w:tcPr>
            <w:tcW w:w="850" w:type="pct"/>
            <w:vMerge w:val="continue"/>
            <w:tcBorders>
              <w:tl2br w:val="nil"/>
              <w:tr2bl w:val="nil"/>
            </w:tcBorders>
            <w:vAlign w:val="center"/>
          </w:tcPr>
          <w:p w14:paraId="6895BDA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p>
        </w:tc>
        <w:tc>
          <w:tcPr>
            <w:tcW w:w="733" w:type="pct"/>
            <w:vMerge w:val="continue"/>
            <w:tcBorders>
              <w:left w:val="single" w:color="auto" w:sz="4" w:space="0"/>
              <w:tl2br w:val="nil"/>
              <w:tr2bl w:val="nil"/>
            </w:tcBorders>
            <w:vAlign w:val="center"/>
          </w:tcPr>
          <w:p w14:paraId="3E53F7C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p>
        </w:tc>
        <w:tc>
          <w:tcPr>
            <w:tcW w:w="684" w:type="pct"/>
            <w:tcBorders>
              <w:left w:val="single" w:color="auto" w:sz="4" w:space="0"/>
              <w:tl2br w:val="nil"/>
              <w:tr2bl w:val="nil"/>
            </w:tcBorders>
            <w:vAlign w:val="center"/>
          </w:tcPr>
          <w:p w14:paraId="1DE79E5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一</w:t>
            </w:r>
            <w:r>
              <w:rPr>
                <w:rFonts w:hint="eastAsia" w:ascii="Times New Roman" w:hAnsi="Times New Roman" w:eastAsia="宋体" w:cs="Times New Roman"/>
                <w:b/>
                <w:bCs/>
                <w:color w:val="auto"/>
                <w:sz w:val="20"/>
                <w:szCs w:val="20"/>
                <w:highlight w:val="none"/>
                <w:lang w:val="en-US" w:eastAsia="zh-CN"/>
              </w:rPr>
              <w:t>级</w:t>
            </w:r>
          </w:p>
        </w:tc>
        <w:tc>
          <w:tcPr>
            <w:tcW w:w="677" w:type="pct"/>
            <w:tcBorders>
              <w:left w:val="single" w:color="auto" w:sz="4" w:space="0"/>
              <w:tl2br w:val="nil"/>
              <w:tr2bl w:val="nil"/>
            </w:tcBorders>
            <w:vAlign w:val="center"/>
          </w:tcPr>
          <w:p w14:paraId="60CECCE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二</w:t>
            </w:r>
            <w:r>
              <w:rPr>
                <w:rFonts w:hint="eastAsia" w:ascii="Times New Roman" w:hAnsi="Times New Roman" w:eastAsia="宋体" w:cs="Times New Roman"/>
                <w:b/>
                <w:bCs/>
                <w:color w:val="auto"/>
                <w:sz w:val="20"/>
                <w:szCs w:val="20"/>
                <w:highlight w:val="none"/>
                <w:lang w:val="en-US" w:eastAsia="zh-CN"/>
              </w:rPr>
              <w:t>级</w:t>
            </w:r>
          </w:p>
        </w:tc>
        <w:tc>
          <w:tcPr>
            <w:tcW w:w="634" w:type="pct"/>
            <w:vMerge w:val="continue"/>
            <w:tcBorders>
              <w:left w:val="single" w:color="auto" w:sz="4" w:space="0"/>
              <w:tl2br w:val="nil"/>
              <w:tr2bl w:val="nil"/>
            </w:tcBorders>
            <w:vAlign w:val="center"/>
          </w:tcPr>
          <w:p w14:paraId="2093582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p>
        </w:tc>
        <w:tc>
          <w:tcPr>
            <w:tcW w:w="1419" w:type="pct"/>
            <w:vMerge w:val="continue"/>
            <w:tcBorders>
              <w:tl2br w:val="nil"/>
              <w:tr2bl w:val="nil"/>
            </w:tcBorders>
            <w:vAlign w:val="center"/>
          </w:tcPr>
          <w:p w14:paraId="1251969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p>
        </w:tc>
      </w:tr>
      <w:tr w14:paraId="2705883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3118E5B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vertAlign w:val="subscript"/>
              </w:rPr>
            </w:pPr>
            <w:r>
              <w:rPr>
                <w:rFonts w:hint="default" w:ascii="Times New Roman" w:hAnsi="Times New Roman" w:eastAsia="宋体" w:cs="Times New Roman"/>
                <w:color w:val="auto"/>
                <w:sz w:val="20"/>
                <w:szCs w:val="20"/>
                <w:highlight w:val="none"/>
              </w:rPr>
              <w:t>SO</w:t>
            </w:r>
            <w:r>
              <w:rPr>
                <w:rFonts w:hint="default" w:ascii="Times New Roman" w:hAnsi="Times New Roman" w:eastAsia="宋体" w:cs="Times New Roman"/>
                <w:color w:val="auto"/>
                <w:sz w:val="20"/>
                <w:szCs w:val="20"/>
                <w:highlight w:val="none"/>
                <w:vertAlign w:val="subscript"/>
              </w:rPr>
              <w:t>2</w:t>
            </w:r>
          </w:p>
        </w:tc>
        <w:tc>
          <w:tcPr>
            <w:tcW w:w="733" w:type="pct"/>
            <w:tcBorders>
              <w:tl2br w:val="nil"/>
              <w:tr2bl w:val="nil"/>
            </w:tcBorders>
            <w:vAlign w:val="center"/>
          </w:tcPr>
          <w:p w14:paraId="32180DB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年平均</w:t>
            </w:r>
          </w:p>
        </w:tc>
        <w:tc>
          <w:tcPr>
            <w:tcW w:w="684" w:type="pct"/>
            <w:tcBorders>
              <w:tl2br w:val="nil"/>
              <w:tr2bl w:val="nil"/>
            </w:tcBorders>
            <w:vAlign w:val="center"/>
          </w:tcPr>
          <w:p w14:paraId="7A47FEB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20</w:t>
            </w:r>
          </w:p>
        </w:tc>
        <w:tc>
          <w:tcPr>
            <w:tcW w:w="677" w:type="pct"/>
            <w:tcBorders>
              <w:tl2br w:val="nil"/>
              <w:tr2bl w:val="nil"/>
            </w:tcBorders>
            <w:vAlign w:val="center"/>
          </w:tcPr>
          <w:p w14:paraId="3441218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60</w:t>
            </w:r>
          </w:p>
        </w:tc>
        <w:tc>
          <w:tcPr>
            <w:tcW w:w="634" w:type="pct"/>
            <w:vMerge w:val="restart"/>
            <w:tcBorders>
              <w:tl2br w:val="nil"/>
              <w:tr2bl w:val="nil"/>
            </w:tcBorders>
            <w:vAlign w:val="center"/>
          </w:tcPr>
          <w:p w14:paraId="2ABFF7D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restart"/>
            <w:tcBorders>
              <w:tl2br w:val="nil"/>
              <w:tr2bl w:val="nil"/>
            </w:tcBorders>
            <w:vAlign w:val="center"/>
          </w:tcPr>
          <w:p w14:paraId="428F93E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《环境空气质量标准》（GB3095-2012）</w:t>
            </w:r>
          </w:p>
        </w:tc>
      </w:tr>
      <w:tr w14:paraId="6B651DC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2AE7F03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172863B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24小时平均</w:t>
            </w:r>
          </w:p>
        </w:tc>
        <w:tc>
          <w:tcPr>
            <w:tcW w:w="684" w:type="pct"/>
            <w:tcBorders>
              <w:tl2br w:val="nil"/>
              <w:tr2bl w:val="nil"/>
            </w:tcBorders>
            <w:vAlign w:val="center"/>
          </w:tcPr>
          <w:p w14:paraId="470264D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50</w:t>
            </w:r>
          </w:p>
        </w:tc>
        <w:tc>
          <w:tcPr>
            <w:tcW w:w="677" w:type="pct"/>
            <w:tcBorders>
              <w:tl2br w:val="nil"/>
              <w:tr2bl w:val="nil"/>
            </w:tcBorders>
            <w:vAlign w:val="center"/>
          </w:tcPr>
          <w:p w14:paraId="32F1DE2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150</w:t>
            </w:r>
          </w:p>
        </w:tc>
        <w:tc>
          <w:tcPr>
            <w:tcW w:w="634" w:type="pct"/>
            <w:vMerge w:val="continue"/>
            <w:tcBorders>
              <w:tl2br w:val="nil"/>
              <w:tr2bl w:val="nil"/>
            </w:tcBorders>
            <w:vAlign w:val="center"/>
          </w:tcPr>
          <w:p w14:paraId="24A0E95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7557F51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2B9DEEE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0A32227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31589DE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1小时平均</w:t>
            </w:r>
          </w:p>
        </w:tc>
        <w:tc>
          <w:tcPr>
            <w:tcW w:w="684" w:type="pct"/>
            <w:tcBorders>
              <w:tl2br w:val="nil"/>
              <w:tr2bl w:val="nil"/>
            </w:tcBorders>
            <w:vAlign w:val="center"/>
          </w:tcPr>
          <w:p w14:paraId="64E2451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150</w:t>
            </w:r>
          </w:p>
        </w:tc>
        <w:tc>
          <w:tcPr>
            <w:tcW w:w="677" w:type="pct"/>
            <w:tcBorders>
              <w:tl2br w:val="nil"/>
              <w:tr2bl w:val="nil"/>
            </w:tcBorders>
            <w:vAlign w:val="center"/>
          </w:tcPr>
          <w:p w14:paraId="4903898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500</w:t>
            </w:r>
          </w:p>
        </w:tc>
        <w:tc>
          <w:tcPr>
            <w:tcW w:w="634" w:type="pct"/>
            <w:vMerge w:val="continue"/>
            <w:tcBorders>
              <w:tl2br w:val="nil"/>
              <w:tr2bl w:val="nil"/>
            </w:tcBorders>
            <w:vAlign w:val="center"/>
          </w:tcPr>
          <w:p w14:paraId="3AEA861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2AB9003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07FE104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4F7446A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vertAlign w:val="subscript"/>
              </w:rPr>
            </w:pPr>
            <w:r>
              <w:rPr>
                <w:rFonts w:hint="default" w:ascii="Times New Roman" w:hAnsi="Times New Roman" w:eastAsia="宋体" w:cs="Times New Roman"/>
                <w:color w:val="auto"/>
                <w:sz w:val="20"/>
                <w:szCs w:val="20"/>
                <w:highlight w:val="none"/>
              </w:rPr>
              <w:t>NO</w:t>
            </w:r>
            <w:r>
              <w:rPr>
                <w:rFonts w:hint="default" w:ascii="Times New Roman" w:hAnsi="Times New Roman" w:eastAsia="宋体" w:cs="Times New Roman"/>
                <w:color w:val="auto"/>
                <w:sz w:val="20"/>
                <w:szCs w:val="20"/>
                <w:highlight w:val="none"/>
                <w:vertAlign w:val="subscript"/>
              </w:rPr>
              <w:t>2</w:t>
            </w:r>
          </w:p>
        </w:tc>
        <w:tc>
          <w:tcPr>
            <w:tcW w:w="733" w:type="pct"/>
            <w:tcBorders>
              <w:tl2br w:val="nil"/>
              <w:tr2bl w:val="nil"/>
            </w:tcBorders>
            <w:vAlign w:val="center"/>
          </w:tcPr>
          <w:p w14:paraId="1925703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年平均</w:t>
            </w:r>
          </w:p>
        </w:tc>
        <w:tc>
          <w:tcPr>
            <w:tcW w:w="684" w:type="pct"/>
            <w:tcBorders>
              <w:tl2br w:val="nil"/>
              <w:tr2bl w:val="nil"/>
            </w:tcBorders>
            <w:vAlign w:val="center"/>
          </w:tcPr>
          <w:p w14:paraId="74C8D89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40</w:t>
            </w:r>
          </w:p>
        </w:tc>
        <w:tc>
          <w:tcPr>
            <w:tcW w:w="677" w:type="pct"/>
            <w:tcBorders>
              <w:tl2br w:val="nil"/>
              <w:tr2bl w:val="nil"/>
            </w:tcBorders>
            <w:vAlign w:val="center"/>
          </w:tcPr>
          <w:p w14:paraId="45741E7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40</w:t>
            </w:r>
          </w:p>
        </w:tc>
        <w:tc>
          <w:tcPr>
            <w:tcW w:w="634" w:type="pct"/>
            <w:vMerge w:val="restart"/>
            <w:tcBorders>
              <w:tl2br w:val="nil"/>
              <w:tr2bl w:val="nil"/>
            </w:tcBorders>
            <w:vAlign w:val="center"/>
          </w:tcPr>
          <w:p w14:paraId="09DF5F1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continue"/>
            <w:tcBorders>
              <w:tl2br w:val="nil"/>
              <w:tr2bl w:val="nil"/>
            </w:tcBorders>
            <w:vAlign w:val="center"/>
          </w:tcPr>
          <w:p w14:paraId="3E17487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0D90625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7DCF509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005354B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24小时平均</w:t>
            </w:r>
          </w:p>
        </w:tc>
        <w:tc>
          <w:tcPr>
            <w:tcW w:w="684" w:type="pct"/>
            <w:tcBorders>
              <w:tl2br w:val="nil"/>
              <w:tr2bl w:val="nil"/>
            </w:tcBorders>
            <w:vAlign w:val="center"/>
          </w:tcPr>
          <w:p w14:paraId="75A2DCE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80</w:t>
            </w:r>
          </w:p>
        </w:tc>
        <w:tc>
          <w:tcPr>
            <w:tcW w:w="677" w:type="pct"/>
            <w:tcBorders>
              <w:tl2br w:val="nil"/>
              <w:tr2bl w:val="nil"/>
            </w:tcBorders>
            <w:vAlign w:val="center"/>
          </w:tcPr>
          <w:p w14:paraId="4CBC96E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80</w:t>
            </w:r>
          </w:p>
        </w:tc>
        <w:tc>
          <w:tcPr>
            <w:tcW w:w="634" w:type="pct"/>
            <w:vMerge w:val="continue"/>
            <w:tcBorders>
              <w:tl2br w:val="nil"/>
              <w:tr2bl w:val="nil"/>
            </w:tcBorders>
            <w:vAlign w:val="center"/>
          </w:tcPr>
          <w:p w14:paraId="6D1998C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77D4B8B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0236C3C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33A4852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1AE02B8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1小时平均</w:t>
            </w:r>
          </w:p>
        </w:tc>
        <w:tc>
          <w:tcPr>
            <w:tcW w:w="684" w:type="pct"/>
            <w:tcBorders>
              <w:tl2br w:val="nil"/>
              <w:tr2bl w:val="nil"/>
            </w:tcBorders>
            <w:vAlign w:val="center"/>
          </w:tcPr>
          <w:p w14:paraId="63E3FBF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200</w:t>
            </w:r>
          </w:p>
        </w:tc>
        <w:tc>
          <w:tcPr>
            <w:tcW w:w="677" w:type="pct"/>
            <w:tcBorders>
              <w:tl2br w:val="nil"/>
              <w:tr2bl w:val="nil"/>
            </w:tcBorders>
            <w:vAlign w:val="center"/>
          </w:tcPr>
          <w:p w14:paraId="0D57CD3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200</w:t>
            </w:r>
          </w:p>
        </w:tc>
        <w:tc>
          <w:tcPr>
            <w:tcW w:w="634" w:type="pct"/>
            <w:vMerge w:val="continue"/>
            <w:tcBorders>
              <w:tl2br w:val="nil"/>
              <w:tr2bl w:val="nil"/>
            </w:tcBorders>
            <w:vAlign w:val="center"/>
          </w:tcPr>
          <w:p w14:paraId="2B55037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617904C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A34EF3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2774D6C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CO</w:t>
            </w:r>
          </w:p>
        </w:tc>
        <w:tc>
          <w:tcPr>
            <w:tcW w:w="733" w:type="pct"/>
            <w:tcBorders>
              <w:tl2br w:val="nil"/>
              <w:tr2bl w:val="nil"/>
            </w:tcBorders>
            <w:vAlign w:val="center"/>
          </w:tcPr>
          <w:p w14:paraId="02E91FE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24小时平均</w:t>
            </w:r>
          </w:p>
        </w:tc>
        <w:tc>
          <w:tcPr>
            <w:tcW w:w="684" w:type="pct"/>
            <w:tcBorders>
              <w:tl2br w:val="nil"/>
              <w:tr2bl w:val="nil"/>
            </w:tcBorders>
            <w:vAlign w:val="center"/>
          </w:tcPr>
          <w:p w14:paraId="131648C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4</w:t>
            </w:r>
          </w:p>
        </w:tc>
        <w:tc>
          <w:tcPr>
            <w:tcW w:w="677" w:type="pct"/>
            <w:tcBorders>
              <w:tl2br w:val="nil"/>
              <w:tr2bl w:val="nil"/>
            </w:tcBorders>
            <w:vAlign w:val="center"/>
          </w:tcPr>
          <w:p w14:paraId="1B3D920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4</w:t>
            </w:r>
          </w:p>
        </w:tc>
        <w:tc>
          <w:tcPr>
            <w:tcW w:w="634" w:type="pct"/>
            <w:vMerge w:val="restart"/>
            <w:tcBorders>
              <w:tl2br w:val="nil"/>
              <w:tr2bl w:val="nil"/>
            </w:tcBorders>
            <w:vAlign w:val="center"/>
          </w:tcPr>
          <w:p w14:paraId="6DD6F73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cs="Times New Roman"/>
                <w:color w:val="auto"/>
                <w:sz w:val="20"/>
                <w:szCs w:val="20"/>
                <w:highlight w:val="none"/>
              </w:rPr>
              <w:t>mg/m</w:t>
            </w:r>
            <w:r>
              <w:rPr>
                <w:rFonts w:hint="default" w:ascii="Times New Roman" w:hAnsi="Times New Roman" w:cs="Times New Roman"/>
                <w:color w:val="auto"/>
                <w:sz w:val="20"/>
                <w:szCs w:val="20"/>
                <w:highlight w:val="none"/>
                <w:vertAlign w:val="superscript"/>
              </w:rPr>
              <w:t>3</w:t>
            </w:r>
          </w:p>
        </w:tc>
        <w:tc>
          <w:tcPr>
            <w:tcW w:w="1419" w:type="pct"/>
            <w:vMerge w:val="continue"/>
            <w:tcBorders>
              <w:tl2br w:val="nil"/>
              <w:tr2bl w:val="nil"/>
            </w:tcBorders>
            <w:vAlign w:val="center"/>
          </w:tcPr>
          <w:p w14:paraId="42851F8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73B4BC2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4AA0B33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0AE4A67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1小时平均</w:t>
            </w:r>
          </w:p>
        </w:tc>
        <w:tc>
          <w:tcPr>
            <w:tcW w:w="684" w:type="pct"/>
            <w:tcBorders>
              <w:tl2br w:val="nil"/>
              <w:tr2bl w:val="nil"/>
            </w:tcBorders>
            <w:vAlign w:val="center"/>
          </w:tcPr>
          <w:p w14:paraId="794CC4E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10</w:t>
            </w:r>
          </w:p>
        </w:tc>
        <w:tc>
          <w:tcPr>
            <w:tcW w:w="677" w:type="pct"/>
            <w:tcBorders>
              <w:tl2br w:val="nil"/>
              <w:tr2bl w:val="nil"/>
            </w:tcBorders>
            <w:vAlign w:val="center"/>
          </w:tcPr>
          <w:p w14:paraId="2BD7A77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10</w:t>
            </w:r>
          </w:p>
        </w:tc>
        <w:tc>
          <w:tcPr>
            <w:tcW w:w="634" w:type="pct"/>
            <w:vMerge w:val="continue"/>
            <w:tcBorders>
              <w:tl2br w:val="nil"/>
              <w:tr2bl w:val="nil"/>
            </w:tcBorders>
            <w:vAlign w:val="center"/>
          </w:tcPr>
          <w:p w14:paraId="3E72134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2C12DB0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7C2A102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3740F5C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O</w:t>
            </w:r>
            <w:r>
              <w:rPr>
                <w:rFonts w:hint="default" w:ascii="Times New Roman" w:hAnsi="Times New Roman" w:eastAsia="宋体" w:cs="Times New Roman"/>
                <w:color w:val="auto"/>
                <w:sz w:val="20"/>
                <w:szCs w:val="20"/>
                <w:highlight w:val="none"/>
                <w:vertAlign w:val="subscript"/>
              </w:rPr>
              <w:t>3</w:t>
            </w:r>
          </w:p>
        </w:tc>
        <w:tc>
          <w:tcPr>
            <w:tcW w:w="733" w:type="pct"/>
            <w:tcBorders>
              <w:tl2br w:val="nil"/>
              <w:tr2bl w:val="nil"/>
            </w:tcBorders>
            <w:vAlign w:val="center"/>
          </w:tcPr>
          <w:p w14:paraId="79E280B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日最大8小时平均</w:t>
            </w:r>
          </w:p>
        </w:tc>
        <w:tc>
          <w:tcPr>
            <w:tcW w:w="684" w:type="pct"/>
            <w:tcBorders>
              <w:tl2br w:val="nil"/>
              <w:tr2bl w:val="nil"/>
            </w:tcBorders>
            <w:vAlign w:val="center"/>
          </w:tcPr>
          <w:p w14:paraId="633EFF8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100</w:t>
            </w:r>
          </w:p>
        </w:tc>
        <w:tc>
          <w:tcPr>
            <w:tcW w:w="677" w:type="pct"/>
            <w:tcBorders>
              <w:tl2br w:val="nil"/>
              <w:tr2bl w:val="nil"/>
            </w:tcBorders>
            <w:vAlign w:val="center"/>
          </w:tcPr>
          <w:p w14:paraId="4820D2D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160</w:t>
            </w:r>
          </w:p>
        </w:tc>
        <w:tc>
          <w:tcPr>
            <w:tcW w:w="634" w:type="pct"/>
            <w:vMerge w:val="restart"/>
            <w:tcBorders>
              <w:tl2br w:val="nil"/>
              <w:tr2bl w:val="nil"/>
            </w:tcBorders>
            <w:vAlign w:val="center"/>
          </w:tcPr>
          <w:p w14:paraId="4F48D88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continue"/>
            <w:tcBorders>
              <w:tl2br w:val="nil"/>
              <w:tr2bl w:val="nil"/>
            </w:tcBorders>
            <w:vAlign w:val="center"/>
          </w:tcPr>
          <w:p w14:paraId="638888B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4D3F6B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2230196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057AF24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1小时平均</w:t>
            </w:r>
          </w:p>
        </w:tc>
        <w:tc>
          <w:tcPr>
            <w:tcW w:w="684" w:type="pct"/>
            <w:tcBorders>
              <w:tl2br w:val="nil"/>
              <w:tr2bl w:val="nil"/>
            </w:tcBorders>
            <w:vAlign w:val="center"/>
          </w:tcPr>
          <w:p w14:paraId="6B91EF6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160</w:t>
            </w:r>
          </w:p>
        </w:tc>
        <w:tc>
          <w:tcPr>
            <w:tcW w:w="677" w:type="pct"/>
            <w:tcBorders>
              <w:tl2br w:val="nil"/>
              <w:tr2bl w:val="nil"/>
            </w:tcBorders>
            <w:vAlign w:val="center"/>
          </w:tcPr>
          <w:p w14:paraId="1D0AA9B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200</w:t>
            </w:r>
          </w:p>
        </w:tc>
        <w:tc>
          <w:tcPr>
            <w:tcW w:w="634" w:type="pct"/>
            <w:vMerge w:val="continue"/>
            <w:tcBorders>
              <w:tl2br w:val="nil"/>
              <w:tr2bl w:val="nil"/>
            </w:tcBorders>
            <w:vAlign w:val="center"/>
          </w:tcPr>
          <w:p w14:paraId="142B53B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3820050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2F99C7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1B47883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PM</w:t>
            </w:r>
            <w:r>
              <w:rPr>
                <w:rFonts w:hint="default" w:ascii="Times New Roman" w:hAnsi="Times New Roman" w:eastAsia="宋体" w:cs="Times New Roman"/>
                <w:color w:val="auto"/>
                <w:sz w:val="20"/>
                <w:szCs w:val="20"/>
                <w:highlight w:val="none"/>
                <w:vertAlign w:val="subscript"/>
              </w:rPr>
              <w:t>10</w:t>
            </w:r>
          </w:p>
        </w:tc>
        <w:tc>
          <w:tcPr>
            <w:tcW w:w="733" w:type="pct"/>
            <w:tcBorders>
              <w:tl2br w:val="nil"/>
              <w:tr2bl w:val="nil"/>
            </w:tcBorders>
            <w:vAlign w:val="center"/>
          </w:tcPr>
          <w:p w14:paraId="517ABA7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年平均</w:t>
            </w:r>
          </w:p>
        </w:tc>
        <w:tc>
          <w:tcPr>
            <w:tcW w:w="684" w:type="pct"/>
            <w:tcBorders>
              <w:tl2br w:val="nil"/>
              <w:tr2bl w:val="nil"/>
            </w:tcBorders>
            <w:vAlign w:val="center"/>
          </w:tcPr>
          <w:p w14:paraId="1823C43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40</w:t>
            </w:r>
          </w:p>
        </w:tc>
        <w:tc>
          <w:tcPr>
            <w:tcW w:w="677" w:type="pct"/>
            <w:tcBorders>
              <w:tl2br w:val="nil"/>
              <w:tr2bl w:val="nil"/>
            </w:tcBorders>
            <w:vAlign w:val="center"/>
          </w:tcPr>
          <w:p w14:paraId="6FA7DCD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70</w:t>
            </w:r>
          </w:p>
        </w:tc>
        <w:tc>
          <w:tcPr>
            <w:tcW w:w="634" w:type="pct"/>
            <w:vMerge w:val="continue"/>
            <w:tcBorders>
              <w:tl2br w:val="nil"/>
              <w:tr2bl w:val="nil"/>
            </w:tcBorders>
            <w:vAlign w:val="center"/>
          </w:tcPr>
          <w:p w14:paraId="4C3406E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1D86108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709F17F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17F3644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329A331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24小时平均</w:t>
            </w:r>
          </w:p>
        </w:tc>
        <w:tc>
          <w:tcPr>
            <w:tcW w:w="684" w:type="pct"/>
            <w:tcBorders>
              <w:tl2br w:val="nil"/>
              <w:tr2bl w:val="nil"/>
            </w:tcBorders>
            <w:vAlign w:val="center"/>
          </w:tcPr>
          <w:p w14:paraId="01FA604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50</w:t>
            </w:r>
          </w:p>
        </w:tc>
        <w:tc>
          <w:tcPr>
            <w:tcW w:w="677" w:type="pct"/>
            <w:tcBorders>
              <w:tl2br w:val="nil"/>
              <w:tr2bl w:val="nil"/>
            </w:tcBorders>
            <w:vAlign w:val="center"/>
          </w:tcPr>
          <w:p w14:paraId="66C95B0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150</w:t>
            </w:r>
          </w:p>
        </w:tc>
        <w:tc>
          <w:tcPr>
            <w:tcW w:w="634" w:type="pct"/>
            <w:vMerge w:val="continue"/>
            <w:tcBorders>
              <w:tl2br w:val="nil"/>
              <w:tr2bl w:val="nil"/>
            </w:tcBorders>
            <w:vAlign w:val="center"/>
          </w:tcPr>
          <w:p w14:paraId="4BBFB4D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2C8A0DB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0161291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05D3550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PM</w:t>
            </w:r>
            <w:r>
              <w:rPr>
                <w:rFonts w:hint="default" w:ascii="Times New Roman" w:hAnsi="Times New Roman" w:eastAsia="宋体" w:cs="Times New Roman"/>
                <w:color w:val="auto"/>
                <w:sz w:val="20"/>
                <w:szCs w:val="20"/>
                <w:highlight w:val="none"/>
                <w:vertAlign w:val="subscript"/>
              </w:rPr>
              <w:t>2.5</w:t>
            </w:r>
          </w:p>
        </w:tc>
        <w:tc>
          <w:tcPr>
            <w:tcW w:w="733" w:type="pct"/>
            <w:tcBorders>
              <w:tl2br w:val="nil"/>
              <w:tr2bl w:val="nil"/>
            </w:tcBorders>
            <w:vAlign w:val="center"/>
          </w:tcPr>
          <w:p w14:paraId="6D5E120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年平均</w:t>
            </w:r>
          </w:p>
        </w:tc>
        <w:tc>
          <w:tcPr>
            <w:tcW w:w="684" w:type="pct"/>
            <w:tcBorders>
              <w:tl2br w:val="nil"/>
              <w:tr2bl w:val="nil"/>
            </w:tcBorders>
            <w:vAlign w:val="center"/>
          </w:tcPr>
          <w:p w14:paraId="52E320B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15</w:t>
            </w:r>
          </w:p>
        </w:tc>
        <w:tc>
          <w:tcPr>
            <w:tcW w:w="677" w:type="pct"/>
            <w:tcBorders>
              <w:tl2br w:val="nil"/>
              <w:tr2bl w:val="nil"/>
            </w:tcBorders>
            <w:vAlign w:val="center"/>
          </w:tcPr>
          <w:p w14:paraId="15A6D6F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35</w:t>
            </w:r>
          </w:p>
        </w:tc>
        <w:tc>
          <w:tcPr>
            <w:tcW w:w="634" w:type="pct"/>
            <w:vMerge w:val="continue"/>
            <w:tcBorders>
              <w:tl2br w:val="nil"/>
              <w:tr2bl w:val="nil"/>
            </w:tcBorders>
            <w:vAlign w:val="center"/>
          </w:tcPr>
          <w:p w14:paraId="5F9FFBE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7AE93B2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31B294C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5F789D4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62165AF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24小时平均</w:t>
            </w:r>
          </w:p>
        </w:tc>
        <w:tc>
          <w:tcPr>
            <w:tcW w:w="684" w:type="pct"/>
            <w:tcBorders>
              <w:tl2br w:val="nil"/>
              <w:tr2bl w:val="nil"/>
            </w:tcBorders>
            <w:vAlign w:val="center"/>
          </w:tcPr>
          <w:p w14:paraId="5597589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35</w:t>
            </w:r>
          </w:p>
        </w:tc>
        <w:tc>
          <w:tcPr>
            <w:tcW w:w="677" w:type="pct"/>
            <w:tcBorders>
              <w:tl2br w:val="nil"/>
              <w:tr2bl w:val="nil"/>
            </w:tcBorders>
            <w:vAlign w:val="center"/>
          </w:tcPr>
          <w:p w14:paraId="1FBA479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75</w:t>
            </w:r>
          </w:p>
        </w:tc>
        <w:tc>
          <w:tcPr>
            <w:tcW w:w="634" w:type="pct"/>
            <w:vMerge w:val="continue"/>
            <w:tcBorders>
              <w:tl2br w:val="nil"/>
              <w:tr2bl w:val="nil"/>
            </w:tcBorders>
            <w:vAlign w:val="center"/>
          </w:tcPr>
          <w:p w14:paraId="414CA0C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22F6932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61B4ABA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4F25D52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TSP</w:t>
            </w:r>
          </w:p>
        </w:tc>
        <w:tc>
          <w:tcPr>
            <w:tcW w:w="733" w:type="pct"/>
            <w:tcBorders>
              <w:tl2br w:val="nil"/>
              <w:tr2bl w:val="nil"/>
            </w:tcBorders>
            <w:vAlign w:val="center"/>
          </w:tcPr>
          <w:p w14:paraId="5E51180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年平均</w:t>
            </w:r>
          </w:p>
        </w:tc>
        <w:tc>
          <w:tcPr>
            <w:tcW w:w="684" w:type="pct"/>
            <w:tcBorders>
              <w:tl2br w:val="nil"/>
              <w:tr2bl w:val="nil"/>
            </w:tcBorders>
            <w:vAlign w:val="center"/>
          </w:tcPr>
          <w:p w14:paraId="15E0A5C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80</w:t>
            </w:r>
          </w:p>
        </w:tc>
        <w:tc>
          <w:tcPr>
            <w:tcW w:w="677" w:type="pct"/>
            <w:tcBorders>
              <w:tl2br w:val="nil"/>
              <w:tr2bl w:val="nil"/>
            </w:tcBorders>
            <w:vAlign w:val="center"/>
          </w:tcPr>
          <w:p w14:paraId="0697E0F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200</w:t>
            </w:r>
          </w:p>
        </w:tc>
        <w:tc>
          <w:tcPr>
            <w:tcW w:w="634" w:type="pct"/>
            <w:vMerge w:val="restart"/>
            <w:tcBorders>
              <w:tl2br w:val="nil"/>
              <w:tr2bl w:val="nil"/>
            </w:tcBorders>
            <w:vAlign w:val="center"/>
          </w:tcPr>
          <w:p w14:paraId="54A3162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continue"/>
            <w:tcBorders>
              <w:tl2br w:val="nil"/>
              <w:tr2bl w:val="nil"/>
            </w:tcBorders>
            <w:vAlign w:val="center"/>
          </w:tcPr>
          <w:p w14:paraId="2B78A3D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607913F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00030A3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0216D62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24小时平均</w:t>
            </w:r>
          </w:p>
        </w:tc>
        <w:tc>
          <w:tcPr>
            <w:tcW w:w="684" w:type="pct"/>
            <w:tcBorders>
              <w:tl2br w:val="nil"/>
              <w:tr2bl w:val="nil"/>
            </w:tcBorders>
            <w:vAlign w:val="center"/>
          </w:tcPr>
          <w:p w14:paraId="1343CE9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120</w:t>
            </w:r>
          </w:p>
        </w:tc>
        <w:tc>
          <w:tcPr>
            <w:tcW w:w="677" w:type="pct"/>
            <w:tcBorders>
              <w:tl2br w:val="nil"/>
              <w:tr2bl w:val="nil"/>
            </w:tcBorders>
            <w:vAlign w:val="center"/>
          </w:tcPr>
          <w:p w14:paraId="0F8973E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300</w:t>
            </w:r>
          </w:p>
        </w:tc>
        <w:tc>
          <w:tcPr>
            <w:tcW w:w="634" w:type="pct"/>
            <w:vMerge w:val="continue"/>
            <w:tcBorders>
              <w:tl2br w:val="nil"/>
              <w:tr2bl w:val="nil"/>
            </w:tcBorders>
            <w:vAlign w:val="center"/>
          </w:tcPr>
          <w:p w14:paraId="5B6EB49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0B0C312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215E380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4B23C65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NOx</w:t>
            </w:r>
          </w:p>
        </w:tc>
        <w:tc>
          <w:tcPr>
            <w:tcW w:w="733" w:type="pct"/>
            <w:tcBorders>
              <w:tl2br w:val="nil"/>
              <w:tr2bl w:val="nil"/>
            </w:tcBorders>
            <w:vAlign w:val="center"/>
          </w:tcPr>
          <w:p w14:paraId="12F4A92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年平均</w:t>
            </w:r>
          </w:p>
        </w:tc>
        <w:tc>
          <w:tcPr>
            <w:tcW w:w="684" w:type="pct"/>
            <w:tcBorders>
              <w:tl2br w:val="nil"/>
              <w:tr2bl w:val="nil"/>
            </w:tcBorders>
            <w:vAlign w:val="center"/>
          </w:tcPr>
          <w:p w14:paraId="7E13CC9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50</w:t>
            </w:r>
          </w:p>
        </w:tc>
        <w:tc>
          <w:tcPr>
            <w:tcW w:w="677" w:type="pct"/>
            <w:tcBorders>
              <w:tl2br w:val="nil"/>
              <w:tr2bl w:val="nil"/>
            </w:tcBorders>
            <w:vAlign w:val="center"/>
          </w:tcPr>
          <w:p w14:paraId="71A40AB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50</w:t>
            </w:r>
          </w:p>
        </w:tc>
        <w:tc>
          <w:tcPr>
            <w:tcW w:w="634" w:type="pct"/>
            <w:vMerge w:val="restart"/>
            <w:tcBorders>
              <w:tl2br w:val="nil"/>
              <w:tr2bl w:val="nil"/>
            </w:tcBorders>
            <w:vAlign w:val="center"/>
          </w:tcPr>
          <w:p w14:paraId="3506519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continue"/>
            <w:tcBorders>
              <w:tl2br w:val="nil"/>
              <w:tr2bl w:val="nil"/>
            </w:tcBorders>
            <w:vAlign w:val="center"/>
          </w:tcPr>
          <w:p w14:paraId="1EDBC9F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6DB8ECD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65A7096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2BB8739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24小时平均</w:t>
            </w:r>
          </w:p>
        </w:tc>
        <w:tc>
          <w:tcPr>
            <w:tcW w:w="684" w:type="pct"/>
            <w:tcBorders>
              <w:tl2br w:val="nil"/>
              <w:tr2bl w:val="nil"/>
            </w:tcBorders>
            <w:vAlign w:val="center"/>
          </w:tcPr>
          <w:p w14:paraId="18E1411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100</w:t>
            </w:r>
          </w:p>
        </w:tc>
        <w:tc>
          <w:tcPr>
            <w:tcW w:w="677" w:type="pct"/>
            <w:tcBorders>
              <w:tl2br w:val="nil"/>
              <w:tr2bl w:val="nil"/>
            </w:tcBorders>
            <w:vAlign w:val="center"/>
          </w:tcPr>
          <w:p w14:paraId="65A6226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100</w:t>
            </w:r>
          </w:p>
        </w:tc>
        <w:tc>
          <w:tcPr>
            <w:tcW w:w="634" w:type="pct"/>
            <w:vMerge w:val="continue"/>
            <w:tcBorders>
              <w:tl2br w:val="nil"/>
              <w:tr2bl w:val="nil"/>
            </w:tcBorders>
            <w:vAlign w:val="center"/>
          </w:tcPr>
          <w:p w14:paraId="65F4D6C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3099403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2693641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2061931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77B0A11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1小时平均</w:t>
            </w:r>
          </w:p>
        </w:tc>
        <w:tc>
          <w:tcPr>
            <w:tcW w:w="684" w:type="pct"/>
            <w:tcBorders>
              <w:tl2br w:val="nil"/>
              <w:tr2bl w:val="nil"/>
            </w:tcBorders>
            <w:vAlign w:val="center"/>
          </w:tcPr>
          <w:p w14:paraId="1FF0790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250</w:t>
            </w:r>
          </w:p>
        </w:tc>
        <w:tc>
          <w:tcPr>
            <w:tcW w:w="677" w:type="pct"/>
            <w:tcBorders>
              <w:tl2br w:val="nil"/>
              <w:tr2bl w:val="nil"/>
            </w:tcBorders>
            <w:vAlign w:val="center"/>
          </w:tcPr>
          <w:p w14:paraId="6058403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250</w:t>
            </w:r>
          </w:p>
        </w:tc>
        <w:tc>
          <w:tcPr>
            <w:tcW w:w="634" w:type="pct"/>
            <w:vMerge w:val="continue"/>
            <w:tcBorders>
              <w:tl2br w:val="nil"/>
              <w:tr2bl w:val="nil"/>
            </w:tcBorders>
            <w:vAlign w:val="center"/>
          </w:tcPr>
          <w:p w14:paraId="70F614A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50BEE7C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5E8D11C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32895621">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铅</w:t>
            </w:r>
          </w:p>
        </w:tc>
        <w:tc>
          <w:tcPr>
            <w:tcW w:w="733" w:type="pct"/>
            <w:tcBorders>
              <w:tl2br w:val="nil"/>
              <w:tr2bl w:val="nil"/>
            </w:tcBorders>
            <w:vAlign w:val="center"/>
          </w:tcPr>
          <w:p w14:paraId="7629D1D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年平均</w:t>
            </w:r>
          </w:p>
        </w:tc>
        <w:tc>
          <w:tcPr>
            <w:tcW w:w="684" w:type="pct"/>
            <w:tcBorders>
              <w:tl2br w:val="nil"/>
              <w:tr2bl w:val="nil"/>
            </w:tcBorders>
            <w:vAlign w:val="center"/>
          </w:tcPr>
          <w:p w14:paraId="042B740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0.5</w:t>
            </w:r>
          </w:p>
        </w:tc>
        <w:tc>
          <w:tcPr>
            <w:tcW w:w="677" w:type="pct"/>
            <w:tcBorders>
              <w:tl2br w:val="nil"/>
              <w:tr2bl w:val="nil"/>
            </w:tcBorders>
            <w:vAlign w:val="center"/>
          </w:tcPr>
          <w:p w14:paraId="0744FC4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0.5</w:t>
            </w:r>
          </w:p>
        </w:tc>
        <w:tc>
          <w:tcPr>
            <w:tcW w:w="634" w:type="pct"/>
            <w:vMerge w:val="restart"/>
            <w:tcBorders>
              <w:tl2br w:val="nil"/>
              <w:tr2bl w:val="nil"/>
            </w:tcBorders>
            <w:vAlign w:val="center"/>
          </w:tcPr>
          <w:p w14:paraId="7214801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continue"/>
            <w:tcBorders>
              <w:tl2br w:val="nil"/>
              <w:tr2bl w:val="nil"/>
            </w:tcBorders>
            <w:vAlign w:val="center"/>
          </w:tcPr>
          <w:p w14:paraId="5D87863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772EABA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5AE0C75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1EF653E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季平均</w:t>
            </w:r>
          </w:p>
        </w:tc>
        <w:tc>
          <w:tcPr>
            <w:tcW w:w="684" w:type="pct"/>
            <w:tcBorders>
              <w:tl2br w:val="nil"/>
              <w:tr2bl w:val="nil"/>
            </w:tcBorders>
            <w:vAlign w:val="center"/>
          </w:tcPr>
          <w:p w14:paraId="4C7E4B6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1</w:t>
            </w:r>
          </w:p>
        </w:tc>
        <w:tc>
          <w:tcPr>
            <w:tcW w:w="677" w:type="pct"/>
            <w:tcBorders>
              <w:tl2br w:val="nil"/>
              <w:tr2bl w:val="nil"/>
            </w:tcBorders>
            <w:vAlign w:val="center"/>
          </w:tcPr>
          <w:p w14:paraId="5D08C50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1</w:t>
            </w:r>
          </w:p>
        </w:tc>
        <w:tc>
          <w:tcPr>
            <w:tcW w:w="634" w:type="pct"/>
            <w:vMerge w:val="continue"/>
            <w:tcBorders>
              <w:tl2br w:val="nil"/>
              <w:tr2bl w:val="nil"/>
            </w:tcBorders>
            <w:vAlign w:val="center"/>
          </w:tcPr>
          <w:p w14:paraId="1EEDA09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20FFFE5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681FDFE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850" w:type="pct"/>
            <w:tcBorders>
              <w:tl2br w:val="nil"/>
              <w:tr2bl w:val="nil"/>
            </w:tcBorders>
            <w:vAlign w:val="center"/>
          </w:tcPr>
          <w:p w14:paraId="44294FCF">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镉</w:t>
            </w:r>
          </w:p>
        </w:tc>
        <w:tc>
          <w:tcPr>
            <w:tcW w:w="733" w:type="pct"/>
            <w:tcBorders>
              <w:tl2br w:val="nil"/>
              <w:tr2bl w:val="nil"/>
            </w:tcBorders>
            <w:vAlign w:val="center"/>
          </w:tcPr>
          <w:p w14:paraId="4C1D766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年平均</w:t>
            </w:r>
          </w:p>
        </w:tc>
        <w:tc>
          <w:tcPr>
            <w:tcW w:w="684" w:type="pct"/>
            <w:tcBorders>
              <w:tl2br w:val="nil"/>
              <w:tr2bl w:val="nil"/>
            </w:tcBorders>
            <w:vAlign w:val="center"/>
          </w:tcPr>
          <w:p w14:paraId="2E98A5A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0.005</w:t>
            </w:r>
          </w:p>
        </w:tc>
        <w:tc>
          <w:tcPr>
            <w:tcW w:w="677" w:type="pct"/>
            <w:tcBorders>
              <w:tl2br w:val="nil"/>
              <w:tr2bl w:val="nil"/>
            </w:tcBorders>
            <w:vAlign w:val="center"/>
          </w:tcPr>
          <w:p w14:paraId="5C9C87F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0.005</w:t>
            </w:r>
          </w:p>
        </w:tc>
        <w:tc>
          <w:tcPr>
            <w:tcW w:w="634" w:type="pct"/>
            <w:vMerge w:val="restart"/>
            <w:tcBorders>
              <w:tl2br w:val="nil"/>
              <w:tr2bl w:val="nil"/>
            </w:tcBorders>
            <w:vAlign w:val="center"/>
          </w:tcPr>
          <w:p w14:paraId="48062F0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continue"/>
            <w:tcBorders>
              <w:tl2br w:val="nil"/>
              <w:tr2bl w:val="nil"/>
            </w:tcBorders>
            <w:vAlign w:val="center"/>
          </w:tcPr>
          <w:p w14:paraId="62E95F3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075E2E9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tcBorders>
              <w:tl2br w:val="nil"/>
              <w:tr2bl w:val="nil"/>
            </w:tcBorders>
            <w:vAlign w:val="center"/>
          </w:tcPr>
          <w:p w14:paraId="3107ECBF">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汞</w:t>
            </w:r>
          </w:p>
        </w:tc>
        <w:tc>
          <w:tcPr>
            <w:tcW w:w="733" w:type="pct"/>
            <w:tcBorders>
              <w:tl2br w:val="nil"/>
              <w:tr2bl w:val="nil"/>
            </w:tcBorders>
            <w:vAlign w:val="center"/>
          </w:tcPr>
          <w:p w14:paraId="0609BDC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年平均</w:t>
            </w:r>
          </w:p>
        </w:tc>
        <w:tc>
          <w:tcPr>
            <w:tcW w:w="684" w:type="pct"/>
            <w:tcBorders>
              <w:tl2br w:val="nil"/>
              <w:tr2bl w:val="nil"/>
            </w:tcBorders>
            <w:vAlign w:val="center"/>
          </w:tcPr>
          <w:p w14:paraId="718E8EB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0.05</w:t>
            </w:r>
          </w:p>
        </w:tc>
        <w:tc>
          <w:tcPr>
            <w:tcW w:w="677" w:type="pct"/>
            <w:tcBorders>
              <w:tl2br w:val="nil"/>
              <w:tr2bl w:val="nil"/>
            </w:tcBorders>
            <w:vAlign w:val="center"/>
          </w:tcPr>
          <w:p w14:paraId="7D65B93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0.05</w:t>
            </w:r>
          </w:p>
        </w:tc>
        <w:tc>
          <w:tcPr>
            <w:tcW w:w="634" w:type="pct"/>
            <w:vMerge w:val="continue"/>
            <w:tcBorders>
              <w:tl2br w:val="nil"/>
              <w:tr2bl w:val="nil"/>
            </w:tcBorders>
            <w:vAlign w:val="center"/>
          </w:tcPr>
          <w:p w14:paraId="6771475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59EB69A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3CA8C21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tcBorders>
              <w:tl2br w:val="nil"/>
              <w:tr2bl w:val="nil"/>
            </w:tcBorders>
            <w:vAlign w:val="center"/>
          </w:tcPr>
          <w:p w14:paraId="1859C579">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砷</w:t>
            </w:r>
          </w:p>
        </w:tc>
        <w:tc>
          <w:tcPr>
            <w:tcW w:w="733" w:type="pct"/>
            <w:tcBorders>
              <w:tl2br w:val="nil"/>
              <w:tr2bl w:val="nil"/>
            </w:tcBorders>
            <w:vAlign w:val="center"/>
          </w:tcPr>
          <w:p w14:paraId="5933415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年平均</w:t>
            </w:r>
          </w:p>
        </w:tc>
        <w:tc>
          <w:tcPr>
            <w:tcW w:w="684" w:type="pct"/>
            <w:tcBorders>
              <w:tl2br w:val="nil"/>
              <w:tr2bl w:val="nil"/>
            </w:tcBorders>
            <w:vAlign w:val="center"/>
          </w:tcPr>
          <w:p w14:paraId="52BCC4E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0.006</w:t>
            </w:r>
          </w:p>
        </w:tc>
        <w:tc>
          <w:tcPr>
            <w:tcW w:w="677" w:type="pct"/>
            <w:tcBorders>
              <w:tl2br w:val="nil"/>
              <w:tr2bl w:val="nil"/>
            </w:tcBorders>
            <w:vAlign w:val="center"/>
          </w:tcPr>
          <w:p w14:paraId="34B8E03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0.006</w:t>
            </w:r>
          </w:p>
        </w:tc>
        <w:tc>
          <w:tcPr>
            <w:tcW w:w="634" w:type="pct"/>
            <w:vMerge w:val="continue"/>
            <w:tcBorders>
              <w:tl2br w:val="nil"/>
              <w:tr2bl w:val="nil"/>
            </w:tcBorders>
            <w:vAlign w:val="center"/>
          </w:tcPr>
          <w:p w14:paraId="79CF5FC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638270D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38FFEC6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tcBorders>
              <w:tl2br w:val="nil"/>
              <w:tr2bl w:val="nil"/>
            </w:tcBorders>
            <w:vAlign w:val="center"/>
          </w:tcPr>
          <w:p w14:paraId="629A9927">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六价铬</w:t>
            </w:r>
          </w:p>
        </w:tc>
        <w:tc>
          <w:tcPr>
            <w:tcW w:w="733" w:type="pct"/>
            <w:tcBorders>
              <w:tl2br w:val="nil"/>
              <w:tr2bl w:val="nil"/>
            </w:tcBorders>
            <w:vAlign w:val="center"/>
          </w:tcPr>
          <w:p w14:paraId="57ED25D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年平均</w:t>
            </w:r>
          </w:p>
        </w:tc>
        <w:tc>
          <w:tcPr>
            <w:tcW w:w="684" w:type="pct"/>
            <w:tcBorders>
              <w:tl2br w:val="nil"/>
              <w:tr2bl w:val="nil"/>
            </w:tcBorders>
            <w:vAlign w:val="center"/>
          </w:tcPr>
          <w:p w14:paraId="61D6630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0.000025</w:t>
            </w:r>
          </w:p>
        </w:tc>
        <w:tc>
          <w:tcPr>
            <w:tcW w:w="677" w:type="pct"/>
            <w:tcBorders>
              <w:tl2br w:val="nil"/>
              <w:tr2bl w:val="nil"/>
            </w:tcBorders>
            <w:vAlign w:val="center"/>
          </w:tcPr>
          <w:p w14:paraId="6943E55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0.000025</w:t>
            </w:r>
          </w:p>
        </w:tc>
        <w:tc>
          <w:tcPr>
            <w:tcW w:w="634" w:type="pct"/>
            <w:vMerge w:val="continue"/>
            <w:tcBorders>
              <w:tl2br w:val="nil"/>
              <w:tr2bl w:val="nil"/>
            </w:tcBorders>
            <w:vAlign w:val="center"/>
          </w:tcPr>
          <w:p w14:paraId="29280EC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4AEF1A7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5DD8F74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106C920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氟化物</w:t>
            </w:r>
          </w:p>
        </w:tc>
        <w:tc>
          <w:tcPr>
            <w:tcW w:w="733" w:type="pct"/>
            <w:tcBorders>
              <w:tl2br w:val="nil"/>
              <w:tr2bl w:val="nil"/>
            </w:tcBorders>
            <w:shd w:val="clear" w:color="auto" w:fill="auto"/>
            <w:vAlign w:val="center"/>
          </w:tcPr>
          <w:p w14:paraId="41BAFCF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24小时平均</w:t>
            </w:r>
          </w:p>
        </w:tc>
        <w:tc>
          <w:tcPr>
            <w:tcW w:w="684" w:type="pct"/>
            <w:tcBorders>
              <w:tl2br w:val="nil"/>
              <w:tr2bl w:val="nil"/>
            </w:tcBorders>
            <w:shd w:val="clear" w:color="auto" w:fill="auto"/>
            <w:vAlign w:val="center"/>
          </w:tcPr>
          <w:p w14:paraId="44B075B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7</w:t>
            </w:r>
            <w:r>
              <w:rPr>
                <w:rFonts w:hint="default" w:ascii="Times New Roman" w:hAnsi="Times New Roman" w:eastAsia="宋体" w:cs="Times New Roman"/>
                <w:color w:val="auto"/>
                <w:sz w:val="20"/>
                <w:szCs w:val="20"/>
                <w:highlight w:val="none"/>
                <w:vertAlign w:val="superscript"/>
                <w:lang w:val="en-US" w:eastAsia="zh-CN"/>
              </w:rPr>
              <w:t>①</w:t>
            </w:r>
          </w:p>
        </w:tc>
        <w:tc>
          <w:tcPr>
            <w:tcW w:w="677" w:type="pct"/>
            <w:tcBorders>
              <w:tl2br w:val="nil"/>
              <w:tr2bl w:val="nil"/>
            </w:tcBorders>
            <w:shd w:val="clear" w:color="auto" w:fill="auto"/>
            <w:vAlign w:val="center"/>
          </w:tcPr>
          <w:p w14:paraId="7AF566F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7</w:t>
            </w:r>
            <w:r>
              <w:rPr>
                <w:rFonts w:hint="default" w:ascii="Times New Roman" w:hAnsi="Times New Roman" w:eastAsia="宋体" w:cs="Times New Roman"/>
                <w:color w:val="auto"/>
                <w:sz w:val="20"/>
                <w:szCs w:val="20"/>
                <w:highlight w:val="none"/>
                <w:vertAlign w:val="superscript"/>
                <w:lang w:val="en-US" w:eastAsia="zh-CN"/>
              </w:rPr>
              <w:t>①</w:t>
            </w:r>
          </w:p>
        </w:tc>
        <w:tc>
          <w:tcPr>
            <w:tcW w:w="634" w:type="pct"/>
            <w:vMerge w:val="restart"/>
            <w:tcBorders>
              <w:tl2br w:val="nil"/>
              <w:tr2bl w:val="nil"/>
            </w:tcBorders>
            <w:vAlign w:val="center"/>
          </w:tcPr>
          <w:p w14:paraId="0005D27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continue"/>
            <w:tcBorders>
              <w:tl2br w:val="nil"/>
              <w:tr2bl w:val="nil"/>
            </w:tcBorders>
            <w:vAlign w:val="center"/>
          </w:tcPr>
          <w:p w14:paraId="7E893B8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C7406C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78E13D2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733" w:type="pct"/>
            <w:tcBorders>
              <w:tl2br w:val="nil"/>
              <w:tr2bl w:val="nil"/>
            </w:tcBorders>
            <w:vAlign w:val="center"/>
          </w:tcPr>
          <w:p w14:paraId="5A9AE3C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1小时均值</w:t>
            </w:r>
          </w:p>
        </w:tc>
        <w:tc>
          <w:tcPr>
            <w:tcW w:w="684" w:type="pct"/>
            <w:tcBorders>
              <w:tl2br w:val="nil"/>
              <w:tr2bl w:val="nil"/>
            </w:tcBorders>
            <w:vAlign w:val="center"/>
          </w:tcPr>
          <w:p w14:paraId="103CDA1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20</w:t>
            </w:r>
            <w:r>
              <w:rPr>
                <w:rFonts w:hint="default" w:ascii="Times New Roman" w:hAnsi="Times New Roman" w:eastAsia="宋体" w:cs="Times New Roman"/>
                <w:color w:val="auto"/>
                <w:sz w:val="20"/>
                <w:szCs w:val="20"/>
                <w:highlight w:val="none"/>
                <w:vertAlign w:val="superscript"/>
                <w:lang w:val="en-US" w:eastAsia="zh-CN"/>
              </w:rPr>
              <w:t>①</w:t>
            </w:r>
          </w:p>
        </w:tc>
        <w:tc>
          <w:tcPr>
            <w:tcW w:w="677" w:type="pct"/>
            <w:tcBorders>
              <w:tl2br w:val="nil"/>
              <w:tr2bl w:val="nil"/>
            </w:tcBorders>
            <w:vAlign w:val="center"/>
          </w:tcPr>
          <w:p w14:paraId="4701268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20</w:t>
            </w:r>
            <w:r>
              <w:rPr>
                <w:rFonts w:hint="default" w:ascii="Times New Roman" w:hAnsi="Times New Roman" w:eastAsia="宋体" w:cs="Times New Roman"/>
                <w:color w:val="auto"/>
                <w:sz w:val="20"/>
                <w:szCs w:val="20"/>
                <w:highlight w:val="none"/>
                <w:vertAlign w:val="superscript"/>
                <w:lang w:val="en-US" w:eastAsia="zh-CN"/>
              </w:rPr>
              <w:t>①</w:t>
            </w:r>
          </w:p>
        </w:tc>
        <w:tc>
          <w:tcPr>
            <w:tcW w:w="634" w:type="pct"/>
            <w:vMerge w:val="continue"/>
            <w:tcBorders>
              <w:tl2br w:val="nil"/>
              <w:tr2bl w:val="nil"/>
            </w:tcBorders>
            <w:vAlign w:val="center"/>
          </w:tcPr>
          <w:p w14:paraId="1A4AA91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6CC9A46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004FE21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tcBorders>
              <w:tl2br w:val="nil"/>
              <w:tr2bl w:val="nil"/>
            </w:tcBorders>
            <w:vAlign w:val="center"/>
          </w:tcPr>
          <w:p w14:paraId="6623C99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H</w:t>
            </w:r>
            <w:r>
              <w:rPr>
                <w:rFonts w:hint="default" w:ascii="Times New Roman" w:hAnsi="Times New Roman" w:eastAsia="宋体" w:cs="Times New Roman"/>
                <w:color w:val="auto"/>
                <w:sz w:val="20"/>
                <w:szCs w:val="20"/>
                <w:highlight w:val="none"/>
                <w:vertAlign w:val="subscript"/>
              </w:rPr>
              <w:t>2</w:t>
            </w:r>
            <w:r>
              <w:rPr>
                <w:rFonts w:hint="default" w:ascii="Times New Roman" w:hAnsi="Times New Roman" w:eastAsia="宋体" w:cs="Times New Roman"/>
                <w:color w:val="auto"/>
                <w:sz w:val="20"/>
                <w:szCs w:val="20"/>
                <w:highlight w:val="none"/>
              </w:rPr>
              <w:t>S</w:t>
            </w:r>
          </w:p>
        </w:tc>
        <w:tc>
          <w:tcPr>
            <w:tcW w:w="733" w:type="pct"/>
            <w:tcBorders>
              <w:tl2br w:val="nil"/>
              <w:tr2bl w:val="nil"/>
            </w:tcBorders>
            <w:vAlign w:val="center"/>
          </w:tcPr>
          <w:p w14:paraId="425F566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1小时均值</w:t>
            </w:r>
          </w:p>
        </w:tc>
        <w:tc>
          <w:tcPr>
            <w:tcW w:w="1361" w:type="pct"/>
            <w:gridSpan w:val="2"/>
            <w:tcBorders>
              <w:tl2br w:val="nil"/>
              <w:tr2bl w:val="nil"/>
            </w:tcBorders>
            <w:vAlign w:val="center"/>
          </w:tcPr>
          <w:p w14:paraId="4CB4539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rPr>
            </w:pPr>
            <w:r>
              <w:rPr>
                <w:rFonts w:hint="default" w:ascii="Times New Roman" w:hAnsi="Times New Roman" w:eastAsia="宋体" w:cs="Times New Roman"/>
                <w:color w:val="auto"/>
                <w:sz w:val="20"/>
                <w:szCs w:val="20"/>
                <w:highlight w:val="none"/>
                <w:lang w:val="en-US" w:eastAsia="zh-CN"/>
              </w:rPr>
              <w:t>10</w:t>
            </w:r>
            <w:r>
              <w:rPr>
                <w:rFonts w:hint="eastAsia" w:ascii="Times New Roman" w:hAnsi="Times New Roman" w:eastAsia="宋体" w:cs="Times New Roman"/>
                <w:color w:val="auto"/>
                <w:sz w:val="20"/>
                <w:szCs w:val="20"/>
                <w:highlight w:val="none"/>
                <w:lang w:val="en-US" w:eastAsia="zh-CN"/>
              </w:rPr>
              <w:t xml:space="preserve"> </w:t>
            </w:r>
          </w:p>
        </w:tc>
        <w:tc>
          <w:tcPr>
            <w:tcW w:w="634" w:type="pct"/>
            <w:vMerge w:val="restart"/>
            <w:tcBorders>
              <w:tl2br w:val="nil"/>
              <w:tr2bl w:val="nil"/>
            </w:tcBorders>
            <w:vAlign w:val="center"/>
          </w:tcPr>
          <w:p w14:paraId="5147071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p>
        </w:tc>
        <w:tc>
          <w:tcPr>
            <w:tcW w:w="1419" w:type="pct"/>
            <w:vMerge w:val="restart"/>
            <w:tcBorders>
              <w:tl2br w:val="nil"/>
              <w:tr2bl w:val="nil"/>
            </w:tcBorders>
            <w:vAlign w:val="center"/>
          </w:tcPr>
          <w:p w14:paraId="52E28E5E">
            <w:pPr>
              <w:pStyle w:val="7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《环境影响评价技术导则 大气环境》（HJ2.2-2018）</w:t>
            </w:r>
          </w:p>
          <w:p w14:paraId="1DBAB268">
            <w:pPr>
              <w:pStyle w:val="7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附录 D</w:t>
            </w:r>
          </w:p>
        </w:tc>
      </w:tr>
      <w:tr w14:paraId="6D8109F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tcBorders>
              <w:tl2br w:val="nil"/>
              <w:tr2bl w:val="nil"/>
            </w:tcBorders>
            <w:vAlign w:val="center"/>
          </w:tcPr>
          <w:p w14:paraId="3B65D60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HCl</w:t>
            </w:r>
          </w:p>
        </w:tc>
        <w:tc>
          <w:tcPr>
            <w:tcW w:w="733" w:type="pct"/>
            <w:tcBorders>
              <w:tl2br w:val="nil"/>
              <w:tr2bl w:val="nil"/>
            </w:tcBorders>
            <w:vAlign w:val="center"/>
          </w:tcPr>
          <w:p w14:paraId="2CAB72D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1小时均值</w:t>
            </w:r>
          </w:p>
        </w:tc>
        <w:tc>
          <w:tcPr>
            <w:tcW w:w="1361" w:type="pct"/>
            <w:gridSpan w:val="2"/>
            <w:tcBorders>
              <w:tl2br w:val="nil"/>
              <w:tr2bl w:val="nil"/>
            </w:tcBorders>
            <w:vAlign w:val="center"/>
          </w:tcPr>
          <w:p w14:paraId="61DB320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50</w:t>
            </w:r>
          </w:p>
        </w:tc>
        <w:tc>
          <w:tcPr>
            <w:tcW w:w="634" w:type="pct"/>
            <w:vMerge w:val="continue"/>
            <w:tcBorders>
              <w:tl2br w:val="nil"/>
              <w:tr2bl w:val="nil"/>
            </w:tcBorders>
            <w:vAlign w:val="center"/>
          </w:tcPr>
          <w:p w14:paraId="1ADF222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508CBD78">
            <w:pPr>
              <w:pStyle w:val="7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0"/>
                <w:szCs w:val="20"/>
                <w:highlight w:val="none"/>
              </w:rPr>
            </w:pPr>
          </w:p>
        </w:tc>
      </w:tr>
      <w:tr w14:paraId="345F58E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tcBorders>
              <w:tl2br w:val="nil"/>
              <w:tr2bl w:val="nil"/>
            </w:tcBorders>
            <w:shd w:val="clear" w:color="auto" w:fill="auto"/>
            <w:vAlign w:val="center"/>
          </w:tcPr>
          <w:p w14:paraId="75EBFCB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NH</w:t>
            </w:r>
            <w:r>
              <w:rPr>
                <w:rFonts w:hint="default" w:ascii="Times New Roman" w:hAnsi="Times New Roman" w:eastAsia="宋体" w:cs="Times New Roman"/>
                <w:color w:val="auto"/>
                <w:sz w:val="20"/>
                <w:szCs w:val="20"/>
                <w:highlight w:val="none"/>
                <w:vertAlign w:val="subscript"/>
                <w:lang w:val="en-US" w:eastAsia="zh-CN"/>
              </w:rPr>
              <w:t>3</w:t>
            </w:r>
          </w:p>
        </w:tc>
        <w:tc>
          <w:tcPr>
            <w:tcW w:w="733" w:type="pct"/>
            <w:tcBorders>
              <w:tl2br w:val="nil"/>
              <w:tr2bl w:val="nil"/>
            </w:tcBorders>
            <w:shd w:val="clear" w:color="auto" w:fill="auto"/>
            <w:vAlign w:val="center"/>
          </w:tcPr>
          <w:p w14:paraId="4CA55CB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1小时均值</w:t>
            </w:r>
          </w:p>
        </w:tc>
        <w:tc>
          <w:tcPr>
            <w:tcW w:w="1361" w:type="pct"/>
            <w:gridSpan w:val="2"/>
            <w:tcBorders>
              <w:tl2br w:val="nil"/>
              <w:tr2bl w:val="nil"/>
            </w:tcBorders>
            <w:shd w:val="clear" w:color="auto" w:fill="auto"/>
            <w:vAlign w:val="center"/>
          </w:tcPr>
          <w:p w14:paraId="5EFD8D6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200</w:t>
            </w:r>
          </w:p>
        </w:tc>
        <w:tc>
          <w:tcPr>
            <w:tcW w:w="634" w:type="pct"/>
            <w:vMerge w:val="continue"/>
            <w:tcBorders>
              <w:tl2br w:val="nil"/>
              <w:tr2bl w:val="nil"/>
            </w:tcBorders>
            <w:vAlign w:val="center"/>
          </w:tcPr>
          <w:p w14:paraId="41E79EA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2685A69F">
            <w:pPr>
              <w:pStyle w:val="7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0"/>
                <w:szCs w:val="20"/>
                <w:highlight w:val="none"/>
              </w:rPr>
            </w:pPr>
          </w:p>
        </w:tc>
      </w:tr>
      <w:tr w14:paraId="36E4D06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tcBorders>
              <w:tl2br w:val="nil"/>
              <w:tr2bl w:val="nil"/>
            </w:tcBorders>
            <w:shd w:val="clear" w:color="auto" w:fill="auto"/>
            <w:vAlign w:val="center"/>
          </w:tcPr>
          <w:p w14:paraId="26D1C20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Mn及其化合物</w:t>
            </w:r>
          </w:p>
        </w:tc>
        <w:tc>
          <w:tcPr>
            <w:tcW w:w="733" w:type="pct"/>
            <w:tcBorders>
              <w:tl2br w:val="nil"/>
              <w:tr2bl w:val="nil"/>
            </w:tcBorders>
            <w:shd w:val="clear" w:color="auto" w:fill="auto"/>
            <w:vAlign w:val="center"/>
          </w:tcPr>
          <w:p w14:paraId="4BD4039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日均值</w:t>
            </w:r>
          </w:p>
        </w:tc>
        <w:tc>
          <w:tcPr>
            <w:tcW w:w="1361" w:type="pct"/>
            <w:gridSpan w:val="2"/>
            <w:tcBorders>
              <w:tl2br w:val="nil"/>
              <w:tr2bl w:val="nil"/>
            </w:tcBorders>
            <w:shd w:val="clear" w:color="auto" w:fill="auto"/>
            <w:vAlign w:val="center"/>
          </w:tcPr>
          <w:p w14:paraId="2B192B3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10</w:t>
            </w:r>
          </w:p>
        </w:tc>
        <w:tc>
          <w:tcPr>
            <w:tcW w:w="634" w:type="pct"/>
            <w:vMerge w:val="continue"/>
            <w:tcBorders>
              <w:tl2br w:val="nil"/>
              <w:tr2bl w:val="nil"/>
            </w:tcBorders>
            <w:vAlign w:val="center"/>
          </w:tcPr>
          <w:p w14:paraId="36506C2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p>
        </w:tc>
        <w:tc>
          <w:tcPr>
            <w:tcW w:w="1419" w:type="pct"/>
            <w:vMerge w:val="continue"/>
            <w:tcBorders>
              <w:tl2br w:val="nil"/>
              <w:tr2bl w:val="nil"/>
            </w:tcBorders>
            <w:vAlign w:val="center"/>
          </w:tcPr>
          <w:p w14:paraId="56C363C6">
            <w:pPr>
              <w:pStyle w:val="7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0"/>
                <w:szCs w:val="20"/>
                <w:highlight w:val="none"/>
              </w:rPr>
            </w:pPr>
          </w:p>
        </w:tc>
      </w:tr>
      <w:tr w14:paraId="498C889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tcBorders>
              <w:tl2br w:val="nil"/>
              <w:tr2bl w:val="nil"/>
            </w:tcBorders>
            <w:vAlign w:val="center"/>
          </w:tcPr>
          <w:p w14:paraId="521CE64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非甲烷总烃</w:t>
            </w:r>
          </w:p>
        </w:tc>
        <w:tc>
          <w:tcPr>
            <w:tcW w:w="733" w:type="pct"/>
            <w:tcBorders>
              <w:tl2br w:val="nil"/>
              <w:tr2bl w:val="nil"/>
            </w:tcBorders>
            <w:vAlign w:val="center"/>
          </w:tcPr>
          <w:p w14:paraId="70B6DB8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lang w:val="en-US"/>
              </w:rPr>
            </w:pPr>
            <w:r>
              <w:rPr>
                <w:rFonts w:hint="default" w:ascii="Times New Roman" w:hAnsi="Times New Roman" w:eastAsia="宋体" w:cs="Times New Roman"/>
                <w:color w:val="auto"/>
                <w:kern w:val="2"/>
                <w:sz w:val="20"/>
                <w:szCs w:val="20"/>
                <w:highlight w:val="none"/>
                <w:lang w:val="en-US" w:eastAsia="zh-CN" w:bidi="ar-SA"/>
              </w:rPr>
              <w:t>1小时均值</w:t>
            </w:r>
          </w:p>
        </w:tc>
        <w:tc>
          <w:tcPr>
            <w:tcW w:w="1361" w:type="pct"/>
            <w:gridSpan w:val="2"/>
            <w:tcBorders>
              <w:tl2br w:val="nil"/>
              <w:tr2bl w:val="nil"/>
            </w:tcBorders>
            <w:vAlign w:val="center"/>
          </w:tcPr>
          <w:p w14:paraId="7199A24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lang w:val="en-US"/>
              </w:rPr>
            </w:pPr>
            <w:r>
              <w:rPr>
                <w:rFonts w:hint="default" w:ascii="Times New Roman" w:hAnsi="Times New Roman" w:eastAsia="宋体" w:cs="Times New Roman"/>
                <w:color w:val="auto"/>
                <w:sz w:val="20"/>
                <w:szCs w:val="20"/>
                <w:highlight w:val="none"/>
                <w:lang w:val="en-US" w:eastAsia="zh-CN"/>
              </w:rPr>
              <w:t>2.0</w:t>
            </w:r>
          </w:p>
        </w:tc>
        <w:tc>
          <w:tcPr>
            <w:tcW w:w="634" w:type="pct"/>
            <w:tcBorders>
              <w:tl2br w:val="nil"/>
              <w:tr2bl w:val="nil"/>
            </w:tcBorders>
            <w:vAlign w:val="center"/>
          </w:tcPr>
          <w:p w14:paraId="059B0FC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cs="Times New Roman"/>
                <w:color w:val="auto"/>
                <w:sz w:val="20"/>
                <w:szCs w:val="20"/>
                <w:highlight w:val="none"/>
              </w:rPr>
              <w:t>mg/m</w:t>
            </w:r>
            <w:r>
              <w:rPr>
                <w:rFonts w:hint="default" w:ascii="Times New Roman" w:hAnsi="Times New Roman" w:cs="Times New Roman"/>
                <w:color w:val="auto"/>
                <w:sz w:val="20"/>
                <w:szCs w:val="20"/>
                <w:highlight w:val="none"/>
                <w:vertAlign w:val="superscript"/>
              </w:rPr>
              <w:t>3</w:t>
            </w:r>
          </w:p>
        </w:tc>
        <w:tc>
          <w:tcPr>
            <w:tcW w:w="1419" w:type="pct"/>
            <w:tcBorders>
              <w:tl2br w:val="nil"/>
              <w:tr2bl w:val="nil"/>
            </w:tcBorders>
            <w:vAlign w:val="center"/>
          </w:tcPr>
          <w:p w14:paraId="7343C15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rPr>
            </w:pPr>
            <w:r>
              <w:rPr>
                <w:rFonts w:hint="default" w:ascii="Times New Roman" w:hAnsi="Times New Roman" w:eastAsia="宋体" w:cs="Times New Roman"/>
                <w:color w:val="auto"/>
                <w:kern w:val="0"/>
                <w:sz w:val="20"/>
                <w:szCs w:val="20"/>
                <w:highlight w:val="none"/>
                <w:lang w:val="en-US" w:eastAsia="zh-CN" w:bidi="ar"/>
              </w:rPr>
              <w:t>《大气</w:t>
            </w:r>
            <w:r>
              <w:rPr>
                <w:rFonts w:hint="default" w:ascii="Times New Roman" w:hAnsi="Times New Roman" w:eastAsia="宋体" w:cs="Times New Roman"/>
                <w:color w:val="auto"/>
                <w:sz w:val="20"/>
                <w:szCs w:val="20"/>
                <w:highlight w:val="none"/>
                <w:lang w:val="en-US" w:eastAsia="zh-CN"/>
              </w:rPr>
              <w:t>污染物综合排放标准详解》</w:t>
            </w:r>
          </w:p>
        </w:tc>
      </w:tr>
      <w:tr w14:paraId="26090ED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restart"/>
            <w:tcBorders>
              <w:tl2br w:val="nil"/>
              <w:tr2bl w:val="nil"/>
            </w:tcBorders>
            <w:vAlign w:val="center"/>
          </w:tcPr>
          <w:p w14:paraId="4FBC2B7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cs="Times New Roman"/>
                <w:color w:val="auto"/>
                <w:sz w:val="20"/>
                <w:szCs w:val="20"/>
                <w:highlight w:val="none"/>
                <w:lang w:bidi="ar"/>
              </w:rPr>
              <w:t>二噁英</w:t>
            </w:r>
          </w:p>
        </w:tc>
        <w:tc>
          <w:tcPr>
            <w:tcW w:w="733" w:type="pct"/>
            <w:tcBorders>
              <w:tl2br w:val="nil"/>
              <w:tr2bl w:val="nil"/>
            </w:tcBorders>
            <w:vAlign w:val="center"/>
          </w:tcPr>
          <w:p w14:paraId="3C7BC28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年平均</w:t>
            </w:r>
          </w:p>
        </w:tc>
        <w:tc>
          <w:tcPr>
            <w:tcW w:w="1361" w:type="pct"/>
            <w:gridSpan w:val="2"/>
            <w:tcBorders>
              <w:tl2br w:val="nil"/>
              <w:tr2bl w:val="nil"/>
            </w:tcBorders>
            <w:vAlign w:val="center"/>
          </w:tcPr>
          <w:p w14:paraId="3A08D49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0.6</w:t>
            </w:r>
          </w:p>
        </w:tc>
        <w:tc>
          <w:tcPr>
            <w:tcW w:w="634" w:type="pct"/>
            <w:tcBorders>
              <w:tl2br w:val="nil"/>
              <w:tr2bl w:val="nil"/>
            </w:tcBorders>
            <w:vAlign w:val="center"/>
          </w:tcPr>
          <w:p w14:paraId="11837DD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pgTEQ/m</w:t>
            </w:r>
            <w:r>
              <w:rPr>
                <w:rFonts w:hint="default" w:ascii="Times New Roman" w:hAnsi="Times New Roman" w:eastAsia="宋体" w:cs="Times New Roman"/>
                <w:color w:val="auto"/>
                <w:sz w:val="20"/>
                <w:szCs w:val="20"/>
                <w:highlight w:val="none"/>
                <w:vertAlign w:val="superscript"/>
                <w:lang w:val="en-US" w:eastAsia="zh-CN"/>
              </w:rPr>
              <w:t>3</w:t>
            </w:r>
          </w:p>
        </w:tc>
        <w:tc>
          <w:tcPr>
            <w:tcW w:w="1419" w:type="pct"/>
            <w:tcBorders>
              <w:tl2br w:val="nil"/>
              <w:tr2bl w:val="nil"/>
            </w:tcBorders>
            <w:vAlign w:val="center"/>
          </w:tcPr>
          <w:p w14:paraId="4085033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日本环境厅中央环境审议 会制定的环境标准</w:t>
            </w:r>
          </w:p>
        </w:tc>
      </w:tr>
      <w:tr w14:paraId="2D8EF6E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850" w:type="pct"/>
            <w:vMerge w:val="continue"/>
            <w:tcBorders>
              <w:tl2br w:val="nil"/>
              <w:tr2bl w:val="nil"/>
            </w:tcBorders>
            <w:vAlign w:val="center"/>
          </w:tcPr>
          <w:p w14:paraId="0FABEE1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733" w:type="pct"/>
            <w:tcBorders>
              <w:tl2br w:val="nil"/>
              <w:tr2bl w:val="nil"/>
            </w:tcBorders>
            <w:vAlign w:val="center"/>
          </w:tcPr>
          <w:p w14:paraId="2D83A66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日均值</w:t>
            </w:r>
          </w:p>
        </w:tc>
        <w:tc>
          <w:tcPr>
            <w:tcW w:w="1361" w:type="pct"/>
            <w:gridSpan w:val="2"/>
            <w:tcBorders>
              <w:tl2br w:val="nil"/>
              <w:tr2bl w:val="nil"/>
            </w:tcBorders>
            <w:vAlign w:val="center"/>
          </w:tcPr>
          <w:p w14:paraId="2D3ABFC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1.8</w:t>
            </w:r>
          </w:p>
        </w:tc>
        <w:tc>
          <w:tcPr>
            <w:tcW w:w="634" w:type="pct"/>
            <w:tcBorders>
              <w:tl2br w:val="nil"/>
              <w:tr2bl w:val="nil"/>
            </w:tcBorders>
            <w:vAlign w:val="center"/>
          </w:tcPr>
          <w:p w14:paraId="768922D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pgTEQ/m</w:t>
            </w:r>
            <w:r>
              <w:rPr>
                <w:rFonts w:hint="default" w:ascii="Times New Roman" w:hAnsi="Times New Roman" w:eastAsia="宋体" w:cs="Times New Roman"/>
                <w:color w:val="auto"/>
                <w:sz w:val="20"/>
                <w:szCs w:val="20"/>
                <w:highlight w:val="none"/>
                <w:vertAlign w:val="superscript"/>
                <w:lang w:val="en-US" w:eastAsia="zh-CN"/>
              </w:rPr>
              <w:t>3</w:t>
            </w:r>
          </w:p>
        </w:tc>
        <w:tc>
          <w:tcPr>
            <w:tcW w:w="1419" w:type="pct"/>
            <w:tcBorders>
              <w:tl2br w:val="nil"/>
              <w:tr2bl w:val="nil"/>
            </w:tcBorders>
            <w:vAlign w:val="center"/>
          </w:tcPr>
          <w:p w14:paraId="21BA091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根据环发【2008】82号文</w:t>
            </w:r>
          </w:p>
        </w:tc>
      </w:tr>
      <w:tr w14:paraId="0ECD6CB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5000" w:type="pct"/>
            <w:gridSpan w:val="6"/>
            <w:tcBorders>
              <w:tl2br w:val="nil"/>
              <w:tr2bl w:val="nil"/>
            </w:tcBorders>
            <w:vAlign w:val="center"/>
          </w:tcPr>
          <w:p w14:paraId="60EE096C">
            <w:pPr>
              <w:keepNext w:val="0"/>
              <w:keepLines w:val="0"/>
              <w:suppressLineNumbers w:val="0"/>
              <w:spacing w:before="0" w:beforeAutospacing="0" w:after="0" w:afterAutospacing="0" w:line="240" w:lineRule="auto"/>
              <w:ind w:left="0" w:right="0"/>
              <w:jc w:val="both"/>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注：</w:t>
            </w:r>
            <w:r>
              <w:rPr>
                <w:rFonts w:hint="default" w:ascii="Times New Roman" w:hAnsi="Times New Roman" w:eastAsia="宋体" w:cs="Times New Roman"/>
                <w:color w:val="auto"/>
                <w:sz w:val="20"/>
                <w:szCs w:val="20"/>
                <w:highlight w:val="none"/>
                <w:vertAlign w:val="superscript"/>
                <w:lang w:val="en-US" w:eastAsia="zh-CN"/>
              </w:rPr>
              <w:t>①</w:t>
            </w:r>
            <w:r>
              <w:rPr>
                <w:rFonts w:hint="default" w:ascii="Times New Roman" w:hAnsi="Times New Roman" w:eastAsia="宋体" w:cs="Times New Roman"/>
                <w:color w:val="auto"/>
                <w:sz w:val="20"/>
                <w:szCs w:val="20"/>
                <w:highlight w:val="none"/>
                <w:lang w:val="en-US" w:eastAsia="zh-CN"/>
              </w:rPr>
              <w:t>适用于城市地区。</w:t>
            </w:r>
          </w:p>
        </w:tc>
      </w:tr>
    </w:tbl>
    <w:p w14:paraId="71B8C5A1">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地表水</w:t>
      </w:r>
    </w:p>
    <w:p w14:paraId="20E5DB3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项目所在区域</w:t>
      </w:r>
      <w:r>
        <w:rPr>
          <w:rFonts w:hint="default" w:ascii="Times New Roman" w:hAnsi="Times New Roman" w:cs="Times New Roman"/>
          <w:color w:val="auto"/>
          <w:highlight w:val="none"/>
        </w:rPr>
        <w:t>地表水执行《地表水环境质量标准》</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GB3838-2002</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中Ⅲ类标准</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相关标准</w:t>
      </w:r>
      <w:r>
        <w:rPr>
          <w:rFonts w:hint="default" w:ascii="Times New Roman" w:hAnsi="Times New Roman" w:cs="Times New Roman"/>
          <w:color w:val="auto"/>
          <w:highlight w:val="none"/>
          <w:lang w:val="en-US" w:eastAsia="zh-CN"/>
        </w:rPr>
        <w:t>见</w:t>
      </w:r>
      <w:r>
        <w:rPr>
          <w:rFonts w:hint="default" w:ascii="Times New Roman" w:hAnsi="Times New Roman" w:cs="Times New Roman"/>
          <w:color w:val="auto"/>
          <w:highlight w:val="none"/>
        </w:rPr>
        <w:t>下表。</w:t>
      </w:r>
    </w:p>
    <w:p w14:paraId="200B8D8D">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3</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《地表水环境质量标准》（GB3838-2002）</w:t>
      </w:r>
    </w:p>
    <w:tbl>
      <w:tblPr>
        <w:tblStyle w:val="35"/>
        <w:tblW w:w="4996" w:type="pct"/>
        <w:jc w:val="center"/>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autofit"/>
        <w:tblCellMar>
          <w:top w:w="0" w:type="dxa"/>
          <w:left w:w="108" w:type="dxa"/>
          <w:bottom w:w="0" w:type="dxa"/>
          <w:right w:w="108" w:type="dxa"/>
        </w:tblCellMar>
      </w:tblPr>
      <w:tblGrid>
        <w:gridCol w:w="2150"/>
        <w:gridCol w:w="1686"/>
        <w:gridCol w:w="3068"/>
        <w:gridCol w:w="2377"/>
      </w:tblGrid>
      <w:tr w14:paraId="23D013B5">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tblHeader/>
          <w:jc w:val="center"/>
        </w:trPr>
        <w:tc>
          <w:tcPr>
            <w:tcW w:w="1158" w:type="pct"/>
            <w:vAlign w:val="center"/>
          </w:tcPr>
          <w:p w14:paraId="1AF4675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vertAlign w:val="subscript"/>
              </w:rPr>
            </w:pPr>
            <w:r>
              <w:rPr>
                <w:rFonts w:hint="default" w:ascii="Times New Roman" w:hAnsi="Times New Roman" w:eastAsia="宋体" w:cs="Times New Roman"/>
                <w:b/>
                <w:bCs/>
                <w:iCs/>
                <w:color w:val="auto"/>
                <w:sz w:val="20"/>
                <w:highlight w:val="none"/>
              </w:rPr>
              <w:t>项目</w:t>
            </w:r>
          </w:p>
        </w:tc>
        <w:tc>
          <w:tcPr>
            <w:tcW w:w="908" w:type="pct"/>
            <w:vAlign w:val="center"/>
          </w:tcPr>
          <w:p w14:paraId="6D2689C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b/>
                <w:bCs/>
                <w:color w:val="auto"/>
                <w:kern w:val="2"/>
                <w:sz w:val="20"/>
                <w:szCs w:val="20"/>
                <w:highlight w:val="none"/>
                <w:lang w:val="en-US" w:eastAsia="zh-CN" w:bidi="ar-SA"/>
              </w:rPr>
            </w:pPr>
            <w:r>
              <w:rPr>
                <w:rFonts w:hint="default" w:ascii="Times New Roman" w:hAnsi="Times New Roman" w:eastAsia="宋体" w:cs="Times New Roman"/>
                <w:b/>
                <w:bCs/>
                <w:iCs/>
                <w:color w:val="auto"/>
                <w:sz w:val="20"/>
                <w:highlight w:val="none"/>
                <w:lang w:eastAsia="zh-CN"/>
              </w:rPr>
              <w:t>单位</w:t>
            </w:r>
          </w:p>
        </w:tc>
        <w:tc>
          <w:tcPr>
            <w:tcW w:w="1652" w:type="pct"/>
            <w:vAlign w:val="center"/>
          </w:tcPr>
          <w:p w14:paraId="7417D45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iCs/>
                <w:color w:val="auto"/>
                <w:sz w:val="20"/>
                <w:highlight w:val="none"/>
              </w:rPr>
              <w:t>Ⅲ类标准</w:t>
            </w:r>
          </w:p>
        </w:tc>
        <w:tc>
          <w:tcPr>
            <w:tcW w:w="1280" w:type="pct"/>
            <w:vAlign w:val="center"/>
          </w:tcPr>
          <w:p w14:paraId="2480D94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b/>
                <w:bCs/>
                <w:iCs/>
                <w:color w:val="auto"/>
                <w:sz w:val="20"/>
                <w:highlight w:val="none"/>
                <w:lang w:eastAsia="zh-CN"/>
              </w:rPr>
            </w:pPr>
            <w:r>
              <w:rPr>
                <w:rFonts w:hint="default" w:ascii="Times New Roman" w:hAnsi="Times New Roman" w:eastAsia="宋体" w:cs="Times New Roman"/>
                <w:b/>
                <w:bCs/>
                <w:iCs/>
                <w:color w:val="auto"/>
                <w:sz w:val="20"/>
                <w:highlight w:val="none"/>
                <w:lang w:eastAsia="zh-CN"/>
              </w:rPr>
              <w:t>标准来源</w:t>
            </w:r>
          </w:p>
        </w:tc>
      </w:tr>
      <w:tr w14:paraId="359A3F42">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vAlign w:val="center"/>
          </w:tcPr>
          <w:p w14:paraId="0E0B14C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vertAlign w:val="subscript"/>
              </w:rPr>
            </w:pPr>
            <w:r>
              <w:rPr>
                <w:rFonts w:hint="default" w:ascii="Times New Roman" w:hAnsi="Times New Roman" w:eastAsia="宋体" w:cs="Times New Roman"/>
                <w:color w:val="auto"/>
                <w:sz w:val="20"/>
                <w:highlight w:val="none"/>
              </w:rPr>
              <w:t>pH</w:t>
            </w:r>
          </w:p>
        </w:tc>
        <w:tc>
          <w:tcPr>
            <w:tcW w:w="908" w:type="pct"/>
            <w:vAlign w:val="center"/>
          </w:tcPr>
          <w:p w14:paraId="76FC5A4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eastAsia="zh-CN"/>
              </w:rPr>
              <w:t>无量纲</w:t>
            </w:r>
          </w:p>
        </w:tc>
        <w:tc>
          <w:tcPr>
            <w:tcW w:w="1652" w:type="pct"/>
            <w:vAlign w:val="center"/>
          </w:tcPr>
          <w:p w14:paraId="6317745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highlight w:val="none"/>
              </w:rPr>
              <w:t>6～9</w:t>
            </w:r>
          </w:p>
        </w:tc>
        <w:tc>
          <w:tcPr>
            <w:tcW w:w="1280" w:type="pct"/>
            <w:vMerge w:val="restart"/>
            <w:vAlign w:val="center"/>
          </w:tcPr>
          <w:p w14:paraId="2941AEB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r>
              <w:rPr>
                <w:rFonts w:hint="default" w:ascii="Times New Roman" w:hAnsi="Times New Roman" w:cs="Times New Roman"/>
                <w:color w:val="auto"/>
                <w:highlight w:val="none"/>
              </w:rPr>
              <w:t>《地表水环境质量标准》</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GB3838-2002</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中Ⅲ类标准</w:t>
            </w:r>
          </w:p>
        </w:tc>
      </w:tr>
      <w:tr w14:paraId="545627C2">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vAlign w:val="center"/>
          </w:tcPr>
          <w:p w14:paraId="37B2980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iCs/>
                <w:color w:val="auto"/>
                <w:sz w:val="20"/>
                <w:highlight w:val="none"/>
              </w:rPr>
              <w:t>COD</w:t>
            </w:r>
          </w:p>
        </w:tc>
        <w:tc>
          <w:tcPr>
            <w:tcW w:w="908" w:type="pct"/>
            <w:vAlign w:val="center"/>
          </w:tcPr>
          <w:p w14:paraId="13FCB2B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cs="Times New Roman"/>
                <w:color w:val="auto"/>
                <w:highlight w:val="none"/>
              </w:rPr>
              <w:t>mg/L</w:t>
            </w:r>
          </w:p>
        </w:tc>
        <w:tc>
          <w:tcPr>
            <w:tcW w:w="1652" w:type="pct"/>
            <w:vAlign w:val="center"/>
          </w:tcPr>
          <w:p w14:paraId="4C8282A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iCs/>
                <w:color w:val="auto"/>
                <w:sz w:val="20"/>
                <w:highlight w:val="none"/>
              </w:rPr>
              <w:t>≤20</w:t>
            </w:r>
          </w:p>
        </w:tc>
        <w:tc>
          <w:tcPr>
            <w:tcW w:w="1280" w:type="pct"/>
            <w:vMerge w:val="continue"/>
            <w:vAlign w:val="center"/>
          </w:tcPr>
          <w:p w14:paraId="3AAB2EC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iCs/>
                <w:color w:val="auto"/>
                <w:sz w:val="20"/>
                <w:highlight w:val="none"/>
              </w:rPr>
            </w:pPr>
          </w:p>
        </w:tc>
      </w:tr>
      <w:tr w14:paraId="1B8E840F">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vAlign w:val="center"/>
          </w:tcPr>
          <w:p w14:paraId="3F25EAF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iCs/>
                <w:color w:val="auto"/>
                <w:sz w:val="20"/>
                <w:highlight w:val="none"/>
              </w:rPr>
              <w:t>BOD</w:t>
            </w:r>
            <w:r>
              <w:rPr>
                <w:rFonts w:hint="default" w:ascii="Times New Roman" w:hAnsi="Times New Roman" w:eastAsia="宋体" w:cs="Times New Roman"/>
                <w:iCs/>
                <w:color w:val="auto"/>
                <w:sz w:val="20"/>
                <w:highlight w:val="none"/>
                <w:vertAlign w:val="subscript"/>
              </w:rPr>
              <w:t>5</w:t>
            </w:r>
          </w:p>
        </w:tc>
        <w:tc>
          <w:tcPr>
            <w:tcW w:w="908" w:type="pct"/>
            <w:vAlign w:val="center"/>
          </w:tcPr>
          <w:p w14:paraId="54E13B3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cs="Times New Roman"/>
                <w:color w:val="auto"/>
                <w:highlight w:val="none"/>
              </w:rPr>
              <w:t>mg/L</w:t>
            </w:r>
          </w:p>
        </w:tc>
        <w:tc>
          <w:tcPr>
            <w:tcW w:w="1652" w:type="pct"/>
            <w:vAlign w:val="center"/>
          </w:tcPr>
          <w:p w14:paraId="631FD72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iCs/>
                <w:color w:val="auto"/>
                <w:sz w:val="20"/>
                <w:highlight w:val="none"/>
              </w:rPr>
              <w:t>≤4</w:t>
            </w:r>
          </w:p>
        </w:tc>
        <w:tc>
          <w:tcPr>
            <w:tcW w:w="1280" w:type="pct"/>
            <w:vMerge w:val="continue"/>
            <w:vAlign w:val="center"/>
          </w:tcPr>
          <w:p w14:paraId="175AF38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iCs/>
                <w:color w:val="auto"/>
                <w:sz w:val="20"/>
                <w:highlight w:val="none"/>
              </w:rPr>
            </w:pPr>
          </w:p>
        </w:tc>
      </w:tr>
      <w:tr w14:paraId="3F3C226F">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794D8D1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iCs/>
                <w:color w:val="auto"/>
                <w:sz w:val="20"/>
                <w:highlight w:val="none"/>
              </w:rPr>
              <w:t>氨氮</w:t>
            </w:r>
          </w:p>
        </w:tc>
        <w:tc>
          <w:tcPr>
            <w:tcW w:w="908" w:type="pct"/>
            <w:shd w:val="clear" w:color="auto" w:fill="auto"/>
            <w:vAlign w:val="center"/>
          </w:tcPr>
          <w:p w14:paraId="0A9A064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cs="Times New Roman"/>
                <w:color w:val="auto"/>
                <w:highlight w:val="none"/>
              </w:rPr>
              <w:t>mg/L</w:t>
            </w:r>
          </w:p>
        </w:tc>
        <w:tc>
          <w:tcPr>
            <w:tcW w:w="1652" w:type="pct"/>
            <w:shd w:val="clear" w:color="auto" w:fill="auto"/>
            <w:vAlign w:val="center"/>
          </w:tcPr>
          <w:p w14:paraId="79800C3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iCs/>
                <w:color w:val="auto"/>
                <w:sz w:val="20"/>
                <w:highlight w:val="none"/>
              </w:rPr>
              <w:t>≤1.0</w:t>
            </w:r>
          </w:p>
        </w:tc>
        <w:tc>
          <w:tcPr>
            <w:tcW w:w="1280" w:type="pct"/>
            <w:vMerge w:val="continue"/>
            <w:vAlign w:val="center"/>
          </w:tcPr>
          <w:p w14:paraId="3AA3281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iCs/>
                <w:color w:val="auto"/>
                <w:sz w:val="20"/>
                <w:highlight w:val="none"/>
              </w:rPr>
            </w:pPr>
          </w:p>
        </w:tc>
      </w:tr>
      <w:tr w14:paraId="0379BC40">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1B8DF3A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highlight w:val="none"/>
              </w:rPr>
              <w:t>总磷</w:t>
            </w:r>
          </w:p>
        </w:tc>
        <w:tc>
          <w:tcPr>
            <w:tcW w:w="908" w:type="pct"/>
            <w:shd w:val="clear" w:color="auto" w:fill="auto"/>
            <w:vAlign w:val="center"/>
          </w:tcPr>
          <w:p w14:paraId="6E81E44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cs="Times New Roman"/>
                <w:color w:val="auto"/>
                <w:highlight w:val="none"/>
              </w:rPr>
              <w:t>mg/L</w:t>
            </w:r>
          </w:p>
        </w:tc>
        <w:tc>
          <w:tcPr>
            <w:tcW w:w="1652" w:type="pct"/>
            <w:shd w:val="clear" w:color="auto" w:fill="auto"/>
            <w:vAlign w:val="center"/>
          </w:tcPr>
          <w:p w14:paraId="2863B32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highlight w:val="none"/>
              </w:rPr>
              <w:t>≤0.2（湖、库0.05）</w:t>
            </w:r>
          </w:p>
        </w:tc>
        <w:tc>
          <w:tcPr>
            <w:tcW w:w="1280" w:type="pct"/>
            <w:vMerge w:val="continue"/>
            <w:vAlign w:val="center"/>
          </w:tcPr>
          <w:p w14:paraId="2B9313C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iCs/>
                <w:color w:val="auto"/>
                <w:sz w:val="20"/>
                <w:highlight w:val="none"/>
              </w:rPr>
            </w:pPr>
          </w:p>
        </w:tc>
      </w:tr>
      <w:tr w14:paraId="51B70296">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691766B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1"/>
                <w:highlight w:val="none"/>
                <w:lang w:val="en-US" w:eastAsia="zh-CN" w:bidi="ar-SA"/>
              </w:rPr>
            </w:pPr>
            <w:r>
              <w:rPr>
                <w:rFonts w:hint="default" w:ascii="Times New Roman" w:hAnsi="Times New Roman" w:eastAsia="宋体" w:cs="Times New Roman"/>
                <w:color w:val="auto"/>
                <w:sz w:val="20"/>
                <w:highlight w:val="none"/>
                <w:lang w:eastAsia="zh-CN"/>
              </w:rPr>
              <w:t>总氮</w:t>
            </w:r>
          </w:p>
        </w:tc>
        <w:tc>
          <w:tcPr>
            <w:tcW w:w="908" w:type="pct"/>
            <w:shd w:val="clear" w:color="auto" w:fill="auto"/>
            <w:vAlign w:val="center"/>
          </w:tcPr>
          <w:p w14:paraId="7E60B2F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1"/>
                <w:highlight w:val="none"/>
                <w:lang w:val="en-US" w:eastAsia="zh-CN" w:bidi="ar-SA"/>
              </w:rPr>
            </w:pPr>
            <w:r>
              <w:rPr>
                <w:rFonts w:hint="default" w:ascii="Times New Roman" w:hAnsi="Times New Roman" w:cs="Times New Roman"/>
                <w:color w:val="auto"/>
                <w:highlight w:val="none"/>
              </w:rPr>
              <w:t>mg/L</w:t>
            </w:r>
          </w:p>
        </w:tc>
        <w:tc>
          <w:tcPr>
            <w:tcW w:w="1652" w:type="pct"/>
            <w:shd w:val="clear" w:color="auto" w:fill="auto"/>
            <w:vAlign w:val="center"/>
          </w:tcPr>
          <w:p w14:paraId="442D373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1"/>
                <w:highlight w:val="none"/>
                <w:lang w:val="en-US" w:eastAsia="zh-CN" w:bidi="ar-SA"/>
              </w:rPr>
            </w:pPr>
            <w:r>
              <w:rPr>
                <w:rFonts w:hint="default" w:ascii="Times New Roman" w:hAnsi="Times New Roman" w:eastAsia="宋体" w:cs="Times New Roman"/>
                <w:color w:val="auto"/>
                <w:sz w:val="20"/>
                <w:highlight w:val="none"/>
              </w:rPr>
              <w:t>≤</w:t>
            </w:r>
            <w:r>
              <w:rPr>
                <w:rFonts w:hint="default" w:ascii="Times New Roman" w:hAnsi="Times New Roman" w:eastAsia="宋体" w:cs="Times New Roman"/>
                <w:color w:val="auto"/>
                <w:sz w:val="20"/>
                <w:highlight w:val="none"/>
                <w:lang w:val="en-US" w:eastAsia="zh-CN"/>
              </w:rPr>
              <w:t>1.0</w:t>
            </w:r>
          </w:p>
        </w:tc>
        <w:tc>
          <w:tcPr>
            <w:tcW w:w="1280" w:type="pct"/>
            <w:vMerge w:val="continue"/>
            <w:vAlign w:val="center"/>
          </w:tcPr>
          <w:p w14:paraId="47A25E5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r w14:paraId="1AF90189">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5B717FB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val="en-US" w:eastAsia="zh-CN"/>
              </w:rPr>
            </w:pPr>
            <w:r>
              <w:rPr>
                <w:rFonts w:hint="default" w:ascii="Times New Roman" w:hAnsi="Times New Roman" w:eastAsia="宋体" w:cs="Times New Roman"/>
                <w:color w:val="auto"/>
                <w:sz w:val="20"/>
                <w:highlight w:val="none"/>
                <w:lang w:val="en-US" w:eastAsia="zh-CN"/>
              </w:rPr>
              <w:t>汞</w:t>
            </w:r>
          </w:p>
        </w:tc>
        <w:tc>
          <w:tcPr>
            <w:tcW w:w="908" w:type="pct"/>
            <w:shd w:val="clear" w:color="auto" w:fill="auto"/>
            <w:vAlign w:val="center"/>
          </w:tcPr>
          <w:p w14:paraId="1C23F79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mg/L</w:t>
            </w:r>
          </w:p>
        </w:tc>
        <w:tc>
          <w:tcPr>
            <w:tcW w:w="1652" w:type="pct"/>
            <w:shd w:val="clear" w:color="auto" w:fill="auto"/>
            <w:vAlign w:val="center"/>
          </w:tcPr>
          <w:p w14:paraId="6C4B404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val="en-US" w:eastAsia="zh-CN"/>
              </w:rPr>
            </w:pPr>
            <w:r>
              <w:rPr>
                <w:rFonts w:hint="default" w:ascii="Times New Roman" w:hAnsi="Times New Roman" w:eastAsia="宋体" w:cs="Times New Roman"/>
                <w:color w:val="auto"/>
                <w:sz w:val="20"/>
                <w:highlight w:val="none"/>
              </w:rPr>
              <w:t>≤</w:t>
            </w:r>
            <w:r>
              <w:rPr>
                <w:rFonts w:hint="default" w:ascii="Times New Roman" w:hAnsi="Times New Roman" w:eastAsia="宋体" w:cs="Times New Roman"/>
                <w:color w:val="auto"/>
                <w:sz w:val="20"/>
                <w:highlight w:val="none"/>
                <w:lang w:val="en-US" w:eastAsia="zh-CN"/>
              </w:rPr>
              <w:t>0.0001</w:t>
            </w:r>
          </w:p>
        </w:tc>
        <w:tc>
          <w:tcPr>
            <w:tcW w:w="1280" w:type="pct"/>
            <w:vMerge w:val="continue"/>
            <w:vAlign w:val="center"/>
          </w:tcPr>
          <w:p w14:paraId="17D5F70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r w14:paraId="4EAD648D">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7E7D90B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val="en-US" w:eastAsia="zh-CN"/>
              </w:rPr>
            </w:pPr>
            <w:r>
              <w:rPr>
                <w:rFonts w:hint="default" w:ascii="Times New Roman" w:hAnsi="Times New Roman" w:eastAsia="宋体" w:cs="Times New Roman"/>
                <w:color w:val="auto"/>
                <w:sz w:val="20"/>
                <w:highlight w:val="none"/>
                <w:lang w:val="en-US" w:eastAsia="zh-CN"/>
              </w:rPr>
              <w:t>镉</w:t>
            </w:r>
          </w:p>
        </w:tc>
        <w:tc>
          <w:tcPr>
            <w:tcW w:w="908" w:type="pct"/>
            <w:shd w:val="clear" w:color="auto" w:fill="auto"/>
            <w:vAlign w:val="center"/>
          </w:tcPr>
          <w:p w14:paraId="28BD623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mg/L</w:t>
            </w:r>
          </w:p>
        </w:tc>
        <w:tc>
          <w:tcPr>
            <w:tcW w:w="1652" w:type="pct"/>
            <w:shd w:val="clear" w:color="auto" w:fill="auto"/>
            <w:vAlign w:val="center"/>
          </w:tcPr>
          <w:p w14:paraId="591E8E6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val="en-US" w:eastAsia="zh-CN"/>
              </w:rPr>
            </w:pPr>
            <w:r>
              <w:rPr>
                <w:rFonts w:hint="default" w:ascii="Times New Roman" w:hAnsi="Times New Roman" w:eastAsia="宋体" w:cs="Times New Roman"/>
                <w:color w:val="auto"/>
                <w:sz w:val="20"/>
                <w:highlight w:val="none"/>
              </w:rPr>
              <w:t>≤</w:t>
            </w:r>
            <w:r>
              <w:rPr>
                <w:rFonts w:hint="default" w:ascii="Times New Roman" w:hAnsi="Times New Roman" w:eastAsia="宋体" w:cs="Times New Roman"/>
                <w:color w:val="auto"/>
                <w:sz w:val="20"/>
                <w:highlight w:val="none"/>
                <w:lang w:val="en-US" w:eastAsia="zh-CN"/>
              </w:rPr>
              <w:t>0.005</w:t>
            </w:r>
          </w:p>
        </w:tc>
        <w:tc>
          <w:tcPr>
            <w:tcW w:w="1280" w:type="pct"/>
            <w:vMerge w:val="continue"/>
            <w:vAlign w:val="center"/>
          </w:tcPr>
          <w:p w14:paraId="58CA6EA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r w14:paraId="55340B9A">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76DB448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val="en-US" w:eastAsia="zh-CN"/>
              </w:rPr>
            </w:pPr>
            <w:r>
              <w:rPr>
                <w:rFonts w:hint="default" w:ascii="Times New Roman" w:hAnsi="Times New Roman" w:eastAsia="宋体" w:cs="Times New Roman"/>
                <w:color w:val="auto"/>
                <w:sz w:val="20"/>
                <w:highlight w:val="none"/>
                <w:lang w:val="en-US" w:eastAsia="zh-CN"/>
              </w:rPr>
              <w:t>铬（六价）</w:t>
            </w:r>
          </w:p>
        </w:tc>
        <w:tc>
          <w:tcPr>
            <w:tcW w:w="908" w:type="pct"/>
            <w:shd w:val="clear" w:color="auto" w:fill="auto"/>
            <w:vAlign w:val="center"/>
          </w:tcPr>
          <w:p w14:paraId="70F53C5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mg/L</w:t>
            </w:r>
          </w:p>
        </w:tc>
        <w:tc>
          <w:tcPr>
            <w:tcW w:w="1652" w:type="pct"/>
            <w:shd w:val="clear" w:color="auto" w:fill="auto"/>
            <w:vAlign w:val="center"/>
          </w:tcPr>
          <w:p w14:paraId="416F441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val="en-US" w:eastAsia="zh-CN"/>
              </w:rPr>
            </w:pPr>
            <w:r>
              <w:rPr>
                <w:rFonts w:hint="default" w:ascii="Times New Roman" w:hAnsi="Times New Roman" w:eastAsia="宋体" w:cs="Times New Roman"/>
                <w:color w:val="auto"/>
                <w:sz w:val="20"/>
                <w:highlight w:val="none"/>
              </w:rPr>
              <w:t>≤</w:t>
            </w:r>
            <w:r>
              <w:rPr>
                <w:rFonts w:hint="default" w:ascii="Times New Roman" w:hAnsi="Times New Roman" w:eastAsia="宋体" w:cs="Times New Roman"/>
                <w:color w:val="auto"/>
                <w:sz w:val="20"/>
                <w:highlight w:val="none"/>
                <w:lang w:val="en-US" w:eastAsia="zh-CN"/>
              </w:rPr>
              <w:t>0.05</w:t>
            </w:r>
          </w:p>
        </w:tc>
        <w:tc>
          <w:tcPr>
            <w:tcW w:w="1280" w:type="pct"/>
            <w:vMerge w:val="continue"/>
            <w:vAlign w:val="center"/>
          </w:tcPr>
          <w:p w14:paraId="2A0606F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r w14:paraId="493D4507">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1E2B730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val="en-US" w:eastAsia="zh-CN"/>
              </w:rPr>
            </w:pPr>
            <w:r>
              <w:rPr>
                <w:rFonts w:hint="default" w:ascii="Times New Roman" w:hAnsi="Times New Roman" w:eastAsia="宋体" w:cs="Times New Roman"/>
                <w:color w:val="auto"/>
                <w:sz w:val="20"/>
                <w:highlight w:val="none"/>
                <w:lang w:val="en-US" w:eastAsia="zh-CN"/>
              </w:rPr>
              <w:t>砷</w:t>
            </w:r>
          </w:p>
        </w:tc>
        <w:tc>
          <w:tcPr>
            <w:tcW w:w="908" w:type="pct"/>
            <w:shd w:val="clear" w:color="auto" w:fill="auto"/>
            <w:vAlign w:val="center"/>
          </w:tcPr>
          <w:p w14:paraId="1975E7A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mg/L</w:t>
            </w:r>
          </w:p>
        </w:tc>
        <w:tc>
          <w:tcPr>
            <w:tcW w:w="1652" w:type="pct"/>
            <w:shd w:val="clear" w:color="auto" w:fill="auto"/>
            <w:vAlign w:val="center"/>
          </w:tcPr>
          <w:p w14:paraId="7F6C939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r>
              <w:rPr>
                <w:rFonts w:hint="default" w:ascii="Times New Roman" w:hAnsi="Times New Roman" w:eastAsia="宋体" w:cs="Times New Roman"/>
                <w:color w:val="auto"/>
                <w:sz w:val="20"/>
                <w:highlight w:val="none"/>
              </w:rPr>
              <w:t>≤</w:t>
            </w:r>
            <w:r>
              <w:rPr>
                <w:rFonts w:hint="default" w:ascii="Times New Roman" w:hAnsi="Times New Roman" w:eastAsia="宋体" w:cs="Times New Roman"/>
                <w:color w:val="auto"/>
                <w:sz w:val="20"/>
                <w:highlight w:val="none"/>
                <w:lang w:val="en-US" w:eastAsia="zh-CN"/>
              </w:rPr>
              <w:t>0.05</w:t>
            </w:r>
          </w:p>
        </w:tc>
        <w:tc>
          <w:tcPr>
            <w:tcW w:w="1280" w:type="pct"/>
            <w:vMerge w:val="continue"/>
            <w:vAlign w:val="center"/>
          </w:tcPr>
          <w:p w14:paraId="636CB3E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r w14:paraId="0D9D6F5F">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194E820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eastAsia="zh-CN"/>
              </w:rPr>
            </w:pPr>
            <w:r>
              <w:rPr>
                <w:rFonts w:hint="default" w:ascii="Times New Roman" w:hAnsi="Times New Roman" w:eastAsia="宋体" w:cs="Times New Roman"/>
                <w:color w:val="auto"/>
                <w:sz w:val="21"/>
                <w:szCs w:val="21"/>
                <w:highlight w:val="none"/>
                <w:lang w:val="en-US" w:eastAsia="zh-CN"/>
              </w:rPr>
              <w:t>铅</w:t>
            </w:r>
          </w:p>
        </w:tc>
        <w:tc>
          <w:tcPr>
            <w:tcW w:w="908" w:type="pct"/>
            <w:shd w:val="clear" w:color="auto" w:fill="auto"/>
            <w:vAlign w:val="center"/>
          </w:tcPr>
          <w:p w14:paraId="10F9548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mg/L</w:t>
            </w:r>
          </w:p>
        </w:tc>
        <w:tc>
          <w:tcPr>
            <w:tcW w:w="1652" w:type="pct"/>
            <w:shd w:val="clear" w:color="auto" w:fill="auto"/>
            <w:vAlign w:val="center"/>
          </w:tcPr>
          <w:p w14:paraId="4262FFB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r>
              <w:rPr>
                <w:rFonts w:hint="default" w:ascii="Times New Roman" w:hAnsi="Times New Roman" w:eastAsia="宋体" w:cs="Times New Roman"/>
                <w:color w:val="auto"/>
                <w:sz w:val="20"/>
                <w:highlight w:val="none"/>
              </w:rPr>
              <w:t>≤</w:t>
            </w:r>
            <w:r>
              <w:rPr>
                <w:rFonts w:hint="default" w:ascii="Times New Roman" w:hAnsi="Times New Roman" w:eastAsia="宋体" w:cs="Times New Roman"/>
                <w:color w:val="auto"/>
                <w:sz w:val="20"/>
                <w:highlight w:val="none"/>
                <w:lang w:val="en-US" w:eastAsia="zh-CN"/>
              </w:rPr>
              <w:t>0.05</w:t>
            </w:r>
          </w:p>
        </w:tc>
        <w:tc>
          <w:tcPr>
            <w:tcW w:w="1280" w:type="pct"/>
            <w:vMerge w:val="continue"/>
            <w:vAlign w:val="center"/>
          </w:tcPr>
          <w:p w14:paraId="22B3CAE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r w14:paraId="364F6D5D">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680A2AC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eastAsia="zh-CN"/>
              </w:rPr>
            </w:pPr>
            <w:r>
              <w:rPr>
                <w:rFonts w:hint="default" w:ascii="Times New Roman" w:hAnsi="Times New Roman" w:eastAsia="宋体" w:cs="Times New Roman"/>
                <w:color w:val="auto"/>
                <w:sz w:val="20"/>
                <w:szCs w:val="20"/>
                <w:highlight w:val="none"/>
                <w:lang w:val="en-US" w:eastAsia="zh-CN"/>
              </w:rPr>
              <w:t>石油类</w:t>
            </w:r>
          </w:p>
        </w:tc>
        <w:tc>
          <w:tcPr>
            <w:tcW w:w="908" w:type="pct"/>
            <w:shd w:val="clear" w:color="auto" w:fill="auto"/>
            <w:vAlign w:val="center"/>
          </w:tcPr>
          <w:p w14:paraId="26F2663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highlight w:val="none"/>
              </w:rPr>
            </w:pPr>
            <w:r>
              <w:rPr>
                <w:rFonts w:hint="default" w:ascii="Times New Roman" w:hAnsi="Times New Roman" w:cs="Times New Roman"/>
                <w:color w:val="auto"/>
                <w:highlight w:val="none"/>
              </w:rPr>
              <w:t>mg/L</w:t>
            </w:r>
          </w:p>
        </w:tc>
        <w:tc>
          <w:tcPr>
            <w:tcW w:w="1652" w:type="pct"/>
            <w:shd w:val="clear" w:color="auto" w:fill="auto"/>
            <w:vAlign w:val="center"/>
          </w:tcPr>
          <w:p w14:paraId="300B001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lang w:val="en-US"/>
              </w:rPr>
            </w:pPr>
            <w:r>
              <w:rPr>
                <w:rFonts w:hint="default" w:ascii="Times New Roman" w:hAnsi="Times New Roman" w:eastAsia="宋体" w:cs="Times New Roman"/>
                <w:iCs/>
                <w:color w:val="auto"/>
                <w:sz w:val="20"/>
                <w:highlight w:val="none"/>
              </w:rPr>
              <w:t>≤</w:t>
            </w:r>
            <w:r>
              <w:rPr>
                <w:rFonts w:hint="default" w:ascii="Times New Roman" w:hAnsi="Times New Roman" w:eastAsia="宋体" w:cs="Times New Roman"/>
                <w:iCs/>
                <w:color w:val="auto"/>
                <w:sz w:val="20"/>
                <w:highlight w:val="none"/>
                <w:lang w:val="en-US" w:eastAsia="zh-CN"/>
              </w:rPr>
              <w:t>0.05</w:t>
            </w:r>
          </w:p>
        </w:tc>
        <w:tc>
          <w:tcPr>
            <w:tcW w:w="1280" w:type="pct"/>
            <w:vMerge w:val="continue"/>
            <w:vAlign w:val="center"/>
          </w:tcPr>
          <w:p w14:paraId="728540D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r w14:paraId="1632A77F">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4953699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iCs/>
                <w:color w:val="auto"/>
                <w:sz w:val="20"/>
                <w:highlight w:val="none"/>
                <w:lang w:val="en-US" w:eastAsia="zh-CN"/>
              </w:rPr>
              <w:t>硫化物</w:t>
            </w:r>
          </w:p>
        </w:tc>
        <w:tc>
          <w:tcPr>
            <w:tcW w:w="908" w:type="pct"/>
            <w:shd w:val="clear" w:color="auto" w:fill="auto"/>
            <w:vAlign w:val="center"/>
          </w:tcPr>
          <w:p w14:paraId="25F5920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cs="Times New Roman"/>
                <w:color w:val="auto"/>
                <w:highlight w:val="none"/>
              </w:rPr>
              <w:t>mg/L</w:t>
            </w:r>
          </w:p>
        </w:tc>
        <w:tc>
          <w:tcPr>
            <w:tcW w:w="1652" w:type="pct"/>
            <w:shd w:val="clear" w:color="auto" w:fill="auto"/>
            <w:vAlign w:val="center"/>
          </w:tcPr>
          <w:p w14:paraId="550EEA7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iCs/>
                <w:color w:val="auto"/>
                <w:sz w:val="20"/>
                <w:highlight w:val="none"/>
              </w:rPr>
              <w:t>≤</w:t>
            </w:r>
            <w:r>
              <w:rPr>
                <w:rFonts w:hint="default" w:ascii="Times New Roman" w:hAnsi="Times New Roman" w:eastAsia="宋体" w:cs="Times New Roman"/>
                <w:iCs/>
                <w:color w:val="auto"/>
                <w:sz w:val="20"/>
                <w:highlight w:val="none"/>
                <w:lang w:val="en-US" w:eastAsia="zh-CN"/>
              </w:rPr>
              <w:t>0.2</w:t>
            </w:r>
          </w:p>
        </w:tc>
        <w:tc>
          <w:tcPr>
            <w:tcW w:w="1280" w:type="pct"/>
            <w:vMerge w:val="continue"/>
            <w:vAlign w:val="center"/>
          </w:tcPr>
          <w:p w14:paraId="3FE925E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r w14:paraId="51DE592D">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108" w:type="dxa"/>
            <w:bottom w:w="0" w:type="dxa"/>
            <w:right w:w="108" w:type="dxa"/>
          </w:tblCellMar>
        </w:tblPrEx>
        <w:trPr>
          <w:trHeight w:val="340" w:hRule="atLeast"/>
          <w:jc w:val="center"/>
        </w:trPr>
        <w:tc>
          <w:tcPr>
            <w:tcW w:w="1158" w:type="pct"/>
            <w:shd w:val="clear" w:color="auto" w:fill="auto"/>
            <w:vAlign w:val="center"/>
          </w:tcPr>
          <w:p w14:paraId="312F62E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1"/>
                <w:highlight w:val="none"/>
                <w:lang w:val="en-US" w:eastAsia="zh-CN" w:bidi="ar-SA"/>
              </w:rPr>
            </w:pPr>
            <w:r>
              <w:rPr>
                <w:rFonts w:hint="default" w:ascii="Times New Roman" w:hAnsi="Times New Roman" w:eastAsia="宋体" w:cs="Times New Roman"/>
                <w:color w:val="auto"/>
                <w:kern w:val="2"/>
                <w:sz w:val="20"/>
                <w:szCs w:val="21"/>
                <w:highlight w:val="none"/>
                <w:lang w:val="en-US" w:eastAsia="zh-CN" w:bidi="ar-SA"/>
              </w:rPr>
              <w:t>粪大肠菌群</w:t>
            </w:r>
          </w:p>
        </w:tc>
        <w:tc>
          <w:tcPr>
            <w:tcW w:w="908" w:type="pct"/>
            <w:shd w:val="clear" w:color="auto" w:fill="auto"/>
            <w:vAlign w:val="center"/>
          </w:tcPr>
          <w:p w14:paraId="3BACE9B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1"/>
                <w:highlight w:val="none"/>
                <w:lang w:val="en-US" w:eastAsia="zh-CN" w:bidi="ar-SA"/>
              </w:rPr>
            </w:pPr>
            <w:r>
              <w:rPr>
                <w:rFonts w:hint="default" w:ascii="Times New Roman" w:hAnsi="Times New Roman" w:eastAsia="宋体" w:cs="Times New Roman"/>
                <w:color w:val="auto"/>
                <w:kern w:val="2"/>
                <w:sz w:val="20"/>
                <w:szCs w:val="21"/>
                <w:highlight w:val="none"/>
                <w:lang w:val="en-US" w:eastAsia="zh-CN" w:bidi="ar-SA"/>
              </w:rPr>
              <w:t>个/L</w:t>
            </w:r>
          </w:p>
        </w:tc>
        <w:tc>
          <w:tcPr>
            <w:tcW w:w="1652" w:type="pct"/>
            <w:shd w:val="clear" w:color="auto" w:fill="auto"/>
            <w:vAlign w:val="center"/>
          </w:tcPr>
          <w:p w14:paraId="7A794D1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1"/>
                <w:highlight w:val="none"/>
                <w:lang w:val="en-US" w:eastAsia="zh-CN" w:bidi="ar-SA"/>
              </w:rPr>
            </w:pPr>
            <w:r>
              <w:rPr>
                <w:rFonts w:hint="default" w:ascii="Times New Roman" w:hAnsi="Times New Roman" w:eastAsia="宋体" w:cs="Times New Roman"/>
                <w:iCs/>
                <w:color w:val="auto"/>
                <w:sz w:val="20"/>
                <w:highlight w:val="none"/>
              </w:rPr>
              <w:t>≤</w:t>
            </w:r>
            <w:r>
              <w:rPr>
                <w:rFonts w:hint="default" w:ascii="Times New Roman" w:hAnsi="Times New Roman" w:eastAsia="宋体" w:cs="Times New Roman"/>
                <w:color w:val="auto"/>
                <w:kern w:val="2"/>
                <w:sz w:val="20"/>
                <w:szCs w:val="21"/>
                <w:highlight w:val="none"/>
                <w:lang w:val="en-US" w:eastAsia="zh-CN" w:bidi="ar-SA"/>
              </w:rPr>
              <w:t>10000</w:t>
            </w:r>
          </w:p>
        </w:tc>
        <w:tc>
          <w:tcPr>
            <w:tcW w:w="1280" w:type="pct"/>
            <w:vMerge w:val="continue"/>
            <w:vAlign w:val="center"/>
          </w:tcPr>
          <w:p w14:paraId="4CC5A16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highlight w:val="none"/>
              </w:rPr>
            </w:pPr>
          </w:p>
        </w:tc>
      </w:tr>
    </w:tbl>
    <w:p w14:paraId="02E65E26">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地下水</w:t>
      </w:r>
    </w:p>
    <w:p w14:paraId="0185B33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项目所在区域</w:t>
      </w:r>
      <w:r>
        <w:rPr>
          <w:rFonts w:hint="default" w:ascii="Times New Roman" w:hAnsi="Times New Roman" w:cs="Times New Roman"/>
          <w:color w:val="auto"/>
          <w:highlight w:val="none"/>
        </w:rPr>
        <w:t>地下水执行《地下水质量标准》（GB/T14848-2017）中的Ⅲ类标准值</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相关标准</w:t>
      </w:r>
      <w:r>
        <w:rPr>
          <w:rFonts w:hint="default" w:ascii="Times New Roman" w:hAnsi="Times New Roman" w:cs="Times New Roman"/>
          <w:color w:val="auto"/>
          <w:highlight w:val="none"/>
          <w:lang w:val="en-US" w:eastAsia="zh-CN"/>
        </w:rPr>
        <w:t>见</w:t>
      </w:r>
      <w:r>
        <w:rPr>
          <w:rFonts w:hint="default" w:ascii="Times New Roman" w:hAnsi="Times New Roman" w:cs="Times New Roman"/>
          <w:color w:val="auto"/>
          <w:highlight w:val="none"/>
        </w:rPr>
        <w:t>下表。</w:t>
      </w:r>
    </w:p>
    <w:p w14:paraId="1DFCB675">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《地下水质量标准》（GB/T14848-2017）</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2961"/>
        <w:gridCol w:w="1850"/>
        <w:gridCol w:w="2752"/>
        <w:gridCol w:w="1718"/>
      </w:tblGrid>
      <w:tr w14:paraId="46852A59">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blHeader/>
          <w:jc w:val="center"/>
        </w:trPr>
        <w:tc>
          <w:tcPr>
            <w:tcW w:w="1595" w:type="pct"/>
            <w:tcBorders>
              <w:top w:val="single" w:color="auto" w:sz="12" w:space="0"/>
              <w:bottom w:val="single" w:color="auto" w:sz="6" w:space="0"/>
            </w:tcBorders>
            <w:shd w:val="clear" w:color="auto" w:fill="auto"/>
            <w:vAlign w:val="center"/>
          </w:tcPr>
          <w:p w14:paraId="67F25BAA">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项目</w:t>
            </w:r>
          </w:p>
        </w:tc>
        <w:tc>
          <w:tcPr>
            <w:tcW w:w="996" w:type="pct"/>
            <w:tcBorders>
              <w:top w:val="single" w:color="auto" w:sz="12" w:space="0"/>
              <w:bottom w:val="single" w:color="auto" w:sz="6" w:space="0"/>
            </w:tcBorders>
            <w:shd w:val="clear" w:color="auto" w:fill="auto"/>
            <w:vAlign w:val="center"/>
          </w:tcPr>
          <w:p w14:paraId="28216B3C">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Ⅲ类标准</w:t>
            </w:r>
          </w:p>
        </w:tc>
        <w:tc>
          <w:tcPr>
            <w:tcW w:w="1482" w:type="pct"/>
            <w:tcBorders>
              <w:top w:val="single" w:color="auto" w:sz="12" w:space="0"/>
              <w:bottom w:val="single" w:color="auto" w:sz="6" w:space="0"/>
            </w:tcBorders>
            <w:shd w:val="clear" w:color="auto" w:fill="auto"/>
            <w:vAlign w:val="center"/>
          </w:tcPr>
          <w:p w14:paraId="039C5E47">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项目</w:t>
            </w:r>
          </w:p>
        </w:tc>
        <w:tc>
          <w:tcPr>
            <w:tcW w:w="925" w:type="pct"/>
            <w:tcBorders>
              <w:top w:val="single" w:color="auto" w:sz="12" w:space="0"/>
              <w:bottom w:val="single" w:color="auto" w:sz="6" w:space="0"/>
            </w:tcBorders>
            <w:shd w:val="clear" w:color="auto" w:fill="auto"/>
            <w:vAlign w:val="center"/>
          </w:tcPr>
          <w:p w14:paraId="1DE244FC">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Ⅲ类标准</w:t>
            </w:r>
          </w:p>
        </w:tc>
      </w:tr>
      <w:tr w14:paraId="2D4D4FBF">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vAlign w:val="center"/>
          </w:tcPr>
          <w:p w14:paraId="7F16BA5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色</w:t>
            </w:r>
          </w:p>
        </w:tc>
        <w:tc>
          <w:tcPr>
            <w:tcW w:w="996" w:type="pct"/>
            <w:tcBorders>
              <w:top w:val="single" w:color="auto" w:sz="6" w:space="0"/>
            </w:tcBorders>
            <w:vAlign w:val="center"/>
          </w:tcPr>
          <w:p w14:paraId="1E167752">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15</w:t>
            </w:r>
          </w:p>
        </w:tc>
        <w:tc>
          <w:tcPr>
            <w:tcW w:w="1482" w:type="pct"/>
            <w:tcBorders>
              <w:top w:val="single" w:color="auto" w:sz="6" w:space="0"/>
            </w:tcBorders>
            <w:shd w:val="clear" w:color="auto" w:fill="auto"/>
            <w:vAlign w:val="center"/>
          </w:tcPr>
          <w:p w14:paraId="5C458E51">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亚硝酸盐（以N计）（</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627A7B9E">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1.00</w:t>
            </w:r>
          </w:p>
        </w:tc>
      </w:tr>
      <w:tr w14:paraId="6D216975">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282D9304">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pH（无量纲）</w:t>
            </w:r>
          </w:p>
        </w:tc>
        <w:tc>
          <w:tcPr>
            <w:tcW w:w="996" w:type="pct"/>
            <w:tcBorders>
              <w:top w:val="single" w:color="auto" w:sz="6" w:space="0"/>
            </w:tcBorders>
            <w:shd w:val="clear" w:color="auto" w:fill="auto"/>
            <w:vAlign w:val="center"/>
          </w:tcPr>
          <w:p w14:paraId="6973D75B">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6.5~8.5</w:t>
            </w:r>
          </w:p>
        </w:tc>
        <w:tc>
          <w:tcPr>
            <w:tcW w:w="1482" w:type="pct"/>
            <w:tcBorders>
              <w:top w:val="single" w:color="auto" w:sz="6" w:space="0"/>
            </w:tcBorders>
            <w:shd w:val="clear" w:color="auto" w:fill="auto"/>
            <w:vAlign w:val="center"/>
          </w:tcPr>
          <w:p w14:paraId="08E94419">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硝酸盐（以N计）（</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67CEC795">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20.0</w:t>
            </w:r>
          </w:p>
        </w:tc>
      </w:tr>
      <w:tr w14:paraId="46068718">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10D3746C">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总硬度</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62C90CE6">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≤450</w:t>
            </w:r>
          </w:p>
        </w:tc>
        <w:tc>
          <w:tcPr>
            <w:tcW w:w="1482" w:type="pct"/>
            <w:tcBorders>
              <w:top w:val="single" w:color="auto" w:sz="6" w:space="0"/>
            </w:tcBorders>
            <w:shd w:val="clear" w:color="auto" w:fill="auto"/>
            <w:vAlign w:val="center"/>
          </w:tcPr>
          <w:p w14:paraId="3F1E7484">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氰化物（</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7B4EC8E4">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0.05</w:t>
            </w:r>
          </w:p>
        </w:tc>
      </w:tr>
      <w:tr w14:paraId="3D624C9D">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253E4909">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溶解性总固体</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376D1DB7">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≤1000</w:t>
            </w:r>
          </w:p>
        </w:tc>
        <w:tc>
          <w:tcPr>
            <w:tcW w:w="1482" w:type="pct"/>
            <w:tcBorders>
              <w:top w:val="single" w:color="auto" w:sz="6" w:space="0"/>
            </w:tcBorders>
            <w:shd w:val="clear" w:color="auto" w:fill="auto"/>
            <w:vAlign w:val="center"/>
          </w:tcPr>
          <w:p w14:paraId="3AC2F27E">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氟化物</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4DEE6A27">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1.0</w:t>
            </w:r>
          </w:p>
        </w:tc>
      </w:tr>
      <w:tr w14:paraId="10F90119">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3BE616D8">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硫酸盐</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36C41F73">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250</w:t>
            </w:r>
          </w:p>
        </w:tc>
        <w:tc>
          <w:tcPr>
            <w:tcW w:w="1482" w:type="pct"/>
            <w:tcBorders>
              <w:top w:val="single" w:color="auto" w:sz="6" w:space="0"/>
            </w:tcBorders>
            <w:shd w:val="clear" w:color="auto" w:fill="auto"/>
            <w:vAlign w:val="center"/>
          </w:tcPr>
          <w:p w14:paraId="2914E5ED">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汞</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5B74E4C1">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≤0.001</w:t>
            </w:r>
          </w:p>
        </w:tc>
      </w:tr>
      <w:tr w14:paraId="6E737D8A">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78ECA46C">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lang w:val="en-US"/>
              </w:rPr>
            </w:pPr>
            <w:r>
              <w:rPr>
                <w:rFonts w:hint="default" w:ascii="Times New Roman" w:hAnsi="Times New Roman" w:cs="Times New Roman"/>
                <w:color w:val="auto"/>
                <w:kern w:val="2"/>
                <w:sz w:val="20"/>
                <w:szCs w:val="20"/>
                <w:highlight w:val="none"/>
                <w:lang w:val="en-US" w:eastAsia="zh-CN" w:bidi="ar-SA"/>
              </w:rPr>
              <w:t>氯化物</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r>
              <w:rPr>
                <w:rFonts w:hint="eastAsia" w:ascii="Times New Roman" w:hAnsi="Times New Roman" w:cs="Times New Roman"/>
                <w:color w:val="auto"/>
                <w:sz w:val="20"/>
                <w:szCs w:val="20"/>
                <w:highlight w:val="none"/>
                <w:lang w:val="en-US" w:eastAsia="zh-CN"/>
              </w:rPr>
              <w:t xml:space="preserve"> </w:t>
            </w:r>
          </w:p>
        </w:tc>
        <w:tc>
          <w:tcPr>
            <w:tcW w:w="996" w:type="pct"/>
            <w:tcBorders>
              <w:top w:val="single" w:color="auto" w:sz="6" w:space="0"/>
            </w:tcBorders>
            <w:shd w:val="clear" w:color="auto" w:fill="auto"/>
            <w:vAlign w:val="center"/>
          </w:tcPr>
          <w:p w14:paraId="44F6133F">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250</w:t>
            </w:r>
          </w:p>
        </w:tc>
        <w:tc>
          <w:tcPr>
            <w:tcW w:w="1482" w:type="pct"/>
            <w:tcBorders>
              <w:top w:val="single" w:color="auto" w:sz="6" w:space="0"/>
            </w:tcBorders>
            <w:shd w:val="clear" w:color="auto" w:fill="auto"/>
            <w:vAlign w:val="center"/>
          </w:tcPr>
          <w:p w14:paraId="73113178">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砷</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1B2588D6">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≤0.01</w:t>
            </w:r>
          </w:p>
        </w:tc>
      </w:tr>
      <w:tr w14:paraId="009108DA">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04F7FA1C">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铁</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1FB2D311">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≤0.3</w:t>
            </w:r>
          </w:p>
        </w:tc>
        <w:tc>
          <w:tcPr>
            <w:tcW w:w="1482" w:type="pct"/>
            <w:tcBorders>
              <w:top w:val="single" w:color="auto" w:sz="6" w:space="0"/>
            </w:tcBorders>
            <w:shd w:val="clear" w:color="auto" w:fill="auto"/>
            <w:vAlign w:val="center"/>
          </w:tcPr>
          <w:p w14:paraId="2FCEFC75">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镉</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2932B528">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≤0.005</w:t>
            </w:r>
          </w:p>
        </w:tc>
      </w:tr>
      <w:tr w14:paraId="2157A976">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142C2D63">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锰</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762A9B29">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≤0.10</w:t>
            </w:r>
          </w:p>
        </w:tc>
        <w:tc>
          <w:tcPr>
            <w:tcW w:w="1482" w:type="pct"/>
            <w:tcBorders>
              <w:top w:val="single" w:color="auto" w:sz="6" w:space="0"/>
            </w:tcBorders>
            <w:shd w:val="clear" w:color="auto" w:fill="auto"/>
            <w:vAlign w:val="center"/>
          </w:tcPr>
          <w:p w14:paraId="313E0D39">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铬（六价）</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6371EAE9">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≤0.05</w:t>
            </w:r>
          </w:p>
        </w:tc>
      </w:tr>
      <w:tr w14:paraId="3F350037">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73CA7387">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铜</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7ECCF0FF">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1.00</w:t>
            </w:r>
          </w:p>
        </w:tc>
        <w:tc>
          <w:tcPr>
            <w:tcW w:w="1482" w:type="pct"/>
            <w:tcBorders>
              <w:top w:val="single" w:color="auto" w:sz="6" w:space="0"/>
            </w:tcBorders>
            <w:shd w:val="clear" w:color="auto" w:fill="auto"/>
            <w:vAlign w:val="center"/>
          </w:tcPr>
          <w:p w14:paraId="0264B37D">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铅</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0B4AAA3B">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≤0.01</w:t>
            </w:r>
          </w:p>
        </w:tc>
      </w:tr>
      <w:tr w14:paraId="156AAACD">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74C1DD88">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挥发性酚类（以苯酚计）（</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40F6FD23">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0.002</w:t>
            </w:r>
          </w:p>
        </w:tc>
        <w:tc>
          <w:tcPr>
            <w:tcW w:w="1482" w:type="pct"/>
            <w:tcBorders>
              <w:top w:val="single" w:color="auto" w:sz="6" w:space="0"/>
            </w:tcBorders>
            <w:shd w:val="clear" w:color="auto" w:fill="auto"/>
            <w:vAlign w:val="center"/>
          </w:tcPr>
          <w:p w14:paraId="4FA9F3AD">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苯</w:t>
            </w:r>
            <w:r>
              <w:rPr>
                <w:rFonts w:hint="default" w:ascii="Times New Roman" w:hAnsi="Times New Roman" w:eastAsia="宋体" w:cs="Times New Roman"/>
                <w:color w:val="auto"/>
                <w:sz w:val="20"/>
                <w:szCs w:val="20"/>
                <w:highlight w:val="none"/>
                <w:lang w:val="en-US" w:eastAsia="zh-CN"/>
              </w:rPr>
              <w:t>（μg/L）</w:t>
            </w:r>
          </w:p>
        </w:tc>
        <w:tc>
          <w:tcPr>
            <w:tcW w:w="925" w:type="pct"/>
            <w:tcBorders>
              <w:top w:val="single" w:color="auto" w:sz="6" w:space="0"/>
            </w:tcBorders>
            <w:shd w:val="clear" w:color="auto" w:fill="auto"/>
            <w:vAlign w:val="center"/>
          </w:tcPr>
          <w:p w14:paraId="2104D2FA">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10.0</w:t>
            </w:r>
          </w:p>
        </w:tc>
      </w:tr>
      <w:tr w14:paraId="5589A828">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494FDC58">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阴离子表面活性剂</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3D984949">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0.3</w:t>
            </w:r>
          </w:p>
        </w:tc>
        <w:tc>
          <w:tcPr>
            <w:tcW w:w="1482" w:type="pct"/>
            <w:tcBorders>
              <w:top w:val="single" w:color="auto" w:sz="6" w:space="0"/>
            </w:tcBorders>
            <w:shd w:val="clear" w:color="auto" w:fill="auto"/>
            <w:vAlign w:val="center"/>
          </w:tcPr>
          <w:p w14:paraId="06E2D365">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甲苯</w:t>
            </w:r>
            <w:r>
              <w:rPr>
                <w:rFonts w:hint="default" w:ascii="Times New Roman" w:hAnsi="Times New Roman" w:eastAsia="宋体" w:cs="Times New Roman"/>
                <w:color w:val="auto"/>
                <w:sz w:val="20"/>
                <w:szCs w:val="20"/>
                <w:highlight w:val="none"/>
                <w:lang w:val="en-US" w:eastAsia="zh-CN"/>
              </w:rPr>
              <w:t>（μg/L）</w:t>
            </w:r>
          </w:p>
        </w:tc>
        <w:tc>
          <w:tcPr>
            <w:tcW w:w="925" w:type="pct"/>
            <w:tcBorders>
              <w:top w:val="single" w:color="auto" w:sz="6" w:space="0"/>
            </w:tcBorders>
            <w:shd w:val="clear" w:color="auto" w:fill="auto"/>
            <w:vAlign w:val="center"/>
          </w:tcPr>
          <w:p w14:paraId="5C4F5AAE">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700</w:t>
            </w:r>
          </w:p>
        </w:tc>
      </w:tr>
      <w:tr w14:paraId="7217F00A">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tcBorders>
              <w:top w:val="single" w:color="auto" w:sz="6" w:space="0"/>
            </w:tcBorders>
            <w:shd w:val="clear" w:color="auto" w:fill="auto"/>
            <w:vAlign w:val="center"/>
          </w:tcPr>
          <w:p w14:paraId="487E46B7">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耗氧量</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tcBorders>
              <w:top w:val="single" w:color="auto" w:sz="6" w:space="0"/>
            </w:tcBorders>
            <w:shd w:val="clear" w:color="auto" w:fill="auto"/>
            <w:vAlign w:val="center"/>
          </w:tcPr>
          <w:p w14:paraId="0DFB0907">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≤3.0</w:t>
            </w:r>
          </w:p>
        </w:tc>
        <w:tc>
          <w:tcPr>
            <w:tcW w:w="1482" w:type="pct"/>
            <w:tcBorders>
              <w:top w:val="single" w:color="auto" w:sz="6" w:space="0"/>
            </w:tcBorders>
            <w:shd w:val="clear" w:color="auto" w:fill="auto"/>
            <w:vAlign w:val="center"/>
          </w:tcPr>
          <w:p w14:paraId="5DAB54C1">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锑</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tcBorders>
              <w:top w:val="single" w:color="auto" w:sz="6" w:space="0"/>
            </w:tcBorders>
            <w:shd w:val="clear" w:color="auto" w:fill="auto"/>
            <w:vAlign w:val="center"/>
          </w:tcPr>
          <w:p w14:paraId="5A912EE4">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0.005</w:t>
            </w:r>
          </w:p>
        </w:tc>
      </w:tr>
      <w:tr w14:paraId="11847268">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shd w:val="clear" w:color="auto" w:fill="auto"/>
            <w:vAlign w:val="center"/>
          </w:tcPr>
          <w:p w14:paraId="149BB162">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氨氮</w:t>
            </w:r>
            <w:r>
              <w:rPr>
                <w:rFonts w:hint="default" w:ascii="Times New Roman" w:hAnsi="Times New Roman" w:cs="Times New Roman"/>
                <w:color w:val="auto"/>
                <w:sz w:val="20"/>
                <w:szCs w:val="20"/>
                <w:highlight w:val="none"/>
                <w:lang w:val="en-US" w:eastAsia="zh-CN"/>
              </w:rPr>
              <w:t>（以N计）（</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shd w:val="clear" w:color="auto" w:fill="auto"/>
            <w:vAlign w:val="center"/>
          </w:tcPr>
          <w:p w14:paraId="51059057">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≤0.50</w:t>
            </w:r>
          </w:p>
        </w:tc>
        <w:tc>
          <w:tcPr>
            <w:tcW w:w="1482" w:type="pct"/>
            <w:shd w:val="clear" w:color="auto" w:fill="auto"/>
            <w:vAlign w:val="center"/>
          </w:tcPr>
          <w:p w14:paraId="3B013175">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镍</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shd w:val="clear" w:color="auto" w:fill="auto"/>
            <w:vAlign w:val="center"/>
          </w:tcPr>
          <w:p w14:paraId="1B750AF5">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0.02</w:t>
            </w:r>
          </w:p>
        </w:tc>
      </w:tr>
      <w:tr w14:paraId="55EF9780">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shd w:val="clear" w:color="auto" w:fill="auto"/>
            <w:vAlign w:val="center"/>
          </w:tcPr>
          <w:p w14:paraId="305CD572">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硫化物（</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96" w:type="pct"/>
            <w:shd w:val="clear" w:color="auto" w:fill="auto"/>
            <w:vAlign w:val="center"/>
          </w:tcPr>
          <w:p w14:paraId="5A3C2EC4">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≤0.0</w:t>
            </w:r>
            <w:r>
              <w:rPr>
                <w:rFonts w:hint="default" w:ascii="Times New Roman" w:hAnsi="Times New Roman" w:cs="Times New Roman"/>
                <w:color w:val="auto"/>
                <w:sz w:val="20"/>
                <w:szCs w:val="20"/>
                <w:highlight w:val="none"/>
                <w:lang w:val="en-US" w:eastAsia="zh-CN"/>
              </w:rPr>
              <w:t>2</w:t>
            </w:r>
          </w:p>
        </w:tc>
        <w:tc>
          <w:tcPr>
            <w:tcW w:w="1482" w:type="pct"/>
            <w:shd w:val="clear" w:color="auto" w:fill="auto"/>
            <w:vAlign w:val="center"/>
          </w:tcPr>
          <w:p w14:paraId="5913B6A1">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钴</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shd w:val="clear" w:color="auto" w:fill="auto"/>
            <w:vAlign w:val="center"/>
          </w:tcPr>
          <w:p w14:paraId="218676F8">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0.05</w:t>
            </w:r>
          </w:p>
        </w:tc>
      </w:tr>
      <w:tr w14:paraId="0405D544">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shd w:val="clear" w:color="auto" w:fill="auto"/>
            <w:vAlign w:val="center"/>
          </w:tcPr>
          <w:p w14:paraId="2E06F0FC">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总大肠菌群（MPN</w:t>
            </w:r>
            <w:r>
              <w:rPr>
                <w:rFonts w:hint="default" w:ascii="Times New Roman" w:hAnsi="Times New Roman" w:cs="Times New Roman"/>
                <w:color w:val="auto"/>
                <w:sz w:val="20"/>
                <w:szCs w:val="20"/>
                <w:highlight w:val="none"/>
                <w:vertAlign w:val="superscript"/>
                <w:lang w:val="en-US" w:eastAsia="zh-CN"/>
              </w:rPr>
              <w:t>b</w:t>
            </w:r>
            <w:r>
              <w:rPr>
                <w:rFonts w:hint="default" w:ascii="Times New Roman" w:hAnsi="Times New Roman" w:cs="Times New Roman"/>
                <w:color w:val="auto"/>
                <w:sz w:val="20"/>
                <w:szCs w:val="20"/>
                <w:highlight w:val="none"/>
              </w:rPr>
              <w:t>/100mL）</w:t>
            </w:r>
          </w:p>
        </w:tc>
        <w:tc>
          <w:tcPr>
            <w:tcW w:w="996" w:type="pct"/>
            <w:shd w:val="clear" w:color="auto" w:fill="auto"/>
            <w:vAlign w:val="center"/>
          </w:tcPr>
          <w:p w14:paraId="4388D605">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≤3.0</w:t>
            </w:r>
          </w:p>
        </w:tc>
        <w:tc>
          <w:tcPr>
            <w:tcW w:w="1482" w:type="pct"/>
            <w:shd w:val="clear" w:color="auto" w:fill="auto"/>
            <w:vAlign w:val="center"/>
          </w:tcPr>
          <w:p w14:paraId="39F8003C">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铊</w:t>
            </w:r>
            <w:r>
              <w:rPr>
                <w:rFonts w:hint="default" w:ascii="Times New Roman" w:hAnsi="Times New Roman"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mg/L</w:t>
            </w:r>
            <w:r>
              <w:rPr>
                <w:rFonts w:hint="default" w:ascii="Times New Roman" w:hAnsi="Times New Roman" w:cs="Times New Roman"/>
                <w:color w:val="auto"/>
                <w:sz w:val="20"/>
                <w:szCs w:val="20"/>
                <w:highlight w:val="none"/>
                <w:lang w:val="en-US" w:eastAsia="zh-CN"/>
              </w:rPr>
              <w:t>）</w:t>
            </w:r>
          </w:p>
        </w:tc>
        <w:tc>
          <w:tcPr>
            <w:tcW w:w="925" w:type="pct"/>
            <w:shd w:val="clear" w:color="auto" w:fill="auto"/>
            <w:vAlign w:val="center"/>
          </w:tcPr>
          <w:p w14:paraId="789D2C0B">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0.0001</w:t>
            </w:r>
          </w:p>
        </w:tc>
      </w:tr>
      <w:tr w14:paraId="3B685671">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1595" w:type="pct"/>
            <w:shd w:val="clear" w:color="auto" w:fill="auto"/>
            <w:vAlign w:val="center"/>
          </w:tcPr>
          <w:p w14:paraId="383964E4">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菌落总数</w:t>
            </w:r>
            <w:r>
              <w:rPr>
                <w:rFonts w:hint="default" w:ascii="Times New Roman" w:hAnsi="Times New Roman" w:cs="Times New Roman"/>
                <w:color w:val="auto"/>
                <w:sz w:val="20"/>
                <w:szCs w:val="20"/>
                <w:highlight w:val="none"/>
              </w:rPr>
              <w:t>（</w:t>
            </w:r>
            <w:r>
              <w:rPr>
                <w:rFonts w:hint="default" w:ascii="Times New Roman" w:hAnsi="Times New Roman" w:cs="Times New Roman"/>
                <w:color w:val="auto"/>
                <w:sz w:val="20"/>
                <w:szCs w:val="20"/>
                <w:highlight w:val="none"/>
                <w:lang w:val="en-US" w:eastAsia="zh-CN"/>
              </w:rPr>
              <w:t>CFU</w:t>
            </w:r>
            <w:r>
              <w:rPr>
                <w:rFonts w:hint="default" w:ascii="Times New Roman" w:hAnsi="Times New Roman" w:cs="Times New Roman"/>
                <w:color w:val="auto"/>
                <w:sz w:val="20"/>
                <w:szCs w:val="20"/>
                <w:highlight w:val="none"/>
              </w:rPr>
              <w:t>/100mL）</w:t>
            </w:r>
          </w:p>
        </w:tc>
        <w:tc>
          <w:tcPr>
            <w:tcW w:w="996" w:type="pct"/>
            <w:shd w:val="clear" w:color="auto" w:fill="auto"/>
            <w:vAlign w:val="center"/>
          </w:tcPr>
          <w:p w14:paraId="4E3F0CAD">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w:t>
            </w:r>
            <w:r>
              <w:rPr>
                <w:rFonts w:hint="default" w:ascii="Times New Roman" w:hAnsi="Times New Roman" w:cs="Times New Roman"/>
                <w:color w:val="auto"/>
                <w:kern w:val="2"/>
                <w:sz w:val="20"/>
                <w:szCs w:val="20"/>
                <w:highlight w:val="none"/>
                <w:lang w:val="en-US" w:eastAsia="zh-CN" w:bidi="ar-SA"/>
              </w:rPr>
              <w:t>100</w:t>
            </w:r>
          </w:p>
        </w:tc>
        <w:tc>
          <w:tcPr>
            <w:tcW w:w="1482" w:type="pct"/>
            <w:shd w:val="clear" w:color="auto" w:fill="auto"/>
            <w:vAlign w:val="center"/>
          </w:tcPr>
          <w:p w14:paraId="067044B9">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rPr>
            </w:pPr>
          </w:p>
        </w:tc>
        <w:tc>
          <w:tcPr>
            <w:tcW w:w="925" w:type="pct"/>
            <w:shd w:val="clear" w:color="auto" w:fill="auto"/>
            <w:vAlign w:val="center"/>
          </w:tcPr>
          <w:p w14:paraId="791664A1">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rPr>
            </w:pPr>
          </w:p>
        </w:tc>
      </w:tr>
    </w:tbl>
    <w:p w14:paraId="5FBCDFA8">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声环境</w:t>
      </w:r>
    </w:p>
    <w:p w14:paraId="490D708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项目所在地</w:t>
      </w:r>
      <w:r>
        <w:rPr>
          <w:rFonts w:hint="default" w:ascii="Times New Roman" w:hAnsi="Times New Roman" w:cs="Times New Roman"/>
          <w:color w:val="auto"/>
          <w:highlight w:val="none"/>
        </w:rPr>
        <w:t>声环境执行《声环境质量标准》</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GB3096-2008</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中2类标准</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相关标准</w:t>
      </w:r>
      <w:r>
        <w:rPr>
          <w:rFonts w:hint="default" w:ascii="Times New Roman" w:hAnsi="Times New Roman" w:cs="Times New Roman"/>
          <w:color w:val="auto"/>
          <w:highlight w:val="none"/>
          <w:lang w:val="en-US" w:eastAsia="zh-CN"/>
        </w:rPr>
        <w:t>见</w:t>
      </w:r>
      <w:r>
        <w:rPr>
          <w:rFonts w:hint="default" w:ascii="Times New Roman" w:hAnsi="Times New Roman" w:cs="Times New Roman"/>
          <w:color w:val="auto"/>
          <w:highlight w:val="none"/>
        </w:rPr>
        <w:t>下表。</w:t>
      </w:r>
    </w:p>
    <w:p w14:paraId="6979418C">
      <w:pPr>
        <w:pStyle w:val="11"/>
        <w:keepNext/>
        <w:rPr>
          <w:rFonts w:hint="default" w:ascii="Times New Roman" w:hAnsi="Times New Roman" w:eastAsia="宋体" w:cs="Times New Roman"/>
          <w:color w:val="auto"/>
          <w:highlight w:val="none"/>
          <w:lang w:eastAsia="zh-CN"/>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5</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《声环境质量标准》</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GB3096-2008</w:t>
      </w:r>
      <w:r>
        <w:rPr>
          <w:rFonts w:hint="default" w:ascii="Times New Roman" w:hAnsi="Times New Roman" w:cs="Times New Roman"/>
          <w:color w:val="auto"/>
          <w:highlight w:val="none"/>
          <w:lang w:eastAsia="zh-CN"/>
        </w:rPr>
        <w:t>）</w:t>
      </w:r>
    </w:p>
    <w:tbl>
      <w:tblPr>
        <w:tblStyle w:val="35"/>
        <w:tblW w:w="4999"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108" w:type="dxa"/>
          <w:bottom w:w="0" w:type="dxa"/>
          <w:right w:w="108" w:type="dxa"/>
        </w:tblCellMar>
      </w:tblPr>
      <w:tblGrid>
        <w:gridCol w:w="2981"/>
        <w:gridCol w:w="3318"/>
        <w:gridCol w:w="2987"/>
      </w:tblGrid>
      <w:tr w14:paraId="2E3B5C2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605" w:type="pct"/>
            <w:tcBorders>
              <w:tl2br w:val="nil"/>
              <w:tr2bl w:val="nil"/>
            </w:tcBorders>
            <w:vAlign w:val="center"/>
          </w:tcPr>
          <w:p w14:paraId="35E8CB7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highlight w:val="none"/>
              </w:rPr>
            </w:pPr>
            <w:r>
              <w:rPr>
                <w:rFonts w:hint="default" w:ascii="Times New Roman" w:hAnsi="Times New Roman" w:eastAsia="宋体" w:cs="Times New Roman"/>
                <w:b/>
                <w:bCs/>
                <w:color w:val="auto"/>
                <w:sz w:val="20"/>
                <w:highlight w:val="none"/>
              </w:rPr>
              <w:t>类别</w:t>
            </w:r>
          </w:p>
        </w:tc>
        <w:tc>
          <w:tcPr>
            <w:tcW w:w="1786" w:type="pct"/>
            <w:tcBorders>
              <w:tl2br w:val="nil"/>
              <w:tr2bl w:val="nil"/>
            </w:tcBorders>
            <w:vAlign w:val="center"/>
          </w:tcPr>
          <w:p w14:paraId="7A45BB1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highlight w:val="none"/>
              </w:rPr>
            </w:pPr>
            <w:r>
              <w:rPr>
                <w:rFonts w:hint="default" w:ascii="Times New Roman" w:hAnsi="Times New Roman" w:eastAsia="宋体" w:cs="Times New Roman"/>
                <w:b/>
                <w:bCs/>
                <w:color w:val="auto"/>
                <w:sz w:val="20"/>
                <w:highlight w:val="none"/>
              </w:rPr>
              <w:t>昼间</w:t>
            </w:r>
            <w:r>
              <w:rPr>
                <w:rFonts w:hint="default" w:ascii="Times New Roman" w:hAnsi="Times New Roman" w:eastAsia="宋体" w:cs="Times New Roman"/>
                <w:b/>
                <w:bCs/>
                <w:color w:val="auto"/>
                <w:sz w:val="20"/>
                <w:highlight w:val="none"/>
                <w:lang w:val="en-US" w:eastAsia="zh-CN"/>
              </w:rPr>
              <w:t xml:space="preserve">  </w:t>
            </w:r>
            <w:r>
              <w:rPr>
                <w:rFonts w:hint="default" w:ascii="Times New Roman" w:hAnsi="Times New Roman" w:eastAsia="宋体" w:cs="Times New Roman"/>
                <w:b/>
                <w:bCs/>
                <w:color w:val="auto"/>
                <w:sz w:val="20"/>
                <w:highlight w:val="none"/>
              </w:rPr>
              <w:t>dB</w:t>
            </w:r>
            <w:r>
              <w:rPr>
                <w:rFonts w:hint="default" w:ascii="Times New Roman" w:hAnsi="Times New Roman" w:eastAsia="宋体" w:cs="Times New Roman"/>
                <w:b/>
                <w:bCs/>
                <w:color w:val="auto"/>
                <w:sz w:val="20"/>
                <w:highlight w:val="none"/>
                <w:lang w:eastAsia="zh-CN"/>
              </w:rPr>
              <w:t>（</w:t>
            </w:r>
            <w:r>
              <w:rPr>
                <w:rFonts w:hint="default" w:ascii="Times New Roman" w:hAnsi="Times New Roman" w:eastAsia="宋体" w:cs="Times New Roman"/>
                <w:b/>
                <w:bCs/>
                <w:color w:val="auto"/>
                <w:sz w:val="20"/>
                <w:highlight w:val="none"/>
                <w:lang w:val="en-US" w:eastAsia="zh-CN"/>
              </w:rPr>
              <w:t>A</w:t>
            </w:r>
            <w:r>
              <w:rPr>
                <w:rFonts w:hint="default" w:ascii="Times New Roman" w:hAnsi="Times New Roman" w:eastAsia="宋体" w:cs="Times New Roman"/>
                <w:b/>
                <w:bCs/>
                <w:color w:val="auto"/>
                <w:sz w:val="20"/>
                <w:highlight w:val="none"/>
                <w:lang w:eastAsia="zh-CN"/>
              </w:rPr>
              <w:t>）</w:t>
            </w:r>
          </w:p>
        </w:tc>
        <w:tc>
          <w:tcPr>
            <w:tcW w:w="1608" w:type="pct"/>
            <w:tcBorders>
              <w:tl2br w:val="nil"/>
              <w:tr2bl w:val="nil"/>
            </w:tcBorders>
            <w:vAlign w:val="center"/>
          </w:tcPr>
          <w:p w14:paraId="0E55220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highlight w:val="none"/>
              </w:rPr>
            </w:pPr>
            <w:r>
              <w:rPr>
                <w:rFonts w:hint="default" w:ascii="Times New Roman" w:hAnsi="Times New Roman" w:eastAsia="宋体" w:cs="Times New Roman"/>
                <w:b/>
                <w:bCs/>
                <w:color w:val="auto"/>
                <w:sz w:val="20"/>
                <w:highlight w:val="none"/>
              </w:rPr>
              <w:t>夜间</w:t>
            </w:r>
            <w:r>
              <w:rPr>
                <w:rFonts w:hint="default" w:ascii="Times New Roman" w:hAnsi="Times New Roman" w:eastAsia="宋体" w:cs="Times New Roman"/>
                <w:b/>
                <w:bCs/>
                <w:color w:val="auto"/>
                <w:sz w:val="20"/>
                <w:highlight w:val="none"/>
                <w:lang w:val="en-US" w:eastAsia="zh-CN"/>
              </w:rPr>
              <w:t xml:space="preserve"> </w:t>
            </w:r>
            <w:r>
              <w:rPr>
                <w:rFonts w:hint="default" w:ascii="Times New Roman" w:hAnsi="Times New Roman" w:eastAsia="宋体" w:cs="Times New Roman"/>
                <w:b/>
                <w:bCs/>
                <w:color w:val="auto"/>
                <w:sz w:val="20"/>
                <w:highlight w:val="none"/>
              </w:rPr>
              <w:t>dB</w:t>
            </w:r>
            <w:r>
              <w:rPr>
                <w:rFonts w:hint="default" w:ascii="Times New Roman" w:hAnsi="Times New Roman" w:eastAsia="宋体" w:cs="Times New Roman"/>
                <w:b/>
                <w:bCs/>
                <w:color w:val="auto"/>
                <w:sz w:val="20"/>
                <w:highlight w:val="none"/>
                <w:lang w:eastAsia="zh-CN"/>
              </w:rPr>
              <w:t>（</w:t>
            </w:r>
            <w:r>
              <w:rPr>
                <w:rFonts w:hint="default" w:ascii="Times New Roman" w:hAnsi="Times New Roman" w:eastAsia="宋体" w:cs="Times New Roman"/>
                <w:b/>
                <w:bCs/>
                <w:color w:val="auto"/>
                <w:sz w:val="20"/>
                <w:highlight w:val="none"/>
                <w:lang w:val="en-US" w:eastAsia="zh-CN"/>
              </w:rPr>
              <w:t>A</w:t>
            </w:r>
            <w:r>
              <w:rPr>
                <w:rFonts w:hint="default" w:ascii="Times New Roman" w:hAnsi="Times New Roman" w:eastAsia="宋体" w:cs="Times New Roman"/>
                <w:b/>
                <w:bCs/>
                <w:color w:val="auto"/>
                <w:sz w:val="20"/>
                <w:highlight w:val="none"/>
                <w:lang w:eastAsia="zh-CN"/>
              </w:rPr>
              <w:t>）</w:t>
            </w:r>
          </w:p>
        </w:tc>
      </w:tr>
      <w:tr w14:paraId="727A783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605" w:type="pct"/>
            <w:tcBorders>
              <w:tl2br w:val="nil"/>
              <w:tr2bl w:val="nil"/>
            </w:tcBorders>
            <w:vAlign w:val="center"/>
          </w:tcPr>
          <w:p w14:paraId="33B783A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highlight w:val="none"/>
              </w:rPr>
            </w:pPr>
            <w:r>
              <w:rPr>
                <w:rFonts w:hint="default" w:ascii="Times New Roman" w:hAnsi="Times New Roman" w:eastAsia="宋体" w:cs="Times New Roman"/>
                <w:color w:val="auto"/>
                <w:sz w:val="20"/>
                <w:highlight w:val="none"/>
              </w:rPr>
              <w:t>2类</w:t>
            </w:r>
          </w:p>
        </w:tc>
        <w:tc>
          <w:tcPr>
            <w:tcW w:w="1786" w:type="pct"/>
            <w:tcBorders>
              <w:tl2br w:val="nil"/>
              <w:tr2bl w:val="nil"/>
            </w:tcBorders>
            <w:vAlign w:val="center"/>
          </w:tcPr>
          <w:p w14:paraId="770D10C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highlight w:val="none"/>
              </w:rPr>
            </w:pPr>
            <w:r>
              <w:rPr>
                <w:rFonts w:hint="default" w:ascii="Times New Roman" w:hAnsi="Times New Roman" w:eastAsia="宋体" w:cs="Times New Roman"/>
                <w:color w:val="auto"/>
                <w:sz w:val="20"/>
                <w:highlight w:val="none"/>
              </w:rPr>
              <w:t>60</w:t>
            </w:r>
          </w:p>
        </w:tc>
        <w:tc>
          <w:tcPr>
            <w:tcW w:w="1608" w:type="pct"/>
            <w:tcBorders>
              <w:tl2br w:val="nil"/>
              <w:tr2bl w:val="nil"/>
            </w:tcBorders>
            <w:vAlign w:val="center"/>
          </w:tcPr>
          <w:p w14:paraId="3B5B5EC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highlight w:val="none"/>
              </w:rPr>
            </w:pPr>
            <w:r>
              <w:rPr>
                <w:rFonts w:hint="default" w:ascii="Times New Roman" w:hAnsi="Times New Roman" w:eastAsia="宋体" w:cs="Times New Roman"/>
                <w:color w:val="auto"/>
                <w:sz w:val="20"/>
                <w:highlight w:val="none"/>
              </w:rPr>
              <w:t>50</w:t>
            </w:r>
          </w:p>
        </w:tc>
      </w:tr>
    </w:tbl>
    <w:p w14:paraId="4AB86B04">
      <w:pPr>
        <w:pStyle w:val="5"/>
        <w:rPr>
          <w:rFonts w:hint="default" w:ascii="Times New Roman" w:hAnsi="Times New Roman" w:cs="Times New Roman"/>
          <w:color w:val="auto"/>
          <w:highlight w:val="none"/>
        </w:rPr>
      </w:pPr>
      <w:r>
        <w:rPr>
          <w:rFonts w:hint="eastAsia" w:ascii="Times New Roman" w:hAnsi="Times New Roman" w:cs="Times New Roman"/>
          <w:color w:val="auto"/>
          <w:highlight w:val="none"/>
          <w:lang w:val="en-US" w:eastAsia="zh-CN"/>
        </w:rPr>
        <w:t>土壤</w:t>
      </w:r>
      <w:r>
        <w:rPr>
          <w:rFonts w:hint="default" w:ascii="Times New Roman" w:hAnsi="Times New Roman" w:cs="Times New Roman"/>
          <w:color w:val="auto"/>
          <w:highlight w:val="none"/>
        </w:rPr>
        <w:t>环境</w:t>
      </w:r>
    </w:p>
    <w:p w14:paraId="51842A8C">
      <w:pPr>
        <w:pStyle w:val="14"/>
        <w:ind w:firstLine="480"/>
        <w:rPr>
          <w:rFonts w:hint="default" w:ascii="Times New Roman" w:hAnsi="Times New Roman" w:cs="Times New Roman"/>
          <w:color w:val="auto"/>
          <w:highlight w:val="none"/>
        </w:rPr>
      </w:pPr>
      <w:r>
        <w:rPr>
          <w:rFonts w:hint="eastAsia" w:ascii="Times New Roman" w:hAnsi="Times New Roman" w:eastAsia="宋体" w:cs="Times New Roman"/>
          <w:color w:val="auto"/>
          <w:sz w:val="24"/>
          <w:szCs w:val="24"/>
          <w:highlight w:val="none"/>
          <w:lang w:val="en-US" w:eastAsia="zh-CN"/>
        </w:rPr>
        <w:t>厂界土壤执行</w:t>
      </w:r>
      <w:r>
        <w:rPr>
          <w:rFonts w:hint="default" w:ascii="Times New Roman" w:hAnsi="Times New Roman" w:eastAsia="宋体" w:cs="Times New Roman"/>
          <w:color w:val="auto"/>
          <w:sz w:val="24"/>
          <w:szCs w:val="24"/>
          <w:highlight w:val="none"/>
          <w:lang w:eastAsia="zh-CN"/>
        </w:rPr>
        <w:t>《土壤环境质量</w:t>
      </w:r>
      <w:r>
        <w:rPr>
          <w:rFonts w:hint="default" w:ascii="Times New Roman" w:hAnsi="Times New Roman" w:cs="Times New Roman"/>
          <w:color w:val="auto"/>
          <w:sz w:val="24"/>
          <w:szCs w:val="24"/>
          <w:highlight w:val="none"/>
          <w:lang w:val="en-US" w:eastAsia="zh-CN"/>
        </w:rPr>
        <w:t xml:space="preserve"> </w:t>
      </w:r>
      <w:r>
        <w:rPr>
          <w:rFonts w:hint="default" w:ascii="Times New Roman" w:hAnsi="Times New Roman" w:eastAsia="宋体" w:cs="Times New Roman"/>
          <w:color w:val="auto"/>
          <w:sz w:val="24"/>
          <w:szCs w:val="24"/>
          <w:highlight w:val="none"/>
          <w:lang w:eastAsia="zh-CN"/>
        </w:rPr>
        <w:t>建设用地土壤污染风险管控标准（试行）》（GB36600-2018） 中第二类用地筛选值</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厂界土壤环境质量执行</w:t>
      </w:r>
      <w:r>
        <w:rPr>
          <w:rFonts w:hint="default" w:ascii="Times New Roman" w:hAnsi="Times New Roman" w:eastAsia="宋体" w:cs="Times New Roman"/>
          <w:color w:val="auto"/>
          <w:sz w:val="24"/>
          <w:szCs w:val="24"/>
          <w:highlight w:val="none"/>
          <w:lang w:eastAsia="zh-CN"/>
        </w:rPr>
        <w:t>《土壤环境质量</w:t>
      </w:r>
      <w:r>
        <w:rPr>
          <w:rFonts w:hint="default" w:ascii="Times New Roman" w:hAnsi="Times New Roman" w:cs="Times New Roman"/>
          <w:color w:val="auto"/>
          <w:sz w:val="24"/>
          <w:szCs w:val="24"/>
          <w:highlight w:val="none"/>
          <w:lang w:val="en-US" w:eastAsia="zh-CN"/>
        </w:rPr>
        <w:t xml:space="preserve"> </w:t>
      </w:r>
      <w:r>
        <w:rPr>
          <w:rFonts w:hint="default" w:ascii="Times New Roman" w:hAnsi="Times New Roman" w:eastAsia="宋体" w:cs="Times New Roman"/>
          <w:color w:val="auto"/>
          <w:sz w:val="24"/>
          <w:szCs w:val="24"/>
          <w:highlight w:val="none"/>
          <w:lang w:eastAsia="zh-CN"/>
        </w:rPr>
        <w:t>农用地土壤污染风险管控标准（试行）》（GB15618</w:t>
      </w:r>
      <w:r>
        <w:rPr>
          <w:rFonts w:hint="default"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eastAsia="zh-CN"/>
        </w:rPr>
        <w:t>2018）其他类耕地对应风险筛选值</w:t>
      </w:r>
      <w:r>
        <w:rPr>
          <w:rFonts w:hint="eastAsia" w:ascii="Times New Roman" w:hAnsi="Times New Roman" w:cs="Times New Roman"/>
          <w:color w:val="auto"/>
          <w:highlight w:val="none"/>
          <w:lang w:eastAsia="zh-CN"/>
        </w:rPr>
        <w:t>；</w:t>
      </w:r>
      <w:r>
        <w:rPr>
          <w:rFonts w:hint="eastAsia" w:ascii="Times New Roman" w:hAnsi="Times New Roman" w:cs="Times New Roman"/>
          <w:b w:val="0"/>
          <w:bCs/>
          <w:color w:val="auto"/>
          <w:sz w:val="24"/>
          <w:szCs w:val="24"/>
          <w:highlight w:val="none"/>
          <w:lang w:val="en-US" w:eastAsia="zh-CN"/>
        </w:rPr>
        <w:t>氟化物、</w:t>
      </w:r>
      <w:r>
        <w:rPr>
          <w:rFonts w:ascii="Times New Roman" w:hAnsi="Times New Roman" w:eastAsia="Times New Roman" w:cs="Times New Roman"/>
          <w:b w:val="0"/>
          <w:bCs/>
          <w:color w:val="auto"/>
          <w:sz w:val="24"/>
          <w:szCs w:val="24"/>
          <w:highlight w:val="none"/>
        </w:rPr>
        <w:t>铊</w:t>
      </w:r>
      <w:r>
        <w:rPr>
          <w:rFonts w:hint="eastAsia" w:ascii="Times New Roman" w:hAnsi="Times New Roman" w:eastAsia="宋体" w:cs="Times New Roman"/>
          <w:b w:val="0"/>
          <w:bCs/>
          <w:color w:val="auto"/>
          <w:sz w:val="24"/>
          <w:szCs w:val="24"/>
          <w:highlight w:val="none"/>
          <w:lang w:eastAsia="zh-CN"/>
        </w:rPr>
        <w:t>、</w:t>
      </w:r>
      <w:r>
        <w:rPr>
          <w:rFonts w:ascii="Times New Roman" w:hAnsi="Times New Roman" w:eastAsia="Times New Roman" w:cs="Times New Roman"/>
          <w:b w:val="0"/>
          <w:bCs/>
          <w:color w:val="auto"/>
          <w:sz w:val="24"/>
          <w:szCs w:val="24"/>
          <w:highlight w:val="none"/>
        </w:rPr>
        <w:t>锰</w:t>
      </w:r>
      <w:r>
        <w:rPr>
          <w:rFonts w:hint="eastAsia" w:ascii="Times New Roman" w:hAnsi="Times New Roman" w:eastAsia="宋体" w:cs="Times New Roman"/>
          <w:b w:val="0"/>
          <w:bCs/>
          <w:color w:val="auto"/>
          <w:sz w:val="24"/>
          <w:szCs w:val="24"/>
          <w:highlight w:val="none"/>
          <w:lang w:eastAsia="zh-CN"/>
        </w:rPr>
        <w:t>、</w:t>
      </w:r>
      <w:r>
        <w:rPr>
          <w:rFonts w:hint="eastAsia" w:ascii="Times New Roman" w:hAnsi="Times New Roman" w:eastAsia="宋体" w:cs="Times New Roman"/>
          <w:b w:val="0"/>
          <w:bCs/>
          <w:color w:val="auto"/>
          <w:sz w:val="24"/>
          <w:szCs w:val="24"/>
          <w:highlight w:val="none"/>
          <w:lang w:val="en-US" w:eastAsia="zh-CN"/>
        </w:rPr>
        <w:t>二噁英、</w:t>
      </w:r>
      <w:r>
        <w:rPr>
          <w:rFonts w:hint="default" w:ascii="Times New Roman" w:hAnsi="Times New Roman" w:eastAsia="宋体" w:cs="Times New Roman"/>
          <w:b w:val="0"/>
          <w:bCs/>
          <w:i w:val="0"/>
          <w:iCs w:val="0"/>
          <w:color w:val="auto"/>
          <w:kern w:val="0"/>
          <w:sz w:val="24"/>
          <w:szCs w:val="24"/>
          <w:highlight w:val="none"/>
          <w:u w:val="none"/>
          <w:lang w:val="en-US" w:eastAsia="zh-CN" w:bidi="ar"/>
        </w:rPr>
        <w:t>石油烃（C</w:t>
      </w:r>
      <w:r>
        <w:rPr>
          <w:rStyle w:val="155"/>
          <w:rFonts w:hint="default" w:ascii="Times New Roman" w:hAnsi="Times New Roman" w:eastAsia="宋体" w:cs="Times New Roman"/>
          <w:b w:val="0"/>
          <w:bCs/>
          <w:color w:val="auto"/>
          <w:sz w:val="24"/>
          <w:szCs w:val="24"/>
          <w:highlight w:val="none"/>
          <w:lang w:val="en-US" w:eastAsia="zh-CN" w:bidi="ar"/>
        </w:rPr>
        <w:t>10</w:t>
      </w:r>
      <w:r>
        <w:rPr>
          <w:rFonts w:hint="default" w:ascii="Times New Roman" w:hAnsi="Times New Roman" w:eastAsia="宋体" w:cs="Times New Roman"/>
          <w:b w:val="0"/>
          <w:bCs/>
          <w:i w:val="0"/>
          <w:iCs w:val="0"/>
          <w:color w:val="auto"/>
          <w:kern w:val="0"/>
          <w:sz w:val="24"/>
          <w:szCs w:val="24"/>
          <w:highlight w:val="none"/>
          <w:u w:val="none"/>
          <w:lang w:val="en-US" w:eastAsia="zh-CN" w:bidi="ar"/>
        </w:rPr>
        <w:t>-C</w:t>
      </w:r>
      <w:r>
        <w:rPr>
          <w:rStyle w:val="155"/>
          <w:rFonts w:hint="default" w:ascii="Times New Roman" w:hAnsi="Times New Roman" w:eastAsia="宋体" w:cs="Times New Roman"/>
          <w:b w:val="0"/>
          <w:bCs/>
          <w:color w:val="auto"/>
          <w:sz w:val="24"/>
          <w:szCs w:val="24"/>
          <w:highlight w:val="none"/>
          <w:lang w:val="en-US" w:eastAsia="zh-CN" w:bidi="ar"/>
        </w:rPr>
        <w:t>40</w:t>
      </w:r>
      <w:r>
        <w:rPr>
          <w:rFonts w:hint="default" w:ascii="Times New Roman" w:hAnsi="Times New Roman" w:eastAsia="宋体" w:cs="Times New Roman"/>
          <w:b w:val="0"/>
          <w:bCs/>
          <w:i w:val="0"/>
          <w:iCs w:val="0"/>
          <w:color w:val="auto"/>
          <w:kern w:val="0"/>
          <w:sz w:val="24"/>
          <w:szCs w:val="24"/>
          <w:highlight w:val="none"/>
          <w:u w:val="none"/>
          <w:lang w:val="en-US" w:eastAsia="zh-CN" w:bidi="ar"/>
        </w:rPr>
        <w:t>）</w:t>
      </w:r>
      <w:r>
        <w:rPr>
          <w:rFonts w:hint="default" w:ascii="Times New Roman" w:hAnsi="Times New Roman" w:eastAsia="宋体" w:cs="Times New Roman"/>
          <w:color w:val="auto"/>
          <w:sz w:val="24"/>
          <w:szCs w:val="24"/>
          <w:highlight w:val="none"/>
          <w:lang w:eastAsia="zh-CN"/>
        </w:rPr>
        <w:t>等指标检测结果满足《四川省建设用地土壤污染风险管控标准》（DB51/2978-2023）中第二类用地筛选值要求</w:t>
      </w:r>
      <w:r>
        <w:rPr>
          <w:rFonts w:hint="eastAsia" w:ascii="Times New Roman" w:hAnsi="Times New Roman" w:eastAsia="宋体" w:cs="Times New Roman"/>
          <w:color w:val="auto"/>
          <w:sz w:val="24"/>
          <w:szCs w:val="24"/>
          <w:highlight w:val="none"/>
          <w:lang w:eastAsia="zh-CN"/>
        </w:rPr>
        <w:t>。</w:t>
      </w:r>
    </w:p>
    <w:p w14:paraId="0C292C8C">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污染物排放标准</w:t>
      </w:r>
    </w:p>
    <w:p w14:paraId="2E4255F8">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废气</w:t>
      </w:r>
    </w:p>
    <w:p w14:paraId="780B2D6A">
      <w:pPr>
        <w:pStyle w:val="14"/>
        <w:ind w:left="0" w:leftChars="0" w:firstLine="480" w:firstLineChars="200"/>
        <w:rPr>
          <w:rFonts w:hint="default" w:ascii="Times New Roman" w:hAnsi="Times New Roman" w:cs="Times New Roman"/>
          <w:color w:val="auto"/>
          <w:highlight w:val="none"/>
        </w:rPr>
      </w:pPr>
      <w:r>
        <w:rPr>
          <w:rFonts w:hint="default" w:ascii="Times New Roman" w:hAnsi="Times New Roman" w:cs="Times New Roman"/>
          <w:color w:val="auto"/>
          <w:sz w:val="24"/>
          <w:highlight w:val="none"/>
          <w:lang w:val="en-US" w:eastAsia="zh-CN"/>
        </w:rPr>
        <w:t>施工期扬尘执行</w:t>
      </w:r>
      <w:r>
        <w:rPr>
          <w:rFonts w:hint="default" w:ascii="Times New Roman" w:hAnsi="Times New Roman" w:cs="Times New Roman"/>
          <w:color w:val="auto"/>
          <w:sz w:val="24"/>
          <w:highlight w:val="none"/>
        </w:rPr>
        <w:t>《四川省施工场地扬尘排放标准》（DB512682-2020）</w:t>
      </w:r>
      <w:r>
        <w:rPr>
          <w:rFonts w:hint="default" w:ascii="Times New Roman" w:hAnsi="Times New Roman" w:eastAsia="宋体" w:cs="Times New Roman"/>
          <w:color w:val="auto"/>
          <w:kern w:val="0"/>
          <w:sz w:val="24"/>
          <w:szCs w:val="24"/>
          <w:highlight w:val="none"/>
          <w:lang w:val="en-US" w:eastAsia="zh-CN" w:bidi="ar"/>
        </w:rPr>
        <w:t>。相</w:t>
      </w:r>
      <w:r>
        <w:rPr>
          <w:rFonts w:hint="default" w:ascii="Times New Roman" w:hAnsi="Times New Roman" w:cs="Times New Roman"/>
          <w:color w:val="auto"/>
          <w:highlight w:val="none"/>
        </w:rPr>
        <w:t>关标准</w:t>
      </w:r>
      <w:r>
        <w:rPr>
          <w:rFonts w:hint="default" w:ascii="Times New Roman" w:hAnsi="Times New Roman" w:cs="Times New Roman"/>
          <w:color w:val="auto"/>
          <w:highlight w:val="none"/>
          <w:lang w:val="en-US" w:eastAsia="zh-CN"/>
        </w:rPr>
        <w:t>见</w:t>
      </w:r>
      <w:r>
        <w:rPr>
          <w:rFonts w:hint="default" w:ascii="Times New Roman" w:hAnsi="Times New Roman" w:cs="Times New Roman"/>
          <w:color w:val="auto"/>
          <w:highlight w:val="none"/>
        </w:rPr>
        <w:t>下表。</w:t>
      </w:r>
    </w:p>
    <w:p w14:paraId="5183E1A3">
      <w:pPr>
        <w:pStyle w:val="11"/>
        <w:keepNext/>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6</w:t>
      </w:r>
      <w:r>
        <w:rPr>
          <w:rFonts w:hint="default" w:ascii="Times New Roman" w:hAnsi="Times New Roman" w:cs="Times New Roman"/>
          <w:color w:val="auto"/>
          <w:highlight w:val="none"/>
        </w:rPr>
        <w:fldChar w:fldCharType="end"/>
      </w:r>
      <w:r>
        <w:rPr>
          <w:rFonts w:hint="default" w:ascii="Times New Roman" w:hAnsi="Times New Roman" w:eastAsia="宋体" w:cs="Times New Roman"/>
          <w:color w:val="auto"/>
          <w:highlight w:val="none"/>
        </w:rPr>
        <w:t xml:space="preserve">  </w:t>
      </w:r>
      <w:r>
        <w:rPr>
          <w:rFonts w:hint="default" w:ascii="Times New Roman" w:hAnsi="Times New Roman" w:eastAsia="宋体" w:cs="Times New Roman"/>
          <w:color w:val="auto"/>
          <w:highlight w:val="none"/>
          <w:lang w:val="en-US" w:eastAsia="zh-CN"/>
        </w:rPr>
        <w:t>《四川省施工场地扬尘排放标准》（DB51/ 2682-2020）</w:t>
      </w:r>
    </w:p>
    <w:tbl>
      <w:tblPr>
        <w:tblStyle w:val="35"/>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28" w:type="dxa"/>
          <w:bottom w:w="0" w:type="dxa"/>
          <w:right w:w="28" w:type="dxa"/>
        </w:tblCellMar>
      </w:tblPr>
      <w:tblGrid>
        <w:gridCol w:w="1807"/>
        <w:gridCol w:w="3743"/>
        <w:gridCol w:w="3574"/>
      </w:tblGrid>
      <w:tr w14:paraId="14E238F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990" w:type="pct"/>
            <w:tcBorders>
              <w:tl2br w:val="nil"/>
              <w:tr2bl w:val="nil"/>
            </w:tcBorders>
            <w:vAlign w:val="center"/>
          </w:tcPr>
          <w:p w14:paraId="1196857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污染物</w:t>
            </w:r>
          </w:p>
        </w:tc>
        <w:tc>
          <w:tcPr>
            <w:tcW w:w="2051" w:type="pct"/>
            <w:tcBorders>
              <w:tl2br w:val="nil"/>
              <w:tr2bl w:val="nil"/>
            </w:tcBorders>
            <w:vAlign w:val="center"/>
          </w:tcPr>
          <w:p w14:paraId="0BA52FE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施工阶段</w:t>
            </w:r>
          </w:p>
        </w:tc>
        <w:tc>
          <w:tcPr>
            <w:tcW w:w="1958" w:type="pct"/>
            <w:tcBorders>
              <w:tl2br w:val="nil"/>
              <w:tr2bl w:val="nil"/>
            </w:tcBorders>
            <w:vAlign w:val="center"/>
          </w:tcPr>
          <w:p w14:paraId="32DA2F3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排放限值（</w:t>
            </w:r>
            <w:r>
              <w:rPr>
                <w:rFonts w:hint="default" w:ascii="Times New Roman" w:hAnsi="Times New Roman" w:eastAsia="宋体" w:cs="Times New Roman"/>
                <w:color w:val="auto"/>
                <w:sz w:val="20"/>
                <w:szCs w:val="20"/>
                <w:highlight w:val="none"/>
              </w:rPr>
              <w:t>μ</w:t>
            </w:r>
            <w:r>
              <w:rPr>
                <w:rFonts w:hint="default" w:ascii="Times New Roman" w:hAnsi="Times New Roman" w:eastAsia="宋体" w:cs="Times New Roman"/>
                <w:color w:val="auto"/>
                <w:sz w:val="20"/>
                <w:szCs w:val="20"/>
                <w:highlight w:val="none"/>
                <w:lang w:val="en-US" w:eastAsia="zh-CN"/>
              </w:rPr>
              <w:t>g/</w:t>
            </w:r>
            <w:r>
              <w:rPr>
                <w:rFonts w:hint="default" w:ascii="Times New Roman" w:hAnsi="Times New Roman" w:cs="Times New Roman"/>
                <w:color w:val="auto"/>
                <w:sz w:val="20"/>
                <w:szCs w:val="20"/>
                <w:highlight w:val="none"/>
              </w:rPr>
              <w:t>m</w:t>
            </w:r>
            <w:r>
              <w:rPr>
                <w:rFonts w:hint="default" w:ascii="Times New Roman" w:hAnsi="Times New Roman" w:cs="Times New Roman"/>
                <w:color w:val="auto"/>
                <w:sz w:val="20"/>
                <w:szCs w:val="20"/>
                <w:highlight w:val="none"/>
                <w:vertAlign w:val="superscript"/>
              </w:rPr>
              <w:t>3</w:t>
            </w:r>
            <w:r>
              <w:rPr>
                <w:rFonts w:hint="default" w:ascii="Times New Roman" w:hAnsi="Times New Roman" w:eastAsia="宋体" w:cs="Times New Roman"/>
                <w:b/>
                <w:bCs/>
                <w:color w:val="auto"/>
                <w:sz w:val="20"/>
                <w:szCs w:val="20"/>
                <w:highlight w:val="none"/>
                <w:lang w:eastAsia="zh-CN"/>
              </w:rPr>
              <w:t>）</w:t>
            </w:r>
          </w:p>
        </w:tc>
      </w:tr>
      <w:tr w14:paraId="583CA5E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990" w:type="pct"/>
            <w:vMerge w:val="restart"/>
            <w:tcBorders>
              <w:tl2br w:val="nil"/>
              <w:tr2bl w:val="nil"/>
            </w:tcBorders>
            <w:vAlign w:val="center"/>
          </w:tcPr>
          <w:p w14:paraId="16B8ECD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eastAsia="zh-CN"/>
              </w:rPr>
            </w:pPr>
            <w:r>
              <w:rPr>
                <w:rFonts w:hint="default" w:ascii="Times New Roman" w:hAnsi="Times New Roman" w:eastAsia="宋体" w:cs="Times New Roman"/>
                <w:b w:val="0"/>
                <w:bCs w:val="0"/>
                <w:color w:val="auto"/>
                <w:sz w:val="20"/>
                <w:szCs w:val="20"/>
                <w:highlight w:val="none"/>
                <w:lang w:eastAsia="zh-CN"/>
              </w:rPr>
              <w:t>颗粒物（</w:t>
            </w:r>
            <w:r>
              <w:rPr>
                <w:rFonts w:hint="default" w:ascii="Times New Roman" w:hAnsi="Times New Roman" w:eastAsia="宋体" w:cs="Times New Roman"/>
                <w:b w:val="0"/>
                <w:bCs w:val="0"/>
                <w:color w:val="auto"/>
                <w:sz w:val="20"/>
                <w:szCs w:val="20"/>
                <w:highlight w:val="none"/>
                <w:lang w:val="en-US" w:eastAsia="zh-CN"/>
              </w:rPr>
              <w:t>TSP</w:t>
            </w:r>
            <w:r>
              <w:rPr>
                <w:rFonts w:hint="default" w:ascii="Times New Roman" w:hAnsi="Times New Roman" w:eastAsia="宋体" w:cs="Times New Roman"/>
                <w:b w:val="0"/>
                <w:bCs w:val="0"/>
                <w:color w:val="auto"/>
                <w:sz w:val="20"/>
                <w:szCs w:val="20"/>
                <w:highlight w:val="none"/>
                <w:lang w:eastAsia="zh-CN"/>
              </w:rPr>
              <w:t>）</w:t>
            </w:r>
          </w:p>
        </w:tc>
        <w:tc>
          <w:tcPr>
            <w:tcW w:w="2051" w:type="pct"/>
            <w:tcBorders>
              <w:tl2br w:val="nil"/>
              <w:tr2bl w:val="nil"/>
            </w:tcBorders>
            <w:vAlign w:val="center"/>
          </w:tcPr>
          <w:p w14:paraId="02450983">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val="0"/>
                <w:bCs w:val="0"/>
                <w:color w:val="auto"/>
                <w:sz w:val="20"/>
                <w:szCs w:val="20"/>
                <w:highlight w:val="none"/>
              </w:rPr>
            </w:pPr>
            <w:r>
              <w:rPr>
                <w:rFonts w:hint="default" w:ascii="Times New Roman" w:hAnsi="Times New Roman" w:eastAsia="宋体" w:cs="Times New Roman"/>
                <w:color w:val="auto"/>
                <w:kern w:val="0"/>
                <w:sz w:val="20"/>
                <w:szCs w:val="20"/>
                <w:highlight w:val="none"/>
                <w:lang w:val="en-US" w:eastAsia="zh-CN" w:bidi="ar"/>
              </w:rPr>
              <w:t>拆除工程/土方开发/土方回填阶段</w:t>
            </w:r>
          </w:p>
        </w:tc>
        <w:tc>
          <w:tcPr>
            <w:tcW w:w="1958" w:type="pct"/>
            <w:tcBorders>
              <w:tl2br w:val="nil"/>
              <w:tr2bl w:val="nil"/>
            </w:tcBorders>
            <w:vAlign w:val="center"/>
          </w:tcPr>
          <w:p w14:paraId="3818D02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r>
              <w:rPr>
                <w:rFonts w:hint="default" w:ascii="Times New Roman" w:hAnsi="Times New Roman" w:eastAsia="宋体" w:cs="Times New Roman"/>
                <w:b w:val="0"/>
                <w:bCs w:val="0"/>
                <w:color w:val="auto"/>
                <w:sz w:val="20"/>
                <w:szCs w:val="20"/>
                <w:highlight w:val="none"/>
                <w:lang w:val="en-US" w:eastAsia="zh-CN"/>
              </w:rPr>
              <w:t>600</w:t>
            </w:r>
          </w:p>
        </w:tc>
      </w:tr>
      <w:tr w14:paraId="2E49FD4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990" w:type="pct"/>
            <w:vMerge w:val="continue"/>
            <w:tcBorders>
              <w:tl2br w:val="nil"/>
              <w:tr2bl w:val="nil"/>
            </w:tcBorders>
            <w:vAlign w:val="center"/>
          </w:tcPr>
          <w:p w14:paraId="0462D66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rPr>
            </w:pPr>
          </w:p>
        </w:tc>
        <w:tc>
          <w:tcPr>
            <w:tcW w:w="2051" w:type="pct"/>
            <w:tcBorders>
              <w:tl2br w:val="nil"/>
              <w:tr2bl w:val="nil"/>
            </w:tcBorders>
            <w:vAlign w:val="center"/>
          </w:tcPr>
          <w:p w14:paraId="7C899692">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val="0"/>
                <w:bCs w:val="0"/>
                <w:color w:val="auto"/>
                <w:sz w:val="20"/>
                <w:szCs w:val="20"/>
                <w:highlight w:val="none"/>
              </w:rPr>
            </w:pPr>
            <w:r>
              <w:rPr>
                <w:rFonts w:hint="default" w:ascii="Times New Roman" w:hAnsi="Times New Roman" w:eastAsia="宋体" w:cs="Times New Roman"/>
                <w:color w:val="auto"/>
                <w:kern w:val="0"/>
                <w:sz w:val="20"/>
                <w:szCs w:val="20"/>
                <w:highlight w:val="none"/>
                <w:lang w:val="en-US" w:eastAsia="zh-CN" w:bidi="ar"/>
              </w:rPr>
              <w:t>其他工程阶段</w:t>
            </w:r>
          </w:p>
        </w:tc>
        <w:tc>
          <w:tcPr>
            <w:tcW w:w="1958" w:type="pct"/>
            <w:tcBorders>
              <w:tl2br w:val="nil"/>
              <w:tr2bl w:val="nil"/>
            </w:tcBorders>
            <w:vAlign w:val="center"/>
          </w:tcPr>
          <w:p w14:paraId="303181C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r>
              <w:rPr>
                <w:rFonts w:hint="default" w:ascii="Times New Roman" w:hAnsi="Times New Roman" w:eastAsia="宋体" w:cs="Times New Roman"/>
                <w:b w:val="0"/>
                <w:bCs w:val="0"/>
                <w:color w:val="auto"/>
                <w:sz w:val="20"/>
                <w:szCs w:val="20"/>
                <w:highlight w:val="none"/>
                <w:lang w:val="en-US" w:eastAsia="zh-CN"/>
              </w:rPr>
              <w:t>250</w:t>
            </w:r>
          </w:p>
        </w:tc>
      </w:tr>
    </w:tbl>
    <w:p w14:paraId="5F7267F5">
      <w:pPr>
        <w:pStyle w:val="11"/>
        <w:keepNext/>
        <w:rPr>
          <w:rFonts w:hint="default" w:ascii="Times New Roman" w:hAnsi="Times New Roman" w:cs="Times New Roman"/>
          <w:color w:val="auto"/>
          <w:highlight w:val="none"/>
        </w:rPr>
      </w:pPr>
    </w:p>
    <w:p w14:paraId="687DB7FA">
      <w:pPr>
        <w:pStyle w:val="14"/>
        <w:ind w:left="0" w:leftChars="0" w:firstLine="480" w:firstLineChars="200"/>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运营期其他物质破碎、筛分、贮存等环节产生的粉尘排放执行《大气污染物综合排放标准》（GB16297-1996）表 2 中有组织排放限值及无组织排放监控浓度限值；本项目采用热解处理工艺，由于国家尚未出台热解处理技术行业排放标准，考虑固体废物热解和焚烧均为固体废物的热转化技术，都是在高温条件下使固体废物中可回收利用的物质转化为能源的过程，故本项目热解气燃烧废气中污染物浓度，执行《生活垃圾焚烧污染控制标准》（GB18485-2014）排放限值；恶臭污染物无组织排放执行《恶臭污染物排放标准》（GB15604-93）中表1二级标准，恶臭污染物有组织排放执行《恶臭污染物排放标准》（GB15604-93）中表</w:t>
      </w:r>
      <w:r>
        <w:rPr>
          <w:rFonts w:hint="eastAsia" w:cs="Times New Roman"/>
          <w:color w:val="auto"/>
          <w:sz w:val="24"/>
          <w:highlight w:val="none"/>
          <w:lang w:val="en-US" w:eastAsia="zh-CN"/>
        </w:rPr>
        <w:t>2</w:t>
      </w:r>
      <w:r>
        <w:rPr>
          <w:rFonts w:hint="default" w:ascii="Times New Roman" w:hAnsi="Times New Roman" w:cs="Times New Roman"/>
          <w:color w:val="auto"/>
          <w:sz w:val="24"/>
          <w:highlight w:val="none"/>
          <w:lang w:val="en-US" w:eastAsia="zh-CN"/>
        </w:rPr>
        <w:t>标准，相关标准见下表。</w:t>
      </w:r>
    </w:p>
    <w:p w14:paraId="4860F333">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7</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大气污染物排放标准</w:t>
      </w:r>
    </w:p>
    <w:tbl>
      <w:tblPr>
        <w:tblStyle w:val="35"/>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28" w:type="dxa"/>
          <w:bottom w:w="0" w:type="dxa"/>
          <w:right w:w="28" w:type="dxa"/>
        </w:tblCellMar>
      </w:tblPr>
      <w:tblGrid>
        <w:gridCol w:w="2320"/>
        <w:gridCol w:w="940"/>
        <w:gridCol w:w="1011"/>
        <w:gridCol w:w="836"/>
        <w:gridCol w:w="1011"/>
        <w:gridCol w:w="1212"/>
        <w:gridCol w:w="1793"/>
      </w:tblGrid>
      <w:tr w14:paraId="501D529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1271" w:type="pct"/>
            <w:vMerge w:val="restart"/>
            <w:tcBorders>
              <w:tl2br w:val="nil"/>
              <w:tr2bl w:val="nil"/>
            </w:tcBorders>
            <w:vAlign w:val="center"/>
          </w:tcPr>
          <w:p w14:paraId="55B6981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污染物</w:t>
            </w:r>
          </w:p>
        </w:tc>
        <w:tc>
          <w:tcPr>
            <w:tcW w:w="515" w:type="pct"/>
            <w:vMerge w:val="restart"/>
            <w:tcBorders>
              <w:tl2br w:val="nil"/>
              <w:tr2bl w:val="nil"/>
            </w:tcBorders>
            <w:vAlign w:val="center"/>
          </w:tcPr>
          <w:p w14:paraId="7B238F5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排放高度（m）</w:t>
            </w:r>
          </w:p>
        </w:tc>
        <w:tc>
          <w:tcPr>
            <w:tcW w:w="1012" w:type="pct"/>
            <w:gridSpan w:val="2"/>
            <w:tcBorders>
              <w:tl2br w:val="nil"/>
              <w:tr2bl w:val="nil"/>
            </w:tcBorders>
            <w:vAlign w:val="center"/>
          </w:tcPr>
          <w:p w14:paraId="2B1407A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kern w:val="2"/>
                <w:sz w:val="20"/>
                <w:szCs w:val="20"/>
                <w:highlight w:val="none"/>
                <w:lang w:val="en-US" w:eastAsia="zh-CN" w:bidi="ar-SA"/>
              </w:rPr>
            </w:pPr>
            <w:r>
              <w:rPr>
                <w:rFonts w:hint="default" w:ascii="Times New Roman" w:hAnsi="Times New Roman" w:eastAsia="宋体" w:cs="Times New Roman"/>
                <w:b/>
                <w:bCs/>
                <w:color w:val="auto"/>
                <w:kern w:val="2"/>
                <w:sz w:val="20"/>
                <w:szCs w:val="20"/>
                <w:highlight w:val="none"/>
                <w:lang w:val="en-US" w:eastAsia="zh-CN" w:bidi="ar-SA"/>
              </w:rPr>
              <w:t>标准限值</w:t>
            </w:r>
          </w:p>
        </w:tc>
        <w:tc>
          <w:tcPr>
            <w:tcW w:w="554" w:type="pct"/>
            <w:vMerge w:val="restart"/>
            <w:tcBorders>
              <w:tl2br w:val="nil"/>
              <w:tr2bl w:val="nil"/>
            </w:tcBorders>
            <w:vAlign w:val="center"/>
          </w:tcPr>
          <w:p w14:paraId="7612F1E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无组织浓度限值</w:t>
            </w:r>
          </w:p>
          <w:p w14:paraId="1777645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rPr>
              <w:t>（mg/m</w:t>
            </w:r>
            <w:r>
              <w:rPr>
                <w:rFonts w:hint="default" w:ascii="Times New Roman" w:hAnsi="Times New Roman" w:eastAsia="宋体" w:cs="Times New Roman"/>
                <w:b/>
                <w:bCs/>
                <w:color w:val="auto"/>
                <w:sz w:val="20"/>
                <w:szCs w:val="20"/>
                <w:highlight w:val="none"/>
                <w:vertAlign w:val="superscript"/>
              </w:rPr>
              <w:t>3</w:t>
            </w:r>
            <w:r>
              <w:rPr>
                <w:rFonts w:hint="default" w:ascii="Times New Roman" w:hAnsi="Times New Roman" w:eastAsia="宋体" w:cs="Times New Roman"/>
                <w:b/>
                <w:bCs/>
                <w:color w:val="auto"/>
                <w:sz w:val="20"/>
                <w:szCs w:val="20"/>
                <w:highlight w:val="none"/>
              </w:rPr>
              <w:t>）</w:t>
            </w:r>
          </w:p>
        </w:tc>
        <w:tc>
          <w:tcPr>
            <w:tcW w:w="664" w:type="pct"/>
            <w:vMerge w:val="restart"/>
            <w:tcBorders>
              <w:tl2br w:val="nil"/>
              <w:tr2bl w:val="nil"/>
            </w:tcBorders>
            <w:vAlign w:val="center"/>
          </w:tcPr>
          <w:p w14:paraId="2722FD1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取值时间</w:t>
            </w:r>
          </w:p>
        </w:tc>
        <w:tc>
          <w:tcPr>
            <w:tcW w:w="982" w:type="pct"/>
            <w:vMerge w:val="restart"/>
            <w:tcBorders>
              <w:tl2br w:val="nil"/>
              <w:tr2bl w:val="nil"/>
            </w:tcBorders>
            <w:vAlign w:val="center"/>
          </w:tcPr>
          <w:p w14:paraId="1B64710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标准来源</w:t>
            </w:r>
          </w:p>
        </w:tc>
      </w:tr>
      <w:tr w14:paraId="376A4D7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tblHeader/>
          <w:jc w:val="center"/>
        </w:trPr>
        <w:tc>
          <w:tcPr>
            <w:tcW w:w="1271" w:type="pct"/>
            <w:vMerge w:val="continue"/>
            <w:tcBorders>
              <w:tl2br w:val="nil"/>
              <w:tr2bl w:val="nil"/>
            </w:tcBorders>
            <w:vAlign w:val="center"/>
          </w:tcPr>
          <w:p w14:paraId="391AEAD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p>
        </w:tc>
        <w:tc>
          <w:tcPr>
            <w:tcW w:w="515" w:type="pct"/>
            <w:vMerge w:val="continue"/>
            <w:tcBorders>
              <w:tl2br w:val="nil"/>
              <w:tr2bl w:val="nil"/>
            </w:tcBorders>
            <w:vAlign w:val="center"/>
          </w:tcPr>
          <w:p w14:paraId="64443AD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p>
        </w:tc>
        <w:tc>
          <w:tcPr>
            <w:tcW w:w="554" w:type="pct"/>
            <w:tcBorders>
              <w:tl2br w:val="nil"/>
              <w:tr2bl w:val="nil"/>
            </w:tcBorders>
            <w:vAlign w:val="center"/>
          </w:tcPr>
          <w:p w14:paraId="5DD4579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最高允许排放浓度</w:t>
            </w:r>
            <w:r>
              <w:rPr>
                <w:rFonts w:hint="default" w:ascii="Times New Roman" w:hAnsi="Times New Roman" w:eastAsia="宋体" w:cs="Times New Roman"/>
                <w:b/>
                <w:bCs/>
                <w:color w:val="auto"/>
                <w:sz w:val="20"/>
                <w:szCs w:val="20"/>
                <w:highlight w:val="none"/>
              </w:rPr>
              <w:t>（mg/m</w:t>
            </w:r>
            <w:r>
              <w:rPr>
                <w:rFonts w:hint="default" w:ascii="Times New Roman" w:hAnsi="Times New Roman" w:eastAsia="宋体" w:cs="Times New Roman"/>
                <w:b/>
                <w:bCs/>
                <w:color w:val="auto"/>
                <w:sz w:val="20"/>
                <w:szCs w:val="20"/>
                <w:highlight w:val="none"/>
                <w:vertAlign w:val="superscript"/>
              </w:rPr>
              <w:t>3</w:t>
            </w:r>
            <w:r>
              <w:rPr>
                <w:rFonts w:hint="default" w:ascii="Times New Roman" w:hAnsi="Times New Roman" w:eastAsia="宋体" w:cs="Times New Roman"/>
                <w:b/>
                <w:bCs/>
                <w:color w:val="auto"/>
                <w:sz w:val="20"/>
                <w:szCs w:val="20"/>
                <w:highlight w:val="none"/>
              </w:rPr>
              <w:t>）</w:t>
            </w:r>
          </w:p>
        </w:tc>
        <w:tc>
          <w:tcPr>
            <w:tcW w:w="458" w:type="pct"/>
            <w:tcBorders>
              <w:tl2br w:val="nil"/>
              <w:tr2bl w:val="nil"/>
            </w:tcBorders>
            <w:vAlign w:val="center"/>
          </w:tcPr>
          <w:p w14:paraId="14881CF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排放速率（kg/h）</w:t>
            </w:r>
          </w:p>
        </w:tc>
        <w:tc>
          <w:tcPr>
            <w:tcW w:w="554" w:type="pct"/>
            <w:vMerge w:val="continue"/>
            <w:tcBorders>
              <w:tl2br w:val="nil"/>
              <w:tr2bl w:val="nil"/>
            </w:tcBorders>
            <w:vAlign w:val="center"/>
          </w:tcPr>
          <w:p w14:paraId="5FCC20E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p>
        </w:tc>
        <w:tc>
          <w:tcPr>
            <w:tcW w:w="664" w:type="pct"/>
            <w:vMerge w:val="continue"/>
            <w:tcBorders>
              <w:tl2br w:val="nil"/>
              <w:tr2bl w:val="nil"/>
            </w:tcBorders>
            <w:vAlign w:val="center"/>
          </w:tcPr>
          <w:p w14:paraId="26A7980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p>
        </w:tc>
        <w:tc>
          <w:tcPr>
            <w:tcW w:w="982" w:type="pct"/>
            <w:vMerge w:val="continue"/>
            <w:tcBorders>
              <w:tl2br w:val="nil"/>
              <w:tr2bl w:val="nil"/>
            </w:tcBorders>
            <w:vAlign w:val="center"/>
          </w:tcPr>
          <w:p w14:paraId="0D7BAE9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p>
        </w:tc>
      </w:tr>
      <w:tr w14:paraId="272EABA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tcBorders>
              <w:tl2br w:val="nil"/>
              <w:tr2bl w:val="nil"/>
            </w:tcBorders>
            <w:vAlign w:val="center"/>
          </w:tcPr>
          <w:p w14:paraId="6C63749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cs="Times New Roman"/>
                <w:color w:val="auto"/>
                <w:sz w:val="20"/>
                <w:szCs w:val="20"/>
                <w:highlight w:val="none"/>
              </w:rPr>
              <w:t>颗粒物</w:t>
            </w:r>
          </w:p>
        </w:tc>
        <w:tc>
          <w:tcPr>
            <w:tcW w:w="515" w:type="pct"/>
            <w:tcBorders>
              <w:tl2br w:val="nil"/>
              <w:tr2bl w:val="nil"/>
            </w:tcBorders>
            <w:vAlign w:val="center"/>
          </w:tcPr>
          <w:p w14:paraId="084F527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15</w:t>
            </w:r>
          </w:p>
        </w:tc>
        <w:tc>
          <w:tcPr>
            <w:tcW w:w="554" w:type="pct"/>
            <w:tcBorders>
              <w:tl2br w:val="nil"/>
              <w:tr2bl w:val="nil"/>
            </w:tcBorders>
            <w:vAlign w:val="center"/>
          </w:tcPr>
          <w:p w14:paraId="7E550BD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120</w:t>
            </w:r>
          </w:p>
        </w:tc>
        <w:tc>
          <w:tcPr>
            <w:tcW w:w="458" w:type="pct"/>
            <w:tcBorders>
              <w:tl2br w:val="nil"/>
              <w:tr2bl w:val="nil"/>
            </w:tcBorders>
            <w:vAlign w:val="center"/>
          </w:tcPr>
          <w:p w14:paraId="7861BE6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cs="Times New Roman"/>
                <w:color w:val="auto"/>
                <w:sz w:val="20"/>
                <w:szCs w:val="20"/>
                <w:highlight w:val="none"/>
              </w:rPr>
              <w:t>3.5</w:t>
            </w:r>
          </w:p>
        </w:tc>
        <w:tc>
          <w:tcPr>
            <w:tcW w:w="554" w:type="pct"/>
            <w:tcBorders>
              <w:tl2br w:val="nil"/>
              <w:tr2bl w:val="nil"/>
            </w:tcBorders>
            <w:vAlign w:val="center"/>
          </w:tcPr>
          <w:p w14:paraId="5488472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cs="Times New Roman"/>
                <w:color w:val="auto"/>
                <w:sz w:val="20"/>
                <w:szCs w:val="20"/>
                <w:highlight w:val="none"/>
              </w:rPr>
              <w:t>1.0</w:t>
            </w:r>
          </w:p>
        </w:tc>
        <w:tc>
          <w:tcPr>
            <w:tcW w:w="664" w:type="pct"/>
            <w:tcBorders>
              <w:tl2br w:val="nil"/>
              <w:tr2bl w:val="nil"/>
            </w:tcBorders>
            <w:vAlign w:val="center"/>
          </w:tcPr>
          <w:p w14:paraId="78EE2D6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982" w:type="pct"/>
            <w:tcBorders>
              <w:tl2br w:val="nil"/>
              <w:tr2bl w:val="nil"/>
            </w:tcBorders>
            <w:vAlign w:val="center"/>
          </w:tcPr>
          <w:p w14:paraId="6D4FBC6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cs="Times New Roman"/>
                <w:color w:val="auto"/>
                <w:sz w:val="20"/>
                <w:szCs w:val="20"/>
                <w:highlight w:val="none"/>
              </w:rPr>
              <w:t>《大气污染物综合排放标准》（GB16297-1996）</w:t>
            </w:r>
          </w:p>
        </w:tc>
      </w:tr>
      <w:tr w14:paraId="61BDE40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tcBorders>
              <w:tl2br w:val="nil"/>
              <w:tr2bl w:val="nil"/>
            </w:tcBorders>
            <w:vAlign w:val="center"/>
          </w:tcPr>
          <w:p w14:paraId="005590C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硫化氢</w:t>
            </w:r>
          </w:p>
        </w:tc>
        <w:tc>
          <w:tcPr>
            <w:tcW w:w="515" w:type="pct"/>
            <w:tcBorders>
              <w:tl2br w:val="nil"/>
              <w:tr2bl w:val="nil"/>
            </w:tcBorders>
            <w:vAlign w:val="center"/>
          </w:tcPr>
          <w:p w14:paraId="17D5177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15</w:t>
            </w:r>
          </w:p>
        </w:tc>
        <w:tc>
          <w:tcPr>
            <w:tcW w:w="554" w:type="pct"/>
            <w:tcBorders>
              <w:tl2br w:val="nil"/>
              <w:tr2bl w:val="nil"/>
            </w:tcBorders>
            <w:vAlign w:val="center"/>
          </w:tcPr>
          <w:p w14:paraId="10C0028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458" w:type="pct"/>
            <w:tcBorders>
              <w:tl2br w:val="nil"/>
              <w:tr2bl w:val="nil"/>
            </w:tcBorders>
            <w:vAlign w:val="center"/>
          </w:tcPr>
          <w:p w14:paraId="21EF404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0.33</w:t>
            </w:r>
          </w:p>
        </w:tc>
        <w:tc>
          <w:tcPr>
            <w:tcW w:w="554" w:type="pct"/>
            <w:tcBorders>
              <w:tl2br w:val="nil"/>
              <w:tr2bl w:val="nil"/>
            </w:tcBorders>
            <w:vAlign w:val="center"/>
          </w:tcPr>
          <w:p w14:paraId="058233B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0.06</w:t>
            </w:r>
          </w:p>
        </w:tc>
        <w:tc>
          <w:tcPr>
            <w:tcW w:w="664" w:type="pct"/>
            <w:tcBorders>
              <w:tl2br w:val="nil"/>
              <w:tr2bl w:val="nil"/>
            </w:tcBorders>
            <w:vAlign w:val="center"/>
          </w:tcPr>
          <w:p w14:paraId="1B260B8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982" w:type="pct"/>
            <w:vMerge w:val="restart"/>
            <w:tcBorders>
              <w:tl2br w:val="nil"/>
              <w:tr2bl w:val="nil"/>
            </w:tcBorders>
            <w:vAlign w:val="center"/>
          </w:tcPr>
          <w:p w14:paraId="4D7E2A2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rPr>
              <w:t>《恶臭污染物排放标准》（GB14554-93）</w:t>
            </w:r>
          </w:p>
        </w:tc>
      </w:tr>
      <w:tr w14:paraId="475DEE5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tcBorders>
              <w:tl2br w:val="nil"/>
              <w:tr2bl w:val="nil"/>
            </w:tcBorders>
            <w:vAlign w:val="center"/>
          </w:tcPr>
          <w:p w14:paraId="10185AB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氨</w:t>
            </w:r>
          </w:p>
        </w:tc>
        <w:tc>
          <w:tcPr>
            <w:tcW w:w="515" w:type="pct"/>
            <w:tcBorders>
              <w:tl2br w:val="nil"/>
              <w:tr2bl w:val="nil"/>
            </w:tcBorders>
            <w:vAlign w:val="center"/>
          </w:tcPr>
          <w:p w14:paraId="19A2125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15</w:t>
            </w:r>
          </w:p>
        </w:tc>
        <w:tc>
          <w:tcPr>
            <w:tcW w:w="554" w:type="pct"/>
            <w:tcBorders>
              <w:tl2br w:val="nil"/>
              <w:tr2bl w:val="nil"/>
            </w:tcBorders>
            <w:vAlign w:val="center"/>
          </w:tcPr>
          <w:p w14:paraId="3A07891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458" w:type="pct"/>
            <w:tcBorders>
              <w:tl2br w:val="nil"/>
              <w:tr2bl w:val="nil"/>
            </w:tcBorders>
            <w:vAlign w:val="center"/>
          </w:tcPr>
          <w:p w14:paraId="4952E57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4.9</w:t>
            </w:r>
          </w:p>
        </w:tc>
        <w:tc>
          <w:tcPr>
            <w:tcW w:w="554" w:type="pct"/>
            <w:tcBorders>
              <w:tl2br w:val="nil"/>
              <w:tr2bl w:val="nil"/>
            </w:tcBorders>
            <w:vAlign w:val="center"/>
          </w:tcPr>
          <w:p w14:paraId="7A6CCF7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1.5</w:t>
            </w:r>
          </w:p>
        </w:tc>
        <w:tc>
          <w:tcPr>
            <w:tcW w:w="664" w:type="pct"/>
            <w:tcBorders>
              <w:tl2br w:val="nil"/>
              <w:tr2bl w:val="nil"/>
            </w:tcBorders>
            <w:vAlign w:val="center"/>
          </w:tcPr>
          <w:p w14:paraId="5868F3B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982" w:type="pct"/>
            <w:vMerge w:val="continue"/>
            <w:tcBorders>
              <w:tl2br w:val="nil"/>
              <w:tr2bl w:val="nil"/>
            </w:tcBorders>
            <w:vAlign w:val="center"/>
          </w:tcPr>
          <w:p w14:paraId="5D1FDBA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r>
      <w:tr w14:paraId="3FCE8E9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tcBorders>
              <w:tl2br w:val="nil"/>
              <w:tr2bl w:val="nil"/>
            </w:tcBorders>
            <w:vAlign w:val="center"/>
          </w:tcPr>
          <w:p w14:paraId="06AE438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臭气浓度</w:t>
            </w:r>
          </w:p>
        </w:tc>
        <w:tc>
          <w:tcPr>
            <w:tcW w:w="515" w:type="pct"/>
            <w:tcBorders>
              <w:tl2br w:val="nil"/>
              <w:tr2bl w:val="nil"/>
            </w:tcBorders>
            <w:vAlign w:val="center"/>
          </w:tcPr>
          <w:p w14:paraId="2E716DD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15</w:t>
            </w:r>
          </w:p>
        </w:tc>
        <w:tc>
          <w:tcPr>
            <w:tcW w:w="554" w:type="pct"/>
            <w:tcBorders>
              <w:tl2br w:val="nil"/>
              <w:tr2bl w:val="nil"/>
            </w:tcBorders>
            <w:vAlign w:val="center"/>
          </w:tcPr>
          <w:p w14:paraId="3C3E886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458" w:type="pct"/>
            <w:tcBorders>
              <w:tl2br w:val="nil"/>
              <w:tr2bl w:val="nil"/>
            </w:tcBorders>
            <w:vAlign w:val="center"/>
          </w:tcPr>
          <w:p w14:paraId="3CA5DD7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2000（无量纲）</w:t>
            </w:r>
          </w:p>
        </w:tc>
        <w:tc>
          <w:tcPr>
            <w:tcW w:w="554" w:type="pct"/>
            <w:tcBorders>
              <w:tl2br w:val="nil"/>
              <w:tr2bl w:val="nil"/>
            </w:tcBorders>
            <w:vAlign w:val="center"/>
          </w:tcPr>
          <w:p w14:paraId="02901A5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20（无量纲）</w:t>
            </w:r>
          </w:p>
        </w:tc>
        <w:tc>
          <w:tcPr>
            <w:tcW w:w="664" w:type="pct"/>
            <w:tcBorders>
              <w:tl2br w:val="nil"/>
              <w:tr2bl w:val="nil"/>
            </w:tcBorders>
            <w:vAlign w:val="center"/>
          </w:tcPr>
          <w:p w14:paraId="537E9C1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982" w:type="pct"/>
            <w:vMerge w:val="continue"/>
            <w:tcBorders>
              <w:tl2br w:val="nil"/>
              <w:tr2bl w:val="nil"/>
            </w:tcBorders>
            <w:vAlign w:val="center"/>
          </w:tcPr>
          <w:p w14:paraId="2F53ED0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r>
      <w:tr w14:paraId="0801F5C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restart"/>
            <w:tcBorders>
              <w:tl2br w:val="nil"/>
              <w:tr2bl w:val="nil"/>
            </w:tcBorders>
            <w:vAlign w:val="center"/>
          </w:tcPr>
          <w:p w14:paraId="422952F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颗粒物</w:t>
            </w:r>
          </w:p>
        </w:tc>
        <w:tc>
          <w:tcPr>
            <w:tcW w:w="515" w:type="pct"/>
            <w:tcBorders>
              <w:tl2br w:val="nil"/>
              <w:tr2bl w:val="nil"/>
            </w:tcBorders>
            <w:vAlign w:val="center"/>
          </w:tcPr>
          <w:p w14:paraId="7F68345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26F8A07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30</w:t>
            </w:r>
          </w:p>
        </w:tc>
        <w:tc>
          <w:tcPr>
            <w:tcW w:w="458" w:type="pct"/>
            <w:tcBorders>
              <w:tl2br w:val="nil"/>
              <w:tr2bl w:val="nil"/>
            </w:tcBorders>
            <w:vAlign w:val="center"/>
          </w:tcPr>
          <w:p w14:paraId="55FF091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60A5FBB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3C39958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Times New Roman" w:cs="Times New Roman"/>
                <w:color w:val="auto"/>
                <w:spacing w:val="-8"/>
                <w:sz w:val="20"/>
                <w:szCs w:val="20"/>
                <w:highlight w:val="none"/>
              </w:rPr>
              <w:t>1</w:t>
            </w:r>
            <w:r>
              <w:rPr>
                <w:rFonts w:hint="default" w:ascii="Times New Roman" w:hAnsi="Times New Roman" w:eastAsia="Times New Roman" w:cs="Times New Roman"/>
                <w:color w:val="auto"/>
                <w:spacing w:val="17"/>
                <w:w w:val="101"/>
                <w:sz w:val="20"/>
                <w:szCs w:val="20"/>
                <w:highlight w:val="none"/>
              </w:rPr>
              <w:t xml:space="preserve"> </w:t>
            </w:r>
            <w:r>
              <w:rPr>
                <w:rFonts w:hint="default" w:ascii="Times New Roman" w:hAnsi="Times New Roman" w:cs="Times New Roman"/>
                <w:color w:val="auto"/>
                <w:spacing w:val="-8"/>
                <w:sz w:val="20"/>
                <w:szCs w:val="20"/>
                <w:highlight w:val="none"/>
              </w:rPr>
              <w:t>小时均值</w:t>
            </w:r>
          </w:p>
        </w:tc>
        <w:tc>
          <w:tcPr>
            <w:tcW w:w="982" w:type="pct"/>
            <w:vMerge w:val="restart"/>
            <w:tcBorders>
              <w:tl2br w:val="nil"/>
              <w:tr2bl w:val="nil"/>
            </w:tcBorders>
            <w:vAlign w:val="center"/>
          </w:tcPr>
          <w:p w14:paraId="4207499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《生活垃圾焚烧污染控制标准》（GB18485-2014）</w:t>
            </w:r>
          </w:p>
        </w:tc>
      </w:tr>
      <w:tr w14:paraId="4285DCC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continue"/>
            <w:tcBorders>
              <w:tl2br w:val="nil"/>
              <w:tr2bl w:val="nil"/>
            </w:tcBorders>
            <w:vAlign w:val="center"/>
          </w:tcPr>
          <w:p w14:paraId="6C0C7CA7">
            <w:pPr>
              <w:keepNext w:val="0"/>
              <w:keepLines w:val="0"/>
              <w:suppressLineNumbers w:val="0"/>
              <w:spacing w:before="0" w:beforeAutospacing="0" w:after="0" w:afterAutospacing="0" w:line="240" w:lineRule="auto"/>
              <w:ind w:left="0" w:right="0"/>
              <w:jc w:val="both"/>
              <w:rPr>
                <w:rFonts w:hint="default" w:ascii="Times New Roman" w:hAnsi="Times New Roman" w:eastAsia="宋体" w:cs="Times New Roman"/>
                <w:color w:val="auto"/>
                <w:sz w:val="20"/>
                <w:szCs w:val="20"/>
                <w:highlight w:val="none"/>
                <w:lang w:val="en-US" w:eastAsia="zh-CN"/>
              </w:rPr>
            </w:pPr>
          </w:p>
        </w:tc>
        <w:tc>
          <w:tcPr>
            <w:tcW w:w="515" w:type="pct"/>
            <w:tcBorders>
              <w:tl2br w:val="nil"/>
              <w:tr2bl w:val="nil"/>
            </w:tcBorders>
            <w:vAlign w:val="center"/>
          </w:tcPr>
          <w:p w14:paraId="5A13397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1212754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20</w:t>
            </w:r>
          </w:p>
        </w:tc>
        <w:tc>
          <w:tcPr>
            <w:tcW w:w="458" w:type="pct"/>
            <w:tcBorders>
              <w:tl2br w:val="nil"/>
              <w:tr2bl w:val="nil"/>
            </w:tcBorders>
            <w:vAlign w:val="center"/>
          </w:tcPr>
          <w:p w14:paraId="150F273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110B35A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0BB0A16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Times New Roman" w:cs="Times New Roman"/>
                <w:color w:val="auto"/>
                <w:spacing w:val="-3"/>
                <w:sz w:val="20"/>
                <w:szCs w:val="20"/>
                <w:highlight w:val="none"/>
              </w:rPr>
              <w:t>24</w:t>
            </w:r>
            <w:r>
              <w:rPr>
                <w:rFonts w:hint="default" w:ascii="Times New Roman" w:hAnsi="Times New Roman" w:eastAsia="Times New Roman" w:cs="Times New Roman"/>
                <w:color w:val="auto"/>
                <w:spacing w:val="14"/>
                <w:sz w:val="20"/>
                <w:szCs w:val="20"/>
                <w:highlight w:val="none"/>
              </w:rPr>
              <w:t xml:space="preserve"> </w:t>
            </w:r>
            <w:r>
              <w:rPr>
                <w:rFonts w:hint="default" w:ascii="Times New Roman" w:hAnsi="Times New Roman" w:cs="Times New Roman"/>
                <w:color w:val="auto"/>
                <w:spacing w:val="-3"/>
                <w:sz w:val="20"/>
                <w:szCs w:val="20"/>
                <w:highlight w:val="none"/>
              </w:rPr>
              <w:t>小时均值</w:t>
            </w:r>
          </w:p>
        </w:tc>
        <w:tc>
          <w:tcPr>
            <w:tcW w:w="982" w:type="pct"/>
            <w:vMerge w:val="continue"/>
            <w:tcBorders>
              <w:tl2br w:val="nil"/>
              <w:tr2bl w:val="nil"/>
            </w:tcBorders>
            <w:vAlign w:val="center"/>
          </w:tcPr>
          <w:p w14:paraId="4313386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r>
      <w:tr w14:paraId="635EAD3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restart"/>
            <w:tcBorders>
              <w:tl2br w:val="nil"/>
              <w:tr2bl w:val="nil"/>
            </w:tcBorders>
            <w:vAlign w:val="center"/>
          </w:tcPr>
          <w:p w14:paraId="06D659E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NO</w:t>
            </w:r>
            <w:r>
              <w:rPr>
                <w:rFonts w:hint="default" w:ascii="Times New Roman" w:hAnsi="Times New Roman" w:eastAsia="宋体" w:cs="Times New Roman"/>
                <w:color w:val="auto"/>
                <w:sz w:val="20"/>
                <w:szCs w:val="20"/>
                <w:highlight w:val="none"/>
                <w:vertAlign w:val="subscript"/>
                <w:lang w:val="en-US" w:eastAsia="zh-CN"/>
              </w:rPr>
              <w:t>X</w:t>
            </w:r>
          </w:p>
        </w:tc>
        <w:tc>
          <w:tcPr>
            <w:tcW w:w="515" w:type="pct"/>
            <w:tcBorders>
              <w:tl2br w:val="nil"/>
              <w:tr2bl w:val="nil"/>
            </w:tcBorders>
            <w:vAlign w:val="center"/>
          </w:tcPr>
          <w:p w14:paraId="3ECFAB8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5706A88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300</w:t>
            </w:r>
          </w:p>
        </w:tc>
        <w:tc>
          <w:tcPr>
            <w:tcW w:w="458" w:type="pct"/>
            <w:tcBorders>
              <w:tl2br w:val="nil"/>
              <w:tr2bl w:val="nil"/>
            </w:tcBorders>
            <w:vAlign w:val="center"/>
          </w:tcPr>
          <w:p w14:paraId="04B2275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652C7F7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114D9C1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Times New Roman" w:cs="Times New Roman"/>
                <w:color w:val="auto"/>
                <w:spacing w:val="-8"/>
                <w:sz w:val="20"/>
                <w:szCs w:val="20"/>
                <w:highlight w:val="none"/>
              </w:rPr>
              <w:t>1</w:t>
            </w:r>
            <w:r>
              <w:rPr>
                <w:rFonts w:hint="default" w:ascii="Times New Roman" w:hAnsi="Times New Roman" w:eastAsia="Times New Roman" w:cs="Times New Roman"/>
                <w:color w:val="auto"/>
                <w:spacing w:val="17"/>
                <w:w w:val="101"/>
                <w:sz w:val="20"/>
                <w:szCs w:val="20"/>
                <w:highlight w:val="none"/>
              </w:rPr>
              <w:t xml:space="preserve"> </w:t>
            </w:r>
            <w:r>
              <w:rPr>
                <w:rFonts w:hint="default" w:ascii="Times New Roman" w:hAnsi="Times New Roman" w:cs="Times New Roman"/>
                <w:color w:val="auto"/>
                <w:spacing w:val="-8"/>
                <w:sz w:val="20"/>
                <w:szCs w:val="20"/>
                <w:highlight w:val="none"/>
              </w:rPr>
              <w:t>小时均值</w:t>
            </w:r>
          </w:p>
        </w:tc>
        <w:tc>
          <w:tcPr>
            <w:tcW w:w="982" w:type="pct"/>
            <w:vMerge w:val="continue"/>
            <w:tcBorders>
              <w:tl2br w:val="nil"/>
              <w:tr2bl w:val="nil"/>
            </w:tcBorders>
            <w:vAlign w:val="center"/>
          </w:tcPr>
          <w:p w14:paraId="6B4ACEF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68739EB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continue"/>
            <w:tcBorders>
              <w:tl2br w:val="nil"/>
              <w:tr2bl w:val="nil"/>
            </w:tcBorders>
            <w:vAlign w:val="center"/>
          </w:tcPr>
          <w:p w14:paraId="5990CD1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p>
        </w:tc>
        <w:tc>
          <w:tcPr>
            <w:tcW w:w="515" w:type="pct"/>
            <w:tcBorders>
              <w:tl2br w:val="nil"/>
              <w:tr2bl w:val="nil"/>
            </w:tcBorders>
            <w:vAlign w:val="center"/>
          </w:tcPr>
          <w:p w14:paraId="03B98AB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0D4AD59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250</w:t>
            </w:r>
          </w:p>
        </w:tc>
        <w:tc>
          <w:tcPr>
            <w:tcW w:w="458" w:type="pct"/>
            <w:tcBorders>
              <w:tl2br w:val="nil"/>
              <w:tr2bl w:val="nil"/>
            </w:tcBorders>
            <w:vAlign w:val="center"/>
          </w:tcPr>
          <w:p w14:paraId="356694A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23CA4AB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65D46A6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Times New Roman" w:cs="Times New Roman"/>
                <w:color w:val="auto"/>
                <w:spacing w:val="-3"/>
                <w:sz w:val="20"/>
                <w:szCs w:val="20"/>
                <w:highlight w:val="none"/>
              </w:rPr>
              <w:t>24</w:t>
            </w:r>
            <w:r>
              <w:rPr>
                <w:rFonts w:hint="default" w:ascii="Times New Roman" w:hAnsi="Times New Roman" w:eastAsia="Times New Roman" w:cs="Times New Roman"/>
                <w:color w:val="auto"/>
                <w:spacing w:val="14"/>
                <w:sz w:val="20"/>
                <w:szCs w:val="20"/>
                <w:highlight w:val="none"/>
              </w:rPr>
              <w:t xml:space="preserve"> </w:t>
            </w:r>
            <w:r>
              <w:rPr>
                <w:rFonts w:hint="default" w:ascii="Times New Roman" w:hAnsi="Times New Roman" w:cs="Times New Roman"/>
                <w:color w:val="auto"/>
                <w:spacing w:val="-3"/>
                <w:sz w:val="20"/>
                <w:szCs w:val="20"/>
                <w:highlight w:val="none"/>
              </w:rPr>
              <w:t>小时均值</w:t>
            </w:r>
          </w:p>
        </w:tc>
        <w:tc>
          <w:tcPr>
            <w:tcW w:w="982" w:type="pct"/>
            <w:vMerge w:val="continue"/>
            <w:tcBorders>
              <w:tl2br w:val="nil"/>
              <w:tr2bl w:val="nil"/>
            </w:tcBorders>
            <w:vAlign w:val="center"/>
          </w:tcPr>
          <w:p w14:paraId="44658F0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B37692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restart"/>
            <w:tcBorders>
              <w:tl2br w:val="nil"/>
              <w:tr2bl w:val="nil"/>
            </w:tcBorders>
            <w:vAlign w:val="center"/>
          </w:tcPr>
          <w:p w14:paraId="1E0CC18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二氧化硫</w:t>
            </w:r>
          </w:p>
        </w:tc>
        <w:tc>
          <w:tcPr>
            <w:tcW w:w="515" w:type="pct"/>
            <w:tcBorders>
              <w:tl2br w:val="nil"/>
              <w:tr2bl w:val="nil"/>
            </w:tcBorders>
            <w:vAlign w:val="center"/>
          </w:tcPr>
          <w:p w14:paraId="0361CB9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5FD165E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100</w:t>
            </w:r>
          </w:p>
        </w:tc>
        <w:tc>
          <w:tcPr>
            <w:tcW w:w="458" w:type="pct"/>
            <w:tcBorders>
              <w:tl2br w:val="nil"/>
              <w:tr2bl w:val="nil"/>
            </w:tcBorders>
            <w:vAlign w:val="center"/>
          </w:tcPr>
          <w:p w14:paraId="5E962E0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7D09FBE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1118A1D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Times New Roman" w:cs="Times New Roman"/>
                <w:color w:val="auto"/>
                <w:spacing w:val="-8"/>
                <w:sz w:val="20"/>
                <w:szCs w:val="20"/>
                <w:highlight w:val="none"/>
              </w:rPr>
              <w:t>1</w:t>
            </w:r>
            <w:r>
              <w:rPr>
                <w:rFonts w:hint="default" w:ascii="Times New Roman" w:hAnsi="Times New Roman" w:eastAsia="Times New Roman" w:cs="Times New Roman"/>
                <w:color w:val="auto"/>
                <w:spacing w:val="17"/>
                <w:w w:val="101"/>
                <w:sz w:val="20"/>
                <w:szCs w:val="20"/>
                <w:highlight w:val="none"/>
              </w:rPr>
              <w:t xml:space="preserve"> </w:t>
            </w:r>
            <w:r>
              <w:rPr>
                <w:rFonts w:hint="default" w:ascii="Times New Roman" w:hAnsi="Times New Roman" w:cs="Times New Roman"/>
                <w:color w:val="auto"/>
                <w:spacing w:val="-8"/>
                <w:sz w:val="20"/>
                <w:szCs w:val="20"/>
                <w:highlight w:val="none"/>
              </w:rPr>
              <w:t>小时均值</w:t>
            </w:r>
          </w:p>
        </w:tc>
        <w:tc>
          <w:tcPr>
            <w:tcW w:w="982" w:type="pct"/>
            <w:vMerge w:val="continue"/>
            <w:tcBorders>
              <w:tl2br w:val="nil"/>
              <w:tr2bl w:val="nil"/>
            </w:tcBorders>
            <w:vAlign w:val="center"/>
          </w:tcPr>
          <w:p w14:paraId="3A39FCA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39312C7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continue"/>
            <w:tcBorders>
              <w:tl2br w:val="nil"/>
              <w:tr2bl w:val="nil"/>
            </w:tcBorders>
            <w:vAlign w:val="center"/>
          </w:tcPr>
          <w:p w14:paraId="5DF50B0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515" w:type="pct"/>
            <w:tcBorders>
              <w:tl2br w:val="nil"/>
              <w:tr2bl w:val="nil"/>
            </w:tcBorders>
            <w:vAlign w:val="center"/>
          </w:tcPr>
          <w:p w14:paraId="6AB8474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7BBFD06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80</w:t>
            </w:r>
          </w:p>
        </w:tc>
        <w:tc>
          <w:tcPr>
            <w:tcW w:w="458" w:type="pct"/>
            <w:tcBorders>
              <w:tl2br w:val="nil"/>
              <w:tr2bl w:val="nil"/>
            </w:tcBorders>
            <w:vAlign w:val="center"/>
          </w:tcPr>
          <w:p w14:paraId="3889ABA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4580E17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4A2D72D5">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Times New Roman" w:cs="Times New Roman"/>
                <w:color w:val="auto"/>
                <w:spacing w:val="-3"/>
                <w:sz w:val="20"/>
                <w:szCs w:val="20"/>
                <w:highlight w:val="none"/>
              </w:rPr>
              <w:t>24</w:t>
            </w:r>
            <w:r>
              <w:rPr>
                <w:rFonts w:hint="default" w:ascii="Times New Roman" w:hAnsi="Times New Roman" w:eastAsia="Times New Roman" w:cs="Times New Roman"/>
                <w:color w:val="auto"/>
                <w:spacing w:val="14"/>
                <w:sz w:val="20"/>
                <w:szCs w:val="20"/>
                <w:highlight w:val="none"/>
              </w:rPr>
              <w:t xml:space="preserve"> </w:t>
            </w:r>
            <w:r>
              <w:rPr>
                <w:rFonts w:hint="default" w:ascii="Times New Roman" w:hAnsi="Times New Roman" w:cs="Times New Roman"/>
                <w:color w:val="auto"/>
                <w:spacing w:val="-3"/>
                <w:sz w:val="20"/>
                <w:szCs w:val="20"/>
                <w:highlight w:val="none"/>
              </w:rPr>
              <w:t>小时均值</w:t>
            </w:r>
          </w:p>
        </w:tc>
        <w:tc>
          <w:tcPr>
            <w:tcW w:w="982" w:type="pct"/>
            <w:vMerge w:val="continue"/>
            <w:tcBorders>
              <w:tl2br w:val="nil"/>
              <w:tr2bl w:val="nil"/>
            </w:tcBorders>
            <w:vAlign w:val="center"/>
          </w:tcPr>
          <w:p w14:paraId="5739831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38A577E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restart"/>
            <w:tcBorders>
              <w:tl2br w:val="nil"/>
              <w:tr2bl w:val="nil"/>
            </w:tcBorders>
            <w:vAlign w:val="center"/>
          </w:tcPr>
          <w:p w14:paraId="1CF917D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HCl</w:t>
            </w:r>
          </w:p>
        </w:tc>
        <w:tc>
          <w:tcPr>
            <w:tcW w:w="515" w:type="pct"/>
            <w:tcBorders>
              <w:tl2br w:val="nil"/>
              <w:tr2bl w:val="nil"/>
            </w:tcBorders>
            <w:vAlign w:val="center"/>
          </w:tcPr>
          <w:p w14:paraId="6CB7BB8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6CDAD99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60</w:t>
            </w:r>
          </w:p>
        </w:tc>
        <w:tc>
          <w:tcPr>
            <w:tcW w:w="458" w:type="pct"/>
            <w:tcBorders>
              <w:tl2br w:val="nil"/>
              <w:tr2bl w:val="nil"/>
            </w:tcBorders>
            <w:vAlign w:val="center"/>
          </w:tcPr>
          <w:p w14:paraId="3635B1B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0A51FFE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23C0BB6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Times New Roman" w:cs="Times New Roman"/>
                <w:color w:val="auto"/>
                <w:spacing w:val="-3"/>
                <w:sz w:val="20"/>
                <w:szCs w:val="20"/>
                <w:highlight w:val="none"/>
              </w:rPr>
            </w:pPr>
            <w:r>
              <w:rPr>
                <w:rFonts w:hint="default" w:ascii="Times New Roman" w:hAnsi="Times New Roman" w:eastAsia="Times New Roman" w:cs="Times New Roman"/>
                <w:color w:val="auto"/>
                <w:spacing w:val="-8"/>
                <w:sz w:val="20"/>
                <w:szCs w:val="20"/>
                <w:highlight w:val="none"/>
              </w:rPr>
              <w:t>1</w:t>
            </w:r>
            <w:r>
              <w:rPr>
                <w:rFonts w:hint="default" w:ascii="Times New Roman" w:hAnsi="Times New Roman" w:eastAsia="Times New Roman" w:cs="Times New Roman"/>
                <w:color w:val="auto"/>
                <w:spacing w:val="17"/>
                <w:w w:val="101"/>
                <w:sz w:val="20"/>
                <w:szCs w:val="20"/>
                <w:highlight w:val="none"/>
              </w:rPr>
              <w:t xml:space="preserve"> </w:t>
            </w:r>
            <w:r>
              <w:rPr>
                <w:rFonts w:hint="default" w:ascii="Times New Roman" w:hAnsi="Times New Roman" w:cs="Times New Roman"/>
                <w:color w:val="auto"/>
                <w:spacing w:val="-8"/>
                <w:sz w:val="20"/>
                <w:szCs w:val="20"/>
                <w:highlight w:val="none"/>
              </w:rPr>
              <w:t>小时均值</w:t>
            </w:r>
          </w:p>
        </w:tc>
        <w:tc>
          <w:tcPr>
            <w:tcW w:w="982" w:type="pct"/>
            <w:vMerge w:val="continue"/>
            <w:tcBorders>
              <w:tl2br w:val="nil"/>
              <w:tr2bl w:val="nil"/>
            </w:tcBorders>
            <w:vAlign w:val="center"/>
          </w:tcPr>
          <w:p w14:paraId="3D70D5C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162054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continue"/>
            <w:tcBorders>
              <w:tl2br w:val="nil"/>
              <w:tr2bl w:val="nil"/>
            </w:tcBorders>
            <w:vAlign w:val="center"/>
          </w:tcPr>
          <w:p w14:paraId="1556EDC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515" w:type="pct"/>
            <w:tcBorders>
              <w:tl2br w:val="nil"/>
              <w:tr2bl w:val="nil"/>
            </w:tcBorders>
            <w:vAlign w:val="center"/>
          </w:tcPr>
          <w:p w14:paraId="2A3ED30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5CE1A03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50</w:t>
            </w:r>
          </w:p>
        </w:tc>
        <w:tc>
          <w:tcPr>
            <w:tcW w:w="458" w:type="pct"/>
            <w:tcBorders>
              <w:tl2br w:val="nil"/>
              <w:tr2bl w:val="nil"/>
            </w:tcBorders>
            <w:vAlign w:val="center"/>
          </w:tcPr>
          <w:p w14:paraId="49F1314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3838299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60F3B52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Times New Roman" w:cs="Times New Roman"/>
                <w:color w:val="auto"/>
                <w:spacing w:val="-3"/>
                <w:sz w:val="20"/>
                <w:szCs w:val="20"/>
                <w:highlight w:val="none"/>
              </w:rPr>
            </w:pPr>
            <w:r>
              <w:rPr>
                <w:rFonts w:hint="default" w:ascii="Times New Roman" w:hAnsi="Times New Roman" w:eastAsia="Times New Roman" w:cs="Times New Roman"/>
                <w:color w:val="auto"/>
                <w:spacing w:val="-3"/>
                <w:sz w:val="20"/>
                <w:szCs w:val="20"/>
                <w:highlight w:val="none"/>
              </w:rPr>
              <w:t>24</w:t>
            </w:r>
            <w:r>
              <w:rPr>
                <w:rFonts w:hint="default" w:ascii="Times New Roman" w:hAnsi="Times New Roman" w:eastAsia="Times New Roman" w:cs="Times New Roman"/>
                <w:color w:val="auto"/>
                <w:spacing w:val="14"/>
                <w:sz w:val="20"/>
                <w:szCs w:val="20"/>
                <w:highlight w:val="none"/>
              </w:rPr>
              <w:t xml:space="preserve"> </w:t>
            </w:r>
            <w:r>
              <w:rPr>
                <w:rFonts w:hint="default" w:ascii="Times New Roman" w:hAnsi="Times New Roman" w:cs="Times New Roman"/>
                <w:color w:val="auto"/>
                <w:spacing w:val="-3"/>
                <w:sz w:val="20"/>
                <w:szCs w:val="20"/>
                <w:highlight w:val="none"/>
              </w:rPr>
              <w:t>小时均值</w:t>
            </w:r>
          </w:p>
        </w:tc>
        <w:tc>
          <w:tcPr>
            <w:tcW w:w="982" w:type="pct"/>
            <w:vMerge w:val="continue"/>
            <w:tcBorders>
              <w:tl2br w:val="nil"/>
              <w:tr2bl w:val="nil"/>
            </w:tcBorders>
            <w:vAlign w:val="center"/>
          </w:tcPr>
          <w:p w14:paraId="79744FD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1DC63A4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tcBorders>
              <w:tl2br w:val="nil"/>
              <w:tr2bl w:val="nil"/>
            </w:tcBorders>
            <w:vAlign w:val="center"/>
          </w:tcPr>
          <w:p w14:paraId="350A791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汞及其化合物（以 Hg 计）</w:t>
            </w:r>
          </w:p>
        </w:tc>
        <w:tc>
          <w:tcPr>
            <w:tcW w:w="515" w:type="pct"/>
            <w:tcBorders>
              <w:tl2br w:val="nil"/>
              <w:tr2bl w:val="nil"/>
            </w:tcBorders>
            <w:vAlign w:val="center"/>
          </w:tcPr>
          <w:p w14:paraId="54F76EA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65AA320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0.05</w:t>
            </w:r>
          </w:p>
        </w:tc>
        <w:tc>
          <w:tcPr>
            <w:tcW w:w="458" w:type="pct"/>
            <w:tcBorders>
              <w:tl2br w:val="nil"/>
              <w:tr2bl w:val="nil"/>
            </w:tcBorders>
            <w:vAlign w:val="center"/>
          </w:tcPr>
          <w:p w14:paraId="63F3200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369C025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711F98A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Times New Roman" w:cs="Times New Roman"/>
                <w:color w:val="auto"/>
                <w:spacing w:val="-3"/>
                <w:sz w:val="20"/>
                <w:szCs w:val="20"/>
                <w:highlight w:val="none"/>
              </w:rPr>
            </w:pPr>
            <w:r>
              <w:rPr>
                <w:rFonts w:hint="default" w:ascii="Times New Roman" w:hAnsi="Times New Roman" w:eastAsia="Times New Roman" w:cs="Times New Roman"/>
                <w:color w:val="auto"/>
                <w:spacing w:val="-3"/>
                <w:sz w:val="20"/>
                <w:szCs w:val="20"/>
                <w:highlight w:val="none"/>
              </w:rPr>
              <w:t>测定均值</w:t>
            </w:r>
          </w:p>
        </w:tc>
        <w:tc>
          <w:tcPr>
            <w:tcW w:w="982" w:type="pct"/>
            <w:vMerge w:val="continue"/>
            <w:tcBorders>
              <w:tl2br w:val="nil"/>
              <w:tr2bl w:val="nil"/>
            </w:tcBorders>
            <w:vAlign w:val="center"/>
          </w:tcPr>
          <w:p w14:paraId="7F45200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53BF0BA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tcBorders>
              <w:tl2br w:val="nil"/>
              <w:tr2bl w:val="nil"/>
            </w:tcBorders>
            <w:vAlign w:val="center"/>
          </w:tcPr>
          <w:p w14:paraId="32A4702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镉、铊及其化合物（以 Cd+Tl 计）</w:t>
            </w:r>
          </w:p>
        </w:tc>
        <w:tc>
          <w:tcPr>
            <w:tcW w:w="515" w:type="pct"/>
            <w:tcBorders>
              <w:tl2br w:val="nil"/>
              <w:tr2bl w:val="nil"/>
            </w:tcBorders>
            <w:vAlign w:val="center"/>
          </w:tcPr>
          <w:p w14:paraId="7E75643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587A919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0.1</w:t>
            </w:r>
          </w:p>
        </w:tc>
        <w:tc>
          <w:tcPr>
            <w:tcW w:w="458" w:type="pct"/>
            <w:tcBorders>
              <w:tl2br w:val="nil"/>
              <w:tr2bl w:val="nil"/>
            </w:tcBorders>
            <w:vAlign w:val="center"/>
          </w:tcPr>
          <w:p w14:paraId="2D4C210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6B1C3CC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285E457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Times New Roman" w:cs="Times New Roman"/>
                <w:color w:val="auto"/>
                <w:spacing w:val="-3"/>
                <w:sz w:val="20"/>
                <w:szCs w:val="20"/>
                <w:highlight w:val="none"/>
              </w:rPr>
            </w:pPr>
            <w:r>
              <w:rPr>
                <w:rFonts w:hint="default" w:ascii="Times New Roman" w:hAnsi="Times New Roman" w:eastAsia="Times New Roman" w:cs="Times New Roman"/>
                <w:color w:val="auto"/>
                <w:spacing w:val="-3"/>
                <w:sz w:val="20"/>
                <w:szCs w:val="20"/>
                <w:highlight w:val="none"/>
              </w:rPr>
              <w:t>测定均值</w:t>
            </w:r>
          </w:p>
        </w:tc>
        <w:tc>
          <w:tcPr>
            <w:tcW w:w="982" w:type="pct"/>
            <w:vMerge w:val="continue"/>
            <w:tcBorders>
              <w:tl2br w:val="nil"/>
              <w:tr2bl w:val="nil"/>
            </w:tcBorders>
            <w:vAlign w:val="center"/>
          </w:tcPr>
          <w:p w14:paraId="5C9A0B5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E4E37A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tcBorders>
              <w:tl2br w:val="nil"/>
              <w:tr2bl w:val="nil"/>
            </w:tcBorders>
            <w:vAlign w:val="center"/>
          </w:tcPr>
          <w:p w14:paraId="48EADAD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锑、砷、铅、铬、钴、铜、锰、镍及其化合物（以Sb+As+Pb+Cr+Co+Cu+Mn+Ni 计</w:t>
            </w:r>
          </w:p>
        </w:tc>
        <w:tc>
          <w:tcPr>
            <w:tcW w:w="515" w:type="pct"/>
            <w:tcBorders>
              <w:tl2br w:val="nil"/>
              <w:tr2bl w:val="nil"/>
            </w:tcBorders>
            <w:vAlign w:val="center"/>
          </w:tcPr>
          <w:p w14:paraId="11C2283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64A8896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1.0</w:t>
            </w:r>
          </w:p>
        </w:tc>
        <w:tc>
          <w:tcPr>
            <w:tcW w:w="458" w:type="pct"/>
            <w:tcBorders>
              <w:tl2br w:val="nil"/>
              <w:tr2bl w:val="nil"/>
            </w:tcBorders>
            <w:vAlign w:val="center"/>
          </w:tcPr>
          <w:p w14:paraId="196EEFE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28F5BA8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1FBEE02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Times New Roman" w:cs="Times New Roman"/>
                <w:color w:val="auto"/>
                <w:spacing w:val="-3"/>
                <w:sz w:val="20"/>
                <w:szCs w:val="20"/>
                <w:highlight w:val="none"/>
              </w:rPr>
            </w:pPr>
            <w:r>
              <w:rPr>
                <w:rFonts w:hint="default" w:ascii="Times New Roman" w:hAnsi="Times New Roman" w:eastAsia="Times New Roman" w:cs="Times New Roman"/>
                <w:color w:val="auto"/>
                <w:spacing w:val="-3"/>
                <w:sz w:val="20"/>
                <w:szCs w:val="20"/>
                <w:highlight w:val="none"/>
              </w:rPr>
              <w:t>测定均值</w:t>
            </w:r>
          </w:p>
        </w:tc>
        <w:tc>
          <w:tcPr>
            <w:tcW w:w="982" w:type="pct"/>
            <w:vMerge w:val="continue"/>
            <w:tcBorders>
              <w:tl2br w:val="nil"/>
              <w:tr2bl w:val="nil"/>
            </w:tcBorders>
            <w:vAlign w:val="center"/>
          </w:tcPr>
          <w:p w14:paraId="6ADA0E1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6364DA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tcBorders>
              <w:tl2br w:val="nil"/>
              <w:tr2bl w:val="nil"/>
            </w:tcBorders>
            <w:vAlign w:val="center"/>
          </w:tcPr>
          <w:p w14:paraId="7411D81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二噁英类 ngTEQ/m</w:t>
            </w:r>
            <w:r>
              <w:rPr>
                <w:rFonts w:hint="default" w:ascii="Times New Roman" w:hAnsi="Times New Roman" w:eastAsia="宋体" w:cs="Times New Roman"/>
                <w:color w:val="auto"/>
                <w:sz w:val="20"/>
                <w:szCs w:val="20"/>
                <w:highlight w:val="none"/>
                <w:vertAlign w:val="superscript"/>
                <w:lang w:val="en-US" w:eastAsia="zh-CN"/>
              </w:rPr>
              <w:t>3</w:t>
            </w:r>
          </w:p>
        </w:tc>
        <w:tc>
          <w:tcPr>
            <w:tcW w:w="515" w:type="pct"/>
            <w:tcBorders>
              <w:tl2br w:val="nil"/>
              <w:tr2bl w:val="nil"/>
            </w:tcBorders>
            <w:vAlign w:val="center"/>
          </w:tcPr>
          <w:p w14:paraId="237E71A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7B6A53B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0.1</w:t>
            </w:r>
          </w:p>
        </w:tc>
        <w:tc>
          <w:tcPr>
            <w:tcW w:w="458" w:type="pct"/>
            <w:tcBorders>
              <w:tl2br w:val="nil"/>
              <w:tr2bl w:val="nil"/>
            </w:tcBorders>
            <w:vAlign w:val="center"/>
          </w:tcPr>
          <w:p w14:paraId="2F97BFA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43D245D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786E52A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Times New Roman" w:cs="Times New Roman"/>
                <w:color w:val="auto"/>
                <w:spacing w:val="-3"/>
                <w:sz w:val="20"/>
                <w:szCs w:val="20"/>
                <w:highlight w:val="none"/>
              </w:rPr>
            </w:pPr>
            <w:r>
              <w:rPr>
                <w:rFonts w:hint="default" w:ascii="Times New Roman" w:hAnsi="Times New Roman" w:eastAsia="Times New Roman" w:cs="Times New Roman"/>
                <w:color w:val="auto"/>
                <w:spacing w:val="-3"/>
                <w:sz w:val="20"/>
                <w:szCs w:val="20"/>
                <w:highlight w:val="none"/>
              </w:rPr>
              <w:t>测定均值</w:t>
            </w:r>
          </w:p>
        </w:tc>
        <w:tc>
          <w:tcPr>
            <w:tcW w:w="982" w:type="pct"/>
            <w:vMerge w:val="continue"/>
            <w:tcBorders>
              <w:tl2br w:val="nil"/>
              <w:tr2bl w:val="nil"/>
            </w:tcBorders>
            <w:vAlign w:val="center"/>
          </w:tcPr>
          <w:p w14:paraId="112196B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4E2C0FE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restart"/>
            <w:tcBorders>
              <w:tl2br w:val="nil"/>
              <w:tr2bl w:val="nil"/>
            </w:tcBorders>
            <w:vAlign w:val="center"/>
          </w:tcPr>
          <w:p w14:paraId="1DDDF7D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CO</w:t>
            </w:r>
          </w:p>
        </w:tc>
        <w:tc>
          <w:tcPr>
            <w:tcW w:w="515" w:type="pct"/>
            <w:tcBorders>
              <w:tl2br w:val="nil"/>
              <w:tr2bl w:val="nil"/>
            </w:tcBorders>
            <w:vAlign w:val="center"/>
          </w:tcPr>
          <w:p w14:paraId="5309584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044AC1C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100</w:t>
            </w:r>
          </w:p>
        </w:tc>
        <w:tc>
          <w:tcPr>
            <w:tcW w:w="458" w:type="pct"/>
            <w:tcBorders>
              <w:tl2br w:val="nil"/>
              <w:tr2bl w:val="nil"/>
            </w:tcBorders>
            <w:vAlign w:val="center"/>
          </w:tcPr>
          <w:p w14:paraId="6CD7EE8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0D23470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579DCE9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Times New Roman" w:cs="Times New Roman"/>
                <w:color w:val="auto"/>
                <w:spacing w:val="-3"/>
                <w:sz w:val="20"/>
                <w:szCs w:val="20"/>
                <w:highlight w:val="none"/>
              </w:rPr>
            </w:pPr>
            <w:r>
              <w:rPr>
                <w:rFonts w:hint="default" w:ascii="Times New Roman" w:hAnsi="Times New Roman" w:eastAsia="Times New Roman" w:cs="Times New Roman"/>
                <w:color w:val="auto"/>
                <w:spacing w:val="-8"/>
                <w:sz w:val="20"/>
                <w:szCs w:val="20"/>
                <w:highlight w:val="none"/>
              </w:rPr>
              <w:t>1</w:t>
            </w:r>
            <w:r>
              <w:rPr>
                <w:rFonts w:hint="default" w:ascii="Times New Roman" w:hAnsi="Times New Roman" w:eastAsia="Times New Roman" w:cs="Times New Roman"/>
                <w:color w:val="auto"/>
                <w:spacing w:val="17"/>
                <w:w w:val="101"/>
                <w:sz w:val="20"/>
                <w:szCs w:val="20"/>
                <w:highlight w:val="none"/>
              </w:rPr>
              <w:t xml:space="preserve"> </w:t>
            </w:r>
            <w:r>
              <w:rPr>
                <w:rFonts w:hint="default" w:ascii="Times New Roman" w:hAnsi="Times New Roman" w:cs="Times New Roman"/>
                <w:color w:val="auto"/>
                <w:spacing w:val="-8"/>
                <w:sz w:val="20"/>
                <w:szCs w:val="20"/>
                <w:highlight w:val="none"/>
              </w:rPr>
              <w:t>小时均值</w:t>
            </w:r>
          </w:p>
        </w:tc>
        <w:tc>
          <w:tcPr>
            <w:tcW w:w="982" w:type="pct"/>
            <w:vMerge w:val="continue"/>
            <w:tcBorders>
              <w:tl2br w:val="nil"/>
              <w:tr2bl w:val="nil"/>
            </w:tcBorders>
            <w:vAlign w:val="center"/>
          </w:tcPr>
          <w:p w14:paraId="27A29DC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r w14:paraId="37B81A3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28" w:type="dxa"/>
            <w:bottom w:w="0" w:type="dxa"/>
            <w:right w:w="28" w:type="dxa"/>
          </w:tblCellMar>
        </w:tblPrEx>
        <w:trPr>
          <w:trHeight w:val="340" w:hRule="atLeast"/>
          <w:jc w:val="center"/>
        </w:trPr>
        <w:tc>
          <w:tcPr>
            <w:tcW w:w="1271" w:type="pct"/>
            <w:vMerge w:val="continue"/>
            <w:tcBorders>
              <w:tl2br w:val="nil"/>
              <w:tr2bl w:val="nil"/>
            </w:tcBorders>
            <w:vAlign w:val="center"/>
          </w:tcPr>
          <w:p w14:paraId="7B537EC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515" w:type="pct"/>
            <w:tcBorders>
              <w:tl2br w:val="nil"/>
              <w:tr2bl w:val="nil"/>
            </w:tcBorders>
            <w:vAlign w:val="center"/>
          </w:tcPr>
          <w:p w14:paraId="2C1586B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54" w:type="pct"/>
            <w:tcBorders>
              <w:tl2br w:val="nil"/>
              <w:tr2bl w:val="nil"/>
            </w:tcBorders>
            <w:vAlign w:val="center"/>
          </w:tcPr>
          <w:p w14:paraId="09F91D5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80</w:t>
            </w:r>
          </w:p>
        </w:tc>
        <w:tc>
          <w:tcPr>
            <w:tcW w:w="458" w:type="pct"/>
            <w:tcBorders>
              <w:tl2br w:val="nil"/>
              <w:tr2bl w:val="nil"/>
            </w:tcBorders>
            <w:vAlign w:val="center"/>
          </w:tcPr>
          <w:p w14:paraId="74CF09D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w:t>
            </w:r>
          </w:p>
        </w:tc>
        <w:tc>
          <w:tcPr>
            <w:tcW w:w="554" w:type="pct"/>
            <w:tcBorders>
              <w:tl2br w:val="nil"/>
              <w:tr2bl w:val="nil"/>
            </w:tcBorders>
            <w:vAlign w:val="center"/>
          </w:tcPr>
          <w:p w14:paraId="554B07B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664" w:type="pct"/>
            <w:tcBorders>
              <w:tl2br w:val="nil"/>
              <w:tr2bl w:val="nil"/>
            </w:tcBorders>
            <w:vAlign w:val="center"/>
          </w:tcPr>
          <w:p w14:paraId="09D55E0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Times New Roman" w:cs="Times New Roman"/>
                <w:color w:val="auto"/>
                <w:spacing w:val="-3"/>
                <w:sz w:val="20"/>
                <w:szCs w:val="20"/>
                <w:highlight w:val="none"/>
              </w:rPr>
            </w:pPr>
            <w:r>
              <w:rPr>
                <w:rFonts w:hint="default" w:ascii="Times New Roman" w:hAnsi="Times New Roman" w:eastAsia="Times New Roman" w:cs="Times New Roman"/>
                <w:color w:val="auto"/>
                <w:spacing w:val="-3"/>
                <w:sz w:val="20"/>
                <w:szCs w:val="20"/>
                <w:highlight w:val="none"/>
              </w:rPr>
              <w:t>24</w:t>
            </w:r>
            <w:r>
              <w:rPr>
                <w:rFonts w:hint="default" w:ascii="Times New Roman" w:hAnsi="Times New Roman" w:eastAsia="Times New Roman" w:cs="Times New Roman"/>
                <w:color w:val="auto"/>
                <w:spacing w:val="14"/>
                <w:sz w:val="20"/>
                <w:szCs w:val="20"/>
                <w:highlight w:val="none"/>
              </w:rPr>
              <w:t xml:space="preserve"> </w:t>
            </w:r>
            <w:r>
              <w:rPr>
                <w:rFonts w:hint="default" w:ascii="Times New Roman" w:hAnsi="Times New Roman" w:cs="Times New Roman"/>
                <w:color w:val="auto"/>
                <w:spacing w:val="-3"/>
                <w:sz w:val="20"/>
                <w:szCs w:val="20"/>
                <w:highlight w:val="none"/>
              </w:rPr>
              <w:t>小时均值</w:t>
            </w:r>
          </w:p>
        </w:tc>
        <w:tc>
          <w:tcPr>
            <w:tcW w:w="982" w:type="pct"/>
            <w:vMerge w:val="continue"/>
            <w:tcBorders>
              <w:tl2br w:val="nil"/>
              <w:tr2bl w:val="nil"/>
            </w:tcBorders>
            <w:vAlign w:val="center"/>
          </w:tcPr>
          <w:p w14:paraId="5B35E36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p>
        </w:tc>
      </w:tr>
    </w:tbl>
    <w:p w14:paraId="33FBAE8A">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废水</w:t>
      </w:r>
    </w:p>
    <w:p w14:paraId="48D21A63">
      <w:pPr>
        <w:pStyle w:val="14"/>
        <w:ind w:firstLine="480"/>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厂内新建1套渗滤液处理系统（45t/d），废水经渗滤液处理系统预处理达普安镇污水处理厂设计进水水质要求后由罐车转运至普安镇污水处理厂，处理达《城镇污水处理厂污染物排放标准》GB18918-2002）一级A标准后外排闻溪河。</w:t>
      </w:r>
    </w:p>
    <w:p w14:paraId="3C70E5C1">
      <w:pPr>
        <w:pStyle w:val="14"/>
        <w:ind w:firstLine="480"/>
        <w:rPr>
          <w:rFonts w:hint="default" w:ascii="Times New Roman" w:hAnsi="Times New Roman" w:cs="Times New Roman"/>
          <w:color w:val="auto"/>
          <w:highlight w:val="none"/>
          <w:lang w:val="en-US" w:eastAsia="zh-CN"/>
        </w:rPr>
      </w:pPr>
      <w:r>
        <w:rPr>
          <w:rFonts w:hint="default" w:ascii="Times New Roman" w:hAnsi="Times New Roman" w:eastAsia="宋体" w:cs="Times New Roman"/>
          <w:color w:val="auto"/>
          <w:kern w:val="0"/>
          <w:sz w:val="24"/>
          <w:szCs w:val="24"/>
          <w:highlight w:val="none"/>
          <w:lang w:val="en-US" w:eastAsia="zh-CN" w:bidi="ar"/>
        </w:rPr>
        <w:t>待填埋场垃圾渗滤液处理站提标改造完成后，废水经管道进入垃圾填埋场渗滤液处理站，处理达《生活垃圾填埋污染控制标准》（GB16889-2008）中标准限值要求后外排闻溪河。</w:t>
      </w:r>
    </w:p>
    <w:p w14:paraId="245C3627">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噪声</w:t>
      </w:r>
    </w:p>
    <w:p w14:paraId="7F53C4FB">
      <w:pPr>
        <w:spacing w:line="360" w:lineRule="auto"/>
        <w:ind w:firstLine="480" w:firstLineChars="200"/>
        <w:rPr>
          <w:rFonts w:hint="default" w:ascii="Times New Roman" w:hAnsi="Times New Roman" w:cs="Times New Roman"/>
          <w:color w:val="auto"/>
          <w:sz w:val="24"/>
          <w:szCs w:val="20"/>
          <w:highlight w:val="none"/>
        </w:rPr>
      </w:pPr>
      <w:r>
        <w:rPr>
          <w:rFonts w:hint="default" w:ascii="Times New Roman" w:hAnsi="Times New Roman" w:cs="Times New Roman"/>
          <w:b w:val="0"/>
          <w:bCs w:val="0"/>
          <w:color w:val="auto"/>
          <w:sz w:val="24"/>
          <w:szCs w:val="20"/>
          <w:highlight w:val="none"/>
        </w:rPr>
        <w:t>施工期执行《建筑施工场界环境噪声排放标准》</w:t>
      </w:r>
      <w:r>
        <w:rPr>
          <w:rFonts w:hint="default" w:ascii="Times New Roman" w:hAnsi="Times New Roman" w:cs="Times New Roman"/>
          <w:color w:val="auto"/>
          <w:sz w:val="24"/>
          <w:szCs w:val="20"/>
          <w:highlight w:val="none"/>
        </w:rPr>
        <w:t>（GB12523-2011）</w:t>
      </w:r>
      <w:r>
        <w:rPr>
          <w:rFonts w:hint="default" w:ascii="Times New Roman" w:hAnsi="Times New Roman" w:cs="Times New Roman"/>
          <w:color w:val="auto"/>
          <w:sz w:val="24"/>
          <w:szCs w:val="20"/>
          <w:highlight w:val="none"/>
          <w:lang w:eastAsia="zh-CN"/>
        </w:rPr>
        <w:t>；运营期</w:t>
      </w:r>
      <w:r>
        <w:rPr>
          <w:rFonts w:hint="default" w:ascii="Times New Roman" w:hAnsi="Times New Roman" w:cs="Times New Roman"/>
          <w:color w:val="auto"/>
          <w:sz w:val="24"/>
          <w:szCs w:val="20"/>
          <w:highlight w:val="none"/>
        </w:rPr>
        <w:t>厂界噪声执行《工业企业厂界环境噪声排放标准》（GB12348-2008）中2类标准，</w:t>
      </w:r>
      <w:r>
        <w:rPr>
          <w:rFonts w:hint="default" w:ascii="Times New Roman" w:hAnsi="Times New Roman" w:cs="Times New Roman"/>
          <w:color w:val="auto"/>
          <w:sz w:val="24"/>
          <w:szCs w:val="20"/>
          <w:highlight w:val="none"/>
          <w:lang w:val="en-US" w:eastAsia="zh-CN"/>
        </w:rPr>
        <w:t>相关标准见下表</w:t>
      </w:r>
      <w:r>
        <w:rPr>
          <w:rFonts w:hint="default" w:ascii="Times New Roman" w:hAnsi="Times New Roman" w:cs="Times New Roman"/>
          <w:color w:val="auto"/>
          <w:sz w:val="24"/>
          <w:szCs w:val="20"/>
          <w:highlight w:val="none"/>
        </w:rPr>
        <w:t>。</w:t>
      </w:r>
    </w:p>
    <w:p w14:paraId="05955E45">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8</w:t>
      </w:r>
      <w:r>
        <w:rPr>
          <w:rFonts w:hint="default" w:ascii="Times New Roman" w:hAnsi="Times New Roman" w:cs="Times New Roman"/>
          <w:color w:val="auto"/>
          <w:highlight w:val="none"/>
        </w:rPr>
        <w:fldChar w:fldCharType="end"/>
      </w:r>
      <w:r>
        <w:rPr>
          <w:rFonts w:hint="default" w:ascii="Times New Roman" w:hAnsi="Times New Roman" w:eastAsia="宋体" w:cs="Times New Roman"/>
          <w:color w:val="auto"/>
          <w:highlight w:val="none"/>
          <w:lang w:val="en-US" w:eastAsia="zh-CN"/>
        </w:rPr>
        <w:t xml:space="preserve"> </w:t>
      </w:r>
      <w:r>
        <w:rPr>
          <w:rFonts w:hint="default" w:ascii="Times New Roman" w:hAnsi="Times New Roman" w:eastAsia="宋体" w:cs="Times New Roman"/>
          <w:color w:val="auto"/>
          <w:highlight w:val="none"/>
        </w:rPr>
        <w:t xml:space="preserve"> 《建筑施工场界环境噪声排放标准》（GB12523-2011）</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881"/>
        <w:gridCol w:w="1939"/>
        <w:gridCol w:w="2009"/>
        <w:gridCol w:w="3452"/>
      </w:tblGrid>
      <w:tr w14:paraId="44561CF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013" w:type="pct"/>
            <w:noWrap w:val="0"/>
            <w:vAlign w:val="center"/>
          </w:tcPr>
          <w:p w14:paraId="256B20B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eastAsiaTheme="minorEastAsia"/>
                <w:b/>
                <w:bCs/>
                <w:color w:val="auto"/>
                <w:sz w:val="20"/>
                <w:szCs w:val="20"/>
                <w:highlight w:val="none"/>
                <w:lang w:eastAsia="zh-CN"/>
              </w:rPr>
            </w:pPr>
            <w:r>
              <w:rPr>
                <w:rFonts w:hint="default" w:ascii="Times New Roman" w:hAnsi="Times New Roman" w:cs="Times New Roman"/>
                <w:b/>
                <w:bCs/>
                <w:color w:val="auto"/>
                <w:sz w:val="20"/>
                <w:szCs w:val="20"/>
                <w:highlight w:val="none"/>
                <w:lang w:eastAsia="zh-CN"/>
              </w:rPr>
              <w:t>类别</w:t>
            </w:r>
          </w:p>
        </w:tc>
        <w:tc>
          <w:tcPr>
            <w:tcW w:w="1044" w:type="pct"/>
            <w:noWrap w:val="0"/>
            <w:vAlign w:val="center"/>
          </w:tcPr>
          <w:p w14:paraId="62EB536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昼间</w:t>
            </w:r>
          </w:p>
        </w:tc>
        <w:tc>
          <w:tcPr>
            <w:tcW w:w="1082" w:type="pct"/>
            <w:noWrap w:val="0"/>
            <w:vAlign w:val="center"/>
          </w:tcPr>
          <w:p w14:paraId="0005379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夜间</w:t>
            </w:r>
          </w:p>
        </w:tc>
        <w:tc>
          <w:tcPr>
            <w:tcW w:w="1859" w:type="pct"/>
            <w:noWrap w:val="0"/>
            <w:vAlign w:val="center"/>
          </w:tcPr>
          <w:p w14:paraId="0B2F03B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eastAsiaTheme="minorEastAsia"/>
                <w:b/>
                <w:bCs/>
                <w:color w:val="auto"/>
                <w:sz w:val="20"/>
                <w:szCs w:val="20"/>
                <w:highlight w:val="none"/>
                <w:lang w:eastAsia="zh-CN"/>
              </w:rPr>
            </w:pPr>
            <w:r>
              <w:rPr>
                <w:rFonts w:hint="default" w:ascii="Times New Roman" w:hAnsi="Times New Roman" w:cs="Times New Roman"/>
                <w:b/>
                <w:bCs/>
                <w:color w:val="auto"/>
                <w:sz w:val="20"/>
                <w:szCs w:val="20"/>
                <w:highlight w:val="none"/>
                <w:lang w:eastAsia="zh-CN"/>
              </w:rPr>
              <w:t>标准来源</w:t>
            </w:r>
          </w:p>
        </w:tc>
      </w:tr>
      <w:tr w14:paraId="4DBE57D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013" w:type="pct"/>
            <w:vMerge w:val="restart"/>
            <w:noWrap w:val="0"/>
            <w:vAlign w:val="center"/>
          </w:tcPr>
          <w:p w14:paraId="42A9EC8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噪声限值</w:t>
            </w:r>
          </w:p>
          <w:p w14:paraId="43E441D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rPr>
            </w:pPr>
            <w:r>
              <w:rPr>
                <w:rFonts w:hint="default" w:ascii="Times New Roman" w:hAnsi="Times New Roman" w:eastAsia="宋体" w:cs="Times New Roman"/>
                <w:color w:val="auto"/>
                <w:sz w:val="20"/>
                <w:szCs w:val="20"/>
                <w:highlight w:val="none"/>
              </w:rPr>
              <w:t>Leq：dB（A）</w:t>
            </w:r>
          </w:p>
        </w:tc>
        <w:tc>
          <w:tcPr>
            <w:tcW w:w="1044" w:type="pct"/>
            <w:noWrap w:val="0"/>
            <w:vAlign w:val="center"/>
          </w:tcPr>
          <w:p w14:paraId="110073D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70</w:t>
            </w:r>
          </w:p>
        </w:tc>
        <w:tc>
          <w:tcPr>
            <w:tcW w:w="1082" w:type="pct"/>
            <w:noWrap w:val="0"/>
            <w:vAlign w:val="center"/>
          </w:tcPr>
          <w:p w14:paraId="6C15E78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50</w:t>
            </w:r>
          </w:p>
        </w:tc>
        <w:tc>
          <w:tcPr>
            <w:tcW w:w="1859" w:type="pct"/>
            <w:vMerge w:val="restart"/>
            <w:noWrap w:val="0"/>
            <w:vAlign w:val="center"/>
          </w:tcPr>
          <w:p w14:paraId="5680208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rPr>
            </w:pPr>
            <w:r>
              <w:rPr>
                <w:rFonts w:hint="default" w:ascii="Times New Roman" w:hAnsi="Times New Roman" w:eastAsia="宋体" w:cs="Times New Roman"/>
                <w:color w:val="auto"/>
                <w:sz w:val="20"/>
                <w:szCs w:val="20"/>
                <w:highlight w:val="none"/>
              </w:rPr>
              <w:t>《建筑施工场界环境噪声排放标准》（GB12523-2011）</w:t>
            </w:r>
          </w:p>
        </w:tc>
      </w:tr>
      <w:tr w14:paraId="355077F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013" w:type="pct"/>
            <w:vMerge w:val="continue"/>
            <w:noWrap w:val="0"/>
            <w:vAlign w:val="center"/>
          </w:tcPr>
          <w:p w14:paraId="1A67792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rPr>
            </w:pPr>
          </w:p>
        </w:tc>
        <w:tc>
          <w:tcPr>
            <w:tcW w:w="2126" w:type="pct"/>
            <w:gridSpan w:val="2"/>
            <w:noWrap w:val="0"/>
            <w:vAlign w:val="center"/>
          </w:tcPr>
          <w:p w14:paraId="2E66A31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夜间噪声最大声级超过限值的幅度不得高于 15dB（A）</w:t>
            </w:r>
          </w:p>
        </w:tc>
        <w:tc>
          <w:tcPr>
            <w:tcW w:w="1859" w:type="pct"/>
            <w:vMerge w:val="continue"/>
            <w:noWrap w:val="0"/>
            <w:vAlign w:val="center"/>
          </w:tcPr>
          <w:p w14:paraId="655EB12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rPr>
            </w:pPr>
          </w:p>
        </w:tc>
      </w:tr>
    </w:tbl>
    <w:p w14:paraId="093E8901">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2.4</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9</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工业企业厂界环境噪声排放标准</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866"/>
        <w:gridCol w:w="1952"/>
        <w:gridCol w:w="2011"/>
        <w:gridCol w:w="3452"/>
      </w:tblGrid>
      <w:tr w14:paraId="23BA1C8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005" w:type="pct"/>
            <w:tcBorders>
              <w:tl2br w:val="nil"/>
              <w:tr2bl w:val="nil"/>
            </w:tcBorders>
            <w:vAlign w:val="center"/>
          </w:tcPr>
          <w:p w14:paraId="049F836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类别</w:t>
            </w:r>
          </w:p>
        </w:tc>
        <w:tc>
          <w:tcPr>
            <w:tcW w:w="1051" w:type="pct"/>
            <w:tcBorders>
              <w:tl2br w:val="nil"/>
              <w:tr2bl w:val="nil"/>
            </w:tcBorders>
            <w:vAlign w:val="center"/>
          </w:tcPr>
          <w:p w14:paraId="46AF3CE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昼间</w:t>
            </w:r>
          </w:p>
        </w:tc>
        <w:tc>
          <w:tcPr>
            <w:tcW w:w="1083" w:type="pct"/>
            <w:tcBorders>
              <w:tl2br w:val="nil"/>
              <w:tr2bl w:val="nil"/>
            </w:tcBorders>
            <w:vAlign w:val="center"/>
          </w:tcPr>
          <w:p w14:paraId="1483890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夜间</w:t>
            </w:r>
          </w:p>
        </w:tc>
        <w:tc>
          <w:tcPr>
            <w:tcW w:w="1859" w:type="pct"/>
            <w:tcBorders>
              <w:tl2br w:val="nil"/>
              <w:tr2bl w:val="nil"/>
            </w:tcBorders>
            <w:vAlign w:val="center"/>
          </w:tcPr>
          <w:p w14:paraId="7C40B95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依据</w:t>
            </w:r>
          </w:p>
        </w:tc>
      </w:tr>
      <w:tr w14:paraId="7CD6A52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005" w:type="pct"/>
            <w:tcBorders>
              <w:tl2br w:val="nil"/>
              <w:tr2bl w:val="nil"/>
            </w:tcBorders>
            <w:vAlign w:val="center"/>
          </w:tcPr>
          <w:p w14:paraId="3553DDC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噪声限值</w:t>
            </w:r>
          </w:p>
          <w:p w14:paraId="53A9AC5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Leq：dB（A）</w:t>
            </w:r>
          </w:p>
        </w:tc>
        <w:tc>
          <w:tcPr>
            <w:tcW w:w="1051" w:type="pct"/>
            <w:tcBorders>
              <w:tl2br w:val="nil"/>
              <w:tr2bl w:val="nil"/>
            </w:tcBorders>
            <w:vAlign w:val="center"/>
          </w:tcPr>
          <w:p w14:paraId="33B2648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60</w:t>
            </w:r>
          </w:p>
        </w:tc>
        <w:tc>
          <w:tcPr>
            <w:tcW w:w="1083" w:type="pct"/>
            <w:tcBorders>
              <w:tl2br w:val="nil"/>
              <w:tr2bl w:val="nil"/>
            </w:tcBorders>
            <w:vAlign w:val="center"/>
          </w:tcPr>
          <w:p w14:paraId="4B0CCB0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50</w:t>
            </w:r>
          </w:p>
        </w:tc>
        <w:tc>
          <w:tcPr>
            <w:tcW w:w="1859" w:type="pct"/>
            <w:tcBorders>
              <w:tl2br w:val="nil"/>
              <w:tr2bl w:val="nil"/>
            </w:tcBorders>
            <w:vAlign w:val="center"/>
          </w:tcPr>
          <w:p w14:paraId="4CB7F7E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《工业企业厂界环境噪声排放标准》（GB12348-2008）2类</w:t>
            </w:r>
          </w:p>
        </w:tc>
      </w:tr>
    </w:tbl>
    <w:p w14:paraId="2D1AB90D">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固体废物</w:t>
      </w:r>
    </w:p>
    <w:p w14:paraId="68B18887">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本项目一般固废</w:t>
      </w:r>
      <w:r>
        <w:rPr>
          <w:rFonts w:hint="default" w:ascii="Times New Roman" w:hAnsi="Times New Roman" w:cs="Times New Roman"/>
          <w:color w:val="auto"/>
          <w:highlight w:val="none"/>
          <w:lang w:eastAsia="zh-CN"/>
        </w:rPr>
        <w:t>参照</w:t>
      </w:r>
      <w:r>
        <w:rPr>
          <w:rFonts w:hint="default" w:ascii="Times New Roman" w:hAnsi="Times New Roman" w:cs="Times New Roman"/>
          <w:color w:val="auto"/>
          <w:highlight w:val="none"/>
        </w:rPr>
        <w:t>《一般工业固体废物贮存</w:t>
      </w:r>
      <w:r>
        <w:rPr>
          <w:rFonts w:hint="default" w:ascii="Times New Roman" w:hAnsi="Times New Roman" w:cs="Times New Roman"/>
          <w:color w:val="auto"/>
          <w:highlight w:val="none"/>
          <w:lang w:val="en-US" w:eastAsia="zh-CN"/>
        </w:rPr>
        <w:t>和填埋污染控制标准</w:t>
      </w:r>
      <w:r>
        <w:rPr>
          <w:rFonts w:hint="default" w:ascii="Times New Roman" w:hAnsi="Times New Roman" w:cs="Times New Roman"/>
          <w:color w:val="auto"/>
          <w:highlight w:val="none"/>
        </w:rPr>
        <w:t>》（GB 18599-20</w:t>
      </w:r>
      <w:r>
        <w:rPr>
          <w:rFonts w:hint="default" w:ascii="Times New Roman" w:hAnsi="Times New Roman" w:cs="Times New Roman"/>
          <w:color w:val="auto"/>
          <w:highlight w:val="none"/>
          <w:lang w:val="en-US" w:eastAsia="zh-CN"/>
        </w:rPr>
        <w:t>20</w:t>
      </w:r>
      <w:r>
        <w:rPr>
          <w:rFonts w:hint="default" w:ascii="Times New Roman" w:hAnsi="Times New Roman" w:cs="Times New Roman"/>
          <w:color w:val="auto"/>
          <w:highlight w:val="none"/>
        </w:rPr>
        <w:t>）中相关规定，危险废物处理和处置按照《危险废物贮存污染控制标准》（</w:t>
      </w:r>
      <w:r>
        <w:rPr>
          <w:rFonts w:hint="default" w:ascii="Times New Roman" w:hAnsi="Times New Roman" w:eastAsia="宋体" w:cs="Times New Roman"/>
          <w:color w:val="auto"/>
          <w:kern w:val="0"/>
          <w:sz w:val="24"/>
          <w:szCs w:val="24"/>
          <w:highlight w:val="none"/>
          <w:lang w:val="en-US" w:eastAsia="zh-CN" w:bidi="ar"/>
        </w:rPr>
        <w:t>GB18597-2023</w:t>
      </w:r>
      <w:r>
        <w:rPr>
          <w:rFonts w:hint="default" w:ascii="Times New Roman" w:hAnsi="Times New Roman" w:cs="Times New Roman"/>
          <w:color w:val="auto"/>
          <w:highlight w:val="none"/>
        </w:rPr>
        <w:t>）和《危险废物收集、贮存、运输技术规范》（HJ 2025-2012）中的有关规定，进行妥善处理、贮存。</w:t>
      </w:r>
    </w:p>
    <w:p w14:paraId="29BED63D">
      <w:pPr>
        <w:pStyle w:val="3"/>
        <w:spacing w:before="156" w:after="156"/>
        <w:rPr>
          <w:rFonts w:hint="default" w:ascii="Times New Roman" w:hAnsi="Times New Roman" w:cs="Times New Roman"/>
          <w:color w:val="auto"/>
          <w:highlight w:val="none"/>
        </w:rPr>
      </w:pPr>
      <w:bookmarkStart w:id="37" w:name="_Toc12067"/>
      <w:bookmarkStart w:id="38" w:name="_Toc23193"/>
      <w:bookmarkStart w:id="39" w:name="_Toc21904"/>
      <w:r>
        <w:rPr>
          <w:rFonts w:hint="default" w:ascii="Times New Roman" w:hAnsi="Times New Roman" w:cs="Times New Roman"/>
          <w:color w:val="auto"/>
          <w:highlight w:val="none"/>
        </w:rPr>
        <w:t>评价等级与评价范围</w:t>
      </w:r>
      <w:bookmarkEnd w:id="37"/>
      <w:bookmarkEnd w:id="38"/>
      <w:bookmarkEnd w:id="39"/>
    </w:p>
    <w:p w14:paraId="4D8FBC8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本</w:t>
      </w:r>
      <w:r>
        <w:rPr>
          <w:rFonts w:hint="default" w:ascii="Times New Roman" w:hAnsi="Times New Roman" w:cs="Times New Roman"/>
          <w:color w:val="auto"/>
          <w:highlight w:val="none"/>
        </w:rPr>
        <w:t>项目评价等级和评价范围见下表</w:t>
      </w:r>
      <w:r>
        <w:rPr>
          <w:rFonts w:hint="default" w:ascii="Times New Roman" w:hAnsi="Times New Roman" w:cs="Times New Roman"/>
          <w:color w:val="auto"/>
          <w:highlight w:val="none"/>
          <w:lang w:eastAsia="zh-CN"/>
        </w:rPr>
        <w:t>：</w:t>
      </w:r>
    </w:p>
    <w:p w14:paraId="47DF84C4">
      <w:pPr>
        <w:pStyle w:val="11"/>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2.5</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1</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项目环境影响评价范围及等级一览表</w:t>
      </w:r>
    </w:p>
    <w:tbl>
      <w:tblPr>
        <w:tblStyle w:val="35"/>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358"/>
        <w:gridCol w:w="2113"/>
        <w:gridCol w:w="5811"/>
      </w:tblGrid>
      <w:tr w14:paraId="6E3F73A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31" w:type="pct"/>
            <w:tcBorders>
              <w:tl2br w:val="nil"/>
              <w:tr2bl w:val="nil"/>
            </w:tcBorders>
            <w:vAlign w:val="center"/>
          </w:tcPr>
          <w:p w14:paraId="50D319A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评价要素</w:t>
            </w:r>
          </w:p>
        </w:tc>
        <w:tc>
          <w:tcPr>
            <w:tcW w:w="1138" w:type="pct"/>
            <w:tcBorders>
              <w:tl2br w:val="nil"/>
              <w:tr2bl w:val="nil"/>
            </w:tcBorders>
            <w:vAlign w:val="center"/>
          </w:tcPr>
          <w:p w14:paraId="4A3E235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评价等级</w:t>
            </w:r>
          </w:p>
        </w:tc>
        <w:tc>
          <w:tcPr>
            <w:tcW w:w="3129" w:type="pct"/>
            <w:tcBorders>
              <w:tl2br w:val="nil"/>
              <w:tr2bl w:val="nil"/>
            </w:tcBorders>
            <w:vAlign w:val="center"/>
          </w:tcPr>
          <w:p w14:paraId="0B60982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评价范围</w:t>
            </w:r>
          </w:p>
        </w:tc>
      </w:tr>
      <w:tr w14:paraId="4AB4F28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1" w:type="pct"/>
            <w:tcBorders>
              <w:tl2br w:val="nil"/>
              <w:tr2bl w:val="nil"/>
            </w:tcBorders>
            <w:vAlign w:val="center"/>
          </w:tcPr>
          <w:p w14:paraId="00BCF14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大气</w:t>
            </w:r>
          </w:p>
        </w:tc>
        <w:tc>
          <w:tcPr>
            <w:tcW w:w="1138" w:type="pct"/>
            <w:tcBorders>
              <w:tl2br w:val="nil"/>
              <w:tr2bl w:val="nil"/>
            </w:tcBorders>
            <w:vAlign w:val="center"/>
          </w:tcPr>
          <w:p w14:paraId="0CE1D40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一级</w:t>
            </w:r>
          </w:p>
        </w:tc>
        <w:tc>
          <w:tcPr>
            <w:tcW w:w="3129" w:type="pct"/>
            <w:tcBorders>
              <w:tl2br w:val="nil"/>
              <w:tr2bl w:val="nil"/>
            </w:tcBorders>
            <w:vAlign w:val="center"/>
          </w:tcPr>
          <w:p w14:paraId="7F18146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以项目厂址为中心，边长为 5km 的矩形区域</w:t>
            </w:r>
          </w:p>
        </w:tc>
      </w:tr>
      <w:tr w14:paraId="07C7539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1" w:type="pct"/>
            <w:tcBorders>
              <w:tl2br w:val="nil"/>
              <w:tr2bl w:val="nil"/>
            </w:tcBorders>
            <w:vAlign w:val="center"/>
          </w:tcPr>
          <w:p w14:paraId="10E71AB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kern w:val="0"/>
                <w:sz w:val="20"/>
                <w:szCs w:val="20"/>
                <w:highlight w:val="none"/>
              </w:rPr>
              <w:t>地表水</w:t>
            </w:r>
          </w:p>
        </w:tc>
        <w:tc>
          <w:tcPr>
            <w:tcW w:w="1138" w:type="pct"/>
            <w:tcBorders>
              <w:tl2br w:val="nil"/>
              <w:tr2bl w:val="nil"/>
            </w:tcBorders>
            <w:vAlign w:val="center"/>
          </w:tcPr>
          <w:p w14:paraId="2A66D93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snapToGrid w:val="0"/>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三级B</w:t>
            </w:r>
          </w:p>
        </w:tc>
        <w:tc>
          <w:tcPr>
            <w:tcW w:w="3129" w:type="pct"/>
            <w:tcBorders>
              <w:tl2br w:val="nil"/>
              <w:tr2bl w:val="nil"/>
            </w:tcBorders>
            <w:vAlign w:val="center"/>
          </w:tcPr>
          <w:p w14:paraId="4338DB6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snapToGrid w:val="0"/>
                <w:color w:val="auto"/>
                <w:sz w:val="20"/>
                <w:szCs w:val="20"/>
                <w:highlight w:val="none"/>
                <w:lang w:val="en-US"/>
              </w:rPr>
            </w:pPr>
            <w:r>
              <w:rPr>
                <w:rFonts w:hint="default" w:ascii="Times New Roman" w:hAnsi="Times New Roman" w:eastAsia="宋体" w:cs="Times New Roman"/>
                <w:color w:val="auto"/>
                <w:sz w:val="20"/>
                <w:szCs w:val="20"/>
                <w:highlight w:val="none"/>
                <w:lang w:val="en-US" w:eastAsia="zh-CN"/>
              </w:rPr>
              <w:t>/</w:t>
            </w:r>
          </w:p>
        </w:tc>
      </w:tr>
      <w:tr w14:paraId="6F76199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1" w:type="pct"/>
            <w:tcBorders>
              <w:tl2br w:val="nil"/>
              <w:tr2bl w:val="nil"/>
            </w:tcBorders>
            <w:vAlign w:val="center"/>
          </w:tcPr>
          <w:p w14:paraId="34784F6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kern w:val="0"/>
                <w:sz w:val="20"/>
                <w:szCs w:val="20"/>
                <w:highlight w:val="none"/>
              </w:rPr>
              <w:t>地下水</w:t>
            </w:r>
          </w:p>
        </w:tc>
        <w:tc>
          <w:tcPr>
            <w:tcW w:w="1138" w:type="pct"/>
            <w:tcBorders>
              <w:tl2br w:val="nil"/>
              <w:tr2bl w:val="nil"/>
            </w:tcBorders>
            <w:vAlign w:val="center"/>
          </w:tcPr>
          <w:p w14:paraId="57D47AE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三</w:t>
            </w:r>
            <w:r>
              <w:rPr>
                <w:rFonts w:hint="default" w:ascii="Times New Roman" w:hAnsi="Times New Roman" w:eastAsia="宋体" w:cs="Times New Roman"/>
                <w:color w:val="auto"/>
                <w:sz w:val="20"/>
                <w:szCs w:val="20"/>
                <w:highlight w:val="none"/>
              </w:rPr>
              <w:t>级</w:t>
            </w:r>
          </w:p>
        </w:tc>
        <w:tc>
          <w:tcPr>
            <w:tcW w:w="3129" w:type="pct"/>
            <w:tcBorders>
              <w:tl2br w:val="nil"/>
              <w:tr2bl w:val="nil"/>
            </w:tcBorders>
            <w:vAlign w:val="center"/>
          </w:tcPr>
          <w:p w14:paraId="62A17D8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本项目地下水评价范围西侧、西北侧、南侧和东侧以山脊为界，北侧以闻溪河为界，总面积约为2.83km</w:t>
            </w:r>
            <w:r>
              <w:rPr>
                <w:rFonts w:hint="default" w:ascii="Times New Roman" w:hAnsi="Times New Roman" w:eastAsia="宋体" w:cs="Times New Roman"/>
                <w:color w:val="auto"/>
                <w:sz w:val="20"/>
                <w:szCs w:val="20"/>
                <w:highlight w:val="none"/>
                <w:vertAlign w:val="superscript"/>
                <w:lang w:val="en-US" w:eastAsia="zh-CN"/>
              </w:rPr>
              <w:t>2</w:t>
            </w:r>
          </w:p>
        </w:tc>
      </w:tr>
      <w:tr w14:paraId="2511866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1" w:type="pct"/>
            <w:tcBorders>
              <w:tl2br w:val="nil"/>
              <w:tr2bl w:val="nil"/>
            </w:tcBorders>
            <w:vAlign w:val="center"/>
          </w:tcPr>
          <w:p w14:paraId="751B096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rPr>
            </w:pPr>
            <w:r>
              <w:rPr>
                <w:rFonts w:hint="default" w:ascii="Times New Roman" w:hAnsi="Times New Roman" w:eastAsia="宋体" w:cs="Times New Roman"/>
                <w:color w:val="auto"/>
                <w:kern w:val="0"/>
                <w:sz w:val="20"/>
                <w:szCs w:val="20"/>
                <w:highlight w:val="none"/>
              </w:rPr>
              <w:t>声环境</w:t>
            </w:r>
          </w:p>
        </w:tc>
        <w:tc>
          <w:tcPr>
            <w:tcW w:w="1138" w:type="pct"/>
            <w:tcBorders>
              <w:tl2br w:val="nil"/>
              <w:tr2bl w:val="nil"/>
            </w:tcBorders>
            <w:vAlign w:val="center"/>
          </w:tcPr>
          <w:p w14:paraId="7497E36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二级</w:t>
            </w:r>
          </w:p>
        </w:tc>
        <w:tc>
          <w:tcPr>
            <w:tcW w:w="3129" w:type="pct"/>
            <w:tcBorders>
              <w:tl2br w:val="nil"/>
              <w:tr2bl w:val="nil"/>
            </w:tcBorders>
            <w:vAlign w:val="center"/>
          </w:tcPr>
          <w:p w14:paraId="757BD82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snapToGrid w:val="0"/>
                <w:color w:val="auto"/>
                <w:sz w:val="20"/>
                <w:szCs w:val="20"/>
                <w:highlight w:val="none"/>
              </w:rPr>
              <w:t>厂界</w:t>
            </w:r>
            <w:r>
              <w:rPr>
                <w:rFonts w:hint="default" w:ascii="Times New Roman" w:hAnsi="Times New Roman" w:eastAsia="宋体" w:cs="Times New Roman"/>
                <w:snapToGrid w:val="0"/>
                <w:color w:val="auto"/>
                <w:sz w:val="20"/>
                <w:szCs w:val="20"/>
                <w:highlight w:val="none"/>
                <w:lang w:val="en-US" w:eastAsia="zh-CN"/>
              </w:rPr>
              <w:t>外</w:t>
            </w:r>
            <w:r>
              <w:rPr>
                <w:rFonts w:hint="default" w:ascii="Times New Roman" w:hAnsi="Times New Roman" w:eastAsia="宋体" w:cs="Times New Roman"/>
                <w:snapToGrid w:val="0"/>
                <w:color w:val="auto"/>
                <w:sz w:val="20"/>
                <w:szCs w:val="20"/>
                <w:highlight w:val="none"/>
              </w:rPr>
              <w:t>200m的区域</w:t>
            </w:r>
          </w:p>
        </w:tc>
      </w:tr>
      <w:tr w14:paraId="600076D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1" w:type="pct"/>
            <w:tcBorders>
              <w:tl2br w:val="nil"/>
              <w:tr2bl w:val="nil"/>
            </w:tcBorders>
            <w:vAlign w:val="center"/>
          </w:tcPr>
          <w:p w14:paraId="7660978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生态环境</w:t>
            </w:r>
          </w:p>
        </w:tc>
        <w:tc>
          <w:tcPr>
            <w:tcW w:w="1138" w:type="pct"/>
            <w:tcBorders>
              <w:tl2br w:val="nil"/>
              <w:tr2bl w:val="nil"/>
            </w:tcBorders>
            <w:vAlign w:val="center"/>
          </w:tcPr>
          <w:p w14:paraId="1041F4A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val="en-US" w:eastAsia="zh-CN"/>
              </w:rPr>
              <w:t>一</w:t>
            </w:r>
            <w:r>
              <w:rPr>
                <w:rFonts w:hint="default" w:ascii="Times New Roman" w:hAnsi="Times New Roman" w:eastAsia="宋体" w:cs="Times New Roman"/>
                <w:color w:val="auto"/>
                <w:sz w:val="20"/>
                <w:szCs w:val="20"/>
                <w:highlight w:val="none"/>
                <w:lang w:eastAsia="zh-CN"/>
              </w:rPr>
              <w:t>级</w:t>
            </w:r>
          </w:p>
        </w:tc>
        <w:tc>
          <w:tcPr>
            <w:tcW w:w="3129" w:type="pct"/>
            <w:tcBorders>
              <w:tl2br w:val="nil"/>
              <w:tr2bl w:val="nil"/>
            </w:tcBorders>
            <w:vAlign w:val="center"/>
          </w:tcPr>
          <w:p w14:paraId="633A3C5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snapToGrid w:val="0"/>
                <w:color w:val="auto"/>
                <w:sz w:val="20"/>
                <w:szCs w:val="20"/>
                <w:highlight w:val="none"/>
              </w:rPr>
            </w:pPr>
            <w:r>
              <w:rPr>
                <w:rFonts w:hint="default" w:ascii="Times New Roman" w:hAnsi="Times New Roman" w:eastAsia="宋体" w:cs="Times New Roman"/>
                <w:color w:val="auto"/>
                <w:sz w:val="20"/>
                <w:szCs w:val="20"/>
                <w:highlight w:val="none"/>
                <w:lang w:val="en-US" w:eastAsia="zh-CN"/>
              </w:rPr>
              <w:t>以项目厂址为中心，边长为 5km 的矩形区域</w:t>
            </w:r>
          </w:p>
        </w:tc>
      </w:tr>
      <w:tr w14:paraId="3187A81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31" w:type="pct"/>
            <w:tcBorders>
              <w:tl2br w:val="nil"/>
              <w:tr2bl w:val="nil"/>
            </w:tcBorders>
            <w:vAlign w:val="center"/>
          </w:tcPr>
          <w:p w14:paraId="5446439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rPr>
              <w:t>环境风险</w:t>
            </w:r>
          </w:p>
        </w:tc>
        <w:tc>
          <w:tcPr>
            <w:tcW w:w="1138" w:type="pct"/>
            <w:tcBorders>
              <w:tl2br w:val="nil"/>
              <w:tr2bl w:val="nil"/>
            </w:tcBorders>
            <w:vAlign w:val="center"/>
          </w:tcPr>
          <w:p w14:paraId="3023C79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二级</w:t>
            </w:r>
          </w:p>
        </w:tc>
        <w:tc>
          <w:tcPr>
            <w:tcW w:w="3129" w:type="pct"/>
            <w:tcBorders>
              <w:tl2br w:val="nil"/>
              <w:tr2bl w:val="nil"/>
            </w:tcBorders>
            <w:vAlign w:val="center"/>
          </w:tcPr>
          <w:p w14:paraId="13C6983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大气：</w:t>
            </w:r>
            <w:r>
              <w:rPr>
                <w:rFonts w:hint="eastAsia" w:ascii="Times New Roman" w:hAnsi="Times New Roman" w:cs="Times New Roman"/>
                <w:color w:val="auto"/>
                <w:sz w:val="20"/>
                <w:szCs w:val="20"/>
                <w:highlight w:val="none"/>
                <w:lang w:val="en-US" w:eastAsia="zh-CN"/>
              </w:rPr>
              <w:t>建设项目</w:t>
            </w:r>
            <w:r>
              <w:rPr>
                <w:rFonts w:hint="default" w:ascii="Times New Roman" w:hAnsi="Times New Roman" w:cs="Times New Roman"/>
                <w:color w:val="auto"/>
                <w:sz w:val="20"/>
                <w:szCs w:val="20"/>
                <w:highlight w:val="none"/>
              </w:rPr>
              <w:t>边界5km的范围</w:t>
            </w:r>
          </w:p>
          <w:p w14:paraId="7B639A7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eastAsia="zh-CN"/>
              </w:rPr>
              <w:t>地表水：</w:t>
            </w:r>
            <w:r>
              <w:rPr>
                <w:rFonts w:hint="default" w:ascii="Times New Roman" w:hAnsi="Times New Roman" w:cs="Times New Roman"/>
                <w:color w:val="auto"/>
                <w:kern w:val="0"/>
                <w:sz w:val="20"/>
                <w:szCs w:val="20"/>
                <w:highlight w:val="none"/>
              </w:rPr>
              <w:t>事故入河排放点上游500m至下游1500m</w:t>
            </w:r>
          </w:p>
          <w:p w14:paraId="276EE95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地下水：</w:t>
            </w:r>
            <w:r>
              <w:rPr>
                <w:rFonts w:hint="default" w:ascii="Times New Roman" w:hAnsi="Times New Roman" w:eastAsia="宋体" w:cs="Times New Roman"/>
                <w:color w:val="auto"/>
                <w:sz w:val="20"/>
                <w:szCs w:val="20"/>
                <w:highlight w:val="none"/>
              </w:rPr>
              <w:t>项目</w:t>
            </w:r>
            <w:r>
              <w:rPr>
                <w:rFonts w:hint="default" w:ascii="Times New Roman" w:hAnsi="Times New Roman" w:cs="Times New Roman"/>
                <w:color w:val="auto"/>
                <w:sz w:val="20"/>
                <w:szCs w:val="20"/>
                <w:highlight w:val="none"/>
                <w:lang w:eastAsia="zh-CN"/>
              </w:rPr>
              <w:t>所在水文地质单元</w:t>
            </w:r>
            <w:r>
              <w:rPr>
                <w:rFonts w:hint="default" w:ascii="Times New Roman" w:hAnsi="Times New Roman" w:cs="Times New Roman"/>
                <w:color w:val="auto"/>
                <w:sz w:val="20"/>
                <w:szCs w:val="20"/>
                <w:highlight w:val="none"/>
                <w:lang w:val="en-US" w:eastAsia="zh-CN"/>
              </w:rPr>
              <w:t>2.</w:t>
            </w:r>
            <w:r>
              <w:rPr>
                <w:rFonts w:hint="eastAsia" w:ascii="Times New Roman" w:hAnsi="Times New Roman" w:cs="Times New Roman"/>
                <w:color w:val="auto"/>
                <w:sz w:val="20"/>
                <w:szCs w:val="20"/>
                <w:highlight w:val="none"/>
                <w:lang w:val="en-US" w:eastAsia="zh-CN"/>
              </w:rPr>
              <w:t>83</w:t>
            </w:r>
            <w:r>
              <w:rPr>
                <w:rFonts w:hint="default" w:ascii="Times New Roman" w:hAnsi="Times New Roman" w:eastAsia="宋体" w:cs="Times New Roman"/>
                <w:color w:val="auto"/>
                <w:sz w:val="20"/>
                <w:szCs w:val="20"/>
                <w:highlight w:val="none"/>
              </w:rPr>
              <w:t>km</w:t>
            </w:r>
            <w:r>
              <w:rPr>
                <w:rFonts w:hint="default" w:ascii="Times New Roman" w:hAnsi="Times New Roman" w:eastAsia="宋体" w:cs="Times New Roman"/>
                <w:color w:val="auto"/>
                <w:sz w:val="20"/>
                <w:szCs w:val="20"/>
                <w:highlight w:val="none"/>
                <w:vertAlign w:val="superscript"/>
              </w:rPr>
              <w:t>2</w:t>
            </w:r>
            <w:r>
              <w:rPr>
                <w:rFonts w:hint="default" w:ascii="Times New Roman" w:hAnsi="Times New Roman" w:eastAsia="宋体" w:cs="Times New Roman"/>
                <w:color w:val="auto"/>
                <w:sz w:val="20"/>
                <w:szCs w:val="20"/>
                <w:highlight w:val="none"/>
              </w:rPr>
              <w:t>的范围</w:t>
            </w:r>
          </w:p>
        </w:tc>
      </w:tr>
    </w:tbl>
    <w:p w14:paraId="715DF35F">
      <w:pPr>
        <w:pStyle w:val="3"/>
        <w:spacing w:before="156" w:after="156"/>
        <w:rPr>
          <w:rFonts w:hint="default" w:ascii="Times New Roman" w:hAnsi="Times New Roman" w:cs="Times New Roman"/>
          <w:color w:val="auto"/>
          <w:highlight w:val="none"/>
        </w:rPr>
      </w:pPr>
      <w:bookmarkStart w:id="40" w:name="_Toc31104"/>
      <w:bookmarkStart w:id="41" w:name="_Toc16639"/>
      <w:bookmarkStart w:id="42" w:name="_Toc6724"/>
      <w:r>
        <w:rPr>
          <w:rFonts w:hint="default" w:ascii="Times New Roman" w:hAnsi="Times New Roman" w:cs="Times New Roman"/>
          <w:color w:val="auto"/>
          <w:highlight w:val="none"/>
        </w:rPr>
        <w:t>评价</w:t>
      </w:r>
      <w:r>
        <w:rPr>
          <w:rFonts w:hint="default" w:ascii="Times New Roman" w:hAnsi="Times New Roman" w:cs="Times New Roman"/>
          <w:color w:val="auto"/>
          <w:highlight w:val="none"/>
          <w:lang w:eastAsia="zh-CN"/>
        </w:rPr>
        <w:t>内容、评价</w:t>
      </w:r>
      <w:r>
        <w:rPr>
          <w:rFonts w:hint="default" w:ascii="Times New Roman" w:hAnsi="Times New Roman" w:cs="Times New Roman"/>
          <w:color w:val="auto"/>
          <w:highlight w:val="none"/>
        </w:rPr>
        <w:t>重点</w:t>
      </w:r>
      <w:bookmarkEnd w:id="40"/>
      <w:r>
        <w:rPr>
          <w:rFonts w:hint="default" w:ascii="Times New Roman" w:hAnsi="Times New Roman" w:cs="Times New Roman"/>
          <w:color w:val="auto"/>
          <w:highlight w:val="none"/>
          <w:lang w:eastAsia="zh-CN"/>
        </w:rPr>
        <w:t>及评价时段</w:t>
      </w:r>
      <w:bookmarkEnd w:id="41"/>
      <w:bookmarkEnd w:id="42"/>
    </w:p>
    <w:p w14:paraId="0A142574">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根据项目特征和排污特点、评价区内环境特征和环境质量现状等，确定评价重点为：</w:t>
      </w:r>
    </w:p>
    <w:p w14:paraId="0D8114B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1、工程分析：根据项目运行阶段的工艺</w:t>
      </w:r>
      <w:r>
        <w:rPr>
          <w:rFonts w:hint="default" w:ascii="Times New Roman" w:hAnsi="Times New Roman" w:cs="Times New Roman"/>
          <w:color w:val="auto"/>
          <w:highlight w:val="none"/>
          <w:lang w:val="en-US" w:eastAsia="zh-CN"/>
        </w:rPr>
        <w:t>流程</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工艺流程合理性分析，</w:t>
      </w:r>
      <w:r>
        <w:rPr>
          <w:rFonts w:hint="default" w:ascii="Times New Roman" w:hAnsi="Times New Roman" w:cs="Times New Roman"/>
          <w:color w:val="auto"/>
          <w:highlight w:val="none"/>
        </w:rPr>
        <w:t>分析项目污染物排放源强和排放特征。</w:t>
      </w:r>
    </w:p>
    <w:p w14:paraId="530ED569">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2、污染防治措施论证：对本项目所采用的各种废气、废水及固体废物等污染物处理处置方案进行分析，论证各污染物处理达标的可行性。</w:t>
      </w:r>
    </w:p>
    <w:p w14:paraId="175C67D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3、环境影响分析：对项目排放的污染物对环境可能造成的影响进行分析，明确项目排污对环境的影响范围和程度。</w:t>
      </w:r>
    </w:p>
    <w:p w14:paraId="5A0DDAB9">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评价内容</w:t>
      </w:r>
    </w:p>
    <w:p w14:paraId="40E6B48A">
      <w:pPr>
        <w:pStyle w:val="17"/>
        <w:widowControl w:val="0"/>
        <w:numPr>
          <w:ilvl w:val="0"/>
          <w:numId w:val="0"/>
        </w:numPr>
        <w:spacing w:line="360" w:lineRule="auto"/>
        <w:ind w:firstLine="480" w:firstLineChars="200"/>
        <w:jc w:val="both"/>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本工程项目的性质，建设特点及其环境影响特性，并结合本项目及周边自然保护环境，按照相关技术导则、规范要求，确定本项目环境影响评价工作内容包括：建设项目概况、工程分析、环境概况及环境质量现状、环境影响分析、环境风险评价与分析、环境保护措施及其可行性分析、环境影响经济损益分析、环境管理与环境监测计划、结论与建议。</w:t>
      </w:r>
    </w:p>
    <w:p w14:paraId="1F113C7F">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评价重点</w:t>
      </w:r>
    </w:p>
    <w:p w14:paraId="72825CF4">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根据项目特征及环境概况，确定本次评价重点包括：大气环境影响评价、地下水环境影响评价、声环境影响评价、固废影响评价、环境风险评价、环境保护措施可行性论证等。</w:t>
      </w:r>
    </w:p>
    <w:p w14:paraId="208C310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评价时段</w:t>
      </w:r>
    </w:p>
    <w:p w14:paraId="05772242">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本项目评价时段分为施工期、营运期两个时段。</w:t>
      </w:r>
    </w:p>
    <w:p w14:paraId="7CD7A6E6">
      <w:pPr>
        <w:pStyle w:val="3"/>
        <w:spacing w:before="156" w:after="156"/>
        <w:rPr>
          <w:rFonts w:hint="default" w:ascii="Times New Roman" w:hAnsi="Times New Roman" w:cs="Times New Roman"/>
          <w:color w:val="auto"/>
          <w:highlight w:val="none"/>
          <w:lang w:val="en-US" w:eastAsia="zh-CN"/>
        </w:rPr>
      </w:pPr>
      <w:bookmarkStart w:id="43" w:name="_Toc9555"/>
      <w:bookmarkStart w:id="44" w:name="_Toc30939"/>
      <w:bookmarkStart w:id="45" w:name="_Toc24634"/>
      <w:r>
        <w:rPr>
          <w:rFonts w:hint="default" w:ascii="Times New Roman" w:hAnsi="Times New Roman" w:cs="Times New Roman"/>
          <w:color w:val="auto"/>
          <w:highlight w:val="none"/>
          <w:lang w:val="en-US" w:eastAsia="zh-CN"/>
        </w:rPr>
        <w:t>产业政策及相关规划符合性分析</w:t>
      </w:r>
      <w:bookmarkEnd w:id="43"/>
      <w:bookmarkEnd w:id="44"/>
      <w:bookmarkEnd w:id="45"/>
    </w:p>
    <w:p w14:paraId="550097C6">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产业政策</w:t>
      </w:r>
      <w:r>
        <w:rPr>
          <w:rFonts w:hint="default" w:ascii="Times New Roman" w:hAnsi="Times New Roman" w:cs="Times New Roman"/>
          <w:color w:val="auto"/>
          <w:highlight w:val="none"/>
        </w:rPr>
        <w:t>符合性分析</w:t>
      </w:r>
    </w:p>
    <w:p w14:paraId="7202D78C">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根据《国民经济行业分类（GB/T4754-2017）》，本项目属于固体废物治理。根据国家发展和改革委员会令第 7号《产业结构调整指导目录（2024 年本）》，本项目属于鼓励类中的“第四十二、环境保护与资源节约综合利用”—“3、城镇垃圾、农村生活垃圾、城镇生活污水、农村生活污水、污泥及其他固体废弃物减量化、资源化、无害化处理和综合利用工程”。</w:t>
      </w:r>
    </w:p>
    <w:p w14:paraId="70D1E2C8">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本项目已于2024年5月13日在剑阁县发展和改革局进行备案，备案号为：川投资备【2405-510823-04-01-995835】FGQB-0070号 。四川胜宏环保科技有限公司</w:t>
      </w:r>
      <w:r>
        <w:rPr>
          <w:rFonts w:hint="default" w:ascii="Times New Roman" w:hAnsi="Times New Roman" w:cs="Times New Roman"/>
          <w:color w:val="auto"/>
          <w:sz w:val="24"/>
          <w:highlight w:val="none"/>
          <w:lang w:val="en-US" w:eastAsia="zh-CN"/>
        </w:rPr>
        <w:t>与剑阁县综合行政执法局于2024年5月11日签订了《剑阁县城乡生活垃圾无害化处理设施建设项目投资建设及特许经营协议》，协议规定特许经营权范围为剑阁县境内全部生活垃圾的无害化处理权。</w:t>
      </w:r>
    </w:p>
    <w:p w14:paraId="34BF3C29">
      <w:pPr>
        <w:pStyle w:val="14"/>
        <w:ind w:firstLine="48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因此，本项目建设符合国家产业政策的要求。</w:t>
      </w:r>
    </w:p>
    <w:p w14:paraId="3DDCBDDC">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用地规划</w:t>
      </w:r>
      <w:r>
        <w:rPr>
          <w:rFonts w:hint="default" w:ascii="Times New Roman" w:hAnsi="Times New Roman" w:cs="Times New Roman"/>
          <w:color w:val="auto"/>
          <w:highlight w:val="none"/>
        </w:rPr>
        <w:t>符合性分析</w:t>
      </w:r>
    </w:p>
    <w:p w14:paraId="1C86954E">
      <w:pPr>
        <w:spacing w:line="360" w:lineRule="auto"/>
        <w:ind w:firstLine="480" w:firstLineChars="200"/>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cs="Times New Roman"/>
          <w:color w:val="auto"/>
          <w:sz w:val="24"/>
          <w:highlight w:val="none"/>
          <w:lang w:val="en-US" w:eastAsia="zh-CN"/>
        </w:rPr>
        <w:t>本项目位于</w:t>
      </w:r>
      <w:r>
        <w:rPr>
          <w:rFonts w:hint="default" w:ascii="Times New Roman" w:hAnsi="Times New Roman" w:eastAsia="宋体" w:cs="Times New Roman"/>
          <w:color w:val="auto"/>
          <w:kern w:val="0"/>
          <w:sz w:val="24"/>
          <w:szCs w:val="24"/>
          <w:highlight w:val="none"/>
          <w:lang w:val="en-US" w:eastAsia="zh-CN" w:bidi="ar"/>
        </w:rPr>
        <w:t>剑阁县普安镇剑坪村一组，剑阁县普安镇垃圾填埋场南侧。</w:t>
      </w:r>
      <w:r>
        <w:rPr>
          <w:rFonts w:hint="default" w:ascii="Times New Roman" w:hAnsi="Times New Roman" w:eastAsia="宋体" w:cs="Times New Roman"/>
          <w:color w:val="auto"/>
          <w:sz w:val="24"/>
          <w:highlight w:val="none"/>
          <w:lang w:val="en-US" w:eastAsia="zh-CN"/>
        </w:rPr>
        <w:t>根据剑阁县自然资源</w:t>
      </w:r>
      <w:r>
        <w:rPr>
          <w:rFonts w:hint="default" w:ascii="Times New Roman" w:hAnsi="Times New Roman" w:eastAsia="宋体" w:cs="Times New Roman"/>
          <w:color w:val="auto"/>
          <w:kern w:val="0"/>
          <w:sz w:val="24"/>
          <w:szCs w:val="24"/>
          <w:highlight w:val="none"/>
          <w:lang w:val="en-US" w:eastAsia="zh-CN" w:bidi="ar"/>
        </w:rPr>
        <w:t>局出具的《剑阁县环卫事务中心城市生活垃圾填埋场地块分宗示意图》（剑资源规字（2022）13号），普安环卫所用地面积为68848.60平方米，其中地块一为医疗处置项目用地，用地面积2416.4平方米，地块二为城乡生活垃圾处理项目用地，用地面积9958.17平方米，地块三为餐厨垃圾处理地块，用地面积为10427.10平方米。</w:t>
      </w:r>
      <w:r>
        <w:rPr>
          <w:rFonts w:hint="default" w:ascii="Times New Roman" w:hAnsi="Times New Roman" w:eastAsia="宋体" w:cs="Times New Roman"/>
          <w:b/>
          <w:bCs/>
          <w:color w:val="auto"/>
          <w:kern w:val="0"/>
          <w:sz w:val="24"/>
          <w:szCs w:val="24"/>
          <w:highlight w:val="none"/>
          <w:lang w:val="en-US" w:eastAsia="zh-CN" w:bidi="ar"/>
        </w:rPr>
        <w:t>本项目用地为地块二城乡生活垃圾处理项目用地。</w:t>
      </w:r>
    </w:p>
    <w:p w14:paraId="42B9B038">
      <w:pPr>
        <w:spacing w:line="360" w:lineRule="auto"/>
        <w:ind w:firstLine="480" w:firstLineChars="200"/>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w:t>
      </w:r>
      <w:r>
        <w:rPr>
          <w:rFonts w:hint="default" w:ascii="Times New Roman" w:hAnsi="Times New Roman" w:cs="Times New Roman"/>
          <w:color w:val="auto"/>
          <w:kern w:val="0"/>
          <w:sz w:val="24"/>
          <w:szCs w:val="24"/>
          <w:highlight w:val="none"/>
          <w:lang w:val="en-US" w:eastAsia="zh-CN" w:bidi="ar"/>
        </w:rPr>
        <w:t>《剑阁县普安镇（含城北）控制性详细规划》及相关规范要求，剑阁县自然资源局对本项目出具了</w:t>
      </w:r>
      <w:r>
        <w:rPr>
          <w:rFonts w:hint="default" w:ascii="Times New Roman" w:hAnsi="Times New Roman" w:eastAsia="宋体" w:cs="Times New Roman"/>
          <w:color w:val="auto"/>
          <w:kern w:val="0"/>
          <w:sz w:val="24"/>
          <w:szCs w:val="24"/>
          <w:highlight w:val="none"/>
          <w:lang w:val="en-US" w:eastAsia="zh-CN" w:bidi="ar"/>
        </w:rPr>
        <w:t>《剑阁县规划设计条件通知书》（剑资源规字（2023）86号）和《普安镇原垃圾处理厂拟建用地红线图》（剑资源规字（2023）86号），明确拟建地块规划建设用地9958.17平方米，</w:t>
      </w:r>
      <w:r>
        <w:rPr>
          <w:rFonts w:hint="default" w:ascii="Times New Roman" w:hAnsi="Times New Roman" w:eastAsia="宋体" w:cs="Times New Roman"/>
          <w:b/>
          <w:bCs/>
          <w:color w:val="auto"/>
          <w:kern w:val="0"/>
          <w:sz w:val="24"/>
          <w:szCs w:val="24"/>
          <w:highlight w:val="none"/>
          <w:lang w:val="en-US" w:eastAsia="zh-CN" w:bidi="ar"/>
        </w:rPr>
        <w:t>用地性质为环卫用地。</w:t>
      </w:r>
    </w:p>
    <w:p w14:paraId="6A9E82B0">
      <w:pPr>
        <w:spacing w:line="360" w:lineRule="auto"/>
        <w:ind w:firstLine="480" w:firstLineChars="200"/>
        <w:rPr>
          <w:rFonts w:hint="default" w:ascii="Times New Roman" w:hAnsi="Times New Roman" w:eastAsia="宋体" w:cs="Times New Roman"/>
          <w:b w:val="0"/>
          <w:bCs w:val="0"/>
          <w:color w:val="auto"/>
          <w:kern w:val="0"/>
          <w:sz w:val="24"/>
          <w:szCs w:val="24"/>
          <w:highlight w:val="none"/>
          <w:lang w:val="en-US" w:eastAsia="zh-CN" w:bidi="ar"/>
        </w:rPr>
      </w:pPr>
      <w:r>
        <w:rPr>
          <w:rFonts w:hint="default" w:ascii="Times New Roman" w:hAnsi="Times New Roman" w:eastAsia="宋体" w:cs="Times New Roman"/>
          <w:b w:val="0"/>
          <w:bCs w:val="0"/>
          <w:color w:val="auto"/>
          <w:kern w:val="0"/>
          <w:sz w:val="24"/>
          <w:szCs w:val="24"/>
          <w:highlight w:val="none"/>
          <w:lang w:val="en-US" w:eastAsia="zh-CN" w:bidi="ar"/>
        </w:rPr>
        <w:t>本项目用地已于2024年7月2日取得剑阁县自然资源局颁发的不动产权证，用途为公用设施用地，面积为9958.17m</w:t>
      </w:r>
      <w:r>
        <w:rPr>
          <w:rFonts w:hint="default" w:ascii="Times New Roman" w:hAnsi="Times New Roman" w:eastAsia="宋体" w:cs="Times New Roman"/>
          <w:b w:val="0"/>
          <w:bCs w:val="0"/>
          <w:color w:val="auto"/>
          <w:kern w:val="0"/>
          <w:sz w:val="24"/>
          <w:szCs w:val="24"/>
          <w:highlight w:val="none"/>
          <w:vertAlign w:val="superscript"/>
          <w:lang w:val="en-US" w:eastAsia="zh-CN" w:bidi="ar"/>
        </w:rPr>
        <w:t>2</w:t>
      </w:r>
      <w:r>
        <w:rPr>
          <w:rFonts w:hint="default" w:ascii="Times New Roman" w:hAnsi="Times New Roman" w:eastAsia="宋体" w:cs="Times New Roman"/>
          <w:b w:val="0"/>
          <w:bCs w:val="0"/>
          <w:color w:val="auto"/>
          <w:kern w:val="0"/>
          <w:sz w:val="24"/>
          <w:szCs w:val="24"/>
          <w:highlight w:val="none"/>
          <w:lang w:val="en-US" w:eastAsia="zh-CN" w:bidi="ar"/>
        </w:rPr>
        <w:t>。</w:t>
      </w:r>
    </w:p>
    <w:p w14:paraId="29FFCF05">
      <w:pPr>
        <w:spacing w:line="360" w:lineRule="auto"/>
        <w:ind w:firstLine="480" w:firstLineChars="200"/>
        <w:rPr>
          <w:rFonts w:hint="default" w:ascii="Times New Roman" w:hAnsi="Times New Roman" w:eastAsia="宋体" w:cs="Times New Roman"/>
          <w:b/>
          <w:bCs/>
          <w:color w:val="auto"/>
          <w:sz w:val="24"/>
          <w:highlight w:val="none"/>
        </w:rPr>
      </w:pPr>
      <w:r>
        <w:rPr>
          <w:rFonts w:hint="default" w:ascii="Times New Roman" w:hAnsi="Times New Roman" w:eastAsia="宋体" w:cs="Times New Roman"/>
          <w:b/>
          <w:bCs/>
          <w:color w:val="auto"/>
          <w:sz w:val="24"/>
          <w:highlight w:val="none"/>
          <w:lang w:eastAsia="zh-CN"/>
        </w:rPr>
        <w:t>综上，</w:t>
      </w:r>
      <w:r>
        <w:rPr>
          <w:rFonts w:hint="default" w:ascii="Times New Roman" w:hAnsi="Times New Roman" w:eastAsia="宋体" w:cs="Times New Roman"/>
          <w:b/>
          <w:bCs/>
          <w:color w:val="auto"/>
          <w:sz w:val="24"/>
          <w:highlight w:val="none"/>
          <w:lang w:val="en-US" w:eastAsia="zh-CN"/>
        </w:rPr>
        <w:t>本</w:t>
      </w:r>
      <w:r>
        <w:rPr>
          <w:rFonts w:hint="default" w:ascii="Times New Roman" w:hAnsi="Times New Roman" w:eastAsia="宋体" w:cs="Times New Roman"/>
          <w:b/>
          <w:bCs/>
          <w:color w:val="auto"/>
          <w:sz w:val="24"/>
          <w:highlight w:val="none"/>
        </w:rPr>
        <w:t>项目</w:t>
      </w:r>
      <w:r>
        <w:rPr>
          <w:rFonts w:hint="default" w:ascii="Times New Roman" w:hAnsi="Times New Roman" w:eastAsia="宋体" w:cs="Times New Roman"/>
          <w:b/>
          <w:bCs/>
          <w:color w:val="auto"/>
          <w:sz w:val="24"/>
          <w:highlight w:val="none"/>
          <w:lang w:val="en-US" w:eastAsia="zh-CN"/>
        </w:rPr>
        <w:t>建设</w:t>
      </w:r>
      <w:r>
        <w:rPr>
          <w:rFonts w:hint="default" w:ascii="Times New Roman" w:hAnsi="Times New Roman" w:eastAsia="宋体" w:cs="Times New Roman"/>
          <w:b/>
          <w:bCs/>
          <w:color w:val="auto"/>
          <w:sz w:val="24"/>
          <w:highlight w:val="none"/>
          <w:lang w:eastAsia="zh-CN"/>
        </w:rPr>
        <w:t>符合剑阁县普安镇相关规划</w:t>
      </w:r>
      <w:r>
        <w:rPr>
          <w:rFonts w:hint="default" w:ascii="Times New Roman" w:hAnsi="Times New Roman" w:eastAsia="宋体" w:cs="Times New Roman"/>
          <w:b/>
          <w:bCs/>
          <w:color w:val="auto"/>
          <w:sz w:val="24"/>
          <w:highlight w:val="none"/>
        </w:rPr>
        <w:t>。</w:t>
      </w:r>
    </w:p>
    <w:p w14:paraId="21DE3D87">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与国家及地方相关政策、规划符合性分析</w:t>
      </w:r>
    </w:p>
    <w:p w14:paraId="755E1CB0">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与《关于进一步加强城市生活垃圾处理工作意见的通知》符合性分析</w:t>
      </w:r>
    </w:p>
    <w:p w14:paraId="253095A9">
      <w:pPr>
        <w:pStyle w:val="14"/>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cs="Times New Roman"/>
          <w:color w:val="auto"/>
          <w:sz w:val="24"/>
          <w:highlight w:val="none"/>
          <w:lang w:val="en-US" w:eastAsia="zh-CN"/>
        </w:rPr>
        <w:t>根据《关于进一步加强城市生活垃圾处理工作意见的通知》（国发[2011]9 号）：“加强资源利用。全面推广废旧商品回收利用、焚烧发电、生物处理等生活垃圾资源化利用方式。加强可降解有机利用工作，组织开展城市餐厨垃圾资源化利用试点，统筹餐厨垃圾、园林垃圾、粪便等无害化处理和资源化利用，确保工艺柴油、肥料等资源化利用产品的质量和使用安全。加快生物质能源回收利用工作，提高生活垃圾焚烧发电和填埋气体发电的能源利用效率。”</w:t>
      </w:r>
    </w:p>
    <w:p w14:paraId="3A002CF4">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本项目为生活垃圾处理项目，项目绝氧热分解焚烧工艺，经处理后产生的产品作为土壤改良剂或炭基肥等外售，实现生活垃圾无害化处理和资源化利用。</w:t>
      </w:r>
      <w:r>
        <w:rPr>
          <w:rFonts w:hint="default" w:ascii="Times New Roman" w:hAnsi="Times New Roman" w:eastAsia="宋体" w:cs="Times New Roman"/>
          <w:b/>
          <w:bCs/>
          <w:color w:val="auto"/>
          <w:kern w:val="0"/>
          <w:sz w:val="24"/>
          <w:szCs w:val="24"/>
          <w:highlight w:val="none"/>
          <w:lang w:val="en-US" w:eastAsia="zh-CN" w:bidi="ar"/>
        </w:rPr>
        <w:t>本项目建设符合《关于进一步加强城市生活垃圾处理工作意见》（国发[2011]9 号）要求。</w:t>
      </w:r>
    </w:p>
    <w:p w14:paraId="69BEDB33">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与《城市生活垃圾处理及污染防治技术政策》符合性分析</w:t>
      </w:r>
    </w:p>
    <w:p w14:paraId="0412D3CA">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根据《城市生活垃圾处理政策及污染防治技术政策》（建城[2000]120号）：</w:t>
      </w:r>
    </w:p>
    <w:p w14:paraId="05C018A2">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1）卫生填埋、焚烧、堆肥、回收利用等垃圾处理技术及设备都有相应的适用条件，在坚持因地制宜、技术可行、设备可靠、适度规模、综合治理和利用的原则下，可以合理选择其中之一或适当组合。在具备卫生填埋场地资源和自然条件适宜的城市，以卫生填理作为垃圾处理的基本方案；在具备经济条件、垃圾热值条件和缺乏卫生填埋场地资源的城市，可发展焚烧处理技术；积极发展适宜的生物处理技术，鼓励采用综合处理方式。禁止垃圾随意倾倒和无控制堆放 。</w:t>
      </w:r>
    </w:p>
    <w:p w14:paraId="728DB091">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（2）</w:t>
      </w:r>
      <w:r>
        <w:rPr>
          <w:rFonts w:hint="default" w:ascii="Times New Roman" w:hAnsi="Times New Roman" w:cs="Times New Roman"/>
          <w:color w:val="auto"/>
          <w:spacing w:val="-1"/>
          <w:highlight w:val="none"/>
        </w:rPr>
        <w:t>垃圾收集和运输应密闭化</w:t>
      </w:r>
      <w:r>
        <w:rPr>
          <w:rFonts w:hint="default" w:ascii="Times New Roman" w:hAnsi="Times New Roman" w:cs="Times New Roman"/>
          <w:color w:val="auto"/>
          <w:spacing w:val="-1"/>
          <w:highlight w:val="none"/>
          <w:lang w:eastAsia="zh-CN"/>
        </w:rPr>
        <w:t>，</w:t>
      </w:r>
      <w:r>
        <w:rPr>
          <w:rFonts w:hint="default" w:ascii="Times New Roman" w:hAnsi="Times New Roman" w:cs="Times New Roman"/>
          <w:color w:val="auto"/>
          <w:spacing w:val="-1"/>
          <w:highlight w:val="none"/>
        </w:rPr>
        <w:t>防止暴露、散落和滴漏。鼓励采</w:t>
      </w:r>
      <w:r>
        <w:rPr>
          <w:rFonts w:hint="default" w:ascii="Times New Roman" w:hAnsi="Times New Roman" w:cs="Times New Roman"/>
          <w:color w:val="auto"/>
          <w:spacing w:val="11"/>
          <w:highlight w:val="none"/>
        </w:rPr>
        <w:t xml:space="preserve"> </w:t>
      </w:r>
      <w:r>
        <w:rPr>
          <w:rFonts w:hint="default" w:ascii="Times New Roman" w:hAnsi="Times New Roman" w:cs="Times New Roman"/>
          <w:color w:val="auto"/>
          <w:spacing w:val="-1"/>
          <w:highlight w:val="none"/>
        </w:rPr>
        <w:t>用压缩式收集和运输方式。尽快淘汰敞开式收集和运输方式</w:t>
      </w:r>
      <w:r>
        <w:rPr>
          <w:rFonts w:hint="default" w:ascii="Times New Roman" w:hAnsi="Times New Roman" w:cs="Times New Roman"/>
          <w:color w:val="auto"/>
          <w:spacing w:val="-1"/>
          <w:highlight w:val="none"/>
          <w:lang w:eastAsia="zh-CN"/>
        </w:rPr>
        <w:t>。</w:t>
      </w:r>
      <w:r>
        <w:rPr>
          <w:rFonts w:hint="default" w:ascii="Times New Roman" w:hAnsi="Times New Roman" w:cs="Times New Roman"/>
          <w:color w:val="auto"/>
          <w:sz w:val="24"/>
          <w:highlight w:val="none"/>
          <w:lang w:val="en-US" w:eastAsia="zh-CN"/>
        </w:rPr>
        <w:t xml:space="preserve"> </w:t>
      </w:r>
    </w:p>
    <w:p w14:paraId="29D7A716">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（3）垃圾焚烧应严格按照《生活垃圾焚烧污染控制标准》等有关标准要求，对烟气、污水、炉渣、飞灰、臭气和噪声等进行控制和处理，防止对环境的污染。</w:t>
      </w:r>
    </w:p>
    <w:p w14:paraId="032A0A85">
      <w:pPr>
        <w:pStyle w:val="14"/>
        <w:rPr>
          <w:rFonts w:hint="default" w:ascii="Times New Roman" w:hAnsi="Times New Roman" w:cs="Times New Roman" w:eastAsiaTheme="minorEastAsia"/>
          <w:color w:val="auto"/>
          <w:sz w:val="24"/>
          <w:highlight w:val="none"/>
          <w:lang w:val="en-US" w:eastAsia="zh-CN"/>
        </w:rPr>
      </w:pPr>
      <w:r>
        <w:rPr>
          <w:rFonts w:hint="default" w:ascii="Times New Roman" w:hAnsi="Times New Roman" w:cs="Times New Roman"/>
          <w:color w:val="auto"/>
          <w:sz w:val="24"/>
          <w:highlight w:val="none"/>
          <w:lang w:val="en-US" w:eastAsia="zh-CN"/>
        </w:rPr>
        <w:t>（4）</w:t>
      </w:r>
      <w:r>
        <w:rPr>
          <w:rFonts w:hint="default" w:ascii="Times New Roman" w:hAnsi="Times New Roman" w:cs="Times New Roman"/>
          <w:color w:val="auto"/>
          <w:spacing w:val="-1"/>
          <w:highlight w:val="none"/>
        </w:rPr>
        <w:t>应采用先进和可靠的技术及设备，严格控制垃圾焚烧的烟气</w:t>
      </w:r>
      <w:r>
        <w:rPr>
          <w:rFonts w:hint="default" w:ascii="Times New Roman" w:hAnsi="Times New Roman" w:cs="Times New Roman"/>
          <w:color w:val="auto"/>
          <w:spacing w:val="9"/>
          <w:highlight w:val="none"/>
        </w:rPr>
        <w:t xml:space="preserve"> </w:t>
      </w:r>
      <w:r>
        <w:rPr>
          <w:rFonts w:hint="default" w:ascii="Times New Roman" w:hAnsi="Times New Roman" w:cs="Times New Roman"/>
          <w:color w:val="auto"/>
          <w:spacing w:val="-1"/>
          <w:highlight w:val="none"/>
        </w:rPr>
        <w:t>排放。烟气处理宜采用半干法加布袋除尘工艺</w:t>
      </w:r>
      <w:r>
        <w:rPr>
          <w:rFonts w:hint="default" w:ascii="Times New Roman" w:hAnsi="Times New Roman" w:cs="Times New Roman"/>
          <w:color w:val="auto"/>
          <w:spacing w:val="-1"/>
          <w:highlight w:val="none"/>
          <w:lang w:eastAsia="zh-CN"/>
        </w:rPr>
        <w:t>。</w:t>
      </w:r>
    </w:p>
    <w:p w14:paraId="07CDD4B0">
      <w:pPr>
        <w:pStyle w:val="14"/>
        <w:rPr>
          <w:rFonts w:hint="default" w:ascii="Times New Roman" w:hAnsi="Times New Roman" w:cs="Times New Roman"/>
          <w:b/>
          <w:bCs/>
          <w:color w:val="auto"/>
          <w:sz w:val="24"/>
          <w:highlight w:val="none"/>
          <w:lang w:val="en-US" w:eastAsia="zh-CN"/>
        </w:rPr>
      </w:pPr>
      <w:r>
        <w:rPr>
          <w:rFonts w:hint="default" w:ascii="Times New Roman" w:hAnsi="Times New Roman" w:cs="Times New Roman"/>
          <w:color w:val="auto"/>
          <w:sz w:val="24"/>
          <w:highlight w:val="none"/>
          <w:lang w:val="en-US" w:eastAsia="zh-CN"/>
        </w:rPr>
        <w:t>本项目为生活垃圾处理项目，项目采用</w:t>
      </w:r>
      <w:r>
        <w:rPr>
          <w:rFonts w:hint="default" w:ascii="Times New Roman" w:hAnsi="Times New Roman" w:cs="Times New Roman" w:eastAsiaTheme="minorEastAsia"/>
          <w:color w:val="auto"/>
          <w:sz w:val="24"/>
          <w:szCs w:val="24"/>
          <w:highlight w:val="none"/>
          <w:lang w:eastAsia="zh-CN"/>
        </w:rPr>
        <w:t>绝氧热分解焚烧工艺</w:t>
      </w:r>
      <w:r>
        <w:rPr>
          <w:rFonts w:hint="default" w:ascii="Times New Roman" w:hAnsi="Times New Roman" w:cs="Times New Roman"/>
          <w:color w:val="auto"/>
          <w:sz w:val="24"/>
          <w:highlight w:val="none"/>
          <w:lang w:val="en-US" w:eastAsia="zh-CN"/>
        </w:rPr>
        <w:t>，经处理后产生的产品作为土壤改良剂或炭基肥等外售，实现生活垃圾无害化处理和资源化利用。本项目垃圾在收集、运输过程中采用专用封闭式运输，不泄漏、撒落，项目严格按照《生活垃圾焚烧污染控制标准》中要求，对烟气、污水、残渣、飞灰及臭气、噪声等进行控制和处理，防止对环境的污染；本项目垃圾热解气净化采用“喷淋脱酸除雾+ 电捕焦油”的组合热解气净化工艺，经净化后储存于厂区东北侧围墙外气罐中（2000m³），通过管道全部用于热解回转窑燃烧供能，燃烧废气经“</w:t>
      </w:r>
      <w:r>
        <w:rPr>
          <w:rFonts w:hint="eastAsia" w:cs="Times New Roman"/>
          <w:color w:val="auto"/>
          <w:sz w:val="24"/>
          <w:highlight w:val="none"/>
          <w:lang w:val="en-US" w:eastAsia="zh-CN"/>
        </w:rPr>
        <w:t>SNCR+湿式喷淋脱酸除雾+活性炭吸附+布袋除尘</w:t>
      </w:r>
      <w:r>
        <w:rPr>
          <w:rFonts w:hint="default" w:ascii="Times New Roman" w:hAnsi="Times New Roman" w:cs="Times New Roman"/>
          <w:color w:val="auto"/>
          <w:sz w:val="24"/>
          <w:highlight w:val="none"/>
          <w:lang w:val="en-US" w:eastAsia="zh-CN"/>
        </w:rPr>
        <w:t>+单元制烟囱”处理后可达到相应标准。</w:t>
      </w:r>
    </w:p>
    <w:p w14:paraId="1A31C6C8">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与《“十四五”全国城镇生活垃圾无害化处理设施建设规划》的符合性分析</w:t>
      </w:r>
    </w:p>
    <w:p w14:paraId="2AD2973E">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 xml:space="preserve">根据《“十四五”全国城镇生活垃圾无害化处理设施建设规划》：“（二）全面推进生活垃圾焚烧设施建设”，“1、加强垃圾焚烧设施规划布局。......统筹规划生活垃圾焚烧处理设施，依法依规做好生活垃圾焚烧项目选址工作，鼓励既有生活垃圾处理设施用地建设生活垃圾焚烧项目。” </w:t>
      </w:r>
    </w:p>
    <w:p w14:paraId="440D944A">
      <w:pPr>
        <w:pStyle w:val="14"/>
        <w:rPr>
          <w:rFonts w:hint="default" w:ascii="Times New Roman" w:hAnsi="Times New Roman" w:cs="Times New Roman"/>
          <w:b/>
          <w:bCs/>
          <w:color w:val="auto"/>
          <w:sz w:val="24"/>
          <w:highlight w:val="none"/>
          <w:lang w:val="en-US" w:eastAsia="zh-CN"/>
        </w:rPr>
      </w:pPr>
      <w:r>
        <w:rPr>
          <w:rFonts w:hint="default" w:ascii="Times New Roman" w:hAnsi="Times New Roman" w:cs="Times New Roman"/>
          <w:color w:val="auto"/>
          <w:sz w:val="24"/>
          <w:highlight w:val="none"/>
          <w:lang w:val="en-US" w:eastAsia="zh-CN"/>
        </w:rPr>
        <w:t>本项目为生活垃圾处理项目，项目绝氧热分解焚烧工艺，经处理后产生的产品作为土壤改良剂或炭基肥等外售，实现生活垃圾无害化处理和资源化利用。</w:t>
      </w:r>
      <w:r>
        <w:rPr>
          <w:rFonts w:hint="default" w:ascii="Times New Roman" w:hAnsi="Times New Roman" w:cs="Times New Roman"/>
          <w:b/>
          <w:bCs/>
          <w:color w:val="auto"/>
          <w:sz w:val="24"/>
          <w:highlight w:val="none"/>
          <w:lang w:val="en-US" w:eastAsia="zh-CN"/>
        </w:rPr>
        <w:t>本项目建设符合《“十四五”全国城镇生活垃圾无害化处理设施建设规划》相关要求。</w:t>
      </w:r>
    </w:p>
    <w:p w14:paraId="7BD94920">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与《四川省城乡环境综合治理条例》的符合性分析</w:t>
      </w:r>
    </w:p>
    <w:p w14:paraId="3050C5BB">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根据《四川省城乡环境综合治理条例》：城市、县人民政府应当建立健全城乡环境卫生作业市场机制，鼓励组建城乡环境卫生作业公司，参与城乡道路清扫、垃圾清运、公共厕所保洁、园林绿地维护、餐厨垃圾处理等作业。地方各级人民政府应当按照规划逐步实施以垃圾焚烧发电为主的生活垃圾处理模式。</w:t>
      </w:r>
    </w:p>
    <w:p w14:paraId="50C7FDB5">
      <w:pPr>
        <w:pStyle w:val="14"/>
        <w:rPr>
          <w:rFonts w:hint="default" w:ascii="Times New Roman" w:hAnsi="Times New Roman" w:cs="Times New Roman"/>
          <w:b/>
          <w:bCs/>
          <w:color w:val="auto"/>
          <w:sz w:val="24"/>
          <w:highlight w:val="none"/>
          <w:lang w:val="en-US" w:eastAsia="zh-CN"/>
        </w:rPr>
      </w:pPr>
      <w:r>
        <w:rPr>
          <w:rFonts w:hint="default" w:ascii="Times New Roman" w:hAnsi="Times New Roman" w:cs="Times New Roman"/>
          <w:color w:val="auto"/>
          <w:sz w:val="24"/>
          <w:highlight w:val="none"/>
          <w:lang w:val="en-US" w:eastAsia="zh-CN"/>
        </w:rPr>
        <w:t>本项目属生活垃圾集中处置项目，</w:t>
      </w:r>
      <w:r>
        <w:rPr>
          <w:rFonts w:hint="default" w:ascii="Times New Roman" w:hAnsi="Times New Roman" w:cs="Times New Roman" w:eastAsiaTheme="minorEastAsia"/>
          <w:color w:val="auto"/>
          <w:sz w:val="24"/>
          <w:szCs w:val="24"/>
          <w:highlight w:val="none"/>
          <w:lang w:val="en-US" w:eastAsia="zh-CN"/>
        </w:rPr>
        <w:t>采用</w:t>
      </w:r>
      <w:r>
        <w:rPr>
          <w:rFonts w:hint="default" w:ascii="Times New Roman" w:hAnsi="Times New Roman" w:cs="Times New Roman" w:eastAsiaTheme="minorEastAsia"/>
          <w:color w:val="auto"/>
          <w:sz w:val="24"/>
          <w:szCs w:val="24"/>
          <w:highlight w:val="none"/>
          <w:lang w:eastAsia="zh-CN"/>
        </w:rPr>
        <w:t>绝氧热分解焚烧工艺。</w:t>
      </w:r>
      <w:r>
        <w:rPr>
          <w:rFonts w:hint="default" w:ascii="Times New Roman" w:hAnsi="Times New Roman" w:cs="Times New Roman"/>
          <w:color w:val="auto"/>
          <w:sz w:val="24"/>
          <w:highlight w:val="none"/>
          <w:lang w:val="en-US" w:eastAsia="zh-CN"/>
        </w:rPr>
        <w:t>用</w:t>
      </w:r>
      <w:r>
        <w:rPr>
          <w:rFonts w:hint="default" w:ascii="Times New Roman" w:hAnsi="Times New Roman" w:cs="Times New Roman"/>
          <w:b/>
          <w:bCs/>
          <w:color w:val="auto"/>
          <w:sz w:val="24"/>
          <w:highlight w:val="none"/>
          <w:lang w:val="en-US" w:eastAsia="zh-CN"/>
        </w:rPr>
        <w:t xml:space="preserve">项目建设符合《四川省城乡环境综合治理条例》文件要求。 </w:t>
      </w:r>
    </w:p>
    <w:p w14:paraId="1F199484">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与《四川省“十四五”生态环境保护规划》的符合性分析</w:t>
      </w:r>
    </w:p>
    <w:p w14:paraId="47C9F48C">
      <w:pPr>
        <w:keepNext w:val="0"/>
        <w:keepLines w:val="0"/>
        <w:widowControl/>
        <w:suppressLineNumbers w:val="0"/>
        <w:ind w:firstLine="480" w:firstLineChars="200"/>
        <w:jc w:val="left"/>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根据《四川省“十四五”生态环境保护规划》：强化固体废弃物分类处置。加强源头减量。保障处置能力建设。。......严格生活垃圾分类管控，推进生活垃圾中有害垃圾收集与处置；持续推进工业固体废物、生活垃圾、建筑垃圾、农业废弃物等固体废物处置设施建设……到2025年，城市生活垃圾焚烧处理能力占比达到60%。</w:t>
      </w:r>
    </w:p>
    <w:p w14:paraId="0AE6EE4E">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本项目为生活垃圾处理项目，本项目建设有利于推进生活垃圾无害化，项目采用绝氧热分解焚烧工艺，经处理后产生的产品作为土壤改良剂或炭基肥等外售，实现生活垃圾无害化处理和资源化利用。</w:t>
      </w:r>
      <w:r>
        <w:rPr>
          <w:rFonts w:hint="default" w:ascii="Times New Roman" w:hAnsi="Times New Roman" w:cs="Times New Roman"/>
          <w:b/>
          <w:bCs/>
          <w:color w:val="auto"/>
          <w:sz w:val="24"/>
          <w:highlight w:val="none"/>
          <w:lang w:val="en-US" w:eastAsia="zh-CN"/>
        </w:rPr>
        <w:t>本项目建设符合《四川省“十四五”生态环境保护规划》相关要求。</w:t>
      </w:r>
    </w:p>
    <w:p w14:paraId="122845F6">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与《广元市“十四五”生态环境保护规划》的符合性分析</w:t>
      </w:r>
    </w:p>
    <w:p w14:paraId="54C61044">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根据《</w:t>
      </w:r>
      <w:r>
        <w:rPr>
          <w:rFonts w:hint="default" w:ascii="Times New Roman" w:hAnsi="Times New Roman" w:cs="Times New Roman"/>
          <w:color w:val="auto"/>
          <w:highlight w:val="none"/>
          <w:lang w:val="en-US" w:eastAsia="zh-CN"/>
        </w:rPr>
        <w:t>广元市“十四五”生态环境保护规划</w:t>
      </w:r>
      <w:r>
        <w:rPr>
          <w:rFonts w:hint="default" w:ascii="Times New Roman" w:hAnsi="Times New Roman" w:cs="Times New Roman"/>
          <w:color w:val="auto"/>
          <w:sz w:val="24"/>
          <w:highlight w:val="none"/>
          <w:lang w:val="en-US" w:eastAsia="zh-CN"/>
        </w:rPr>
        <w:t>》：强化固体废弃物安全处理处置。加强生活垃圾无害化处理。......按照“近期大分流，远期细分类”的思路，推进生活垃圾分类减量与资源化利用处置……进一步健全完善城乡生活垃圾分类投放、分类收集、分类转运、分类处理系统，逐步改变一填埋为主的处置方式，提高垃圾焚烧处理比例。促进餐厨垃圾资源化利用，实现污泥无害化、资源化处置。</w:t>
      </w:r>
    </w:p>
    <w:p w14:paraId="2E0144B2">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本项目为城乡生活垃圾处理项目，项目建设有利于推进城乡生活垃圾无害化，项目采用绝氧热分解焚烧工艺，经处理后产生的产品作为土壤改良剂或炭基肥等外售，实现生活垃圾无害化处理和资源化利用。</w:t>
      </w:r>
      <w:r>
        <w:rPr>
          <w:rFonts w:hint="default" w:ascii="Times New Roman" w:hAnsi="Times New Roman" w:cs="Times New Roman"/>
          <w:b/>
          <w:bCs/>
          <w:color w:val="auto"/>
          <w:sz w:val="24"/>
          <w:highlight w:val="none"/>
          <w:lang w:val="en-US" w:eastAsia="zh-CN"/>
        </w:rPr>
        <w:t>本项目建设符合《广元市“十四五”生态环境保护规划》相关要求。</w:t>
      </w:r>
    </w:p>
    <w:p w14:paraId="2F7FFB54">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与《四川广元市城乡生活垃圾处理设施建设三年推进实施方案（2021-2023年）》的符合性分析</w:t>
      </w:r>
    </w:p>
    <w:p w14:paraId="56FC117D">
      <w:pPr>
        <w:pStyle w:val="14"/>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根据《四川广元市城乡生活垃圾处理设施建设三年推进实施方案（2021-2023年）》：推进生活垃圾分类和处理设施建设。全面推进焚烧处理能力建设，生活垃圾日清运量超过300吨的地区，加快发展以焚烧为主的垃圾处理方式，到2023年基本实现原生生活垃圾“零填埋”；生活垃圾日清运量不足300吨的地区，建设高温热解等小型生活垃圾焚烧设施，原则上不再新建原生生活垃圾填埋场，现有生活垃圾填埋场主要作为应急保障。苍溪县、剑阁县要加快生活垃圾高温热解项目建设，青川县、朝天区要对生活垃圾处置厂（场）进厂（场）道路进行改造，满足清运需求。积极推进市生活垃圾焚烧发电提标改造，同步加快飞灰、渗滤液、残渣处置设施和可回收物分拣、大件垃圾处理设施建设。</w:t>
      </w:r>
    </w:p>
    <w:p w14:paraId="742FFC88">
      <w:pPr>
        <w:pStyle w:val="14"/>
        <w:rPr>
          <w:rFonts w:hint="default" w:ascii="Times New Roman" w:hAnsi="Times New Roman" w:cs="Times New Roman"/>
          <w:b/>
          <w:bCs/>
          <w:color w:val="auto"/>
          <w:sz w:val="24"/>
          <w:highlight w:val="none"/>
          <w:lang w:val="en-US" w:eastAsia="zh-CN"/>
        </w:rPr>
      </w:pPr>
      <w:r>
        <w:rPr>
          <w:rFonts w:hint="default" w:ascii="Times New Roman" w:hAnsi="Times New Roman" w:cs="Times New Roman"/>
          <w:color w:val="auto"/>
          <w:sz w:val="24"/>
          <w:highlight w:val="none"/>
          <w:lang w:val="en-US" w:eastAsia="zh-CN"/>
        </w:rPr>
        <w:t>本项目为城乡生活垃圾处理项目，项目采用绝氧热分解焚烧工艺，</w:t>
      </w:r>
      <w:r>
        <w:rPr>
          <w:rFonts w:hint="default" w:ascii="Times New Roman" w:hAnsi="Times New Roman" w:cs="Times New Roman"/>
          <w:b/>
          <w:bCs/>
          <w:color w:val="auto"/>
          <w:sz w:val="24"/>
          <w:highlight w:val="none"/>
          <w:lang w:val="en-US" w:eastAsia="zh-CN"/>
        </w:rPr>
        <w:t>符合《四川广元市城乡生活垃圾处理设施建设三年推进实施方案（2021-2023年）》相关要求。</w:t>
      </w:r>
    </w:p>
    <w:p w14:paraId="74A52548">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与《广元市城市市容和环境卫生管理条例》的符合性分析</w:t>
      </w:r>
    </w:p>
    <w:p w14:paraId="2E9D34F4">
      <w:pPr>
        <w:pStyle w:val="14"/>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《广元市城市市容和环境卫生管理条例》中第四十三条规定：市、县（区）人民政府应当按照规划逐步实施以垃圾焚烧发电为主的垃圾处理模式。</w:t>
      </w:r>
    </w:p>
    <w:p w14:paraId="4599EBCB">
      <w:pPr>
        <w:pStyle w:val="14"/>
        <w:rPr>
          <w:rFonts w:hint="default" w:ascii="Times New Roman" w:hAnsi="Times New Roman" w:cs="Times New Roman"/>
          <w:b/>
          <w:bCs/>
          <w:color w:val="auto"/>
          <w:sz w:val="24"/>
          <w:highlight w:val="none"/>
          <w:lang w:val="en-US" w:eastAsia="zh-CN"/>
        </w:rPr>
      </w:pPr>
      <w:r>
        <w:rPr>
          <w:rFonts w:hint="default" w:ascii="Times New Roman" w:hAnsi="Times New Roman" w:cs="Times New Roman"/>
          <w:color w:val="auto"/>
          <w:sz w:val="24"/>
          <w:highlight w:val="none"/>
          <w:lang w:val="en-US" w:eastAsia="zh-CN"/>
        </w:rPr>
        <w:t>本项目为城乡生活垃圾处理项目，项目建设有利于推进生活垃圾无害化，项目采用绝氧热分解焚烧工艺，经处理后产生的产品作为土壤改良剂或炭基肥等外售，实现生活垃圾无害化处理和资源化利用。因此，</w:t>
      </w:r>
      <w:r>
        <w:rPr>
          <w:rFonts w:hint="default" w:ascii="Times New Roman" w:hAnsi="Times New Roman" w:cs="Times New Roman"/>
          <w:b/>
          <w:bCs/>
          <w:color w:val="auto"/>
          <w:sz w:val="24"/>
          <w:highlight w:val="none"/>
          <w:lang w:val="en-US" w:eastAsia="zh-CN"/>
        </w:rPr>
        <w:t>本项目符合《广元市城市市容和环境卫生管理条例》文件要求。</w:t>
      </w:r>
    </w:p>
    <w:p w14:paraId="748202EB">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与环保相关法律法规符合性分析</w:t>
      </w:r>
    </w:p>
    <w:p w14:paraId="2B1E6BE0">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与国家及地方大气污染防治规范性文件符合性分析</w:t>
      </w:r>
    </w:p>
    <w:p w14:paraId="4E0AACB7">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 w:cs="Times New Roman"/>
          <w:color w:val="auto"/>
          <w:kern w:val="0"/>
          <w:sz w:val="24"/>
          <w:szCs w:val="24"/>
          <w:highlight w:val="none"/>
          <w:lang w:val="en-US" w:eastAsia="zh-CN" w:bidi="ar"/>
        </w:rPr>
        <w:t>本项目与大气污染防治相关文件的符合性分析见下表。</w:t>
      </w:r>
    </w:p>
    <w:p w14:paraId="09167384">
      <w:pPr>
        <w:keepNext w:val="0"/>
        <w:keepLines w:val="0"/>
        <w:widowControl/>
        <w:suppressLineNumbers w:val="0"/>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本项目与大气污染防治相关文件符合性分析</w:t>
      </w:r>
    </w:p>
    <w:tbl>
      <w:tblPr>
        <w:tblStyle w:val="35"/>
        <w:tblW w:w="4996" w:type="pct"/>
        <w:jc w:val="center"/>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276"/>
        <w:gridCol w:w="3554"/>
        <w:gridCol w:w="3337"/>
        <w:gridCol w:w="1114"/>
      </w:tblGrid>
      <w:tr w14:paraId="08433868">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tblHeader/>
          <w:jc w:val="center"/>
        </w:trPr>
        <w:tc>
          <w:tcPr>
            <w:tcW w:w="687" w:type="pct"/>
            <w:tcBorders>
              <w:tl2br w:val="nil"/>
              <w:tr2bl w:val="nil"/>
            </w:tcBorders>
            <w:vAlign w:val="center"/>
          </w:tcPr>
          <w:p w14:paraId="4D73CB6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大气污染防治规划文件</w:t>
            </w:r>
          </w:p>
        </w:tc>
        <w:tc>
          <w:tcPr>
            <w:tcW w:w="1914" w:type="pct"/>
            <w:tcBorders>
              <w:tl2br w:val="nil"/>
              <w:tr2bl w:val="nil"/>
            </w:tcBorders>
            <w:vAlign w:val="center"/>
          </w:tcPr>
          <w:p w14:paraId="69984D7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规范文件的相关内容</w:t>
            </w:r>
          </w:p>
        </w:tc>
        <w:tc>
          <w:tcPr>
            <w:tcW w:w="1797" w:type="pct"/>
            <w:tcBorders>
              <w:tl2br w:val="nil"/>
              <w:tr2bl w:val="nil"/>
            </w:tcBorders>
            <w:vAlign w:val="center"/>
          </w:tcPr>
          <w:p w14:paraId="74B7685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本项目情况</w:t>
            </w:r>
          </w:p>
        </w:tc>
        <w:tc>
          <w:tcPr>
            <w:tcW w:w="600" w:type="pct"/>
            <w:tcBorders>
              <w:tl2br w:val="nil"/>
              <w:tr2bl w:val="nil"/>
            </w:tcBorders>
            <w:vAlign w:val="center"/>
          </w:tcPr>
          <w:p w14:paraId="5B6368B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符合性</w:t>
            </w:r>
          </w:p>
        </w:tc>
      </w:tr>
      <w:tr w14:paraId="0DE5FF16">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87" w:type="pct"/>
            <w:tcBorders>
              <w:tl2br w:val="nil"/>
              <w:tr2bl w:val="nil"/>
            </w:tcBorders>
            <w:vAlign w:val="center"/>
          </w:tcPr>
          <w:p w14:paraId="1E800BE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《中华人民共和国大气污染防治法》</w:t>
            </w:r>
          </w:p>
        </w:tc>
        <w:tc>
          <w:tcPr>
            <w:tcW w:w="1914" w:type="pct"/>
            <w:tcBorders>
              <w:tl2br w:val="nil"/>
              <w:tr2bl w:val="nil"/>
            </w:tcBorders>
            <w:vAlign w:val="center"/>
          </w:tcPr>
          <w:p w14:paraId="5073E76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企业事业单位和其他生产经营者在生产经营活动中产生恶臭气体的，应当科学选址，设置合理的防护距离，并安装净化装置或者采取其他措施，防止排放恶臭气体。</w:t>
            </w:r>
          </w:p>
        </w:tc>
        <w:tc>
          <w:tcPr>
            <w:tcW w:w="3337" w:type="dxa"/>
            <w:tcBorders>
              <w:tl2br w:val="nil"/>
              <w:tr2bl w:val="nil"/>
            </w:tcBorders>
            <w:vAlign w:val="center"/>
          </w:tcPr>
          <w:p w14:paraId="092FE178">
            <w:pPr>
              <w:keepNext w:val="0"/>
              <w:keepLines w:val="0"/>
              <w:widowControl w:val="0"/>
              <w:suppressLineNumbers w:val="0"/>
              <w:spacing w:before="0" w:beforeAutospacing="0" w:after="0" w:afterAutospacing="0" w:line="240" w:lineRule="auto"/>
              <w:ind w:left="-6" w:leftChars="0" w:right="0" w:rightChars="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 xml:space="preserve"> 本项目恶臭气体主要来源于垃圾预处理车间。本项目采用“活性炭吸附+光氧催化”工艺进行臭气处理，涉及的工艺设备有活性炭除臭塔（1台）、光氧除臭器（1套）和集齐管道（1套）。本项目垃圾预处理车间密闭，并采用微负压系统，确保了臭气不外溢。臭气通过引风机抽入集齐管道内，经管道收集后送入光氧除臭器催化和活性炭除臭塔吸附后，通过15m高排气筒排入大气。</w:t>
            </w:r>
          </w:p>
        </w:tc>
        <w:tc>
          <w:tcPr>
            <w:tcW w:w="600" w:type="pct"/>
            <w:tcBorders>
              <w:tl2br w:val="nil"/>
              <w:tr2bl w:val="nil"/>
            </w:tcBorders>
            <w:vAlign w:val="center"/>
          </w:tcPr>
          <w:p w14:paraId="17B403D8">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rPr>
            </w:pPr>
            <w:r>
              <w:rPr>
                <w:rFonts w:hint="default" w:ascii="Times New Roman" w:hAnsi="Times New Roman" w:eastAsia="宋体" w:cs="Times New Roman"/>
                <w:color w:val="auto"/>
                <w:kern w:val="2"/>
                <w:sz w:val="20"/>
                <w:szCs w:val="20"/>
                <w:highlight w:val="none"/>
                <w:lang w:eastAsia="zh-CN"/>
              </w:rPr>
              <w:t>符合</w:t>
            </w:r>
          </w:p>
        </w:tc>
      </w:tr>
      <w:tr w14:paraId="42D1157A">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87" w:type="pct"/>
            <w:tcBorders>
              <w:tl2br w:val="nil"/>
              <w:tr2bl w:val="nil"/>
            </w:tcBorders>
            <w:vAlign w:val="center"/>
          </w:tcPr>
          <w:p w14:paraId="05369F3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《国务院关于印发大气污染防治行动计划的通 知》（国发 〔2013〕37 号）</w:t>
            </w:r>
          </w:p>
        </w:tc>
        <w:tc>
          <w:tcPr>
            <w:tcW w:w="1914" w:type="pct"/>
            <w:tcBorders>
              <w:tl2br w:val="nil"/>
              <w:tr2bl w:val="nil"/>
            </w:tcBorders>
            <w:vAlign w:val="center"/>
          </w:tcPr>
          <w:p w14:paraId="1017CD3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（二）深化面源污染治理。综合整治城市扬尘。加强施工扬尘监管，积极推进绿色施工，建设工程施工现场应全封闭设置围挡墙，严禁敞开式作业，施工现场 道路应进行地面硬化。渣土运输车辆应采取密闭措施，并逐步安装卫星定位系统。推行道路机械化清扫等低尘作业方式。大型煤堆、料堆要实现封闭储存或建设 防风抑尘设施。推进城市及周边 绿化和防风防沙林建设，扩大城 市建成区绿地规模。</w:t>
            </w:r>
          </w:p>
        </w:tc>
        <w:tc>
          <w:tcPr>
            <w:tcW w:w="3337" w:type="dxa"/>
            <w:tcBorders>
              <w:tl2br w:val="nil"/>
              <w:tr2bl w:val="nil"/>
            </w:tcBorders>
            <w:vAlign w:val="center"/>
          </w:tcPr>
          <w:p w14:paraId="4C09BC20">
            <w:pPr>
              <w:keepNext w:val="0"/>
              <w:keepLines w:val="0"/>
              <w:widowControl/>
              <w:suppressLineNumbers w:val="0"/>
              <w:spacing w:before="0" w:beforeAutospacing="0" w:after="0" w:afterAutospacing="0" w:line="240" w:lineRule="auto"/>
              <w:ind w:left="0" w:leftChars="0" w:right="0" w:rightChars="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本项目施工期采取相关污染防治措施，采用围挡施工，进场道路采用水泥地面硬化，建筑材料及土石方运输车辆采用篷布遮盖，施工场地临时堆场采用密目网覆盖，通过洒水抑等。</w:t>
            </w:r>
          </w:p>
        </w:tc>
        <w:tc>
          <w:tcPr>
            <w:tcW w:w="600" w:type="pct"/>
            <w:tcBorders>
              <w:tl2br w:val="nil"/>
              <w:tr2bl w:val="nil"/>
            </w:tcBorders>
            <w:vAlign w:val="center"/>
          </w:tcPr>
          <w:p w14:paraId="3B4C10A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2280DE99">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87" w:type="pct"/>
            <w:tcBorders>
              <w:tl2br w:val="nil"/>
              <w:tr2bl w:val="nil"/>
            </w:tcBorders>
            <w:vAlign w:val="center"/>
          </w:tcPr>
          <w:p w14:paraId="0E99691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《四川省人民政府关于印发四川省 打赢蓝天保 卫战等九个 实施方案的 通知》（川 府发〔2019〕 4 号）—《四 川省打赢蓝 天保卫战实 施方案》</w:t>
            </w:r>
          </w:p>
        </w:tc>
        <w:tc>
          <w:tcPr>
            <w:tcW w:w="1914" w:type="pct"/>
            <w:tcBorders>
              <w:tl2br w:val="nil"/>
              <w:tr2bl w:val="nil"/>
            </w:tcBorders>
            <w:vAlign w:val="center"/>
          </w:tcPr>
          <w:p w14:paraId="6431925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开展燃煤锅炉综合整治。加快燃煤小锅炉淘汰力度。到 2020 年，县级及以上城市建成区全面淘汰每小时 10 蒸吨及以下燃煤锅炉，原则上不再新建每小时 35 蒸吨 以下的燃煤锅炉；其他地区原则上不再新建每小时 10 蒸吨以下的燃煤锅炉。</w:t>
            </w:r>
          </w:p>
        </w:tc>
        <w:tc>
          <w:tcPr>
            <w:tcW w:w="1797" w:type="pct"/>
            <w:tcBorders>
              <w:tl2br w:val="nil"/>
              <w:tr2bl w:val="nil"/>
            </w:tcBorders>
            <w:vAlign w:val="center"/>
          </w:tcPr>
          <w:p w14:paraId="6AEC3E1B">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本项目不涉及燃煤锅炉的使用，</w:t>
            </w:r>
            <w:r>
              <w:rPr>
                <w:rFonts w:hint="eastAsia" w:ascii="Times New Roman" w:hAnsi="Times New Roman" w:eastAsia="宋体" w:cs="Times New Roman"/>
                <w:color w:val="auto"/>
                <w:kern w:val="0"/>
                <w:sz w:val="20"/>
                <w:szCs w:val="20"/>
                <w:highlight w:val="none"/>
                <w:lang w:val="en-US" w:eastAsia="zh-CN" w:bidi="ar"/>
              </w:rPr>
              <w:t>热解供热装置</w:t>
            </w:r>
            <w:r>
              <w:rPr>
                <w:rFonts w:hint="default" w:ascii="Times New Roman" w:hAnsi="Times New Roman" w:eastAsia="宋体" w:cs="Times New Roman"/>
                <w:color w:val="auto"/>
                <w:kern w:val="0"/>
                <w:sz w:val="20"/>
                <w:szCs w:val="20"/>
                <w:highlight w:val="none"/>
                <w:lang w:val="en-US" w:eastAsia="zh-CN" w:bidi="ar"/>
              </w:rPr>
              <w:t>采用低氮燃烧。</w:t>
            </w:r>
          </w:p>
        </w:tc>
        <w:tc>
          <w:tcPr>
            <w:tcW w:w="600" w:type="pct"/>
            <w:tcBorders>
              <w:tl2br w:val="nil"/>
              <w:tr2bl w:val="nil"/>
            </w:tcBorders>
            <w:vAlign w:val="center"/>
          </w:tcPr>
          <w:p w14:paraId="6A78730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40A73CA8">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87" w:type="pct"/>
            <w:tcBorders>
              <w:tl2br w:val="nil"/>
              <w:tr2bl w:val="nil"/>
            </w:tcBorders>
            <w:vAlign w:val="center"/>
          </w:tcPr>
          <w:p w14:paraId="1A4F7138">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《广元市打好污染防治攻坚战“八大战役”实施方案》（广府发〔2019〕9号）</w:t>
            </w:r>
          </w:p>
        </w:tc>
        <w:tc>
          <w:tcPr>
            <w:tcW w:w="1914" w:type="pct"/>
            <w:tcBorders>
              <w:tl2br w:val="nil"/>
              <w:tr2bl w:val="nil"/>
            </w:tcBorders>
            <w:vAlign w:val="center"/>
          </w:tcPr>
          <w:p w14:paraId="430771D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开展燃煤锅炉综合整治。加大燃煤小锅炉淘汰力度。到2020年，县级及以上城市建成区全面淘汰每小时10蒸吨及以下燃煤锅炉，原则上不再新建燃煤锅炉。</w:t>
            </w:r>
          </w:p>
        </w:tc>
        <w:tc>
          <w:tcPr>
            <w:tcW w:w="3337" w:type="dxa"/>
            <w:tcBorders>
              <w:tl2br w:val="nil"/>
              <w:tr2bl w:val="nil"/>
            </w:tcBorders>
            <w:vAlign w:val="center"/>
          </w:tcPr>
          <w:p w14:paraId="1815777B">
            <w:pPr>
              <w:keepNext w:val="0"/>
              <w:keepLines w:val="0"/>
              <w:widowControl/>
              <w:suppressLineNumbers w:val="0"/>
              <w:spacing w:before="0" w:beforeAutospacing="0" w:after="0" w:afterAutospacing="0" w:line="240" w:lineRule="auto"/>
              <w:ind w:left="0" w:leftChars="0" w:right="0" w:rightChars="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本项目不涉及燃煤锅炉的使用，采用间接加热式回转窑，天然气作为热解回转窑的引燃物及点火燃料。</w:t>
            </w:r>
          </w:p>
        </w:tc>
        <w:tc>
          <w:tcPr>
            <w:tcW w:w="1114" w:type="dxa"/>
            <w:tcBorders>
              <w:tl2br w:val="nil"/>
              <w:tr2bl w:val="nil"/>
            </w:tcBorders>
            <w:vAlign w:val="center"/>
          </w:tcPr>
          <w:p w14:paraId="5169D655">
            <w:pPr>
              <w:keepNext w:val="0"/>
              <w:keepLines w:val="0"/>
              <w:widowControl w:val="0"/>
              <w:suppressLineNumbers w:val="0"/>
              <w:spacing w:before="0" w:beforeAutospacing="0" w:after="0" w:afterAutospacing="0" w:line="240" w:lineRule="auto"/>
              <w:ind w:left="-6" w:leftChars="0" w:right="0" w:rightChars="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bl>
    <w:p w14:paraId="1F36C1F7">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与国家及地方水污染防治规范性文件符合性分析</w:t>
      </w:r>
    </w:p>
    <w:p w14:paraId="7B9D9496">
      <w:pPr>
        <w:keepNext w:val="0"/>
        <w:keepLines w:val="0"/>
        <w:widowControl/>
        <w:suppressLineNumbers w:val="0"/>
        <w:ind w:firstLine="480" w:firstLineChars="200"/>
        <w:jc w:val="left"/>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 w:cs="Times New Roman"/>
          <w:color w:val="auto"/>
          <w:kern w:val="0"/>
          <w:sz w:val="24"/>
          <w:szCs w:val="24"/>
          <w:highlight w:val="none"/>
          <w:lang w:val="en-US" w:eastAsia="zh-CN" w:bidi="ar"/>
        </w:rPr>
        <w:t>本项目与水污染防治相关文件的符合性分析见下表。</w:t>
      </w:r>
    </w:p>
    <w:p w14:paraId="29466DE0">
      <w:pPr>
        <w:keepNext w:val="0"/>
        <w:keepLines w:val="0"/>
        <w:widowControl/>
        <w:suppressLineNumbers w:val="0"/>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本项目与水污染防治相关文件符合性分析</w:t>
      </w:r>
    </w:p>
    <w:tbl>
      <w:tblPr>
        <w:tblStyle w:val="35"/>
        <w:tblW w:w="4996" w:type="pct"/>
        <w:jc w:val="center"/>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245"/>
        <w:gridCol w:w="3617"/>
        <w:gridCol w:w="3266"/>
        <w:gridCol w:w="1153"/>
      </w:tblGrid>
      <w:tr w14:paraId="20DAF580">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tblHeader/>
          <w:jc w:val="center"/>
        </w:trPr>
        <w:tc>
          <w:tcPr>
            <w:tcW w:w="671" w:type="pct"/>
            <w:tcBorders>
              <w:tl2br w:val="nil"/>
              <w:tr2bl w:val="nil"/>
            </w:tcBorders>
            <w:vAlign w:val="center"/>
          </w:tcPr>
          <w:p w14:paraId="7E6B3D9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水污染防治规划文件</w:t>
            </w:r>
          </w:p>
        </w:tc>
        <w:tc>
          <w:tcPr>
            <w:tcW w:w="1948" w:type="pct"/>
            <w:tcBorders>
              <w:tl2br w:val="nil"/>
              <w:tr2bl w:val="nil"/>
            </w:tcBorders>
            <w:vAlign w:val="center"/>
          </w:tcPr>
          <w:p w14:paraId="7169962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规范文件的相关内容</w:t>
            </w:r>
          </w:p>
        </w:tc>
        <w:tc>
          <w:tcPr>
            <w:tcW w:w="1759" w:type="pct"/>
            <w:tcBorders>
              <w:tl2br w:val="nil"/>
              <w:tr2bl w:val="nil"/>
            </w:tcBorders>
            <w:vAlign w:val="center"/>
          </w:tcPr>
          <w:p w14:paraId="6B3A334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本项目情况</w:t>
            </w:r>
          </w:p>
        </w:tc>
        <w:tc>
          <w:tcPr>
            <w:tcW w:w="621" w:type="pct"/>
            <w:tcBorders>
              <w:tl2br w:val="nil"/>
              <w:tr2bl w:val="nil"/>
            </w:tcBorders>
            <w:vAlign w:val="center"/>
          </w:tcPr>
          <w:p w14:paraId="7C6A466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符合性</w:t>
            </w:r>
          </w:p>
        </w:tc>
      </w:tr>
      <w:tr w14:paraId="53E00F3C">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71" w:type="pct"/>
            <w:vMerge w:val="restart"/>
            <w:tcBorders>
              <w:tl2br w:val="nil"/>
              <w:tr2bl w:val="nil"/>
            </w:tcBorders>
            <w:vAlign w:val="center"/>
          </w:tcPr>
          <w:p w14:paraId="6DC0898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《水污染防治行动计划》 “国发〔2015〕 17 号</w:t>
            </w:r>
          </w:p>
        </w:tc>
        <w:tc>
          <w:tcPr>
            <w:tcW w:w="1948" w:type="pct"/>
            <w:tcBorders>
              <w:tl2br w:val="nil"/>
              <w:tr2bl w:val="nil"/>
            </w:tcBorders>
            <w:vAlign w:val="center"/>
          </w:tcPr>
          <w:p w14:paraId="012318A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狠抓工业污染防治。取缔“十小”企业。全面排查装备水平低、环保设施 差的小型工业企业。2016 年底前，按照水污染防治法律法规要求，全部取缔不符合国家产业政策的小型造纸、制革、印染、染料、炼焦、炼硫、炼砷、炼油、电镀、农药等严重污染水环境的生产项目。</w:t>
            </w:r>
          </w:p>
        </w:tc>
        <w:tc>
          <w:tcPr>
            <w:tcW w:w="1759" w:type="pct"/>
            <w:tcBorders>
              <w:tl2br w:val="nil"/>
              <w:tr2bl w:val="nil"/>
            </w:tcBorders>
            <w:vAlign w:val="center"/>
          </w:tcPr>
          <w:p w14:paraId="59AB2368">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本项目不属于“十小”企业。</w:t>
            </w:r>
          </w:p>
        </w:tc>
        <w:tc>
          <w:tcPr>
            <w:tcW w:w="621" w:type="pct"/>
            <w:tcBorders>
              <w:tl2br w:val="nil"/>
              <w:tr2bl w:val="nil"/>
            </w:tcBorders>
            <w:vAlign w:val="center"/>
          </w:tcPr>
          <w:p w14:paraId="3563AE1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rPr>
            </w:pPr>
            <w:r>
              <w:rPr>
                <w:rFonts w:hint="default" w:ascii="Times New Roman" w:hAnsi="Times New Roman" w:eastAsia="宋体" w:cs="Times New Roman"/>
                <w:color w:val="auto"/>
                <w:kern w:val="2"/>
                <w:sz w:val="20"/>
                <w:szCs w:val="20"/>
                <w:highlight w:val="none"/>
                <w:lang w:eastAsia="zh-CN"/>
              </w:rPr>
              <w:t>符合</w:t>
            </w:r>
          </w:p>
        </w:tc>
      </w:tr>
      <w:tr w14:paraId="785EF461">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71" w:type="pct"/>
            <w:vMerge w:val="continue"/>
            <w:tcBorders>
              <w:tl2br w:val="nil"/>
              <w:tr2bl w:val="nil"/>
            </w:tcBorders>
            <w:vAlign w:val="center"/>
          </w:tcPr>
          <w:p w14:paraId="6526056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p>
        </w:tc>
        <w:tc>
          <w:tcPr>
            <w:tcW w:w="1948" w:type="pct"/>
            <w:tcBorders>
              <w:tl2br w:val="nil"/>
              <w:tr2bl w:val="nil"/>
            </w:tcBorders>
            <w:vAlign w:val="center"/>
          </w:tcPr>
          <w:p w14:paraId="6E00A6C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防治地下水污染，石化生产贮存销售 企业和工业园区、矿山开采区、垃圾填埋场等区域应进行必要的防渗处理。</w:t>
            </w:r>
          </w:p>
        </w:tc>
        <w:tc>
          <w:tcPr>
            <w:tcW w:w="1759" w:type="pct"/>
            <w:tcBorders>
              <w:tl2br w:val="nil"/>
              <w:tr2bl w:val="nil"/>
            </w:tcBorders>
            <w:vAlign w:val="center"/>
          </w:tcPr>
          <w:p w14:paraId="1ADCC1CE">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本项目为城乡生活垃圾处理项目，项目厂区内采取分区防渗措施，有效防止地下水污染。</w:t>
            </w:r>
          </w:p>
        </w:tc>
        <w:tc>
          <w:tcPr>
            <w:tcW w:w="621" w:type="pct"/>
            <w:tcBorders>
              <w:tl2br w:val="nil"/>
              <w:tr2bl w:val="nil"/>
            </w:tcBorders>
            <w:vAlign w:val="center"/>
          </w:tcPr>
          <w:p w14:paraId="5AF26F6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4E5B3DB7">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71" w:type="pct"/>
            <w:tcBorders>
              <w:tl2br w:val="nil"/>
              <w:tr2bl w:val="nil"/>
            </w:tcBorders>
            <w:vAlign w:val="center"/>
          </w:tcPr>
          <w:p w14:paraId="0212D1A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《水污染防治 行动计划四川 省工作方案》（川府发 〔2015〕59 号）</w:t>
            </w:r>
          </w:p>
        </w:tc>
        <w:tc>
          <w:tcPr>
            <w:tcW w:w="1948" w:type="pct"/>
            <w:tcBorders>
              <w:tl2br w:val="nil"/>
              <w:tr2bl w:val="nil"/>
            </w:tcBorders>
            <w:vAlign w:val="center"/>
          </w:tcPr>
          <w:p w14:paraId="193ED8C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（一）狠抓工业污染防治：取缔 “10+1”小企业，各市（州）人民政府全面排查装备水平低、环境保护设施差的小型工业企业，对不符合水污染防治法律法规要求和国家产业政 策的小型造纸、制革、印染、染料、炼焦、炼硫、炼砷、炼油、电镀、农药和磷化工等严重污染水环境的生产项目列出清单，2016 年底前，依法全部予以取缔。</w:t>
            </w:r>
          </w:p>
        </w:tc>
        <w:tc>
          <w:tcPr>
            <w:tcW w:w="1759" w:type="pct"/>
            <w:tcBorders>
              <w:tl2br w:val="nil"/>
              <w:tr2bl w:val="nil"/>
            </w:tcBorders>
            <w:vAlign w:val="center"/>
          </w:tcPr>
          <w:p w14:paraId="22CB50BC">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本项目不属于“10+1” 小企业。</w:t>
            </w:r>
          </w:p>
        </w:tc>
        <w:tc>
          <w:tcPr>
            <w:tcW w:w="621" w:type="pct"/>
            <w:tcBorders>
              <w:tl2br w:val="nil"/>
              <w:tr2bl w:val="nil"/>
            </w:tcBorders>
            <w:vAlign w:val="center"/>
          </w:tcPr>
          <w:p w14:paraId="00922DF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52EFF2EF">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71" w:type="pct"/>
            <w:tcBorders>
              <w:tl2br w:val="nil"/>
              <w:tr2bl w:val="nil"/>
            </w:tcBorders>
            <w:vAlign w:val="center"/>
          </w:tcPr>
          <w:p w14:paraId="087A8ED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《四川省人民政府关于印发 四川省打赢蓝天保卫战等九 个实施方案的通知》（川府发〔2019〕4 号）—《四川 省打赢碧水保卫战实施方案》</w:t>
            </w:r>
          </w:p>
        </w:tc>
        <w:tc>
          <w:tcPr>
            <w:tcW w:w="1948" w:type="pct"/>
            <w:tcBorders>
              <w:tl2br w:val="nil"/>
              <w:tr2bl w:val="nil"/>
            </w:tcBorders>
            <w:vAlign w:val="center"/>
          </w:tcPr>
          <w:p w14:paraId="38AC971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实施工业污染物治理工程：实施园区 工业废水达标整治，加快工业园区污 水处理设施建设，在处理设施建成前，依托生活污水处理厂、一体化应急设备全面处理工业废水，确保达标排放；推进重点行业企业提标改造，加快推进制革、毛皮加工、印染、合成氨等重点行业工业企业污水处理设施提标改造，确保达标排放；减少工业废水排放量，减少重点行业工业企业废水排放量。</w:t>
            </w:r>
          </w:p>
        </w:tc>
        <w:tc>
          <w:tcPr>
            <w:tcW w:w="1759" w:type="pct"/>
            <w:tcBorders>
              <w:tl2br w:val="nil"/>
              <w:tr2bl w:val="nil"/>
            </w:tcBorders>
            <w:vAlign w:val="center"/>
          </w:tcPr>
          <w:p w14:paraId="5FE9B10A">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w:t>
            </w:r>
            <w:r>
              <w:rPr>
                <w:rStyle w:val="37"/>
                <w:rFonts w:hint="default" w:ascii="Times New Roman" w:hAnsi="Times New Roman" w:eastAsia="宋体" w:cs="Times New Roman"/>
                <w:color w:val="auto"/>
                <w:kern w:val="2"/>
                <w:sz w:val="20"/>
                <w:szCs w:val="20"/>
                <w:highlight w:val="none"/>
                <w:lang w:val="en-US" w:eastAsia="zh-CN" w:bidi="ar-SA"/>
              </w:rPr>
              <w:t>依托</w:t>
            </w:r>
            <w:r>
              <w:rPr>
                <w:rStyle w:val="37"/>
                <w:rFonts w:hint="eastAsia" w:eastAsia="宋体" w:cs="Times New Roman"/>
                <w:color w:val="auto"/>
                <w:kern w:val="2"/>
                <w:sz w:val="20"/>
                <w:szCs w:val="20"/>
                <w:highlight w:val="none"/>
                <w:lang w:val="en-US" w:eastAsia="zh-CN" w:bidi="ar-SA"/>
              </w:rPr>
              <w:t>普安镇污水处理厂或</w:t>
            </w:r>
            <w:r>
              <w:rPr>
                <w:rStyle w:val="37"/>
                <w:rFonts w:hint="default" w:ascii="Times New Roman" w:hAnsi="Times New Roman" w:eastAsia="宋体" w:cs="Times New Roman"/>
                <w:color w:val="auto"/>
                <w:kern w:val="2"/>
                <w:sz w:val="20"/>
                <w:szCs w:val="20"/>
                <w:highlight w:val="none"/>
                <w:lang w:val="en-US" w:eastAsia="zh-CN" w:bidi="ar-SA"/>
              </w:rPr>
              <w:t>剑阁县垃圾填埋场渗滤液处理站处理后达标</w:t>
            </w:r>
            <w:r>
              <w:rPr>
                <w:rFonts w:hint="default" w:ascii="Times New Roman" w:hAnsi="Times New Roman" w:eastAsia="宋体" w:cs="Times New Roman"/>
                <w:color w:val="auto"/>
                <w:kern w:val="0"/>
                <w:sz w:val="20"/>
                <w:szCs w:val="20"/>
                <w:highlight w:val="none"/>
                <w:lang w:val="en-US" w:eastAsia="zh-CN" w:bidi="ar"/>
              </w:rPr>
              <w:t>后排入闻溪河。</w:t>
            </w:r>
          </w:p>
        </w:tc>
        <w:tc>
          <w:tcPr>
            <w:tcW w:w="621" w:type="pct"/>
            <w:tcBorders>
              <w:tl2br w:val="nil"/>
              <w:tr2bl w:val="nil"/>
            </w:tcBorders>
            <w:vAlign w:val="center"/>
          </w:tcPr>
          <w:p w14:paraId="3652C75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0D6C5551">
        <w:tblPrEx>
          <w:tblBorders>
            <w:top w:val="single" w:color="auto" w:sz="12"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71" w:type="pct"/>
            <w:tcBorders>
              <w:tl2br w:val="nil"/>
              <w:tr2bl w:val="nil"/>
            </w:tcBorders>
            <w:vAlign w:val="center"/>
          </w:tcPr>
          <w:p w14:paraId="0274DB9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《广元市打好污染防治攻坚战“八大战役”实施方案》（广府发〔2019〕9号）</w:t>
            </w:r>
          </w:p>
        </w:tc>
        <w:tc>
          <w:tcPr>
            <w:tcW w:w="1948" w:type="pct"/>
            <w:tcBorders>
              <w:tl2br w:val="nil"/>
              <w:tr2bl w:val="nil"/>
            </w:tcBorders>
            <w:vAlign w:val="center"/>
          </w:tcPr>
          <w:p w14:paraId="4864AD1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实施园区工业废水达标整治。落实《四川省工业园区（工业集聚区）工业废水处理设施建设三年行动计划》，巩固省级工业园区（工业集聚区）污水处理设施建设成果，确保园区污水处理设施正常、稳定运行达标排放。</w:t>
            </w:r>
          </w:p>
        </w:tc>
        <w:tc>
          <w:tcPr>
            <w:tcW w:w="1759" w:type="pct"/>
            <w:tcBorders>
              <w:tl2br w:val="nil"/>
              <w:tr2bl w:val="nil"/>
            </w:tcBorders>
            <w:vAlign w:val="center"/>
          </w:tcPr>
          <w:p w14:paraId="0E51FD94">
            <w:pPr>
              <w:keepNext w:val="0"/>
              <w:keepLines w:val="0"/>
              <w:widowControl/>
              <w:suppressLineNumbers w:val="0"/>
              <w:spacing w:before="0" w:beforeAutospacing="0" w:after="0" w:afterAutospacing="0" w:line="240" w:lineRule="auto"/>
              <w:ind w:left="0" w:leftChars="0" w:right="0" w:rightChars="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本项目不在工业园区内，废水</w:t>
            </w:r>
            <w:r>
              <w:rPr>
                <w:rStyle w:val="37"/>
                <w:rFonts w:hint="default" w:ascii="Times New Roman" w:hAnsi="Times New Roman" w:eastAsia="宋体" w:cs="Times New Roman"/>
                <w:color w:val="auto"/>
                <w:kern w:val="2"/>
                <w:sz w:val="20"/>
                <w:szCs w:val="20"/>
                <w:highlight w:val="none"/>
                <w:lang w:val="en-US" w:eastAsia="zh-CN" w:bidi="ar-SA"/>
              </w:rPr>
              <w:t>依托</w:t>
            </w:r>
            <w:r>
              <w:rPr>
                <w:rStyle w:val="37"/>
                <w:rFonts w:hint="eastAsia" w:eastAsia="宋体" w:cs="Times New Roman"/>
                <w:color w:val="auto"/>
                <w:kern w:val="2"/>
                <w:sz w:val="20"/>
                <w:szCs w:val="20"/>
                <w:highlight w:val="none"/>
                <w:lang w:val="en-US" w:eastAsia="zh-CN" w:bidi="ar-SA"/>
              </w:rPr>
              <w:t>普安镇污水处理厂或</w:t>
            </w:r>
            <w:r>
              <w:rPr>
                <w:rStyle w:val="37"/>
                <w:rFonts w:hint="default" w:ascii="Times New Roman" w:hAnsi="Times New Roman" w:eastAsia="宋体" w:cs="Times New Roman"/>
                <w:color w:val="auto"/>
                <w:kern w:val="2"/>
                <w:sz w:val="20"/>
                <w:szCs w:val="20"/>
                <w:highlight w:val="none"/>
                <w:lang w:val="en-US" w:eastAsia="zh-CN" w:bidi="ar-SA"/>
              </w:rPr>
              <w:t>剑阁县垃圾填埋场渗滤液处理站处理后达标</w:t>
            </w:r>
            <w:r>
              <w:rPr>
                <w:rFonts w:hint="default" w:ascii="Times New Roman" w:hAnsi="Times New Roman" w:eastAsia="宋体" w:cs="Times New Roman"/>
                <w:color w:val="auto"/>
                <w:kern w:val="0"/>
                <w:sz w:val="20"/>
                <w:szCs w:val="20"/>
                <w:highlight w:val="none"/>
                <w:lang w:val="en-US" w:eastAsia="zh-CN" w:bidi="ar"/>
              </w:rPr>
              <w:t>后排入闻溪河。</w:t>
            </w:r>
          </w:p>
        </w:tc>
        <w:tc>
          <w:tcPr>
            <w:tcW w:w="621" w:type="pct"/>
            <w:tcBorders>
              <w:tl2br w:val="nil"/>
              <w:tr2bl w:val="nil"/>
            </w:tcBorders>
            <w:vAlign w:val="center"/>
          </w:tcPr>
          <w:p w14:paraId="6468F73C">
            <w:pPr>
              <w:keepNext w:val="0"/>
              <w:keepLines w:val="0"/>
              <w:widowControl w:val="0"/>
              <w:suppressLineNumbers w:val="0"/>
              <w:spacing w:before="0" w:beforeAutospacing="0" w:after="0" w:afterAutospacing="0" w:line="240" w:lineRule="auto"/>
              <w:ind w:left="-6" w:leftChars="0" w:right="0" w:rightChars="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bl>
    <w:p w14:paraId="4937798A">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与国家及地方土壤污染防治规范性文件符合性分析</w:t>
      </w:r>
    </w:p>
    <w:p w14:paraId="18CFB835">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 w:cs="Times New Roman"/>
          <w:color w:val="auto"/>
          <w:kern w:val="0"/>
          <w:sz w:val="24"/>
          <w:szCs w:val="24"/>
          <w:highlight w:val="none"/>
          <w:lang w:val="en-US" w:eastAsia="zh-CN" w:bidi="ar"/>
        </w:rPr>
        <w:t>本项目与土壤污染防治相关文件的符合性分析见下表。</w:t>
      </w:r>
    </w:p>
    <w:p w14:paraId="27C8C62A">
      <w:pPr>
        <w:keepNext w:val="0"/>
        <w:keepLines w:val="0"/>
        <w:widowControl/>
        <w:suppressLineNumbers w:val="0"/>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本项目与土壤污染防治相关文件符合性分析</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62"/>
        <w:gridCol w:w="3593"/>
        <w:gridCol w:w="3373"/>
        <w:gridCol w:w="1153"/>
      </w:tblGrid>
      <w:tr w14:paraId="6ADBC43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tblHeader/>
          <w:jc w:val="center"/>
        </w:trPr>
        <w:tc>
          <w:tcPr>
            <w:tcW w:w="626" w:type="pct"/>
            <w:tcBorders>
              <w:tl2br w:val="nil"/>
              <w:tr2bl w:val="nil"/>
            </w:tcBorders>
            <w:vAlign w:val="center"/>
          </w:tcPr>
          <w:p w14:paraId="3B0AB44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土壤污染防治规划文件</w:t>
            </w:r>
          </w:p>
        </w:tc>
        <w:tc>
          <w:tcPr>
            <w:tcW w:w="1935" w:type="pct"/>
            <w:tcBorders>
              <w:tl2br w:val="nil"/>
              <w:tr2bl w:val="nil"/>
            </w:tcBorders>
            <w:vAlign w:val="center"/>
          </w:tcPr>
          <w:p w14:paraId="027577B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规范文件的相关内容</w:t>
            </w:r>
          </w:p>
        </w:tc>
        <w:tc>
          <w:tcPr>
            <w:tcW w:w="1817" w:type="pct"/>
            <w:tcBorders>
              <w:tl2br w:val="nil"/>
              <w:tr2bl w:val="nil"/>
            </w:tcBorders>
            <w:vAlign w:val="center"/>
          </w:tcPr>
          <w:p w14:paraId="4A071CE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本项目情况</w:t>
            </w:r>
          </w:p>
        </w:tc>
        <w:tc>
          <w:tcPr>
            <w:tcW w:w="621" w:type="pct"/>
            <w:tcBorders>
              <w:tl2br w:val="nil"/>
              <w:tr2bl w:val="nil"/>
            </w:tcBorders>
            <w:vAlign w:val="center"/>
          </w:tcPr>
          <w:p w14:paraId="30B1F9E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符合性</w:t>
            </w:r>
          </w:p>
        </w:tc>
      </w:tr>
      <w:tr w14:paraId="525E328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26" w:type="pct"/>
            <w:vMerge w:val="restart"/>
            <w:tcBorders>
              <w:tl2br w:val="nil"/>
              <w:tr2bl w:val="nil"/>
            </w:tcBorders>
            <w:vAlign w:val="center"/>
          </w:tcPr>
          <w:p w14:paraId="055B436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《土壤污 染防治行 动计划》 国发〔2016〕 31 号</w:t>
            </w:r>
          </w:p>
        </w:tc>
        <w:tc>
          <w:tcPr>
            <w:tcW w:w="1935" w:type="pct"/>
            <w:tcBorders>
              <w:tl2br w:val="nil"/>
              <w:tr2bl w:val="nil"/>
            </w:tcBorders>
            <w:vAlign w:val="center"/>
          </w:tcPr>
          <w:p w14:paraId="08AC0EC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（八）切实加大保护力度 各地要将符合条件的优先保护类耕地划为永久基本农田，实行严格保护，确保其面积不减少、土壤环境质量不下降，除法律规定的重点建设项目选址确实无法避让外，其他任何建设不得占用。</w:t>
            </w:r>
          </w:p>
        </w:tc>
        <w:tc>
          <w:tcPr>
            <w:tcW w:w="1817" w:type="pct"/>
            <w:tcBorders>
              <w:tl2br w:val="nil"/>
              <w:tr2bl w:val="nil"/>
            </w:tcBorders>
            <w:vAlign w:val="center"/>
          </w:tcPr>
          <w:p w14:paraId="51386A5E">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本项目不涉及基本农田。</w:t>
            </w:r>
          </w:p>
        </w:tc>
        <w:tc>
          <w:tcPr>
            <w:tcW w:w="621" w:type="pct"/>
            <w:tcBorders>
              <w:tl2br w:val="nil"/>
              <w:tr2bl w:val="nil"/>
            </w:tcBorders>
            <w:vAlign w:val="center"/>
          </w:tcPr>
          <w:p w14:paraId="1DF5E2E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rPr>
            </w:pPr>
            <w:r>
              <w:rPr>
                <w:rFonts w:hint="default" w:ascii="Times New Roman" w:hAnsi="Times New Roman" w:eastAsia="宋体" w:cs="Times New Roman"/>
                <w:color w:val="auto"/>
                <w:kern w:val="2"/>
                <w:sz w:val="20"/>
                <w:szCs w:val="20"/>
                <w:highlight w:val="none"/>
                <w:lang w:eastAsia="zh-CN"/>
              </w:rPr>
              <w:t>符合</w:t>
            </w:r>
          </w:p>
        </w:tc>
      </w:tr>
      <w:tr w14:paraId="4A46414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26" w:type="pct"/>
            <w:vMerge w:val="continue"/>
            <w:tcBorders>
              <w:tl2br w:val="nil"/>
              <w:tr2bl w:val="nil"/>
            </w:tcBorders>
            <w:vAlign w:val="center"/>
          </w:tcPr>
          <w:p w14:paraId="570481C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p>
        </w:tc>
        <w:tc>
          <w:tcPr>
            <w:tcW w:w="1935" w:type="pct"/>
            <w:tcBorders>
              <w:tl2br w:val="nil"/>
              <w:tr2bl w:val="nil"/>
            </w:tcBorders>
            <w:vAlign w:val="center"/>
          </w:tcPr>
          <w:p w14:paraId="0F4976F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十六）防范建设用地新增污染。排放重点污染物的建设项目，在开展环境影响评价时，要增加对土壤环境影响的评价内容，并提出防范土壤污染的具体措施；需要建设的土壤污染防治设施，要与主体工程同时设计、同时施工、同时投产使用；有关环境保护部门要做好有关措施落实情况的监督管理工作。</w:t>
            </w:r>
          </w:p>
        </w:tc>
        <w:tc>
          <w:tcPr>
            <w:tcW w:w="1817" w:type="pct"/>
            <w:tcBorders>
              <w:tl2br w:val="nil"/>
              <w:tr2bl w:val="nil"/>
            </w:tcBorders>
            <w:vAlign w:val="center"/>
          </w:tcPr>
          <w:p w14:paraId="6ABD0FC9">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项目严格按照三同时设计施工，营运期过程通过采取分区防渗的措施，有效防止土壤污染。</w:t>
            </w:r>
          </w:p>
        </w:tc>
        <w:tc>
          <w:tcPr>
            <w:tcW w:w="621" w:type="pct"/>
            <w:tcBorders>
              <w:tl2br w:val="nil"/>
              <w:tr2bl w:val="nil"/>
            </w:tcBorders>
            <w:vAlign w:val="center"/>
          </w:tcPr>
          <w:p w14:paraId="219A19C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7F3E177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26" w:type="pct"/>
            <w:vMerge w:val="continue"/>
            <w:tcBorders>
              <w:tl2br w:val="nil"/>
              <w:tr2bl w:val="nil"/>
            </w:tcBorders>
            <w:vAlign w:val="center"/>
          </w:tcPr>
          <w:p w14:paraId="529B2E68">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p>
        </w:tc>
        <w:tc>
          <w:tcPr>
            <w:tcW w:w="1935" w:type="pct"/>
            <w:tcBorders>
              <w:tl2br w:val="nil"/>
              <w:tr2bl w:val="nil"/>
            </w:tcBorders>
            <w:vAlign w:val="center"/>
          </w:tcPr>
          <w:p w14:paraId="3D8B70E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（十八）严控工矿污染。（2）加强工业废物处理处置。全面整治尾矿、煤矸 石、工业副产石膏、粉煤灰、赤泥、冶炼渣、电石渣、铬渣、砷渣以及脱硫、脱硝、除尘产生固体废物的堆存场所，完善防扬散、防流失、防渗漏等设施，制定整治方案并有序实施。（3）加强涉重金属行业污染防控。严格执行重金属 污染物排放标准并落实相关总量控制指标。</w:t>
            </w:r>
          </w:p>
        </w:tc>
        <w:tc>
          <w:tcPr>
            <w:tcW w:w="1817" w:type="pct"/>
            <w:vMerge w:val="restart"/>
            <w:tcBorders>
              <w:tl2br w:val="nil"/>
              <w:tr2bl w:val="nil"/>
            </w:tcBorders>
            <w:vAlign w:val="center"/>
          </w:tcPr>
          <w:p w14:paraId="243E78CC">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本项目为生活垃圾处理项目，项目不排放重金属污染物，本项目营运过程中产生的危险废物暂存于危废暂存间，对危废暂存间做重点防渗处理。</w:t>
            </w:r>
          </w:p>
        </w:tc>
        <w:tc>
          <w:tcPr>
            <w:tcW w:w="621" w:type="pct"/>
            <w:tcBorders>
              <w:tl2br w:val="nil"/>
              <w:tr2bl w:val="nil"/>
            </w:tcBorders>
            <w:vAlign w:val="center"/>
          </w:tcPr>
          <w:p w14:paraId="567E377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2807DAD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626" w:type="pct"/>
            <w:tcBorders>
              <w:tl2br w:val="nil"/>
              <w:tr2bl w:val="nil"/>
            </w:tcBorders>
            <w:vAlign w:val="center"/>
          </w:tcPr>
          <w:p w14:paraId="720119F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《土壤污染防治行动计划四川省工作方案》（川 府发 〔2016〕 63 号）</w:t>
            </w:r>
          </w:p>
        </w:tc>
        <w:tc>
          <w:tcPr>
            <w:tcW w:w="1935" w:type="pct"/>
            <w:tcBorders>
              <w:tl2br w:val="nil"/>
              <w:tr2bl w:val="nil"/>
            </w:tcBorders>
            <w:vAlign w:val="center"/>
          </w:tcPr>
          <w:p w14:paraId="091DC66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（十七）防范建设用地新增污染。严格环境准入，防止新建项目对土壤造成污染。从2018 年起，排放重点污染物的建设项目在开展环境影响评价时，要 增加对土壤环境影响的评价内容，并提出防范土壤污染的具体措施；需要建设的土壤污染防治设施，要与主体工程同时设计、同时施工、同时投产使用</w:t>
            </w:r>
          </w:p>
        </w:tc>
        <w:tc>
          <w:tcPr>
            <w:tcW w:w="1817" w:type="pct"/>
            <w:vMerge w:val="continue"/>
            <w:tcBorders>
              <w:tl2br w:val="nil"/>
              <w:tr2bl w:val="nil"/>
            </w:tcBorders>
            <w:vAlign w:val="center"/>
          </w:tcPr>
          <w:p w14:paraId="322AA517">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p>
        </w:tc>
        <w:tc>
          <w:tcPr>
            <w:tcW w:w="621" w:type="pct"/>
            <w:tcBorders>
              <w:tl2br w:val="nil"/>
              <w:tr2bl w:val="nil"/>
            </w:tcBorders>
            <w:vAlign w:val="center"/>
          </w:tcPr>
          <w:p w14:paraId="424724E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bl>
    <w:p w14:paraId="5B4AC310">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与长江生态环境保护相关保护文件的符合性分析</w:t>
      </w:r>
    </w:p>
    <w:p w14:paraId="5D24A133">
      <w:pPr>
        <w:pStyle w:val="14"/>
        <w:pageBreakBefore w:val="0"/>
        <w:widowControl w:val="0"/>
        <w:kinsoku/>
        <w:wordWrap/>
        <w:overflowPunct/>
        <w:topLinePunct w:val="0"/>
        <w:autoSpaceDE/>
        <w:autoSpaceDN/>
        <w:bidi w:val="0"/>
        <w:snapToGrid w:val="0"/>
        <w:ind w:firstLine="48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本项目位于</w:t>
      </w:r>
      <w:r>
        <w:rPr>
          <w:rFonts w:hint="default" w:ascii="Times New Roman" w:hAnsi="Times New Roman" w:eastAsia="宋体" w:cs="Times New Roman"/>
          <w:color w:val="auto"/>
          <w:kern w:val="0"/>
          <w:sz w:val="24"/>
          <w:szCs w:val="24"/>
          <w:highlight w:val="none"/>
          <w:lang w:val="en-US" w:eastAsia="zh-CN" w:bidi="ar"/>
        </w:rPr>
        <w:t>剑阁县普安镇剑坪村一组，剑阁县普安镇垃圾填埋场南侧。</w:t>
      </w:r>
      <w:r>
        <w:rPr>
          <w:rFonts w:hint="default" w:ascii="Times New Roman" w:hAnsi="Times New Roman" w:cs="Times New Roman"/>
          <w:color w:val="auto"/>
          <w:highlight w:val="none"/>
        </w:rPr>
        <w:t>项目</w:t>
      </w:r>
      <w:r>
        <w:rPr>
          <w:rFonts w:hint="default" w:ascii="Times New Roman" w:hAnsi="Times New Roman" w:cs="Times New Roman"/>
          <w:color w:val="auto"/>
          <w:highlight w:val="none"/>
          <w:lang w:eastAsia="zh-CN"/>
        </w:rPr>
        <w:t>所在区域地表水体为</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"https://baike.baidu.com/item/%E5%98%89%E9%99%B5%E6%B1%9F/627569" \t "https://baike.baidu.com/item/%E9%97%BB%E6%BA%AA%E6%B2%B3/_blank"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嘉陵江</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右岸</w:t>
      </w:r>
      <w:r>
        <w:rPr>
          <w:rFonts w:hint="default" w:ascii="Times New Roman" w:hAnsi="Times New Roman" w:cs="Times New Roman"/>
          <w:color w:val="auto"/>
          <w:highlight w:val="none"/>
          <w:lang w:eastAsia="zh-CN"/>
        </w:rPr>
        <w:t>一级</w:t>
      </w:r>
      <w:r>
        <w:rPr>
          <w:rFonts w:hint="default" w:ascii="Times New Roman" w:hAnsi="Times New Roman" w:cs="Times New Roman"/>
          <w:color w:val="auto"/>
          <w:highlight w:val="none"/>
        </w:rPr>
        <w:t>支流</w:t>
      </w:r>
      <w:r>
        <w:rPr>
          <w:rFonts w:hint="default" w:ascii="Times New Roman" w:hAnsi="Times New Roman" w:cs="Times New Roman"/>
          <w:color w:val="auto"/>
          <w:highlight w:val="none"/>
          <w:lang w:eastAsia="zh-CN"/>
        </w:rPr>
        <w:t>闻溪河，嘉陵江为长江支流</w:t>
      </w:r>
      <w:r>
        <w:rPr>
          <w:rFonts w:hint="default" w:ascii="Times New Roman" w:hAnsi="Times New Roman" w:cs="Times New Roman"/>
          <w:color w:val="auto"/>
          <w:highlight w:val="none"/>
        </w:rPr>
        <w:t>，因此</w:t>
      </w:r>
      <w:r>
        <w:rPr>
          <w:rFonts w:hint="default" w:ascii="Times New Roman" w:hAnsi="Times New Roman" w:cs="Times New Roman"/>
          <w:color w:val="auto"/>
          <w:highlight w:val="none"/>
          <w:lang w:eastAsia="zh-CN"/>
        </w:rPr>
        <w:t>本</w:t>
      </w:r>
      <w:r>
        <w:rPr>
          <w:rFonts w:hint="default" w:ascii="Times New Roman" w:hAnsi="Times New Roman" w:cs="Times New Roman"/>
          <w:color w:val="auto"/>
          <w:highlight w:val="none"/>
        </w:rPr>
        <w:t>项目位于长江流域范围内。为此，本评</w:t>
      </w:r>
      <w:r>
        <w:rPr>
          <w:rFonts w:hint="default" w:ascii="Times New Roman" w:hAnsi="Times New Roman" w:cs="Times New Roman"/>
          <w:color w:val="auto"/>
          <w:highlight w:val="none"/>
          <w:lang w:eastAsia="zh-CN"/>
        </w:rPr>
        <w:t>价结合《</w:t>
      </w:r>
      <w:r>
        <w:rPr>
          <w:rFonts w:hint="default" w:ascii="Times New Roman" w:hAnsi="Times New Roman" w:cs="Times New Roman"/>
          <w:color w:val="auto"/>
          <w:highlight w:val="none"/>
          <w:lang w:val="en-US" w:eastAsia="zh-CN"/>
        </w:rPr>
        <w:t>中华人民共和国长江保护法</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《四川省嘉陵江流域生态环境保护条例》、</w:t>
      </w:r>
      <w:r>
        <w:rPr>
          <w:rFonts w:hint="default" w:ascii="Times New Roman" w:hAnsi="Times New Roman" w:cs="Times New Roman"/>
          <w:color w:val="auto"/>
          <w:highlight w:val="none"/>
          <w:lang w:eastAsia="zh-CN"/>
        </w:rPr>
        <w:t>《长</w:t>
      </w:r>
      <w:r>
        <w:rPr>
          <w:rFonts w:hint="default" w:ascii="Times New Roman" w:hAnsi="Times New Roman" w:cs="Times New Roman"/>
          <w:color w:val="auto"/>
          <w:highlight w:val="none"/>
        </w:rPr>
        <w:t>江经济带生态环境保护规划》（环规财[2017]88号）、《四川省、重庆市长江经济带发展负面清单指南实施细则（试行，2022年版）》相关文件，对项目建设符合性进行分析。</w:t>
      </w:r>
    </w:p>
    <w:p w14:paraId="30561A61">
      <w:pPr>
        <w:pStyle w:val="5"/>
        <w:pageBreakBefore w:val="0"/>
        <w:widowControl w:val="0"/>
        <w:kinsoku/>
        <w:wordWrap/>
        <w:overflowPunct/>
        <w:topLinePunct w:val="0"/>
        <w:autoSpaceDE/>
        <w:autoSpaceDN/>
        <w:bidi w:val="0"/>
        <w:snapToGrid w:val="0"/>
        <w:textAlignment w:val="auto"/>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rPr>
        <w:t>与《</w:t>
      </w:r>
      <w:r>
        <w:rPr>
          <w:rFonts w:hint="default" w:ascii="Times New Roman" w:hAnsi="Times New Roman" w:cs="Times New Roman"/>
          <w:b/>
          <w:bCs/>
          <w:color w:val="auto"/>
          <w:highlight w:val="none"/>
          <w:lang w:val="en-US" w:eastAsia="zh-CN"/>
        </w:rPr>
        <w:t>中华人民共和国长江保护法</w:t>
      </w:r>
      <w:r>
        <w:rPr>
          <w:rFonts w:hint="default" w:ascii="Times New Roman" w:hAnsi="Times New Roman" w:cs="Times New Roman"/>
          <w:b/>
          <w:color w:val="auto"/>
          <w:sz w:val="24"/>
          <w:highlight w:val="none"/>
        </w:rPr>
        <w:t>》符合性</w:t>
      </w:r>
      <w:r>
        <w:rPr>
          <w:rFonts w:hint="default" w:ascii="Times New Roman" w:hAnsi="Times New Roman" w:cs="Times New Roman"/>
          <w:b/>
          <w:color w:val="auto"/>
          <w:sz w:val="24"/>
          <w:highlight w:val="none"/>
          <w:lang w:eastAsia="zh-CN"/>
        </w:rPr>
        <w:t>分析</w:t>
      </w:r>
    </w:p>
    <w:p w14:paraId="419C76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Cs/>
          <w:color w:val="auto"/>
          <w:sz w:val="24"/>
          <w:highlight w:val="none"/>
          <w:lang w:val="en-US" w:eastAsia="zh-CN"/>
        </w:rPr>
      </w:pPr>
      <w:r>
        <w:rPr>
          <w:rFonts w:hint="default" w:ascii="Times New Roman" w:hAnsi="Times New Roman" w:eastAsia="宋体" w:cs="Times New Roman"/>
          <w:bCs/>
          <w:color w:val="auto"/>
          <w:sz w:val="24"/>
          <w:highlight w:val="none"/>
          <w:lang w:val="en-US" w:eastAsia="zh-CN"/>
        </w:rPr>
        <w:t>为了加强长江流域生态环境保护和修复，促进资源合理高效利用，保障生态安全，实现人与自然和谐共生、中华民族永续发展，2020年12月26日，中华人民共和国第十三届全国人民代表大会常务委员会第二十四次会议通过了《中华人民共和国长江保护法》，自2021年3月1日起施行。本项目与《中华人民共和国长江保护法》符合性分析如下表所示。</w:t>
      </w:r>
    </w:p>
    <w:p w14:paraId="38771272">
      <w:pPr>
        <w:pStyle w:val="138"/>
        <w:numPr>
          <w:ilvl w:val="0"/>
          <w:numId w:val="0"/>
        </w:numPr>
        <w:snapToGrid/>
        <w:ind w:leftChars="0"/>
        <w:jc w:val="center"/>
        <w:textAlignment w:val="auto"/>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4</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w:t>
      </w:r>
      <w:r>
        <w:rPr>
          <w:rFonts w:hint="default" w:ascii="Times New Roman" w:hAnsi="Times New Roman" w:eastAsia="宋体" w:cs="Times New Roman"/>
          <w:b/>
          <w:bCs/>
          <w:color w:val="auto"/>
          <w:highlight w:val="none"/>
        </w:rPr>
        <w:t>与《中华人民共和国长江保护法》符合性分析</w:t>
      </w:r>
    </w:p>
    <w:tbl>
      <w:tblPr>
        <w:tblStyle w:val="35"/>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880"/>
        <w:gridCol w:w="4971"/>
        <w:gridCol w:w="2458"/>
        <w:gridCol w:w="973"/>
      </w:tblGrid>
      <w:tr w14:paraId="7A2C498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4" w:type="pct"/>
            <w:tcBorders>
              <w:tl2br w:val="nil"/>
              <w:tr2bl w:val="nil"/>
            </w:tcBorders>
            <w:noWrap w:val="0"/>
            <w:vAlign w:val="center"/>
          </w:tcPr>
          <w:p w14:paraId="7D3BB127">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序号</w:t>
            </w:r>
          </w:p>
        </w:tc>
        <w:tc>
          <w:tcPr>
            <w:tcW w:w="2677" w:type="pct"/>
            <w:tcBorders>
              <w:tl2br w:val="nil"/>
              <w:tr2bl w:val="nil"/>
            </w:tcBorders>
            <w:noWrap w:val="0"/>
            <w:vAlign w:val="center"/>
          </w:tcPr>
          <w:p w14:paraId="7526240D">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lang w:eastAsia="zh-CN"/>
              </w:rPr>
              <w:t>相关</w:t>
            </w:r>
            <w:r>
              <w:rPr>
                <w:rFonts w:hint="default" w:ascii="Times New Roman" w:hAnsi="Times New Roman" w:eastAsia="宋体" w:cs="Times New Roman"/>
                <w:b/>
                <w:bCs/>
                <w:color w:val="auto"/>
                <w:sz w:val="20"/>
                <w:szCs w:val="20"/>
                <w:highlight w:val="none"/>
              </w:rPr>
              <w:t>要求</w:t>
            </w:r>
          </w:p>
        </w:tc>
        <w:tc>
          <w:tcPr>
            <w:tcW w:w="1324" w:type="pct"/>
            <w:tcBorders>
              <w:tl2br w:val="nil"/>
              <w:tr2bl w:val="nil"/>
            </w:tcBorders>
            <w:noWrap w:val="0"/>
            <w:vAlign w:val="center"/>
          </w:tcPr>
          <w:p w14:paraId="400B1AD5">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rPr>
              <w:t>本项目</w:t>
            </w:r>
            <w:r>
              <w:rPr>
                <w:rFonts w:hint="default" w:ascii="Times New Roman" w:hAnsi="Times New Roman" w:eastAsia="宋体" w:cs="Times New Roman"/>
                <w:b/>
                <w:bCs/>
                <w:color w:val="auto"/>
                <w:sz w:val="20"/>
                <w:szCs w:val="20"/>
                <w:highlight w:val="none"/>
                <w:lang w:eastAsia="zh-CN"/>
              </w:rPr>
              <w:t>要求</w:t>
            </w:r>
          </w:p>
        </w:tc>
        <w:tc>
          <w:tcPr>
            <w:tcW w:w="524" w:type="pct"/>
            <w:tcBorders>
              <w:tl2br w:val="nil"/>
              <w:tr2bl w:val="nil"/>
            </w:tcBorders>
            <w:noWrap w:val="0"/>
            <w:vAlign w:val="center"/>
          </w:tcPr>
          <w:p w14:paraId="169B7F2C">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lang w:eastAsia="zh-CN"/>
              </w:rPr>
              <w:t>符合性</w:t>
            </w:r>
          </w:p>
        </w:tc>
      </w:tr>
      <w:tr w14:paraId="4A95224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4" w:type="pct"/>
            <w:tcBorders>
              <w:tl2br w:val="nil"/>
              <w:tr2bl w:val="nil"/>
            </w:tcBorders>
            <w:noWrap w:val="0"/>
            <w:vAlign w:val="center"/>
          </w:tcPr>
          <w:p w14:paraId="124C2848">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1</w:t>
            </w:r>
          </w:p>
        </w:tc>
        <w:tc>
          <w:tcPr>
            <w:tcW w:w="2677" w:type="pct"/>
            <w:tcBorders>
              <w:tl2br w:val="nil"/>
              <w:tr2bl w:val="nil"/>
            </w:tcBorders>
            <w:noWrap w:val="0"/>
            <w:vAlign w:val="center"/>
          </w:tcPr>
          <w:p w14:paraId="2628866D">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长江流域产业结构和布局应当与长江流域生态系统和资源环境承载能力相适应。禁止在长江流域重点生态功能区布局对生态系统有严重影响的产业。</w:t>
            </w:r>
          </w:p>
        </w:tc>
        <w:tc>
          <w:tcPr>
            <w:tcW w:w="2458" w:type="dxa"/>
            <w:tcBorders>
              <w:tl2br w:val="nil"/>
              <w:tr2bl w:val="nil"/>
            </w:tcBorders>
            <w:noWrap w:val="0"/>
            <w:vAlign w:val="center"/>
          </w:tcPr>
          <w:p w14:paraId="452B9CAC">
            <w:pPr>
              <w:keepNext w:val="0"/>
              <w:keepLines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本项目</w:t>
            </w:r>
            <w:r>
              <w:rPr>
                <w:rFonts w:hint="default" w:ascii="Times New Roman" w:hAnsi="Times New Roman" w:eastAsia="宋体" w:cs="Times New Roman"/>
                <w:color w:val="auto"/>
                <w:sz w:val="20"/>
                <w:szCs w:val="20"/>
                <w:highlight w:val="none"/>
                <w:lang w:eastAsia="zh-CN"/>
              </w:rPr>
              <w:t>位于</w:t>
            </w:r>
            <w:r>
              <w:rPr>
                <w:rFonts w:hint="default" w:ascii="Times New Roman" w:hAnsi="Times New Roman" w:eastAsia="宋体" w:cs="Times New Roman"/>
                <w:color w:val="auto"/>
                <w:sz w:val="20"/>
                <w:szCs w:val="20"/>
                <w:highlight w:val="none"/>
                <w:lang w:val="en-US" w:eastAsia="zh-CN"/>
              </w:rPr>
              <w:t>剑阁县普安镇垃圾填埋场南侧</w:t>
            </w:r>
            <w:r>
              <w:rPr>
                <w:rFonts w:hint="default" w:ascii="Times New Roman" w:hAnsi="Times New Roman" w:eastAsia="宋体" w:cs="Times New Roman"/>
                <w:color w:val="auto"/>
                <w:sz w:val="20"/>
                <w:szCs w:val="20"/>
                <w:highlight w:val="none"/>
                <w:lang w:eastAsia="zh-CN"/>
              </w:rPr>
              <w:t>，</w:t>
            </w:r>
            <w:r>
              <w:rPr>
                <w:rFonts w:hint="default" w:ascii="Times New Roman" w:hAnsi="Times New Roman" w:eastAsia="宋体" w:cs="Times New Roman"/>
                <w:b w:val="0"/>
                <w:bCs/>
                <w:color w:val="auto"/>
                <w:kern w:val="2"/>
                <w:sz w:val="20"/>
                <w:szCs w:val="20"/>
                <w:highlight w:val="none"/>
                <w:lang w:val="en-US" w:eastAsia="zh-CN"/>
              </w:rPr>
              <w:t>普安环卫所用地的城乡生活垃圾处理项目用地</w:t>
            </w:r>
            <w:r>
              <w:rPr>
                <w:rFonts w:hint="default" w:ascii="Times New Roman" w:hAnsi="Times New Roman" w:eastAsia="宋体" w:cs="Times New Roman"/>
                <w:color w:val="auto"/>
                <w:sz w:val="20"/>
                <w:szCs w:val="20"/>
                <w:highlight w:val="none"/>
                <w:lang w:eastAsia="zh-CN"/>
              </w:rPr>
              <w:t>，项目不属于对生态系统有严重影响的产业</w:t>
            </w:r>
            <w:r>
              <w:rPr>
                <w:rFonts w:hint="default" w:ascii="Times New Roman" w:hAnsi="Times New Roman" w:eastAsia="宋体" w:cs="Times New Roman"/>
                <w:color w:val="auto"/>
                <w:sz w:val="20"/>
                <w:szCs w:val="20"/>
                <w:highlight w:val="none"/>
              </w:rPr>
              <w:t>。</w:t>
            </w:r>
          </w:p>
        </w:tc>
        <w:tc>
          <w:tcPr>
            <w:tcW w:w="524" w:type="pct"/>
            <w:tcBorders>
              <w:tl2br w:val="nil"/>
              <w:tr2bl w:val="nil"/>
            </w:tcBorders>
            <w:noWrap w:val="0"/>
            <w:vAlign w:val="center"/>
          </w:tcPr>
          <w:p w14:paraId="76832B3C">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符合</w:t>
            </w:r>
          </w:p>
        </w:tc>
      </w:tr>
      <w:tr w14:paraId="6E6B342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4" w:type="pct"/>
            <w:tcBorders>
              <w:tl2br w:val="nil"/>
              <w:tr2bl w:val="nil"/>
            </w:tcBorders>
            <w:noWrap w:val="0"/>
            <w:vAlign w:val="center"/>
          </w:tcPr>
          <w:p w14:paraId="41C5EA38">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val="en-US" w:eastAsia="zh-CN"/>
              </w:rPr>
              <w:t>2</w:t>
            </w:r>
          </w:p>
        </w:tc>
        <w:tc>
          <w:tcPr>
            <w:tcW w:w="2677" w:type="pct"/>
            <w:tcBorders>
              <w:tl2br w:val="nil"/>
              <w:tr2bl w:val="nil"/>
            </w:tcBorders>
            <w:noWrap w:val="0"/>
            <w:vAlign w:val="center"/>
          </w:tcPr>
          <w:p w14:paraId="6D24962D">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禁止在长江干支流岸线一公里范围内新建、扩建化工园区和化工项目。禁止在长江干流岸线三公里范围内和重要支流岸线一公里范围内新建、改建、扩建尾矿库；但是以提升安全、生态环境保护水平为目的的改建除外。</w:t>
            </w:r>
          </w:p>
        </w:tc>
        <w:tc>
          <w:tcPr>
            <w:tcW w:w="2458" w:type="dxa"/>
            <w:tcBorders>
              <w:tl2br w:val="nil"/>
              <w:tr2bl w:val="nil"/>
            </w:tcBorders>
            <w:noWrap w:val="0"/>
            <w:vAlign w:val="center"/>
          </w:tcPr>
          <w:p w14:paraId="64213B1E">
            <w:pPr>
              <w:keepNext w:val="0"/>
              <w:keepLines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本项目</w:t>
            </w:r>
            <w:r>
              <w:rPr>
                <w:rFonts w:hint="default" w:ascii="Times New Roman" w:hAnsi="Times New Roman" w:eastAsia="宋体" w:cs="Times New Roman"/>
                <w:color w:val="auto"/>
                <w:sz w:val="20"/>
                <w:szCs w:val="20"/>
                <w:highlight w:val="none"/>
                <w:lang w:eastAsia="zh-CN"/>
              </w:rPr>
              <w:t>不属于化工、尾矿库项目</w:t>
            </w:r>
            <w:r>
              <w:rPr>
                <w:rFonts w:hint="default" w:ascii="Times New Roman" w:hAnsi="Times New Roman" w:eastAsia="宋体" w:cs="Times New Roman"/>
                <w:color w:val="auto"/>
                <w:sz w:val="20"/>
                <w:szCs w:val="20"/>
                <w:highlight w:val="none"/>
              </w:rPr>
              <w:t>。</w:t>
            </w:r>
          </w:p>
        </w:tc>
        <w:tc>
          <w:tcPr>
            <w:tcW w:w="524" w:type="pct"/>
            <w:tcBorders>
              <w:tl2br w:val="nil"/>
              <w:tr2bl w:val="nil"/>
            </w:tcBorders>
            <w:noWrap w:val="0"/>
            <w:vAlign w:val="center"/>
          </w:tcPr>
          <w:p w14:paraId="635C8FC6">
            <w:pPr>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符合</w:t>
            </w:r>
          </w:p>
        </w:tc>
      </w:tr>
    </w:tbl>
    <w:p w14:paraId="5E434AE8">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right="0" w:firstLine="480" w:firstLineChars="200"/>
        <w:textAlignment w:val="auto"/>
        <w:rPr>
          <w:rFonts w:hint="default" w:ascii="Times New Roman" w:hAnsi="Times New Roman" w:eastAsia="宋体" w:cs="Times New Roman"/>
          <w:bCs/>
          <w:color w:val="auto"/>
          <w:sz w:val="24"/>
          <w:highlight w:val="none"/>
          <w:lang w:val="en-US" w:eastAsia="zh-CN"/>
        </w:rPr>
      </w:pPr>
      <w:r>
        <w:rPr>
          <w:rFonts w:hint="default" w:ascii="Times New Roman" w:hAnsi="Times New Roman" w:eastAsia="宋体" w:cs="Times New Roman"/>
          <w:bCs/>
          <w:color w:val="auto"/>
          <w:sz w:val="24"/>
          <w:highlight w:val="none"/>
          <w:lang w:val="en-US" w:eastAsia="zh-CN"/>
        </w:rPr>
        <w:t>由上表分析可知，本项目建设符合《中华人民共和国长江保护法》中相关要求。</w:t>
      </w:r>
    </w:p>
    <w:p w14:paraId="0B9C691D">
      <w:pPr>
        <w:pStyle w:val="5"/>
        <w:pageBreakBefore w:val="0"/>
        <w:widowControl w:val="0"/>
        <w:kinsoku/>
        <w:wordWrap/>
        <w:overflowPunct/>
        <w:topLinePunct w:val="0"/>
        <w:autoSpaceDE/>
        <w:autoSpaceDN/>
        <w:bidi w:val="0"/>
        <w:snapToGrid w:val="0"/>
        <w:textAlignment w:val="auto"/>
        <w:rPr>
          <w:rFonts w:hint="default" w:ascii="Times New Roman" w:hAnsi="Times New Roman" w:cs="Times New Roman"/>
          <w:b/>
          <w:color w:val="auto"/>
          <w:sz w:val="24"/>
          <w:highlight w:val="none"/>
          <w:lang w:val="en-US" w:eastAsia="zh-CN"/>
        </w:rPr>
      </w:pPr>
      <w:r>
        <w:rPr>
          <w:rFonts w:hint="default" w:ascii="Times New Roman" w:hAnsi="Times New Roman" w:cs="Times New Roman"/>
          <w:b/>
          <w:color w:val="auto"/>
          <w:sz w:val="24"/>
          <w:highlight w:val="none"/>
          <w:lang w:val="en-US" w:eastAsia="zh-CN"/>
        </w:rPr>
        <w:t>与《四川省嘉陵江流域生态环境保护条例》符合性分析</w:t>
      </w:r>
    </w:p>
    <w:p w14:paraId="5A73C31B">
      <w:pPr>
        <w:pStyle w:val="14"/>
        <w:pageBreakBefore w:val="0"/>
        <w:widowControl w:val="0"/>
        <w:kinsoku/>
        <w:wordWrap/>
        <w:overflowPunct/>
        <w:topLinePunct w:val="0"/>
        <w:autoSpaceDE/>
        <w:autoSpaceDN/>
        <w:bidi w:val="0"/>
        <w:adjustRightInd w:val="0"/>
        <w:snapToGrid w:val="0"/>
        <w:spacing w:after="0" w:line="360" w:lineRule="auto"/>
        <w:ind w:left="0" w:right="0" w:firstLine="480" w:firstLineChars="200"/>
        <w:textAlignment w:val="auto"/>
        <w:rPr>
          <w:rFonts w:hint="default" w:ascii="Times New Roman" w:hAnsi="Times New Roman" w:eastAsia="宋体" w:cs="Times New Roman"/>
          <w:bCs/>
          <w:color w:val="auto"/>
          <w:kern w:val="2"/>
          <w:sz w:val="24"/>
          <w:szCs w:val="24"/>
          <w:highlight w:val="none"/>
          <w:lang w:val="en-US" w:eastAsia="zh-CN" w:bidi="ar-SA"/>
        </w:rPr>
      </w:pPr>
      <w:r>
        <w:rPr>
          <w:rFonts w:hint="default" w:ascii="Times New Roman" w:hAnsi="Times New Roman" w:eastAsia="宋体" w:cs="Times New Roman"/>
          <w:bCs/>
          <w:color w:val="auto"/>
          <w:kern w:val="2"/>
          <w:sz w:val="24"/>
          <w:szCs w:val="24"/>
          <w:highlight w:val="none"/>
          <w:lang w:val="en-US" w:eastAsia="zh-CN" w:bidi="ar-SA"/>
        </w:rPr>
        <w:t>本项目位于嘉陵江流域范围内，本项目与《四川省嘉陵江流域生态环境保护条例》的符合性分析如下表所示。</w:t>
      </w:r>
    </w:p>
    <w:p w14:paraId="4D6C9067">
      <w:pPr>
        <w:pStyle w:val="138"/>
        <w:numPr>
          <w:ilvl w:val="0"/>
          <w:numId w:val="0"/>
        </w:numPr>
        <w:snapToGrid/>
        <w:ind w:leftChars="0"/>
        <w:jc w:val="center"/>
        <w:textAlignment w:val="auto"/>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5</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w:t>
      </w:r>
      <w:r>
        <w:rPr>
          <w:rFonts w:hint="default" w:ascii="Times New Roman" w:hAnsi="Times New Roman" w:eastAsia="宋体" w:cs="Times New Roman"/>
          <w:b/>
          <w:bCs/>
          <w:color w:val="auto"/>
          <w:highlight w:val="none"/>
        </w:rPr>
        <w:t>与《</w:t>
      </w:r>
      <w:r>
        <w:rPr>
          <w:rFonts w:hint="default" w:ascii="Times New Roman" w:hAnsi="Times New Roman" w:eastAsia="宋体" w:cs="Times New Roman"/>
          <w:b/>
          <w:bCs/>
          <w:color w:val="auto"/>
          <w:highlight w:val="none"/>
          <w:lang w:val="en-US" w:eastAsia="zh-CN"/>
        </w:rPr>
        <w:t>四川省嘉陵江流域生态环境保护条例</w:t>
      </w:r>
      <w:r>
        <w:rPr>
          <w:rFonts w:hint="default" w:ascii="Times New Roman" w:hAnsi="Times New Roman" w:eastAsia="宋体" w:cs="Times New Roman"/>
          <w:b/>
          <w:bCs/>
          <w:color w:val="auto"/>
          <w:highlight w:val="none"/>
        </w:rPr>
        <w:t>》符合性分析</w:t>
      </w:r>
    </w:p>
    <w:tbl>
      <w:tblPr>
        <w:tblStyle w:val="35"/>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880"/>
        <w:gridCol w:w="4617"/>
        <w:gridCol w:w="2813"/>
        <w:gridCol w:w="974"/>
      </w:tblGrid>
      <w:tr w14:paraId="781DD63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474" w:type="pct"/>
            <w:tcBorders>
              <w:tl2br w:val="nil"/>
              <w:tr2bl w:val="nil"/>
            </w:tcBorders>
            <w:noWrap w:val="0"/>
            <w:vAlign w:val="center"/>
          </w:tcPr>
          <w:p w14:paraId="0953311E">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序号</w:t>
            </w:r>
          </w:p>
        </w:tc>
        <w:tc>
          <w:tcPr>
            <w:tcW w:w="2485" w:type="pct"/>
            <w:tcBorders>
              <w:tl2br w:val="nil"/>
              <w:tr2bl w:val="nil"/>
            </w:tcBorders>
            <w:noWrap w:val="0"/>
            <w:vAlign w:val="center"/>
          </w:tcPr>
          <w:p w14:paraId="7D1CB820">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lang w:eastAsia="zh-CN"/>
              </w:rPr>
              <w:t>相关</w:t>
            </w:r>
            <w:r>
              <w:rPr>
                <w:rFonts w:hint="default" w:ascii="Times New Roman" w:hAnsi="Times New Roman" w:eastAsia="宋体" w:cs="Times New Roman"/>
                <w:b/>
                <w:bCs/>
                <w:color w:val="auto"/>
                <w:sz w:val="20"/>
                <w:szCs w:val="20"/>
                <w:highlight w:val="none"/>
              </w:rPr>
              <w:t>要求</w:t>
            </w:r>
          </w:p>
        </w:tc>
        <w:tc>
          <w:tcPr>
            <w:tcW w:w="1514" w:type="pct"/>
            <w:tcBorders>
              <w:tl2br w:val="nil"/>
              <w:tr2bl w:val="nil"/>
            </w:tcBorders>
            <w:noWrap w:val="0"/>
            <w:vAlign w:val="center"/>
          </w:tcPr>
          <w:p w14:paraId="1E34F10B">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rPr>
              <w:t>本项目</w:t>
            </w:r>
            <w:r>
              <w:rPr>
                <w:rFonts w:hint="default" w:ascii="Times New Roman" w:hAnsi="Times New Roman" w:eastAsia="宋体" w:cs="Times New Roman"/>
                <w:b/>
                <w:bCs/>
                <w:color w:val="auto"/>
                <w:sz w:val="20"/>
                <w:szCs w:val="20"/>
                <w:highlight w:val="none"/>
                <w:lang w:eastAsia="zh-CN"/>
              </w:rPr>
              <w:t>情况</w:t>
            </w:r>
          </w:p>
        </w:tc>
        <w:tc>
          <w:tcPr>
            <w:tcW w:w="524" w:type="pct"/>
            <w:tcBorders>
              <w:tl2br w:val="nil"/>
              <w:tr2bl w:val="nil"/>
            </w:tcBorders>
            <w:noWrap w:val="0"/>
            <w:vAlign w:val="center"/>
          </w:tcPr>
          <w:p w14:paraId="5B31B45A">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b/>
                <w:bCs/>
                <w:color w:val="auto"/>
                <w:sz w:val="20"/>
                <w:szCs w:val="20"/>
                <w:highlight w:val="none"/>
                <w:lang w:eastAsia="zh-CN"/>
              </w:rPr>
            </w:pPr>
            <w:r>
              <w:rPr>
                <w:rFonts w:hint="default" w:ascii="Times New Roman" w:hAnsi="Times New Roman" w:eastAsia="宋体" w:cs="Times New Roman"/>
                <w:b/>
                <w:bCs/>
                <w:color w:val="auto"/>
                <w:sz w:val="20"/>
                <w:szCs w:val="20"/>
                <w:highlight w:val="none"/>
                <w:lang w:eastAsia="zh-CN"/>
              </w:rPr>
              <w:t>符合性</w:t>
            </w:r>
          </w:p>
        </w:tc>
      </w:tr>
      <w:tr w14:paraId="1B8C949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4" w:type="pct"/>
            <w:tcBorders>
              <w:tl2br w:val="nil"/>
              <w:tr2bl w:val="nil"/>
            </w:tcBorders>
            <w:noWrap w:val="0"/>
            <w:vAlign w:val="center"/>
          </w:tcPr>
          <w:p w14:paraId="34CB4715">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1</w:t>
            </w:r>
          </w:p>
        </w:tc>
        <w:tc>
          <w:tcPr>
            <w:tcW w:w="2485" w:type="pct"/>
            <w:tcBorders>
              <w:tl2br w:val="nil"/>
              <w:tr2bl w:val="nil"/>
            </w:tcBorders>
            <w:noWrap w:val="0"/>
            <w:vAlign w:val="center"/>
          </w:tcPr>
          <w:p w14:paraId="7138429D">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禁止在嘉陵江干支流岸线一公里范围内新建、扩建化工园区和化工项目</w:t>
            </w:r>
            <w:r>
              <w:rPr>
                <w:rFonts w:hint="default" w:ascii="Times New Roman" w:hAnsi="Times New Roman" w:eastAsia="宋体" w:cs="Times New Roman"/>
                <w:color w:val="auto"/>
                <w:sz w:val="20"/>
                <w:szCs w:val="20"/>
                <w:highlight w:val="none"/>
              </w:rPr>
              <w:t>。</w:t>
            </w:r>
          </w:p>
        </w:tc>
        <w:tc>
          <w:tcPr>
            <w:tcW w:w="1514" w:type="pct"/>
            <w:tcBorders>
              <w:tl2br w:val="nil"/>
              <w:tr2bl w:val="nil"/>
            </w:tcBorders>
            <w:noWrap w:val="0"/>
            <w:vAlign w:val="center"/>
          </w:tcPr>
          <w:p w14:paraId="1E80A7B7">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eastAsia="zh-CN"/>
              </w:rPr>
              <w:t>本</w:t>
            </w:r>
            <w:r>
              <w:rPr>
                <w:rFonts w:hint="default" w:ascii="Times New Roman" w:hAnsi="Times New Roman" w:eastAsia="宋体" w:cs="Times New Roman"/>
                <w:color w:val="auto"/>
                <w:sz w:val="20"/>
                <w:szCs w:val="20"/>
                <w:highlight w:val="none"/>
              </w:rPr>
              <w:t>项目</w:t>
            </w:r>
            <w:r>
              <w:rPr>
                <w:rFonts w:hint="default" w:ascii="Times New Roman" w:hAnsi="Times New Roman" w:eastAsia="宋体" w:cs="Times New Roman"/>
                <w:color w:val="auto"/>
                <w:sz w:val="20"/>
                <w:szCs w:val="20"/>
                <w:highlight w:val="none"/>
                <w:lang w:eastAsia="zh-CN"/>
              </w:rPr>
              <w:t>不属于化工</w:t>
            </w:r>
            <w:r>
              <w:rPr>
                <w:rFonts w:hint="default" w:ascii="Times New Roman" w:hAnsi="Times New Roman" w:eastAsia="宋体" w:cs="Times New Roman"/>
                <w:color w:val="auto"/>
                <w:sz w:val="20"/>
                <w:szCs w:val="20"/>
                <w:highlight w:val="none"/>
                <w:lang w:val="en-US" w:eastAsia="zh-CN"/>
              </w:rPr>
              <w:t>项目</w:t>
            </w:r>
            <w:r>
              <w:rPr>
                <w:rFonts w:hint="default" w:ascii="Times New Roman" w:hAnsi="Times New Roman" w:eastAsia="宋体" w:cs="Times New Roman"/>
                <w:color w:val="auto"/>
                <w:sz w:val="20"/>
                <w:szCs w:val="20"/>
                <w:highlight w:val="none"/>
              </w:rPr>
              <w:t>。</w:t>
            </w:r>
          </w:p>
        </w:tc>
        <w:tc>
          <w:tcPr>
            <w:tcW w:w="524" w:type="pct"/>
            <w:tcBorders>
              <w:tl2br w:val="nil"/>
              <w:tr2bl w:val="nil"/>
            </w:tcBorders>
            <w:noWrap w:val="0"/>
            <w:vAlign w:val="center"/>
          </w:tcPr>
          <w:p w14:paraId="12AFCEDD">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符合</w:t>
            </w:r>
          </w:p>
        </w:tc>
      </w:tr>
      <w:tr w14:paraId="779FED2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74" w:type="pct"/>
            <w:tcBorders>
              <w:tl2br w:val="nil"/>
              <w:tr2bl w:val="nil"/>
            </w:tcBorders>
            <w:noWrap w:val="0"/>
            <w:vAlign w:val="center"/>
          </w:tcPr>
          <w:p w14:paraId="41B78948">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2</w:t>
            </w:r>
          </w:p>
        </w:tc>
        <w:tc>
          <w:tcPr>
            <w:tcW w:w="2485" w:type="pct"/>
            <w:tcBorders>
              <w:tl2br w:val="nil"/>
              <w:tr2bl w:val="nil"/>
            </w:tcBorders>
            <w:noWrap w:val="0"/>
            <w:vAlign w:val="center"/>
          </w:tcPr>
          <w:p w14:paraId="295886D5">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排污单位排放污染物不得超过国家和省污染物排放标准，不得超过重点水污染物排放总量控制指标。按照国家规定实行排污许可管理的企业事业单位和其他生产经营者，应当依法向设区的市级以上地方人民政府生态环境主管部门申请取得排污许可证，按照排污许可证的规定排放污染物；禁止未取得排污许可证或者违反排污许可证的规定排放污染物。</w:t>
            </w:r>
          </w:p>
        </w:tc>
        <w:tc>
          <w:tcPr>
            <w:tcW w:w="1514" w:type="pct"/>
            <w:tcBorders>
              <w:tl2br w:val="nil"/>
              <w:tr2bl w:val="nil"/>
            </w:tcBorders>
            <w:noWrap w:val="0"/>
            <w:vAlign w:val="center"/>
          </w:tcPr>
          <w:p w14:paraId="316409C1">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本项目废水</w:t>
            </w:r>
            <w:r>
              <w:rPr>
                <w:rStyle w:val="37"/>
                <w:rFonts w:hint="default" w:ascii="Times New Roman" w:hAnsi="Times New Roman" w:eastAsia="宋体" w:cs="Times New Roman"/>
                <w:color w:val="auto"/>
                <w:kern w:val="2"/>
                <w:sz w:val="20"/>
                <w:szCs w:val="20"/>
                <w:highlight w:val="none"/>
                <w:lang w:val="en-US" w:eastAsia="zh-CN" w:bidi="ar-SA"/>
              </w:rPr>
              <w:t>依托</w:t>
            </w:r>
            <w:r>
              <w:rPr>
                <w:rStyle w:val="37"/>
                <w:rFonts w:hint="eastAsia" w:eastAsia="宋体" w:cs="Times New Roman"/>
                <w:color w:val="auto"/>
                <w:kern w:val="2"/>
                <w:sz w:val="20"/>
                <w:szCs w:val="20"/>
                <w:highlight w:val="none"/>
                <w:lang w:val="en-US" w:eastAsia="zh-CN" w:bidi="ar-SA"/>
              </w:rPr>
              <w:t>普安镇污水处理厂或</w:t>
            </w:r>
            <w:r>
              <w:rPr>
                <w:rStyle w:val="37"/>
                <w:rFonts w:hint="default" w:ascii="Times New Roman" w:hAnsi="Times New Roman" w:eastAsia="宋体" w:cs="Times New Roman"/>
                <w:color w:val="auto"/>
                <w:kern w:val="2"/>
                <w:sz w:val="20"/>
                <w:szCs w:val="20"/>
                <w:highlight w:val="none"/>
                <w:lang w:val="en-US" w:eastAsia="zh-CN" w:bidi="ar-SA"/>
              </w:rPr>
              <w:t>剑阁县垃圾填埋场渗滤液处理站处理后达标</w:t>
            </w:r>
            <w:r>
              <w:rPr>
                <w:rFonts w:hint="default" w:ascii="Times New Roman" w:hAnsi="Times New Roman" w:eastAsia="宋体" w:cs="Times New Roman"/>
                <w:color w:val="auto"/>
                <w:sz w:val="20"/>
                <w:szCs w:val="20"/>
                <w:highlight w:val="none"/>
                <w:lang w:val="en-US" w:eastAsia="zh-CN"/>
              </w:rPr>
              <w:t>后排入闻溪河，</w:t>
            </w:r>
            <w:r>
              <w:rPr>
                <w:rFonts w:hint="eastAsia" w:ascii="Times New Roman" w:hAnsi="Times New Roman" w:eastAsia="宋体" w:cs="Times New Roman"/>
                <w:color w:val="auto"/>
                <w:sz w:val="20"/>
                <w:szCs w:val="20"/>
                <w:highlight w:val="none"/>
                <w:lang w:val="en-US" w:eastAsia="zh-CN"/>
              </w:rPr>
              <w:t>普安镇污水处理厂及</w:t>
            </w:r>
            <w:r>
              <w:rPr>
                <w:rFonts w:hint="default" w:ascii="Times New Roman" w:hAnsi="Times New Roman" w:eastAsia="宋体" w:cs="Times New Roman"/>
                <w:color w:val="auto"/>
                <w:sz w:val="20"/>
                <w:szCs w:val="20"/>
                <w:highlight w:val="none"/>
                <w:lang w:val="en-US" w:eastAsia="zh-CN"/>
              </w:rPr>
              <w:t>渗滤液处理站已取得排污许可证，本项目不新增排污口。</w:t>
            </w:r>
          </w:p>
        </w:tc>
        <w:tc>
          <w:tcPr>
            <w:tcW w:w="524" w:type="pct"/>
            <w:tcBorders>
              <w:tl2br w:val="nil"/>
              <w:tr2bl w:val="nil"/>
            </w:tcBorders>
            <w:noWrap w:val="0"/>
            <w:vAlign w:val="center"/>
          </w:tcPr>
          <w:p w14:paraId="0D140519">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符合</w:t>
            </w:r>
          </w:p>
        </w:tc>
      </w:tr>
    </w:tbl>
    <w:p w14:paraId="2B9F38C0">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0"/>
        <w:jc w:val="both"/>
        <w:textAlignment w:val="auto"/>
        <w:rPr>
          <w:rFonts w:hint="default" w:ascii="Times New Roman" w:hAnsi="Times New Roman" w:eastAsia="宋体" w:cs="Times New Roman"/>
          <w:bCs/>
          <w:color w:val="auto"/>
          <w:kern w:val="2"/>
          <w:sz w:val="24"/>
          <w:szCs w:val="24"/>
          <w:highlight w:val="none"/>
          <w:lang w:val="en-US" w:eastAsia="zh-CN" w:bidi="ar-SA"/>
        </w:rPr>
      </w:pPr>
      <w:r>
        <w:rPr>
          <w:rFonts w:hint="default" w:ascii="Times New Roman" w:hAnsi="Times New Roman" w:eastAsia="宋体" w:cs="Times New Roman"/>
          <w:bCs/>
          <w:color w:val="auto"/>
          <w:sz w:val="24"/>
          <w:highlight w:val="none"/>
          <w:lang w:val="en-US" w:eastAsia="zh-CN"/>
        </w:rPr>
        <w:t>由上表分析可知，本</w:t>
      </w:r>
      <w:r>
        <w:rPr>
          <w:rFonts w:hint="default" w:ascii="Times New Roman" w:hAnsi="Times New Roman" w:eastAsia="宋体" w:cs="Times New Roman"/>
          <w:bCs/>
          <w:color w:val="auto"/>
          <w:kern w:val="2"/>
          <w:sz w:val="24"/>
          <w:szCs w:val="24"/>
          <w:highlight w:val="none"/>
          <w:lang w:val="en-US" w:eastAsia="zh-CN" w:bidi="ar-SA"/>
        </w:rPr>
        <w:t>项目建设符合《四川省嘉陵江流域生态环境保护条例》中相关要求。</w:t>
      </w:r>
    </w:p>
    <w:p w14:paraId="5DAE28B3">
      <w:pPr>
        <w:pStyle w:val="5"/>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rPr>
        <w:t>与《长江经济带生态环境保护规划》（环规财〔2017〕88号）符合性</w:t>
      </w:r>
      <w:r>
        <w:rPr>
          <w:rFonts w:hint="default" w:ascii="Times New Roman" w:hAnsi="Times New Roman" w:cs="Times New Roman"/>
          <w:b/>
          <w:color w:val="auto"/>
          <w:sz w:val="24"/>
          <w:highlight w:val="none"/>
          <w:lang w:eastAsia="zh-CN"/>
        </w:rPr>
        <w:t>分析</w:t>
      </w:r>
    </w:p>
    <w:p w14:paraId="3715276C">
      <w:pPr>
        <w:spacing w:line="360" w:lineRule="auto"/>
        <w:ind w:firstLine="480" w:firstLineChars="200"/>
        <w:rPr>
          <w:rFonts w:hint="default" w:ascii="Times New Roman" w:hAnsi="Times New Roman" w:cs="Times New Roman"/>
          <w:bCs/>
          <w:color w:val="auto"/>
          <w:sz w:val="24"/>
          <w:highlight w:val="none"/>
        </w:rPr>
      </w:pPr>
      <w:r>
        <w:rPr>
          <w:rFonts w:hint="default" w:ascii="Times New Roman" w:hAnsi="Times New Roman" w:cs="Times New Roman"/>
          <w:bCs/>
          <w:color w:val="auto"/>
          <w:sz w:val="24"/>
          <w:highlight w:val="none"/>
        </w:rPr>
        <w:t>本项目与《长江经济带生态环境保护规划》相关要求符合性分析见下表。</w:t>
      </w:r>
    </w:p>
    <w:p w14:paraId="09B34645">
      <w:pPr>
        <w:numPr>
          <w:ilvl w:val="0"/>
          <w:numId w:val="0"/>
        </w:numPr>
        <w:spacing w:line="240" w:lineRule="auto"/>
        <w:ind w:leftChars="0"/>
        <w:jc w:val="center"/>
        <w:rPr>
          <w:rFonts w:hint="default" w:ascii="Times New Roman" w:hAnsi="Times New Roman" w:cs="Times New Roman"/>
          <w:b/>
          <w:bCs/>
          <w:color w:val="auto"/>
          <w:szCs w:val="21"/>
          <w:highlight w:val="none"/>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6</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w:t>
      </w:r>
      <w:r>
        <w:rPr>
          <w:rFonts w:hint="default" w:ascii="Times New Roman" w:hAnsi="Times New Roman" w:cs="Times New Roman"/>
          <w:b/>
          <w:bCs/>
          <w:color w:val="auto"/>
          <w:szCs w:val="21"/>
          <w:highlight w:val="none"/>
        </w:rPr>
        <w:t>与《长江经济带生态环境保护规划》的符合性分析一览表</w:t>
      </w:r>
    </w:p>
    <w:tbl>
      <w:tblPr>
        <w:tblStyle w:val="35"/>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95"/>
        <w:gridCol w:w="5130"/>
        <w:gridCol w:w="2222"/>
        <w:gridCol w:w="941"/>
      </w:tblGrid>
      <w:tr w14:paraId="2B469A1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535" w:type="pct"/>
            <w:noWrap/>
            <w:vAlign w:val="center"/>
          </w:tcPr>
          <w:p w14:paraId="31E1040D">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snapToGrid w:val="0"/>
                <w:color w:val="auto"/>
                <w:kern w:val="0"/>
                <w:sz w:val="20"/>
                <w:szCs w:val="20"/>
                <w:highlight w:val="none"/>
                <w:lang w:val="en-US" w:eastAsia="zh-CN"/>
              </w:rPr>
            </w:pPr>
            <w:r>
              <w:rPr>
                <w:rFonts w:hint="default" w:ascii="Times New Roman" w:hAnsi="Times New Roman" w:eastAsia="宋体" w:cs="Times New Roman"/>
                <w:b/>
                <w:snapToGrid w:val="0"/>
                <w:color w:val="auto"/>
                <w:kern w:val="0"/>
                <w:sz w:val="20"/>
                <w:szCs w:val="20"/>
                <w:highlight w:val="none"/>
                <w:lang w:val="en-US" w:eastAsia="zh-CN"/>
              </w:rPr>
              <w:t>规范</w:t>
            </w:r>
          </w:p>
          <w:p w14:paraId="131FC579">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snapToGrid w:val="0"/>
                <w:color w:val="auto"/>
                <w:kern w:val="0"/>
                <w:sz w:val="20"/>
                <w:szCs w:val="20"/>
                <w:highlight w:val="none"/>
                <w:lang w:val="en-US" w:eastAsia="zh-CN"/>
              </w:rPr>
            </w:pPr>
            <w:r>
              <w:rPr>
                <w:rFonts w:hint="default" w:ascii="Times New Roman" w:hAnsi="Times New Roman" w:eastAsia="宋体" w:cs="Times New Roman"/>
                <w:b/>
                <w:snapToGrid w:val="0"/>
                <w:color w:val="auto"/>
                <w:kern w:val="0"/>
                <w:sz w:val="20"/>
                <w:szCs w:val="20"/>
                <w:highlight w:val="none"/>
                <w:lang w:val="en-US" w:eastAsia="zh-CN"/>
              </w:rPr>
              <w:t>文件</w:t>
            </w:r>
          </w:p>
        </w:tc>
        <w:tc>
          <w:tcPr>
            <w:tcW w:w="2761" w:type="pct"/>
            <w:noWrap/>
            <w:vAlign w:val="center"/>
          </w:tcPr>
          <w:p w14:paraId="462BD514">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snapToGrid w:val="0"/>
                <w:color w:val="auto"/>
                <w:kern w:val="0"/>
                <w:sz w:val="20"/>
                <w:szCs w:val="20"/>
                <w:highlight w:val="none"/>
                <w:lang w:val="en-US" w:eastAsia="zh-CN"/>
              </w:rPr>
            </w:pPr>
            <w:r>
              <w:rPr>
                <w:rFonts w:hint="default" w:ascii="Times New Roman" w:hAnsi="Times New Roman" w:eastAsia="宋体" w:cs="Times New Roman"/>
                <w:b/>
                <w:snapToGrid w:val="0"/>
                <w:color w:val="auto"/>
                <w:kern w:val="0"/>
                <w:sz w:val="20"/>
                <w:szCs w:val="20"/>
                <w:highlight w:val="none"/>
                <w:lang w:val="en-US" w:eastAsia="zh-CN"/>
              </w:rPr>
              <w:t>具体要求</w:t>
            </w:r>
          </w:p>
        </w:tc>
        <w:tc>
          <w:tcPr>
            <w:tcW w:w="1196" w:type="pct"/>
            <w:noWrap/>
            <w:vAlign w:val="center"/>
          </w:tcPr>
          <w:p w14:paraId="0C56ACF5">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snapToGrid w:val="0"/>
                <w:color w:val="auto"/>
                <w:kern w:val="0"/>
                <w:sz w:val="20"/>
                <w:szCs w:val="20"/>
                <w:highlight w:val="none"/>
                <w:lang w:val="en-US" w:eastAsia="zh-CN"/>
              </w:rPr>
            </w:pPr>
            <w:r>
              <w:rPr>
                <w:rFonts w:hint="default" w:ascii="Times New Roman" w:hAnsi="Times New Roman" w:eastAsia="宋体" w:cs="Times New Roman"/>
                <w:b/>
                <w:snapToGrid w:val="0"/>
                <w:color w:val="auto"/>
                <w:kern w:val="0"/>
                <w:sz w:val="20"/>
                <w:szCs w:val="20"/>
                <w:highlight w:val="none"/>
                <w:lang w:val="en-US" w:eastAsia="zh-CN"/>
              </w:rPr>
              <w:t>本项目</w:t>
            </w:r>
          </w:p>
        </w:tc>
        <w:tc>
          <w:tcPr>
            <w:tcW w:w="506" w:type="pct"/>
            <w:noWrap/>
            <w:vAlign w:val="center"/>
          </w:tcPr>
          <w:p w14:paraId="135AA6F7">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
                <w:snapToGrid w:val="0"/>
                <w:color w:val="auto"/>
                <w:kern w:val="0"/>
                <w:sz w:val="20"/>
                <w:szCs w:val="20"/>
                <w:highlight w:val="none"/>
                <w:lang w:val="en-US" w:eastAsia="zh-CN"/>
              </w:rPr>
            </w:pPr>
            <w:r>
              <w:rPr>
                <w:rFonts w:hint="default" w:ascii="Times New Roman" w:hAnsi="Times New Roman" w:eastAsia="宋体" w:cs="Times New Roman"/>
                <w:b/>
                <w:snapToGrid w:val="0"/>
                <w:color w:val="auto"/>
                <w:kern w:val="0"/>
                <w:sz w:val="20"/>
                <w:szCs w:val="20"/>
                <w:highlight w:val="none"/>
                <w:lang w:val="en-US" w:eastAsia="zh-CN"/>
              </w:rPr>
              <w:t>符合性</w:t>
            </w:r>
          </w:p>
        </w:tc>
      </w:tr>
      <w:tr w14:paraId="7EFCA4C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535" w:type="pct"/>
            <w:vMerge w:val="restart"/>
            <w:noWrap/>
            <w:vAlign w:val="center"/>
          </w:tcPr>
          <w:p w14:paraId="4C8D2479">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Cs/>
                <w:snapToGrid w:val="0"/>
                <w:color w:val="auto"/>
                <w:kern w:val="0"/>
                <w:sz w:val="20"/>
                <w:szCs w:val="20"/>
                <w:highlight w:val="none"/>
                <w:lang w:val="en-US" w:eastAsia="zh-CN"/>
              </w:rPr>
            </w:pPr>
            <w:r>
              <w:rPr>
                <w:rFonts w:hint="default" w:ascii="Times New Roman" w:hAnsi="Times New Roman" w:eastAsia="宋体" w:cs="Times New Roman"/>
                <w:bCs/>
                <w:snapToGrid w:val="0"/>
                <w:color w:val="auto"/>
                <w:kern w:val="0"/>
                <w:sz w:val="20"/>
                <w:szCs w:val="20"/>
                <w:highlight w:val="none"/>
                <w:lang w:val="en-US" w:eastAsia="zh-CN"/>
              </w:rPr>
              <w:t>环规财[2017]88号</w:t>
            </w:r>
          </w:p>
        </w:tc>
        <w:tc>
          <w:tcPr>
            <w:tcW w:w="2761" w:type="pct"/>
            <w:noWrap/>
            <w:vAlign w:val="center"/>
          </w:tcPr>
          <w:p w14:paraId="6C2AF9A0">
            <w:pPr>
              <w:pStyle w:val="135"/>
              <w:keepNext w:val="0"/>
              <w:keepLines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b/>
                <w:bCs w:val="0"/>
                <w:snapToGrid w:val="0"/>
                <w:color w:val="auto"/>
                <w:kern w:val="0"/>
                <w:sz w:val="20"/>
                <w:szCs w:val="20"/>
                <w:highlight w:val="none"/>
                <w:lang w:val="en-US" w:eastAsia="zh-CN"/>
              </w:rPr>
            </w:pPr>
            <w:r>
              <w:rPr>
                <w:rFonts w:hint="default" w:ascii="Times New Roman" w:hAnsi="Times New Roman" w:eastAsia="宋体" w:cs="Times New Roman"/>
                <w:b/>
                <w:bCs w:val="0"/>
                <w:snapToGrid w:val="0"/>
                <w:color w:val="auto"/>
                <w:kern w:val="0"/>
                <w:sz w:val="20"/>
                <w:szCs w:val="20"/>
                <w:highlight w:val="none"/>
                <w:lang w:val="en-US" w:eastAsia="zh-CN"/>
              </w:rPr>
              <w:t>四、划定生态保护红线，实施生态保护与修复</w:t>
            </w:r>
          </w:p>
          <w:p w14:paraId="0D28A64A">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Cs/>
                <w:snapToGrid w:val="0"/>
                <w:color w:val="auto"/>
                <w:kern w:val="0"/>
                <w:sz w:val="20"/>
                <w:szCs w:val="20"/>
                <w:highlight w:val="none"/>
                <w:lang w:val="en-US" w:eastAsia="zh-CN"/>
              </w:rPr>
            </w:pPr>
            <w:r>
              <w:rPr>
                <w:rFonts w:hint="default" w:ascii="Times New Roman" w:hAnsi="Times New Roman" w:eastAsia="宋体" w:cs="Times New Roman"/>
                <w:bCs/>
                <w:snapToGrid w:val="0"/>
                <w:color w:val="auto"/>
                <w:kern w:val="0"/>
                <w:sz w:val="20"/>
                <w:szCs w:val="20"/>
                <w:highlight w:val="none"/>
                <w:lang w:val="en-US" w:eastAsia="zh-CN"/>
              </w:rPr>
              <w:t>严守生态保护红线。……生态保护红线原则上按禁止开发区域的要求进行管理，严禁不符合主体功能定位的各类开发活动，严禁任意改变用途。</w:t>
            </w:r>
          </w:p>
        </w:tc>
        <w:tc>
          <w:tcPr>
            <w:tcW w:w="2222" w:type="dxa"/>
            <w:noWrap/>
            <w:vAlign w:val="center"/>
          </w:tcPr>
          <w:p w14:paraId="6364F6D5">
            <w:pPr>
              <w:pStyle w:val="135"/>
              <w:keepNext w:val="0"/>
              <w:keepLines w:val="0"/>
              <w:suppressLineNumbers w:val="0"/>
              <w:spacing w:before="0" w:beforeAutospacing="0" w:after="0" w:afterAutospacing="0" w:line="240" w:lineRule="auto"/>
              <w:ind w:left="0" w:leftChars="0" w:right="0" w:rightChars="0" w:firstLine="0" w:firstLineChars="0"/>
              <w:jc w:val="center"/>
              <w:rPr>
                <w:rFonts w:hint="default" w:ascii="Times New Roman" w:hAnsi="Times New Roman" w:eastAsia="宋体" w:cs="Times New Roman"/>
                <w:bCs/>
                <w:snapToGrid w:val="0"/>
                <w:color w:val="auto"/>
                <w:kern w:val="0"/>
                <w:sz w:val="20"/>
                <w:szCs w:val="20"/>
                <w:highlight w:val="none"/>
                <w:lang w:val="en-US" w:eastAsia="zh-CN"/>
              </w:rPr>
            </w:pPr>
            <w:r>
              <w:rPr>
                <w:rFonts w:hint="default" w:ascii="Times New Roman" w:hAnsi="Times New Roman" w:eastAsia="宋体" w:cs="Times New Roman"/>
                <w:bCs/>
                <w:snapToGrid w:val="0"/>
                <w:color w:val="auto"/>
                <w:kern w:val="0"/>
                <w:sz w:val="20"/>
                <w:szCs w:val="20"/>
                <w:highlight w:val="none"/>
                <w:lang w:val="en-US" w:eastAsia="zh-CN"/>
              </w:rPr>
              <w:t>根据与广元市三线一单的符合性分析，项目不涉及生态红线。</w:t>
            </w:r>
          </w:p>
        </w:tc>
        <w:tc>
          <w:tcPr>
            <w:tcW w:w="506" w:type="pct"/>
            <w:noWrap/>
            <w:vAlign w:val="center"/>
          </w:tcPr>
          <w:p w14:paraId="59372BBC">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Cs/>
                <w:snapToGrid w:val="0"/>
                <w:color w:val="auto"/>
                <w:kern w:val="0"/>
                <w:sz w:val="20"/>
                <w:szCs w:val="20"/>
                <w:highlight w:val="none"/>
                <w:lang w:val="en-US" w:eastAsia="zh-CN"/>
              </w:rPr>
            </w:pPr>
            <w:r>
              <w:rPr>
                <w:rFonts w:hint="default" w:ascii="Times New Roman" w:hAnsi="Times New Roman" w:eastAsia="宋体" w:cs="Times New Roman"/>
                <w:bCs/>
                <w:snapToGrid w:val="0"/>
                <w:color w:val="auto"/>
                <w:kern w:val="0"/>
                <w:sz w:val="20"/>
                <w:szCs w:val="20"/>
                <w:highlight w:val="none"/>
                <w:lang w:val="en-US" w:eastAsia="zh-CN"/>
              </w:rPr>
              <w:t>符合</w:t>
            </w:r>
          </w:p>
        </w:tc>
      </w:tr>
      <w:tr w14:paraId="540F633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535" w:type="pct"/>
            <w:vMerge w:val="continue"/>
            <w:noWrap/>
            <w:vAlign w:val="center"/>
          </w:tcPr>
          <w:p w14:paraId="318AE21E">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Cs/>
                <w:snapToGrid w:val="0"/>
                <w:color w:val="auto"/>
                <w:kern w:val="0"/>
                <w:sz w:val="20"/>
                <w:szCs w:val="20"/>
                <w:highlight w:val="none"/>
                <w:lang w:val="en-US" w:eastAsia="zh-CN"/>
              </w:rPr>
            </w:pPr>
          </w:p>
        </w:tc>
        <w:tc>
          <w:tcPr>
            <w:tcW w:w="2761" w:type="pct"/>
            <w:noWrap/>
            <w:vAlign w:val="center"/>
          </w:tcPr>
          <w:p w14:paraId="4A2D584A">
            <w:pPr>
              <w:pStyle w:val="135"/>
              <w:keepNext w:val="0"/>
              <w:keepLines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b/>
                <w:bCs w:val="0"/>
                <w:snapToGrid w:val="0"/>
                <w:color w:val="auto"/>
                <w:kern w:val="0"/>
                <w:sz w:val="20"/>
                <w:szCs w:val="20"/>
                <w:highlight w:val="none"/>
                <w:lang w:val="en-US" w:eastAsia="zh-CN"/>
              </w:rPr>
            </w:pPr>
            <w:r>
              <w:rPr>
                <w:rFonts w:hint="default" w:ascii="Times New Roman" w:hAnsi="Times New Roman" w:eastAsia="宋体" w:cs="Times New Roman"/>
                <w:b/>
                <w:bCs w:val="0"/>
                <w:snapToGrid w:val="0"/>
                <w:color w:val="auto"/>
                <w:kern w:val="0"/>
                <w:sz w:val="20"/>
                <w:szCs w:val="20"/>
                <w:highlight w:val="none"/>
                <w:lang w:val="en-US" w:eastAsia="zh-CN"/>
              </w:rPr>
              <w:t>八、创新大保护的生态环保机制政策，推动区域协同联动</w:t>
            </w:r>
          </w:p>
          <w:p w14:paraId="4237112F">
            <w:pPr>
              <w:pStyle w:val="135"/>
              <w:keepNext w:val="0"/>
              <w:keepLines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b w:val="0"/>
                <w:bCs/>
                <w:snapToGrid w:val="0"/>
                <w:color w:val="auto"/>
                <w:kern w:val="0"/>
                <w:sz w:val="20"/>
                <w:szCs w:val="20"/>
                <w:highlight w:val="none"/>
                <w:lang w:val="en-US" w:eastAsia="zh-CN"/>
              </w:rPr>
            </w:pPr>
            <w:r>
              <w:rPr>
                <w:rFonts w:hint="default" w:ascii="Times New Roman" w:hAnsi="Times New Roman" w:eastAsia="宋体" w:cs="Times New Roman"/>
                <w:b w:val="0"/>
                <w:bCs/>
                <w:snapToGrid w:val="0"/>
                <w:color w:val="auto"/>
                <w:kern w:val="0"/>
                <w:sz w:val="20"/>
                <w:szCs w:val="20"/>
                <w:highlight w:val="none"/>
                <w:lang w:val="en-US" w:eastAsia="zh-CN"/>
              </w:rPr>
              <w:t>实行负面清单管理。长江沿线一切经济活动都要以不破坏生态环境为前提，抓紧制定产业准入负面清单，明确空间准入和环境准入的清单式管理要求。提出长江沿线限制开发和禁止开发的岸线、河段、区域、产业以及相关管理措施。不符合要求占用岸线、河段、土地和布局的产业，必须无条件退出。除在建项目外，严禁在干流及主要支流岸线1公里范围内布局新建重化工园区，严控在中上游沿岸地区新建石油化工和煤化工项目。严控下游高污染、高排放企业向上游转移。</w:t>
            </w:r>
          </w:p>
        </w:tc>
        <w:tc>
          <w:tcPr>
            <w:tcW w:w="2222" w:type="dxa"/>
            <w:noWrap/>
            <w:vAlign w:val="center"/>
          </w:tcPr>
          <w:p w14:paraId="250C8BF0">
            <w:pPr>
              <w:pStyle w:val="135"/>
              <w:keepNext w:val="0"/>
              <w:keepLines w:val="0"/>
              <w:suppressLineNumbers w:val="0"/>
              <w:spacing w:before="0" w:beforeAutospacing="0" w:after="0" w:afterAutospacing="0" w:line="240" w:lineRule="auto"/>
              <w:ind w:left="0" w:leftChars="0" w:right="0" w:rightChars="0" w:firstLine="0" w:firstLineChars="0"/>
              <w:jc w:val="both"/>
              <w:rPr>
                <w:rFonts w:hint="default" w:ascii="Times New Roman" w:hAnsi="Times New Roman" w:eastAsia="宋体" w:cs="Times New Roman"/>
                <w:b w:val="0"/>
                <w:bCs/>
                <w:snapToGrid w:val="0"/>
                <w:color w:val="auto"/>
                <w:kern w:val="0"/>
                <w:sz w:val="20"/>
                <w:szCs w:val="20"/>
                <w:highlight w:val="none"/>
                <w:lang w:val="en-US" w:eastAsia="zh-CN"/>
              </w:rPr>
            </w:pPr>
            <w:r>
              <w:rPr>
                <w:rFonts w:hint="default" w:ascii="Times New Roman" w:hAnsi="Times New Roman" w:eastAsia="宋体" w:cs="Times New Roman"/>
                <w:b w:val="0"/>
                <w:bCs/>
                <w:snapToGrid w:val="0"/>
                <w:color w:val="auto"/>
                <w:kern w:val="0"/>
                <w:sz w:val="20"/>
                <w:szCs w:val="20"/>
                <w:highlight w:val="none"/>
                <w:lang w:val="en-US" w:eastAsia="zh-CN"/>
              </w:rPr>
              <w:t>本项目厂址北侧距离闻溪河约834m，且不属于石油化工和煤化工项目。</w:t>
            </w:r>
          </w:p>
        </w:tc>
        <w:tc>
          <w:tcPr>
            <w:tcW w:w="506" w:type="pct"/>
            <w:noWrap/>
            <w:vAlign w:val="center"/>
          </w:tcPr>
          <w:p w14:paraId="2ABFA3BB">
            <w:pPr>
              <w:pStyle w:val="13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bCs/>
                <w:snapToGrid w:val="0"/>
                <w:color w:val="auto"/>
                <w:kern w:val="0"/>
                <w:sz w:val="20"/>
                <w:szCs w:val="20"/>
                <w:highlight w:val="none"/>
                <w:lang w:val="en-US" w:eastAsia="zh-CN"/>
              </w:rPr>
            </w:pPr>
            <w:r>
              <w:rPr>
                <w:rFonts w:hint="default" w:ascii="Times New Roman" w:hAnsi="Times New Roman" w:eastAsia="宋体" w:cs="Times New Roman"/>
                <w:bCs/>
                <w:snapToGrid w:val="0"/>
                <w:color w:val="auto"/>
                <w:kern w:val="0"/>
                <w:sz w:val="20"/>
                <w:szCs w:val="20"/>
                <w:highlight w:val="none"/>
                <w:lang w:val="en-US" w:eastAsia="zh-CN"/>
              </w:rPr>
              <w:t>符合</w:t>
            </w:r>
          </w:p>
        </w:tc>
      </w:tr>
    </w:tbl>
    <w:p w14:paraId="022497B5">
      <w:pPr>
        <w:spacing w:line="360" w:lineRule="auto"/>
        <w:ind w:firstLine="480" w:firstLineChars="200"/>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rPr>
        <w:t>因此，本项目建设符合《长江经济带生态环境保护规划》相关要求。</w:t>
      </w:r>
    </w:p>
    <w:p w14:paraId="3931C61C">
      <w:pPr>
        <w:pStyle w:val="5"/>
        <w:rPr>
          <w:rFonts w:hint="default" w:ascii="Times New Roman" w:hAnsi="Times New Roman" w:cs="Times New Roman"/>
          <w:b/>
          <w:color w:val="auto"/>
          <w:sz w:val="24"/>
          <w:highlight w:val="none"/>
        </w:rPr>
      </w:pPr>
      <w:r>
        <w:rPr>
          <w:rFonts w:hint="default" w:ascii="Times New Roman" w:hAnsi="Times New Roman" w:cs="Times New Roman"/>
          <w:b/>
          <w:color w:val="auto"/>
          <w:sz w:val="24"/>
          <w:highlight w:val="none"/>
        </w:rPr>
        <w:t>与《四川省、重庆市长江经济带发展负面清单指南实施细则（试行，2022年版）》的符合性</w:t>
      </w:r>
    </w:p>
    <w:p w14:paraId="6BFDC832">
      <w:pPr>
        <w:pStyle w:val="14"/>
        <w:ind w:firstLine="480"/>
        <w:rPr>
          <w:rFonts w:hint="default" w:ascii="Times New Roman" w:hAnsi="Times New Roman" w:cs="Times New Roman"/>
          <w:color w:val="auto"/>
          <w:kern w:val="2"/>
          <w:sz w:val="24"/>
          <w:szCs w:val="21"/>
          <w:highlight w:val="none"/>
          <w:lang w:val="en-US" w:eastAsia="zh-CN" w:bidi="ar-SA"/>
        </w:rPr>
      </w:pPr>
      <w:r>
        <w:rPr>
          <w:rFonts w:hint="default" w:ascii="Times New Roman" w:hAnsi="Times New Roman" w:cs="Times New Roman"/>
          <w:color w:val="auto"/>
          <w:kern w:val="2"/>
          <w:sz w:val="24"/>
          <w:szCs w:val="21"/>
          <w:highlight w:val="none"/>
          <w:lang w:val="en-US" w:eastAsia="zh-CN" w:bidi="ar-SA"/>
        </w:rPr>
        <w:t>为认真落实长江保护法，进一步完善长江经济带负面清单管理制度体系，推动长江经济带发展领导小组于2022年1月19日印发了《关于印发&lt;长江经济带发展负面清单指南（试行，2022年版）&gt;的通知》（长江办〔2022〕7号），该指南从岸线、河段、区域和产业四个方面列出了长江经济带发展的负面清单。</w:t>
      </w:r>
    </w:p>
    <w:p w14:paraId="151C3776">
      <w:pPr>
        <w:pStyle w:val="14"/>
        <w:ind w:firstLine="480"/>
        <w:rPr>
          <w:rFonts w:hint="default" w:ascii="Times New Roman" w:hAnsi="Times New Roman" w:cs="Times New Roman"/>
          <w:color w:val="auto"/>
          <w:kern w:val="2"/>
          <w:sz w:val="24"/>
          <w:szCs w:val="21"/>
          <w:highlight w:val="none"/>
          <w:lang w:val="en-US" w:eastAsia="zh-CN" w:bidi="ar-SA"/>
        </w:rPr>
      </w:pPr>
      <w:r>
        <w:rPr>
          <w:rFonts w:hint="default" w:ascii="Times New Roman" w:hAnsi="Times New Roman" w:cs="Times New Roman"/>
          <w:color w:val="auto"/>
          <w:kern w:val="2"/>
          <w:sz w:val="24"/>
          <w:szCs w:val="21"/>
          <w:highlight w:val="none"/>
          <w:lang w:val="en-US" w:eastAsia="zh-CN" w:bidi="ar-SA"/>
        </w:rPr>
        <w:t>在此背景下，2022年8月25日，四川省推动长江经济带发展领导小组办公室、重庆市推动长江经济带发展领导小组办公室印发了《关于印发&lt;四川省、重庆市长江经济带发展负面清单指南实施细则（试行，2022年版）&gt;的通知》（川长江办[2022]17号）。</w:t>
      </w:r>
    </w:p>
    <w:p w14:paraId="1E66AB0A">
      <w:pPr>
        <w:pStyle w:val="14"/>
        <w:ind w:firstLine="480"/>
        <w:rPr>
          <w:rFonts w:hint="default" w:ascii="Times New Roman" w:hAnsi="Times New Roman" w:cs="Times New Roman"/>
          <w:color w:val="auto"/>
          <w:kern w:val="2"/>
          <w:sz w:val="24"/>
          <w:szCs w:val="21"/>
          <w:highlight w:val="none"/>
          <w:lang w:val="en-US" w:eastAsia="zh-CN" w:bidi="ar-SA"/>
        </w:rPr>
      </w:pPr>
      <w:r>
        <w:rPr>
          <w:rFonts w:hint="default" w:ascii="Times New Roman" w:hAnsi="Times New Roman" w:cs="Times New Roman"/>
          <w:color w:val="auto"/>
          <w:kern w:val="2"/>
          <w:sz w:val="24"/>
          <w:szCs w:val="21"/>
          <w:highlight w:val="none"/>
          <w:lang w:val="en-US" w:eastAsia="zh-CN" w:bidi="ar-SA"/>
        </w:rPr>
        <w:t>本项目位于</w:t>
      </w:r>
      <w:r>
        <w:rPr>
          <w:rFonts w:hint="default" w:ascii="Times New Roman" w:hAnsi="Times New Roman" w:eastAsia="宋体" w:cs="Times New Roman"/>
          <w:color w:val="auto"/>
          <w:kern w:val="0"/>
          <w:sz w:val="24"/>
          <w:szCs w:val="24"/>
          <w:highlight w:val="none"/>
          <w:lang w:val="en-US" w:eastAsia="zh-CN" w:bidi="ar"/>
        </w:rPr>
        <w:t>剑阁县普安镇剑坪村一组，剑阁县普安镇垃圾填埋场南侧</w:t>
      </w:r>
      <w:r>
        <w:rPr>
          <w:rFonts w:hint="default" w:ascii="Times New Roman" w:hAnsi="Times New Roman" w:cs="Times New Roman"/>
          <w:color w:val="auto"/>
          <w:kern w:val="2"/>
          <w:sz w:val="24"/>
          <w:szCs w:val="21"/>
          <w:highlight w:val="none"/>
          <w:lang w:val="en-US" w:eastAsia="zh-CN" w:bidi="ar-SA"/>
        </w:rPr>
        <w:t>。项目所在区域属于长江流域，为此本评价将分析本项目与《四川省、重庆市长江经济带发展负面清单指南实施细则（试行，2022年版）》相关要求的符合性，具体分析见下表。</w:t>
      </w:r>
    </w:p>
    <w:p w14:paraId="7FDE1631">
      <w:pPr>
        <w:numPr>
          <w:ilvl w:val="0"/>
          <w:numId w:val="0"/>
        </w:numPr>
        <w:spacing w:line="240" w:lineRule="auto"/>
        <w:ind w:leftChars="0"/>
        <w:jc w:val="center"/>
        <w:rPr>
          <w:rFonts w:hint="default" w:ascii="Times New Roman" w:hAnsi="Times New Roman" w:cs="Times New Roman"/>
          <w:b/>
          <w:bCs/>
          <w:color w:val="auto"/>
          <w:szCs w:val="21"/>
          <w:highlight w:val="none"/>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7</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w:t>
      </w:r>
      <w:r>
        <w:rPr>
          <w:rFonts w:hint="default" w:ascii="Times New Roman" w:hAnsi="Times New Roman" w:cs="Times New Roman"/>
          <w:b/>
          <w:bCs/>
          <w:color w:val="auto"/>
          <w:szCs w:val="21"/>
          <w:highlight w:val="none"/>
        </w:rPr>
        <w:t>与《四川省、重庆市长江经济带发展负面清单指南实施细则》的符合性分析</w:t>
      </w:r>
    </w:p>
    <w:tbl>
      <w:tblPr>
        <w:tblStyle w:val="35"/>
        <w:tblW w:w="4997"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0" w:type="dxa"/>
          <w:bottom w:w="0" w:type="dxa"/>
          <w:right w:w="0" w:type="dxa"/>
        </w:tblCellMar>
      </w:tblPr>
      <w:tblGrid>
        <w:gridCol w:w="743"/>
        <w:gridCol w:w="5340"/>
        <w:gridCol w:w="2144"/>
        <w:gridCol w:w="840"/>
      </w:tblGrid>
      <w:tr w14:paraId="22D78E4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blHeader/>
        </w:trPr>
        <w:tc>
          <w:tcPr>
            <w:tcW w:w="410" w:type="pct"/>
            <w:noWrap w:val="0"/>
            <w:vAlign w:val="center"/>
          </w:tcPr>
          <w:p w14:paraId="1FFE321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序号</w:t>
            </w:r>
          </w:p>
        </w:tc>
        <w:tc>
          <w:tcPr>
            <w:tcW w:w="2944" w:type="pct"/>
            <w:noWrap w:val="0"/>
            <w:vAlign w:val="center"/>
          </w:tcPr>
          <w:p w14:paraId="55F6C8C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《指南》具体要求</w:t>
            </w:r>
          </w:p>
        </w:tc>
        <w:tc>
          <w:tcPr>
            <w:tcW w:w="1182" w:type="pct"/>
            <w:noWrap w:val="0"/>
            <w:vAlign w:val="center"/>
          </w:tcPr>
          <w:p w14:paraId="2A7EE29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本项目</w:t>
            </w:r>
          </w:p>
        </w:tc>
        <w:tc>
          <w:tcPr>
            <w:tcW w:w="463" w:type="pct"/>
            <w:noWrap w:val="0"/>
            <w:vAlign w:val="center"/>
          </w:tcPr>
          <w:p w14:paraId="7185394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符合性</w:t>
            </w:r>
          </w:p>
        </w:tc>
      </w:tr>
      <w:tr w14:paraId="30A847A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1043541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w:t>
            </w:r>
          </w:p>
        </w:tc>
        <w:tc>
          <w:tcPr>
            <w:tcW w:w="2944" w:type="pct"/>
            <w:noWrap w:val="0"/>
            <w:vAlign w:val="center"/>
          </w:tcPr>
          <w:p w14:paraId="3869F03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第五条 禁止新建、改建和扩建不符合全国港口布局规划，以及《四川省内河水运发展规划》《泸州—宜宾―乐山港口群布局规划》《重庆港总体规划（2035年）》等省级港口布局规划及市级港口总体规划的码头项目。</w:t>
            </w:r>
          </w:p>
        </w:tc>
        <w:tc>
          <w:tcPr>
            <w:tcW w:w="1182" w:type="pct"/>
            <w:noWrap w:val="0"/>
            <w:vAlign w:val="center"/>
          </w:tcPr>
          <w:p w14:paraId="0CC0B96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本项目不属于港口项目。</w:t>
            </w:r>
          </w:p>
        </w:tc>
        <w:tc>
          <w:tcPr>
            <w:tcW w:w="463" w:type="pct"/>
            <w:noWrap w:val="0"/>
            <w:vAlign w:val="center"/>
          </w:tcPr>
          <w:p w14:paraId="0F515F9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344D95E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763E071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2</w:t>
            </w:r>
          </w:p>
        </w:tc>
        <w:tc>
          <w:tcPr>
            <w:tcW w:w="2944" w:type="pct"/>
            <w:noWrap w:val="0"/>
            <w:vAlign w:val="center"/>
          </w:tcPr>
          <w:p w14:paraId="5261DB5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第六条 禁止新建、改建和扩建不符合《长江干线过江通道布局规划（2020-2035年）》的过长江通道项目（含桥梁、隧道），国家发展改革委同意过长江通道线位调整的除外。</w:t>
            </w:r>
          </w:p>
        </w:tc>
        <w:tc>
          <w:tcPr>
            <w:tcW w:w="1182" w:type="pct"/>
            <w:noWrap w:val="0"/>
            <w:vAlign w:val="center"/>
          </w:tcPr>
          <w:p w14:paraId="186FE01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本项目不属于过江通道项目。</w:t>
            </w:r>
          </w:p>
        </w:tc>
        <w:tc>
          <w:tcPr>
            <w:tcW w:w="463" w:type="pct"/>
            <w:noWrap w:val="0"/>
            <w:vAlign w:val="center"/>
          </w:tcPr>
          <w:p w14:paraId="17221A2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6CDF690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5D1D50D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3</w:t>
            </w:r>
          </w:p>
        </w:tc>
        <w:tc>
          <w:tcPr>
            <w:tcW w:w="2944" w:type="pct"/>
            <w:noWrap w:val="0"/>
            <w:vAlign w:val="center"/>
          </w:tcPr>
          <w:p w14:paraId="5CED006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第七条 禁止在自然保护区核心区、缓冲区的岸线和河段范围内投资建设旅游和生产经营项目。自然保护区的内部未分区的，依照核心区和缓冲区的规定管控</w:t>
            </w:r>
          </w:p>
        </w:tc>
        <w:tc>
          <w:tcPr>
            <w:tcW w:w="1182" w:type="pct"/>
            <w:vMerge w:val="restart"/>
            <w:noWrap w:val="0"/>
            <w:vAlign w:val="center"/>
          </w:tcPr>
          <w:p w14:paraId="7ABE746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本项目选址位于剑阁县普安镇剑坪村1组，项目用地属于普安环卫所用地的南侧地块，用地性质为环卫用地，项目选址不在自然保护区、风景名胜区、饮用水源保护区范围内。</w:t>
            </w:r>
          </w:p>
        </w:tc>
        <w:tc>
          <w:tcPr>
            <w:tcW w:w="463" w:type="pct"/>
            <w:noWrap w:val="0"/>
            <w:vAlign w:val="center"/>
          </w:tcPr>
          <w:p w14:paraId="5E66A6B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4D6C10A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2FF7039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4</w:t>
            </w:r>
          </w:p>
        </w:tc>
        <w:tc>
          <w:tcPr>
            <w:tcW w:w="2944" w:type="pct"/>
            <w:noWrap w:val="0"/>
            <w:vAlign w:val="center"/>
          </w:tcPr>
          <w:p w14:paraId="03BF779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第八条 禁止违反风景名胜区规划，在风景名胜区内设立各类开发区。禁止在风景名胜区核心景区的岸线和河段范围内建设宾馆、招待所、培训中心、疗养院以及与风景名胜资源保护无关的项目。</w:t>
            </w:r>
          </w:p>
        </w:tc>
        <w:tc>
          <w:tcPr>
            <w:tcW w:w="1182" w:type="pct"/>
            <w:vMerge w:val="continue"/>
            <w:noWrap w:val="0"/>
            <w:vAlign w:val="center"/>
          </w:tcPr>
          <w:p w14:paraId="5E35B22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p>
        </w:tc>
        <w:tc>
          <w:tcPr>
            <w:tcW w:w="463" w:type="pct"/>
            <w:noWrap w:val="0"/>
            <w:vAlign w:val="center"/>
          </w:tcPr>
          <w:p w14:paraId="1A3AB74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27643A2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0DA89C1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5</w:t>
            </w:r>
          </w:p>
        </w:tc>
        <w:tc>
          <w:tcPr>
            <w:tcW w:w="2944" w:type="pct"/>
            <w:noWrap w:val="0"/>
            <w:vAlign w:val="center"/>
          </w:tcPr>
          <w:p w14:paraId="7E227973">
            <w:pPr>
              <w:keepNext w:val="0"/>
              <w:keepLines w:val="0"/>
              <w:widowControl w:val="0"/>
              <w:suppressLineNumbers w:val="0"/>
              <w:spacing w:before="0" w:beforeAutospacing="0" w:after="0" w:afterAutospacing="0" w:line="240" w:lineRule="auto"/>
              <w:ind w:left="-6" w:right="0" w:firstLine="0" w:firstLineChars="0"/>
              <w:jc w:val="both"/>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第九条 禁止在饮用水水源准保护区的岸线和河段范围内新建、扩建对水体污染严重的建设项目，禁止改建增加排污量的建设项目。</w:t>
            </w:r>
          </w:p>
        </w:tc>
        <w:tc>
          <w:tcPr>
            <w:tcW w:w="1182" w:type="pct"/>
            <w:vMerge w:val="continue"/>
            <w:noWrap w:val="0"/>
            <w:vAlign w:val="center"/>
          </w:tcPr>
          <w:p w14:paraId="0B436E8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p>
        </w:tc>
        <w:tc>
          <w:tcPr>
            <w:tcW w:w="463" w:type="pct"/>
            <w:noWrap w:val="0"/>
            <w:vAlign w:val="center"/>
          </w:tcPr>
          <w:p w14:paraId="51A29E3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3F8FC2F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22503AD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6</w:t>
            </w:r>
          </w:p>
        </w:tc>
        <w:tc>
          <w:tcPr>
            <w:tcW w:w="2944" w:type="pct"/>
            <w:noWrap w:val="0"/>
            <w:vAlign w:val="center"/>
          </w:tcPr>
          <w:p w14:paraId="3D4D9F3A">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第十条 饮用水水源二级保护区的岸线和河段范围内，除遵守准保护区规定外，禁止新建、改建、扩建排放污染物的投资建设项目；禁止从事对水体有污染的水产养殖等活动。</w:t>
            </w:r>
          </w:p>
        </w:tc>
        <w:tc>
          <w:tcPr>
            <w:tcW w:w="1182" w:type="pct"/>
            <w:vMerge w:val="continue"/>
            <w:noWrap w:val="0"/>
            <w:vAlign w:val="center"/>
          </w:tcPr>
          <w:p w14:paraId="62BA8B1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p>
        </w:tc>
        <w:tc>
          <w:tcPr>
            <w:tcW w:w="463" w:type="pct"/>
            <w:noWrap w:val="0"/>
            <w:vAlign w:val="center"/>
          </w:tcPr>
          <w:p w14:paraId="5D7D806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38BC056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7A50AA1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7</w:t>
            </w:r>
          </w:p>
        </w:tc>
        <w:tc>
          <w:tcPr>
            <w:tcW w:w="2944" w:type="pct"/>
            <w:noWrap w:val="0"/>
            <w:vAlign w:val="center"/>
          </w:tcPr>
          <w:p w14:paraId="30794D6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第十一条 饮用水水源一级保护区的岸线和河段范围内，除遵守二级保护区规定外，禁止新建、改建、扩建与供水设施和保护水源无关的项目，以及网箱养殖、畜禽养殖、旅游等可能污染饮用水水体的投资建设项目。</w:t>
            </w:r>
          </w:p>
        </w:tc>
        <w:tc>
          <w:tcPr>
            <w:tcW w:w="1182" w:type="pct"/>
            <w:vMerge w:val="continue"/>
            <w:noWrap w:val="0"/>
            <w:vAlign w:val="center"/>
          </w:tcPr>
          <w:p w14:paraId="21FE7A7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p>
        </w:tc>
        <w:tc>
          <w:tcPr>
            <w:tcW w:w="463" w:type="pct"/>
            <w:noWrap w:val="0"/>
            <w:vAlign w:val="center"/>
          </w:tcPr>
          <w:p w14:paraId="5A06979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45F71A3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4E35465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8</w:t>
            </w:r>
          </w:p>
        </w:tc>
        <w:tc>
          <w:tcPr>
            <w:tcW w:w="2944" w:type="pct"/>
            <w:noWrap w:val="0"/>
            <w:vAlign w:val="center"/>
          </w:tcPr>
          <w:p w14:paraId="124D356A">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第十二条 禁止在水产种质资源保护区岸线和河段范围内新建围湖造田、围湖造地或挖沙采石等投资建设项目。</w:t>
            </w:r>
          </w:p>
        </w:tc>
        <w:tc>
          <w:tcPr>
            <w:tcW w:w="1182" w:type="pct"/>
            <w:noWrap w:val="0"/>
            <w:vAlign w:val="center"/>
          </w:tcPr>
          <w:p w14:paraId="591C9C2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本项目不涉及水产种质资源保护区。</w:t>
            </w:r>
          </w:p>
        </w:tc>
        <w:tc>
          <w:tcPr>
            <w:tcW w:w="463" w:type="pct"/>
            <w:noWrap w:val="0"/>
            <w:vAlign w:val="center"/>
          </w:tcPr>
          <w:p w14:paraId="1BF05E4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141C7D8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4A11518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9</w:t>
            </w:r>
          </w:p>
        </w:tc>
        <w:tc>
          <w:tcPr>
            <w:tcW w:w="2944" w:type="pct"/>
            <w:noWrap w:val="0"/>
            <w:vAlign w:val="center"/>
          </w:tcPr>
          <w:p w14:paraId="5276AEC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第十三条 禁止在国家湿地公园的岸线和河段范围内开（围）垦、填埋或者排干湿地，截断湿地水源，挖沙、采矿，倾倒有毒有害物质、废弃物、垃圾，从事房地产、度假村、高尔夫球场、风力发电、光伏发电等任何不符合主体功能定位的建设项目和开发活动，破坏野生动物栖息地和迁徙通道、鱼类洄游通道。</w:t>
            </w:r>
          </w:p>
        </w:tc>
        <w:tc>
          <w:tcPr>
            <w:tcW w:w="1182" w:type="pct"/>
            <w:noWrap w:val="0"/>
            <w:vAlign w:val="center"/>
          </w:tcPr>
          <w:p w14:paraId="0C141DA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本项目不涉及国家湿地公园。</w:t>
            </w:r>
          </w:p>
        </w:tc>
        <w:tc>
          <w:tcPr>
            <w:tcW w:w="463" w:type="pct"/>
            <w:noWrap w:val="0"/>
            <w:vAlign w:val="center"/>
          </w:tcPr>
          <w:p w14:paraId="55D5845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070A163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1DED0CE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10</w:t>
            </w:r>
          </w:p>
        </w:tc>
        <w:tc>
          <w:tcPr>
            <w:tcW w:w="2944" w:type="pct"/>
            <w:noWrap w:val="0"/>
            <w:vAlign w:val="center"/>
          </w:tcPr>
          <w:p w14:paraId="43443D9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第十四条  禁止违法利用、占用长江流域河湖岸线。禁止在《长江岸线保护和开发利用总体规划》划定的岸线保护区和岸线保留区内投资建设除事关公共安全及公众利益的防洪护岸、河道治理、供水、生态环境保护、航道整治、国家重要基础设施以外的项目。</w:t>
            </w:r>
          </w:p>
        </w:tc>
        <w:tc>
          <w:tcPr>
            <w:tcW w:w="1182" w:type="pct"/>
            <w:noWrap w:val="0"/>
            <w:vAlign w:val="center"/>
          </w:tcPr>
          <w:p w14:paraId="144F108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本项目不占用长江流域河湖岸线；不涉及岸线保护区和保留区；不涉及河段及湖泊保护区、保留区。</w:t>
            </w:r>
          </w:p>
        </w:tc>
        <w:tc>
          <w:tcPr>
            <w:tcW w:w="463" w:type="pct"/>
            <w:noWrap w:val="0"/>
            <w:vAlign w:val="center"/>
          </w:tcPr>
          <w:p w14:paraId="0B487DE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4C0F8A0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65F5600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11</w:t>
            </w:r>
          </w:p>
        </w:tc>
        <w:tc>
          <w:tcPr>
            <w:tcW w:w="2944" w:type="pct"/>
            <w:noWrap w:val="0"/>
            <w:vAlign w:val="center"/>
          </w:tcPr>
          <w:p w14:paraId="6B69F8C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第十六条 禁止在长江流域江河、湖泊新设、改设或者扩大排污口，经有管辖权的生态环境主管部门或者长江流域生态环境监督管理机构同意的除外。</w:t>
            </w:r>
          </w:p>
        </w:tc>
        <w:tc>
          <w:tcPr>
            <w:tcW w:w="1182" w:type="pct"/>
            <w:noWrap w:val="0"/>
            <w:vAlign w:val="center"/>
          </w:tcPr>
          <w:p w14:paraId="7AB4459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本项目不新增排污口。</w:t>
            </w:r>
          </w:p>
        </w:tc>
        <w:tc>
          <w:tcPr>
            <w:tcW w:w="463" w:type="pct"/>
            <w:noWrap w:val="0"/>
            <w:vAlign w:val="center"/>
          </w:tcPr>
          <w:p w14:paraId="1C8A41A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2A00785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0064C4E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12</w:t>
            </w:r>
          </w:p>
        </w:tc>
        <w:tc>
          <w:tcPr>
            <w:tcW w:w="2944" w:type="pct"/>
            <w:noWrap w:val="0"/>
            <w:vAlign w:val="center"/>
          </w:tcPr>
          <w:p w14:paraId="363DDA0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第十七条 禁止在长江干流、大渡河、岷江、赤水河、沱江、嘉陵江、乌江、汉江和51个（四川省45个、重庆市6个）水生生物保护区开展生产性捕捞。</w:t>
            </w:r>
          </w:p>
        </w:tc>
        <w:tc>
          <w:tcPr>
            <w:tcW w:w="1182" w:type="pct"/>
            <w:noWrap w:val="0"/>
            <w:vAlign w:val="center"/>
          </w:tcPr>
          <w:p w14:paraId="1AE42B3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本项目不涉及捕捞。</w:t>
            </w:r>
          </w:p>
        </w:tc>
        <w:tc>
          <w:tcPr>
            <w:tcW w:w="463" w:type="pct"/>
            <w:noWrap w:val="0"/>
            <w:vAlign w:val="center"/>
          </w:tcPr>
          <w:p w14:paraId="7430247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637DAB5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1B27A4D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13</w:t>
            </w:r>
          </w:p>
        </w:tc>
        <w:tc>
          <w:tcPr>
            <w:tcW w:w="2944" w:type="pct"/>
            <w:noWrap w:val="0"/>
            <w:vAlign w:val="center"/>
          </w:tcPr>
          <w:p w14:paraId="043350D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第十八条 禁止在长江干支流、重要湖泊岸线一公里范围内新建、扩建化工园区和化工项目。</w:t>
            </w:r>
          </w:p>
        </w:tc>
        <w:tc>
          <w:tcPr>
            <w:tcW w:w="1182" w:type="pct"/>
            <w:noWrap w:val="0"/>
            <w:vAlign w:val="center"/>
          </w:tcPr>
          <w:p w14:paraId="336713B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本项目不属于化工项目。</w:t>
            </w:r>
          </w:p>
        </w:tc>
        <w:tc>
          <w:tcPr>
            <w:tcW w:w="463" w:type="pct"/>
            <w:noWrap w:val="0"/>
            <w:vAlign w:val="center"/>
          </w:tcPr>
          <w:p w14:paraId="452B19A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36D45D6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7987C2D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14</w:t>
            </w:r>
          </w:p>
        </w:tc>
        <w:tc>
          <w:tcPr>
            <w:tcW w:w="2944" w:type="pct"/>
            <w:noWrap w:val="0"/>
            <w:vAlign w:val="center"/>
          </w:tcPr>
          <w:p w14:paraId="53F0D3E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第十九条 禁止在长江干流岸线三公里范围内和重要支流岸线一公里范围内新建、改建、扩建尾矿库、冶炼渣库、磷石膏库，以提升安全、生态环境保护水平为目的的改建除外。</w:t>
            </w:r>
          </w:p>
        </w:tc>
        <w:tc>
          <w:tcPr>
            <w:tcW w:w="1182" w:type="pct"/>
            <w:noWrap w:val="0"/>
            <w:vAlign w:val="center"/>
          </w:tcPr>
          <w:p w14:paraId="3F8E1DE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本项目北侧距离闻溪河约830m，且不属于尾矿库、冶炼渣库、磷石膏库的建设。</w:t>
            </w:r>
          </w:p>
        </w:tc>
        <w:tc>
          <w:tcPr>
            <w:tcW w:w="463" w:type="pct"/>
            <w:noWrap w:val="0"/>
            <w:vAlign w:val="center"/>
          </w:tcPr>
          <w:p w14:paraId="70FC600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0B5B00B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2CEC97A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15</w:t>
            </w:r>
          </w:p>
        </w:tc>
        <w:tc>
          <w:tcPr>
            <w:tcW w:w="2944" w:type="pct"/>
            <w:noWrap w:val="0"/>
            <w:vAlign w:val="center"/>
          </w:tcPr>
          <w:p w14:paraId="3BEAF3F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第二十条 禁止在生态保护红线区域、永久基本农田集中区域和其他需要特别保护的区域内选址建设尾矿库﹑冶炼渣库、磷石膏库。</w:t>
            </w:r>
          </w:p>
        </w:tc>
        <w:tc>
          <w:tcPr>
            <w:tcW w:w="1182" w:type="pct"/>
            <w:noWrap w:val="0"/>
            <w:vAlign w:val="center"/>
          </w:tcPr>
          <w:p w14:paraId="1F4552B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本项目占地范围不涉及生态保护红线、永久基本农田，不属于尾矿库﹑冶炼渣库、磷石膏库的建设。</w:t>
            </w:r>
          </w:p>
        </w:tc>
        <w:tc>
          <w:tcPr>
            <w:tcW w:w="463" w:type="pct"/>
            <w:noWrap w:val="0"/>
            <w:vAlign w:val="center"/>
          </w:tcPr>
          <w:p w14:paraId="49A4D1B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50E3BC3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7FCAEFD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16</w:t>
            </w:r>
          </w:p>
        </w:tc>
        <w:tc>
          <w:tcPr>
            <w:tcW w:w="2944" w:type="pct"/>
            <w:noWrap w:val="0"/>
            <w:vAlign w:val="center"/>
          </w:tcPr>
          <w:p w14:paraId="1002AE0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第二十一条 禁止在合规园区外新建、扩建钢铁、石化、化工、焦化、建材、有色、制浆造纸等高污染项目。</w:t>
            </w:r>
          </w:p>
        </w:tc>
        <w:tc>
          <w:tcPr>
            <w:tcW w:w="1182" w:type="pct"/>
            <w:noWrap w:val="0"/>
            <w:vAlign w:val="center"/>
          </w:tcPr>
          <w:p w14:paraId="72EF403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本项目不属于新建、扩建钢铁、石化、化工、焦化、建材、有色、制浆造纸等高污染项目。</w:t>
            </w:r>
          </w:p>
        </w:tc>
        <w:tc>
          <w:tcPr>
            <w:tcW w:w="463" w:type="pct"/>
            <w:noWrap w:val="0"/>
            <w:vAlign w:val="center"/>
          </w:tcPr>
          <w:p w14:paraId="768E04C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6D806C7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5043356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17</w:t>
            </w:r>
          </w:p>
        </w:tc>
        <w:tc>
          <w:tcPr>
            <w:tcW w:w="2944" w:type="pct"/>
            <w:noWrap w:val="0"/>
            <w:vAlign w:val="center"/>
          </w:tcPr>
          <w:p w14:paraId="662ADFD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第二十二条 禁止新建、扩建不符合国家石化、现代煤化工等产业布局规划的项目。</w:t>
            </w:r>
          </w:p>
        </w:tc>
        <w:tc>
          <w:tcPr>
            <w:tcW w:w="1182" w:type="pct"/>
            <w:noWrap w:val="0"/>
            <w:vAlign w:val="center"/>
          </w:tcPr>
          <w:p w14:paraId="0D9D407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本项目不属于石化、化工项目。</w:t>
            </w:r>
          </w:p>
        </w:tc>
        <w:tc>
          <w:tcPr>
            <w:tcW w:w="463" w:type="pct"/>
            <w:noWrap w:val="0"/>
            <w:vAlign w:val="center"/>
          </w:tcPr>
          <w:p w14:paraId="5C85A60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4CBD038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66AB9A9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18</w:t>
            </w:r>
          </w:p>
        </w:tc>
        <w:tc>
          <w:tcPr>
            <w:tcW w:w="2944" w:type="pct"/>
            <w:noWrap w:val="0"/>
            <w:vAlign w:val="center"/>
          </w:tcPr>
          <w:p w14:paraId="0419FF8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第二十三条 禁止新建、扩建法律法规和相关政策明令禁止的落后产能项目。对《产业结构调整指导目录》中淘汰类项目，禁止投资；限制类的新建项目，禁止投资，对属于限制类的现有生产能力，允许企业在一定期限内采取措施改造升级。</w:t>
            </w:r>
          </w:p>
        </w:tc>
        <w:tc>
          <w:tcPr>
            <w:tcW w:w="1182" w:type="pct"/>
            <w:noWrap w:val="0"/>
            <w:vAlign w:val="center"/>
          </w:tcPr>
          <w:p w14:paraId="5740219A">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本项目不属于落后淘汰产能项目。</w:t>
            </w:r>
          </w:p>
        </w:tc>
        <w:tc>
          <w:tcPr>
            <w:tcW w:w="463" w:type="pct"/>
            <w:noWrap w:val="0"/>
            <w:vAlign w:val="center"/>
          </w:tcPr>
          <w:p w14:paraId="74F0FFD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0AC627F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2168D14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19</w:t>
            </w:r>
          </w:p>
        </w:tc>
        <w:tc>
          <w:tcPr>
            <w:tcW w:w="2944" w:type="pct"/>
            <w:noWrap w:val="0"/>
            <w:vAlign w:val="center"/>
          </w:tcPr>
          <w:p w14:paraId="197CD75A">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第二十四条 禁止新建、扩建不符合国家产能置换要求的严重过剩产能行业的项目。对于不符合国家产能置换要求的严重过剩产能行业，不得以其他任何名义、任何方式备案新增产能项目。</w:t>
            </w:r>
          </w:p>
        </w:tc>
        <w:tc>
          <w:tcPr>
            <w:tcW w:w="1182" w:type="pct"/>
            <w:noWrap w:val="0"/>
            <w:vAlign w:val="center"/>
          </w:tcPr>
          <w:p w14:paraId="2C9BCC4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本项目不属于严重过剩产能行业。</w:t>
            </w:r>
          </w:p>
        </w:tc>
        <w:tc>
          <w:tcPr>
            <w:tcW w:w="463" w:type="pct"/>
            <w:noWrap w:val="0"/>
            <w:vAlign w:val="center"/>
          </w:tcPr>
          <w:p w14:paraId="2C4EBC1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r w14:paraId="1C33709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0" w:type="dxa"/>
            <w:bottom w:w="0" w:type="dxa"/>
            <w:right w:w="0" w:type="dxa"/>
          </w:tblCellMar>
        </w:tblPrEx>
        <w:trPr>
          <w:trHeight w:val="340" w:hRule="atLeast"/>
        </w:trPr>
        <w:tc>
          <w:tcPr>
            <w:tcW w:w="410" w:type="pct"/>
            <w:noWrap w:val="0"/>
            <w:vAlign w:val="center"/>
          </w:tcPr>
          <w:p w14:paraId="71F3FB3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20</w:t>
            </w:r>
          </w:p>
        </w:tc>
        <w:tc>
          <w:tcPr>
            <w:tcW w:w="2944" w:type="pct"/>
            <w:noWrap w:val="0"/>
            <w:vAlign w:val="center"/>
          </w:tcPr>
          <w:p w14:paraId="6BB299D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snapToGrid w:val="0"/>
                <w:color w:val="auto"/>
                <w:kern w:val="0"/>
                <w:sz w:val="20"/>
                <w:szCs w:val="20"/>
                <w:highlight w:val="none"/>
                <w:lang w:val="en-US" w:eastAsia="zh-CN" w:bidi="ar-SA"/>
              </w:rPr>
            </w:pPr>
            <w:r>
              <w:rPr>
                <w:rFonts w:hint="default" w:ascii="Times New Roman" w:hAnsi="Times New Roman" w:eastAsia="宋体" w:cs="Times New Roman"/>
                <w:b w:val="0"/>
                <w:bCs/>
                <w:snapToGrid w:val="0"/>
                <w:color w:val="auto"/>
                <w:kern w:val="0"/>
                <w:sz w:val="20"/>
                <w:szCs w:val="20"/>
                <w:highlight w:val="none"/>
                <w:lang w:val="en-US" w:eastAsia="zh-CN" w:bidi="ar-SA"/>
              </w:rPr>
              <w:t>第二十六条 禁止新建、扩建不符合要求的高耗能、高排放、低水平项目。</w:t>
            </w:r>
          </w:p>
        </w:tc>
        <w:tc>
          <w:tcPr>
            <w:tcW w:w="1182" w:type="pct"/>
            <w:noWrap w:val="0"/>
            <w:vAlign w:val="center"/>
          </w:tcPr>
          <w:p w14:paraId="3359D5E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本项目不属于高耗能、高排放、低水平项目。</w:t>
            </w:r>
          </w:p>
        </w:tc>
        <w:tc>
          <w:tcPr>
            <w:tcW w:w="463" w:type="pct"/>
            <w:noWrap w:val="0"/>
            <w:vAlign w:val="center"/>
          </w:tcPr>
          <w:p w14:paraId="3DC0CCB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符合</w:t>
            </w:r>
          </w:p>
        </w:tc>
      </w:tr>
    </w:tbl>
    <w:p w14:paraId="6DFB46B3">
      <w:pPr>
        <w:keepNext w:val="0"/>
        <w:keepLines w:val="0"/>
        <w:widowControl/>
        <w:suppressLineNumbers w:val="0"/>
        <w:ind w:firstLine="480" w:firstLineChars="200"/>
        <w:jc w:val="left"/>
        <w:rPr>
          <w:rFonts w:hint="default" w:ascii="Times New Roman" w:hAnsi="Times New Roman" w:eastAsia="宋" w:cs="Times New Roman"/>
          <w:b/>
          <w:bCs/>
          <w:color w:val="auto"/>
          <w:kern w:val="0"/>
          <w:sz w:val="24"/>
          <w:szCs w:val="24"/>
          <w:highlight w:val="none"/>
          <w:lang w:val="en-US" w:eastAsia="zh-CN" w:bidi="ar"/>
        </w:rPr>
      </w:pPr>
      <w:r>
        <w:rPr>
          <w:rFonts w:hint="default" w:ascii="Times New Roman" w:hAnsi="Times New Roman" w:eastAsia="宋" w:cs="Times New Roman"/>
          <w:b/>
          <w:bCs/>
          <w:color w:val="auto"/>
          <w:kern w:val="0"/>
          <w:sz w:val="24"/>
          <w:szCs w:val="24"/>
          <w:highlight w:val="none"/>
          <w:lang w:val="en-US" w:eastAsia="zh-CN" w:bidi="ar"/>
        </w:rPr>
        <w:t>从上表可知，本项目建设符合《关于印发&lt;四川省、重庆市长江经济带发展负面清单指南实施细则（试行，2022年版）&gt;的通知》（川长江办[2022]17号）相关要求。</w:t>
      </w:r>
    </w:p>
    <w:p w14:paraId="61AC096D">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与生活垃圾处理行业相关规范符合性分析</w:t>
      </w:r>
    </w:p>
    <w:p w14:paraId="7D6FA1DB">
      <w:pPr>
        <w:keepNext w:val="0"/>
        <w:keepLines w:val="0"/>
        <w:widowControl/>
        <w:suppressLineNumbers w:val="0"/>
        <w:ind w:firstLine="480" w:firstLineChars="200"/>
        <w:jc w:val="left"/>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 w:cs="Times New Roman"/>
          <w:color w:val="auto"/>
          <w:kern w:val="0"/>
          <w:sz w:val="24"/>
          <w:szCs w:val="24"/>
          <w:highlight w:val="none"/>
          <w:lang w:val="en-US" w:eastAsia="zh-CN" w:bidi="ar"/>
        </w:rPr>
        <w:t>本项目采用热解处理工艺，参照《固体废物再生利用污染防治技术导则》 （HJ1091-2020）中热解技术要求进行分析。同时考虑固体废物热解和焚烧都均为固体废物的热转化技术，都是在高温条件下使固体废物中可回收利用的物质转化为能源的过程，但由于热解与焚烧工况条件并不完全相同，热解是利用垃圾中有机物成分的热不稳定性，在无氧或缺氧的条件下，分解成一氧化碳、氢气、甲烷等可燃气体的处理过程； 焚烧是以一定的过剩空气量与被处理的垃圾</w:t>
      </w:r>
      <w:r>
        <w:rPr>
          <w:rFonts w:hint="eastAsia" w:ascii="Times New Roman" w:hAnsi="Times New Roman" w:eastAsia="宋" w:cs="Times New Roman"/>
          <w:color w:val="auto"/>
          <w:kern w:val="0"/>
          <w:sz w:val="24"/>
          <w:szCs w:val="24"/>
          <w:highlight w:val="none"/>
          <w:lang w:val="en-US" w:eastAsia="zh-CN" w:bidi="ar"/>
        </w:rPr>
        <w:t>（</w:t>
      </w:r>
      <w:r>
        <w:rPr>
          <w:rFonts w:hint="default" w:ascii="Times New Roman" w:hAnsi="Times New Roman" w:eastAsia="宋" w:cs="Times New Roman"/>
          <w:color w:val="auto"/>
          <w:kern w:val="0"/>
          <w:sz w:val="24"/>
          <w:szCs w:val="24"/>
          <w:highlight w:val="none"/>
          <w:lang w:val="en-US" w:eastAsia="zh-CN" w:bidi="ar"/>
        </w:rPr>
        <w:t>垃圾中的有机成分</w:t>
      </w:r>
      <w:r>
        <w:rPr>
          <w:rFonts w:hint="eastAsia" w:ascii="Times New Roman" w:hAnsi="Times New Roman" w:eastAsia="宋" w:cs="Times New Roman"/>
          <w:color w:val="auto"/>
          <w:kern w:val="0"/>
          <w:sz w:val="24"/>
          <w:szCs w:val="24"/>
          <w:highlight w:val="none"/>
          <w:lang w:val="en-US" w:eastAsia="zh-CN" w:bidi="ar"/>
        </w:rPr>
        <w:t>）</w:t>
      </w:r>
      <w:r>
        <w:rPr>
          <w:rFonts w:hint="default" w:ascii="Times New Roman" w:hAnsi="Times New Roman" w:eastAsia="宋" w:cs="Times New Roman"/>
          <w:color w:val="auto"/>
          <w:kern w:val="0"/>
          <w:sz w:val="24"/>
          <w:szCs w:val="24"/>
          <w:highlight w:val="none"/>
          <w:lang w:val="en-US" w:eastAsia="zh-CN" w:bidi="ar"/>
        </w:rPr>
        <w:t>在焚烧炉内进行氧化焚烧反应，因此本项目在分析与焚烧技术规范的相符性时，根据项目实际情况有所选择。</w:t>
      </w:r>
    </w:p>
    <w:p w14:paraId="260355DE">
      <w:pPr>
        <w:keepNext w:val="0"/>
        <w:keepLines w:val="0"/>
        <w:widowControl/>
        <w:suppressLineNumbers w:val="0"/>
        <w:ind w:firstLine="480" w:firstLineChars="200"/>
        <w:jc w:val="left"/>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 w:cs="Times New Roman"/>
          <w:color w:val="auto"/>
          <w:kern w:val="0"/>
          <w:sz w:val="24"/>
          <w:szCs w:val="24"/>
          <w:highlight w:val="none"/>
          <w:lang w:val="en-US" w:eastAsia="zh-CN" w:bidi="ar"/>
        </w:rPr>
        <w:t>本项目与生活垃圾处理相关技术规范及政策的相符性分析如下。</w:t>
      </w:r>
    </w:p>
    <w:p w14:paraId="340361D9">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与《工业和信息化部关于加快推进环保装备制造业发展的指导意见》（工信部节[2017]250 号）符合性分析</w:t>
      </w:r>
    </w:p>
    <w:p w14:paraId="38422DE8">
      <w:pPr>
        <w:keepNext w:val="0"/>
        <w:keepLines w:val="0"/>
        <w:widowControl/>
        <w:suppressLineNumbers w:val="0"/>
        <w:ind w:firstLine="480" w:firstLineChars="200"/>
        <w:jc w:val="left"/>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体" w:cs="Times New Roman"/>
          <w:bCs/>
          <w:color w:val="auto"/>
          <w:kern w:val="2"/>
          <w:sz w:val="24"/>
          <w:szCs w:val="24"/>
          <w:highlight w:val="none"/>
          <w:lang w:val="en-US" w:eastAsia="zh-CN" w:bidi="ar-SA"/>
        </w:rPr>
        <w:t>本项目与</w:t>
      </w:r>
      <w:r>
        <w:rPr>
          <w:rFonts w:hint="default" w:ascii="Times New Roman" w:hAnsi="Times New Roman" w:eastAsia="宋" w:cs="Times New Roman"/>
          <w:color w:val="auto"/>
          <w:kern w:val="0"/>
          <w:sz w:val="24"/>
          <w:szCs w:val="24"/>
          <w:highlight w:val="none"/>
          <w:lang w:val="en-US" w:eastAsia="zh-CN" w:bidi="ar"/>
        </w:rPr>
        <w:t>《工业和信息化部关于加快推进环保装备制造业发展的指导意见》（工信部节[2017]250 号）</w:t>
      </w:r>
      <w:r>
        <w:rPr>
          <w:rFonts w:hint="default" w:ascii="Times New Roman" w:hAnsi="Times New Roman" w:eastAsia="宋体" w:cs="Times New Roman"/>
          <w:bCs/>
          <w:color w:val="auto"/>
          <w:kern w:val="2"/>
          <w:sz w:val="24"/>
          <w:szCs w:val="24"/>
          <w:highlight w:val="none"/>
          <w:lang w:val="en-US" w:eastAsia="zh-CN" w:bidi="ar-SA"/>
        </w:rPr>
        <w:t>的符合性分析如下表所示。</w:t>
      </w:r>
    </w:p>
    <w:p w14:paraId="01BF0F27">
      <w:pPr>
        <w:keepNext w:val="0"/>
        <w:keepLines w:val="0"/>
        <w:widowControl/>
        <w:suppressLineNumbers w:val="0"/>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8</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本项目</w:t>
      </w:r>
      <w:r>
        <w:rPr>
          <w:rFonts w:hint="default" w:ascii="Times New Roman" w:hAnsi="Times New Roman" w:eastAsia="宋体" w:cs="Times New Roman"/>
          <w:b/>
          <w:bCs/>
          <w:color w:val="auto"/>
          <w:kern w:val="0"/>
          <w:sz w:val="21"/>
          <w:szCs w:val="21"/>
          <w:highlight w:val="none"/>
          <w:lang w:val="en-US" w:eastAsia="zh-CN" w:bidi="ar"/>
        </w:rPr>
        <w:t>与《工业和信息化部关于加快推进环保装备制造业发展的指导意见》符合性</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96"/>
        <w:gridCol w:w="5116"/>
        <w:gridCol w:w="2513"/>
        <w:gridCol w:w="856"/>
      </w:tblGrid>
      <w:tr w14:paraId="21A8D33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429" w:type="pct"/>
            <w:tcBorders>
              <w:tl2br w:val="nil"/>
              <w:tr2bl w:val="nil"/>
            </w:tcBorders>
            <w:vAlign w:val="center"/>
          </w:tcPr>
          <w:p w14:paraId="20025AD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序号</w:t>
            </w:r>
          </w:p>
        </w:tc>
        <w:tc>
          <w:tcPr>
            <w:tcW w:w="2755" w:type="pct"/>
            <w:tcBorders>
              <w:tl2br w:val="nil"/>
              <w:tr2bl w:val="nil"/>
            </w:tcBorders>
            <w:vAlign w:val="center"/>
          </w:tcPr>
          <w:p w14:paraId="70E7522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《工业和信息化部关于加快推进环保 装备制造业发展的指导意见》（工信部节[2017]250 号）有关</w:t>
            </w:r>
            <w:r>
              <w:rPr>
                <w:rFonts w:hint="default" w:ascii="Times New Roman" w:hAnsi="Times New Roman" w:eastAsia="宋体" w:cs="Times New Roman"/>
                <w:b/>
                <w:bCs w:val="0"/>
                <w:color w:val="auto"/>
                <w:kern w:val="2"/>
                <w:sz w:val="20"/>
                <w:szCs w:val="20"/>
                <w:highlight w:val="none"/>
                <w:lang w:eastAsia="zh-CN"/>
              </w:rPr>
              <w:t>要求</w:t>
            </w:r>
          </w:p>
        </w:tc>
        <w:tc>
          <w:tcPr>
            <w:tcW w:w="1353" w:type="pct"/>
            <w:tcBorders>
              <w:tl2br w:val="nil"/>
              <w:tr2bl w:val="nil"/>
            </w:tcBorders>
            <w:vAlign w:val="center"/>
          </w:tcPr>
          <w:p w14:paraId="12316C3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本项目情况</w:t>
            </w:r>
          </w:p>
        </w:tc>
        <w:tc>
          <w:tcPr>
            <w:tcW w:w="461" w:type="pct"/>
            <w:tcBorders>
              <w:tl2br w:val="nil"/>
              <w:tr2bl w:val="nil"/>
            </w:tcBorders>
            <w:vAlign w:val="center"/>
          </w:tcPr>
          <w:p w14:paraId="54E7A93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符合性</w:t>
            </w:r>
          </w:p>
        </w:tc>
      </w:tr>
      <w:tr w14:paraId="32BB4FE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9" w:type="pct"/>
            <w:tcBorders>
              <w:tl2br w:val="nil"/>
              <w:tr2bl w:val="nil"/>
            </w:tcBorders>
            <w:vAlign w:val="center"/>
          </w:tcPr>
          <w:p w14:paraId="22BC105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w:t>
            </w:r>
          </w:p>
        </w:tc>
        <w:tc>
          <w:tcPr>
            <w:tcW w:w="2755" w:type="pct"/>
            <w:tcBorders>
              <w:tl2br w:val="nil"/>
              <w:tr2bl w:val="nil"/>
            </w:tcBorders>
            <w:vAlign w:val="center"/>
          </w:tcPr>
          <w:p w14:paraId="01EA105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重点推广水泥窑协同无害化处置成套技术装备、有机固废绝氧热解技术装备、先进高效垃圾焚烧技术装备、焚烧炉渣及飞灰安全处置技术装备，燃煤电厂脱硫副产品、脱硝催化剂、废旧滤袋无害化处理技术装备、低能耗污泥脱水、深度干化技术装备、垃圾渗滤液浓缩液处理、沼气制天然气、失活催化剂再生技术设备等。</w:t>
            </w:r>
          </w:p>
        </w:tc>
        <w:tc>
          <w:tcPr>
            <w:tcW w:w="1353" w:type="pct"/>
            <w:tcBorders>
              <w:tl2br w:val="nil"/>
              <w:tr2bl w:val="nil"/>
            </w:tcBorders>
            <w:vAlign w:val="center"/>
          </w:tcPr>
          <w:p w14:paraId="7A8F90E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w:t>
            </w:r>
            <w:r>
              <w:rPr>
                <w:rFonts w:hint="eastAsia" w:ascii="Times New Roman" w:hAnsi="Times New Roman" w:eastAsia="宋体" w:cs="Times New Roman"/>
                <w:b w:val="0"/>
                <w:bCs/>
                <w:color w:val="auto"/>
                <w:kern w:val="2"/>
                <w:sz w:val="20"/>
                <w:szCs w:val="20"/>
                <w:highlight w:val="none"/>
                <w:lang w:val="en-US" w:eastAsia="zh-CN"/>
              </w:rPr>
              <w:t>属于</w:t>
            </w:r>
            <w:r>
              <w:rPr>
                <w:rFonts w:hint="default" w:ascii="Times New Roman" w:hAnsi="Times New Roman" w:eastAsia="宋体" w:cs="Times New Roman"/>
                <w:b w:val="0"/>
                <w:bCs/>
                <w:color w:val="auto"/>
                <w:kern w:val="2"/>
                <w:sz w:val="20"/>
                <w:szCs w:val="20"/>
                <w:highlight w:val="none"/>
                <w:lang w:val="en-US" w:eastAsia="zh-CN"/>
              </w:rPr>
              <w:t>有机固废绝氧热解技术装备</w:t>
            </w:r>
            <w:r>
              <w:rPr>
                <w:rFonts w:hint="eastAsia" w:ascii="Times New Roman" w:hAnsi="Times New Roman" w:eastAsia="宋体" w:cs="Times New Roman"/>
                <w:b w:val="0"/>
                <w:bCs/>
                <w:color w:val="auto"/>
                <w:kern w:val="2"/>
                <w:sz w:val="20"/>
                <w:szCs w:val="20"/>
                <w:highlight w:val="none"/>
                <w:lang w:val="en-US" w:eastAsia="zh-CN"/>
              </w:rPr>
              <w:t>应用</w:t>
            </w:r>
            <w:r>
              <w:rPr>
                <w:rFonts w:hint="default" w:ascii="Times New Roman" w:hAnsi="Times New Roman" w:eastAsia="宋体" w:cs="Times New Roman"/>
                <w:b w:val="0"/>
                <w:bCs/>
                <w:color w:val="auto"/>
                <w:kern w:val="2"/>
                <w:sz w:val="20"/>
                <w:szCs w:val="20"/>
                <w:highlight w:val="none"/>
                <w:lang w:val="en-US" w:eastAsia="zh-CN"/>
              </w:rPr>
              <w:t>。</w:t>
            </w:r>
          </w:p>
        </w:tc>
        <w:tc>
          <w:tcPr>
            <w:tcW w:w="461" w:type="pct"/>
            <w:tcBorders>
              <w:tl2br w:val="nil"/>
              <w:tr2bl w:val="nil"/>
            </w:tcBorders>
            <w:vAlign w:val="center"/>
          </w:tcPr>
          <w:p w14:paraId="1E5B80B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rPr>
            </w:pPr>
            <w:r>
              <w:rPr>
                <w:rFonts w:hint="default" w:ascii="Times New Roman" w:hAnsi="Times New Roman" w:eastAsia="宋体" w:cs="Times New Roman"/>
                <w:color w:val="auto"/>
                <w:kern w:val="2"/>
                <w:sz w:val="20"/>
                <w:szCs w:val="20"/>
                <w:highlight w:val="none"/>
                <w:lang w:eastAsia="zh-CN"/>
              </w:rPr>
              <w:t>符合</w:t>
            </w:r>
          </w:p>
        </w:tc>
      </w:tr>
    </w:tbl>
    <w:p w14:paraId="28AE6F8A">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与《固体废物再生利用污染防治技术导则》（HJ1091-2020）符合性分析</w:t>
      </w:r>
    </w:p>
    <w:p w14:paraId="2F52BD6A">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bCs/>
          <w:color w:val="auto"/>
          <w:kern w:val="2"/>
          <w:sz w:val="24"/>
          <w:szCs w:val="24"/>
          <w:highlight w:val="none"/>
          <w:lang w:val="en-US" w:eastAsia="zh-CN" w:bidi="ar-SA"/>
        </w:rPr>
        <w:t>本项目与</w:t>
      </w:r>
      <w:r>
        <w:rPr>
          <w:rFonts w:hint="default" w:ascii="Times New Roman" w:hAnsi="Times New Roman" w:eastAsia="宋" w:cs="Times New Roman"/>
          <w:color w:val="auto"/>
          <w:kern w:val="0"/>
          <w:sz w:val="24"/>
          <w:szCs w:val="24"/>
          <w:highlight w:val="none"/>
          <w:lang w:val="en-US" w:eastAsia="zh-CN" w:bidi="ar"/>
        </w:rPr>
        <w:t>《固体废物再生利用污染防治技术导则》（HJ1091-2020）</w:t>
      </w:r>
      <w:r>
        <w:rPr>
          <w:rFonts w:hint="default" w:ascii="Times New Roman" w:hAnsi="Times New Roman" w:eastAsia="宋体" w:cs="Times New Roman"/>
          <w:bCs/>
          <w:color w:val="auto"/>
          <w:kern w:val="2"/>
          <w:sz w:val="24"/>
          <w:szCs w:val="24"/>
          <w:highlight w:val="none"/>
          <w:lang w:val="en-US" w:eastAsia="zh-CN" w:bidi="ar-SA"/>
        </w:rPr>
        <w:t>的符合性分析如下表所示</w:t>
      </w:r>
      <w:r>
        <w:rPr>
          <w:rFonts w:hint="default" w:ascii="Times New Roman" w:hAnsi="Times New Roman" w:eastAsia="宋" w:cs="Times New Roman"/>
          <w:color w:val="auto"/>
          <w:kern w:val="0"/>
          <w:sz w:val="24"/>
          <w:szCs w:val="24"/>
          <w:highlight w:val="none"/>
          <w:lang w:val="en-US" w:eastAsia="zh-CN" w:bidi="ar"/>
        </w:rPr>
        <w:t>。</w:t>
      </w:r>
    </w:p>
    <w:p w14:paraId="70EB536D">
      <w:pPr>
        <w:keepNext w:val="0"/>
        <w:keepLines w:val="0"/>
        <w:widowControl/>
        <w:suppressLineNumbers w:val="0"/>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9</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本项目</w:t>
      </w:r>
      <w:r>
        <w:rPr>
          <w:rFonts w:hint="default" w:ascii="Times New Roman" w:hAnsi="Times New Roman" w:eastAsia="宋体" w:cs="Times New Roman"/>
          <w:b/>
          <w:bCs/>
          <w:color w:val="auto"/>
          <w:kern w:val="0"/>
          <w:sz w:val="21"/>
          <w:szCs w:val="21"/>
          <w:highlight w:val="none"/>
          <w:lang w:val="en-US" w:eastAsia="zh-CN" w:bidi="ar"/>
        </w:rPr>
        <w:t>与《固体废物再生利用污染防治技术导则》（HJ1091-2020）符合性</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83"/>
        <w:gridCol w:w="4199"/>
        <w:gridCol w:w="3300"/>
        <w:gridCol w:w="999"/>
      </w:tblGrid>
      <w:tr w14:paraId="2F9F713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tblHeader/>
          <w:jc w:val="center"/>
        </w:trPr>
        <w:tc>
          <w:tcPr>
            <w:tcW w:w="422" w:type="pct"/>
            <w:tcBorders>
              <w:tl2br w:val="nil"/>
              <w:tr2bl w:val="nil"/>
            </w:tcBorders>
            <w:vAlign w:val="center"/>
          </w:tcPr>
          <w:p w14:paraId="071B946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序号</w:t>
            </w:r>
          </w:p>
        </w:tc>
        <w:tc>
          <w:tcPr>
            <w:tcW w:w="2261" w:type="pct"/>
            <w:tcBorders>
              <w:tl2br w:val="nil"/>
              <w:tr2bl w:val="nil"/>
            </w:tcBorders>
            <w:vAlign w:val="center"/>
          </w:tcPr>
          <w:p w14:paraId="7B3965EA">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《固体废物再生利用污染防治技术导则》（HJ1091-2020）有关要求</w:t>
            </w:r>
          </w:p>
        </w:tc>
        <w:tc>
          <w:tcPr>
            <w:tcW w:w="1777" w:type="pct"/>
            <w:tcBorders>
              <w:tl2br w:val="nil"/>
              <w:tr2bl w:val="nil"/>
            </w:tcBorders>
            <w:vAlign w:val="center"/>
          </w:tcPr>
          <w:p w14:paraId="5DD04F4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本项目情况</w:t>
            </w:r>
          </w:p>
        </w:tc>
        <w:tc>
          <w:tcPr>
            <w:tcW w:w="538" w:type="pct"/>
            <w:tcBorders>
              <w:tl2br w:val="nil"/>
              <w:tr2bl w:val="nil"/>
            </w:tcBorders>
            <w:vAlign w:val="center"/>
          </w:tcPr>
          <w:p w14:paraId="1A7E755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符合性</w:t>
            </w:r>
          </w:p>
        </w:tc>
      </w:tr>
      <w:tr w14:paraId="0F420A4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2" w:type="pct"/>
            <w:tcBorders>
              <w:tl2br w:val="nil"/>
              <w:tr2bl w:val="nil"/>
            </w:tcBorders>
            <w:vAlign w:val="center"/>
          </w:tcPr>
          <w:p w14:paraId="702CAA8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1</w:t>
            </w:r>
          </w:p>
        </w:tc>
        <w:tc>
          <w:tcPr>
            <w:tcW w:w="2261" w:type="pct"/>
            <w:tcBorders>
              <w:tl2br w:val="nil"/>
              <w:tr2bl w:val="nil"/>
            </w:tcBorders>
            <w:vAlign w:val="center"/>
          </w:tcPr>
          <w:p w14:paraId="709560B2">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固体废物热解前应对其进行破碎、分选等预处理，以保证废 物的均匀性，提高废物的热解效率，减少热解废气的产生。</w:t>
            </w:r>
          </w:p>
          <w:p w14:paraId="139BD496">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采用热解技术处理污泥的含水量应低于30%。</w:t>
            </w:r>
          </w:p>
        </w:tc>
        <w:tc>
          <w:tcPr>
            <w:tcW w:w="1777" w:type="pct"/>
            <w:tcBorders>
              <w:tl2br w:val="nil"/>
              <w:tr2bl w:val="nil"/>
            </w:tcBorders>
            <w:vAlign w:val="center"/>
          </w:tcPr>
          <w:p w14:paraId="6E1AE0DC">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固体废物热解前进行破碎、分选等预处理，以保证废物的均匀性，提高废物的热解效率，减少热解废气的产生。</w:t>
            </w:r>
          </w:p>
        </w:tc>
        <w:tc>
          <w:tcPr>
            <w:tcW w:w="538" w:type="pct"/>
            <w:tcBorders>
              <w:tl2br w:val="nil"/>
              <w:tr2bl w:val="nil"/>
            </w:tcBorders>
            <w:vAlign w:val="center"/>
          </w:tcPr>
          <w:p w14:paraId="31F70EC8">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rPr>
            </w:pPr>
            <w:r>
              <w:rPr>
                <w:rFonts w:hint="default" w:ascii="Times New Roman" w:hAnsi="Times New Roman" w:eastAsia="宋体" w:cs="Times New Roman"/>
                <w:color w:val="auto"/>
                <w:kern w:val="2"/>
                <w:sz w:val="20"/>
                <w:szCs w:val="20"/>
                <w:highlight w:val="none"/>
                <w:lang w:eastAsia="zh-CN"/>
              </w:rPr>
              <w:t>符合</w:t>
            </w:r>
          </w:p>
        </w:tc>
      </w:tr>
      <w:tr w14:paraId="292CDB8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2" w:type="pct"/>
            <w:tcBorders>
              <w:tl2br w:val="nil"/>
              <w:tr2bl w:val="nil"/>
            </w:tcBorders>
            <w:vAlign w:val="center"/>
          </w:tcPr>
          <w:p w14:paraId="65688C4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2</w:t>
            </w:r>
          </w:p>
        </w:tc>
        <w:tc>
          <w:tcPr>
            <w:tcW w:w="2261" w:type="pct"/>
            <w:tcBorders>
              <w:tl2br w:val="nil"/>
              <w:tr2bl w:val="nil"/>
            </w:tcBorders>
            <w:vAlign w:val="center"/>
          </w:tcPr>
          <w:p w14:paraId="1B394AFF">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热解设备应配备温度自动化控制装置，应具备良好的密封性，操作过程应防止裂解气体外泄，热解设备和烟气管道应采取绝热保漏措施。</w:t>
            </w:r>
          </w:p>
        </w:tc>
        <w:tc>
          <w:tcPr>
            <w:tcW w:w="1777" w:type="pct"/>
            <w:tcBorders>
              <w:tl2br w:val="nil"/>
              <w:tr2bl w:val="nil"/>
            </w:tcBorders>
            <w:vAlign w:val="center"/>
          </w:tcPr>
          <w:p w14:paraId="57B90523">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热解设备配备温度自动化控制装置，具备良好的密封性，操作过程采用相应措施防裂解气体外泄，热解设备和烟气管道采取绝热保漏措施。</w:t>
            </w:r>
          </w:p>
        </w:tc>
        <w:tc>
          <w:tcPr>
            <w:tcW w:w="538" w:type="pct"/>
            <w:tcBorders>
              <w:tl2br w:val="nil"/>
              <w:tr2bl w:val="nil"/>
            </w:tcBorders>
            <w:vAlign w:val="center"/>
          </w:tcPr>
          <w:p w14:paraId="56872F18">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28BB998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2" w:type="pct"/>
            <w:tcBorders>
              <w:tl2br w:val="nil"/>
              <w:tr2bl w:val="nil"/>
            </w:tcBorders>
            <w:vAlign w:val="center"/>
          </w:tcPr>
          <w:p w14:paraId="7C0C053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3</w:t>
            </w:r>
          </w:p>
        </w:tc>
        <w:tc>
          <w:tcPr>
            <w:tcW w:w="2261" w:type="pct"/>
            <w:tcBorders>
              <w:tl2br w:val="nil"/>
              <w:tr2bl w:val="nil"/>
            </w:tcBorders>
            <w:vAlign w:val="center"/>
          </w:tcPr>
          <w:p w14:paraId="1CF0C93D">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热解炉在启动时，应先将炉内温度升至热解炉设计温度后才</w:t>
            </w:r>
            <w:r>
              <w:rPr>
                <w:rFonts w:hint="default" w:ascii="Times New Roman" w:hAnsi="Times New Roman" w:eastAsia="宋体" w:cs="Times New Roman"/>
                <w:b w:val="0"/>
                <w:bCs/>
                <w:color w:val="auto"/>
                <w:kern w:val="2"/>
                <w:sz w:val="20"/>
                <w:szCs w:val="20"/>
                <w:highlight w:val="none"/>
                <w:lang w:val="en-US" w:eastAsia="zh-CN"/>
              </w:rPr>
              <w:t>能</w:t>
            </w:r>
            <w:r>
              <w:rPr>
                <w:rFonts w:hint="default" w:ascii="Times New Roman" w:hAnsi="Times New Roman" w:eastAsia="宋体" w:cs="Times New Roman"/>
                <w:b w:val="0"/>
                <w:bCs/>
                <w:color w:val="auto"/>
                <w:kern w:val="2"/>
                <w:sz w:val="20"/>
                <w:szCs w:val="20"/>
                <w:highlight w:val="none"/>
                <w:lang w:eastAsia="zh-CN"/>
              </w:rPr>
              <w:t>投入固体废物。自投入固体废物开始，应逐渐增加投入量直至达到额定热解处理量。在关闭热解炉时，停止投入</w:t>
            </w:r>
            <w:r>
              <w:rPr>
                <w:rFonts w:hint="default" w:ascii="Times New Roman" w:hAnsi="Times New Roman" w:eastAsia="宋体" w:cs="Times New Roman"/>
                <w:b w:val="0"/>
                <w:bCs/>
                <w:color w:val="auto"/>
                <w:kern w:val="2"/>
                <w:sz w:val="20"/>
                <w:szCs w:val="20"/>
                <w:highlight w:val="none"/>
                <w:lang w:val="en-US" w:eastAsia="zh-CN"/>
              </w:rPr>
              <w:t>固体</w:t>
            </w:r>
            <w:r>
              <w:rPr>
                <w:rFonts w:hint="default" w:ascii="Times New Roman" w:hAnsi="Times New Roman" w:eastAsia="宋体" w:cs="Times New Roman"/>
                <w:b w:val="0"/>
                <w:bCs/>
                <w:color w:val="auto"/>
                <w:kern w:val="2"/>
                <w:sz w:val="20"/>
                <w:szCs w:val="20"/>
                <w:highlight w:val="none"/>
                <w:lang w:eastAsia="zh-CN"/>
              </w:rPr>
              <w:t>废物后，应立即启动助燃系统，保证炉内固体废物裂解</w:t>
            </w:r>
            <w:r>
              <w:rPr>
                <w:rFonts w:hint="default" w:ascii="Times New Roman" w:hAnsi="Times New Roman" w:eastAsia="宋体" w:cs="Times New Roman"/>
                <w:b w:val="0"/>
                <w:bCs/>
                <w:color w:val="auto"/>
                <w:kern w:val="2"/>
                <w:sz w:val="20"/>
                <w:szCs w:val="20"/>
                <w:highlight w:val="none"/>
                <w:lang w:val="en-US" w:eastAsia="zh-CN"/>
              </w:rPr>
              <w:t>完</w:t>
            </w:r>
            <w:r>
              <w:rPr>
                <w:rFonts w:hint="default" w:ascii="Times New Roman" w:hAnsi="Times New Roman" w:eastAsia="宋体" w:cs="Times New Roman"/>
                <w:b w:val="0"/>
                <w:bCs/>
                <w:color w:val="auto"/>
                <w:kern w:val="2"/>
                <w:sz w:val="20"/>
                <w:szCs w:val="20"/>
                <w:highlight w:val="none"/>
                <w:lang w:eastAsia="zh-CN"/>
              </w:rPr>
              <w:t>全。热解炉运行时应减少停机或启动次数。</w:t>
            </w:r>
          </w:p>
        </w:tc>
        <w:tc>
          <w:tcPr>
            <w:tcW w:w="1777" w:type="pct"/>
            <w:tcBorders>
              <w:tl2br w:val="nil"/>
              <w:tr2bl w:val="nil"/>
            </w:tcBorders>
            <w:vAlign w:val="center"/>
          </w:tcPr>
          <w:p w14:paraId="355F3317">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热解炉在启动时，先将炉内温度升至热解炉设计温度后才投入固体废物。自投入固体废物开始，逐渐增加投入量直至达到额定热解处理量。在关闭热解炉时，停止投入固体废物后，立即启动助燃系统，保证炉内固体废物裂解完全。热解炉运行时减少停机或启动次数。</w:t>
            </w:r>
          </w:p>
        </w:tc>
        <w:tc>
          <w:tcPr>
            <w:tcW w:w="538" w:type="pct"/>
            <w:tcBorders>
              <w:tl2br w:val="nil"/>
              <w:tr2bl w:val="nil"/>
            </w:tcBorders>
            <w:vAlign w:val="center"/>
          </w:tcPr>
          <w:p w14:paraId="460CC2BA">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1F610EE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2" w:type="pct"/>
            <w:tcBorders>
              <w:tl2br w:val="nil"/>
              <w:tr2bl w:val="nil"/>
            </w:tcBorders>
            <w:vAlign w:val="center"/>
          </w:tcPr>
          <w:p w14:paraId="1E9D9BD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4</w:t>
            </w:r>
          </w:p>
        </w:tc>
        <w:tc>
          <w:tcPr>
            <w:tcW w:w="2261" w:type="pct"/>
            <w:tcBorders>
              <w:tl2br w:val="nil"/>
              <w:tr2bl w:val="nil"/>
            </w:tcBorders>
            <w:vAlign w:val="center"/>
          </w:tcPr>
          <w:p w14:paraId="01326287">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固体废物热解作业应实时监测除尘器的运行状态，发现冒黑 烟等问题应及时停窑进行处理。</w:t>
            </w:r>
          </w:p>
        </w:tc>
        <w:tc>
          <w:tcPr>
            <w:tcW w:w="1777" w:type="pct"/>
            <w:tcBorders>
              <w:tl2br w:val="nil"/>
              <w:tr2bl w:val="nil"/>
            </w:tcBorders>
            <w:vAlign w:val="center"/>
          </w:tcPr>
          <w:p w14:paraId="098E9C8C">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安装在线监测装置。</w:t>
            </w:r>
          </w:p>
        </w:tc>
        <w:tc>
          <w:tcPr>
            <w:tcW w:w="538" w:type="pct"/>
            <w:tcBorders>
              <w:tl2br w:val="nil"/>
              <w:tr2bl w:val="nil"/>
            </w:tcBorders>
            <w:vAlign w:val="center"/>
          </w:tcPr>
          <w:p w14:paraId="3C30298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243944D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2" w:type="pct"/>
            <w:tcBorders>
              <w:tl2br w:val="nil"/>
              <w:tr2bl w:val="nil"/>
            </w:tcBorders>
            <w:vAlign w:val="center"/>
          </w:tcPr>
          <w:p w14:paraId="126E055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5</w:t>
            </w:r>
          </w:p>
        </w:tc>
        <w:tc>
          <w:tcPr>
            <w:tcW w:w="2261" w:type="pct"/>
            <w:tcBorders>
              <w:tl2br w:val="nil"/>
              <w:tr2bl w:val="nil"/>
            </w:tcBorders>
            <w:vAlign w:val="center"/>
          </w:tcPr>
          <w:p w14:paraId="104A34CB">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固体废物热解产生的废气应循环利用作为热解的燃料，不能回收利用的应焚烧处理后排放。</w:t>
            </w:r>
          </w:p>
        </w:tc>
        <w:tc>
          <w:tcPr>
            <w:tcW w:w="1777" w:type="pct"/>
            <w:tcBorders>
              <w:tl2br w:val="nil"/>
              <w:tr2bl w:val="nil"/>
            </w:tcBorders>
            <w:vAlign w:val="center"/>
          </w:tcPr>
          <w:p w14:paraId="4F75F555">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本项目热解气净化处理后，全部返回热解燃烧系统燃烧供能。</w:t>
            </w:r>
          </w:p>
        </w:tc>
        <w:tc>
          <w:tcPr>
            <w:tcW w:w="538" w:type="pct"/>
            <w:tcBorders>
              <w:tl2br w:val="nil"/>
              <w:tr2bl w:val="nil"/>
            </w:tcBorders>
            <w:vAlign w:val="center"/>
          </w:tcPr>
          <w:p w14:paraId="0B2E478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7420623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22" w:type="pct"/>
            <w:tcBorders>
              <w:tl2br w:val="nil"/>
              <w:tr2bl w:val="nil"/>
            </w:tcBorders>
            <w:vAlign w:val="center"/>
          </w:tcPr>
          <w:p w14:paraId="2BDBBC3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6</w:t>
            </w:r>
          </w:p>
        </w:tc>
        <w:tc>
          <w:tcPr>
            <w:tcW w:w="2261" w:type="pct"/>
            <w:tcBorders>
              <w:tl2br w:val="nil"/>
              <w:tr2bl w:val="nil"/>
            </w:tcBorders>
            <w:vAlign w:val="center"/>
          </w:tcPr>
          <w:p w14:paraId="3DCD6C77">
            <w:pPr>
              <w:keepNext w:val="0"/>
              <w:keepLines w:val="0"/>
              <w:widowControl w:val="0"/>
              <w:suppressLineNumbers w:val="0"/>
              <w:spacing w:before="0" w:beforeAutospacing="0" w:after="0" w:afterAutospacing="0" w:line="240" w:lineRule="auto"/>
              <w:ind w:left="-6" w:right="0" w:firstLine="0" w:firstLineChars="0"/>
              <w:jc w:val="left"/>
              <w:rPr>
                <w:rFonts w:hint="default" w:ascii="Times New Roman" w:hAnsi="Times New Roman" w:eastAsia="宋体" w:cs="Times New Roman"/>
                <w:b w:val="0"/>
                <w:bCs/>
                <w:color w:val="auto"/>
                <w:kern w:val="2"/>
                <w:sz w:val="20"/>
                <w:szCs w:val="20"/>
                <w:highlight w:val="none"/>
                <w:lang w:eastAsia="zh-CN"/>
              </w:rPr>
            </w:pPr>
            <w:r>
              <w:rPr>
                <w:rFonts w:hint="default" w:ascii="Times New Roman" w:hAnsi="Times New Roman" w:eastAsia="宋体" w:cs="Times New Roman"/>
                <w:b w:val="0"/>
                <w:bCs/>
                <w:color w:val="auto"/>
                <w:kern w:val="2"/>
                <w:sz w:val="20"/>
                <w:szCs w:val="20"/>
                <w:highlight w:val="none"/>
                <w:lang w:eastAsia="zh-CN"/>
              </w:rPr>
              <w:t>固体废物热解产生的黑炭和底渣，应采取分离、造粒等方法综合利用，分离、造粒过程应采取设备密闭和水法造粒等措施以防止炭黑粉尘散逸。不回收利用的残余物处置应符合本标准第 5.1.9 条的要求。</w:t>
            </w:r>
          </w:p>
        </w:tc>
        <w:tc>
          <w:tcPr>
            <w:tcW w:w="1777" w:type="pct"/>
            <w:tcBorders>
              <w:tl2br w:val="nil"/>
              <w:tr2bl w:val="nil"/>
            </w:tcBorders>
            <w:vAlign w:val="center"/>
          </w:tcPr>
          <w:p w14:paraId="723923C8">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本项目产生的炭黑渣外售，实现炭黑渣综合利用。</w:t>
            </w:r>
          </w:p>
        </w:tc>
        <w:tc>
          <w:tcPr>
            <w:tcW w:w="538" w:type="pct"/>
            <w:tcBorders>
              <w:tl2br w:val="nil"/>
              <w:tr2bl w:val="nil"/>
            </w:tcBorders>
            <w:vAlign w:val="center"/>
          </w:tcPr>
          <w:p w14:paraId="12D7BA0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bl>
    <w:p w14:paraId="255A1926">
      <w:pPr>
        <w:pStyle w:val="14"/>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综上所述，本项目建设符合《固体废物再生利用污染防治技术导则》（HJ1091-2020）中有关要求。</w:t>
      </w:r>
    </w:p>
    <w:p w14:paraId="2A1EEA63">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与《城市生活垃圾处理及污染防治技术政策》（建城（2000）120号）符合性分析</w:t>
      </w:r>
    </w:p>
    <w:p w14:paraId="03645FC9">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bCs/>
          <w:color w:val="auto"/>
          <w:kern w:val="2"/>
          <w:sz w:val="24"/>
          <w:szCs w:val="24"/>
          <w:highlight w:val="none"/>
          <w:lang w:val="en-US" w:eastAsia="zh-CN" w:bidi="ar-SA"/>
        </w:rPr>
        <w:t>本项目与</w:t>
      </w:r>
      <w:r>
        <w:rPr>
          <w:rFonts w:hint="default" w:ascii="Times New Roman" w:hAnsi="Times New Roman" w:eastAsia="宋" w:cs="Times New Roman"/>
          <w:color w:val="auto"/>
          <w:kern w:val="0"/>
          <w:sz w:val="24"/>
          <w:szCs w:val="24"/>
          <w:highlight w:val="none"/>
          <w:lang w:val="en-US" w:eastAsia="zh-CN" w:bidi="ar"/>
        </w:rPr>
        <w:t>《城市生活垃圾处理及污染防治技术政策》（建城（2000）120号）</w:t>
      </w:r>
      <w:r>
        <w:rPr>
          <w:rFonts w:hint="default" w:ascii="Times New Roman" w:hAnsi="Times New Roman" w:eastAsia="宋体" w:cs="Times New Roman"/>
          <w:bCs/>
          <w:color w:val="auto"/>
          <w:kern w:val="2"/>
          <w:sz w:val="24"/>
          <w:szCs w:val="24"/>
          <w:highlight w:val="none"/>
          <w:lang w:val="en-US" w:eastAsia="zh-CN" w:bidi="ar-SA"/>
        </w:rPr>
        <w:t>的符合性分析如下表所示</w:t>
      </w:r>
      <w:r>
        <w:rPr>
          <w:rFonts w:hint="default" w:ascii="Times New Roman" w:hAnsi="Times New Roman" w:eastAsia="宋" w:cs="Times New Roman"/>
          <w:color w:val="auto"/>
          <w:kern w:val="0"/>
          <w:sz w:val="24"/>
          <w:szCs w:val="24"/>
          <w:highlight w:val="none"/>
          <w:lang w:val="en-US" w:eastAsia="zh-CN" w:bidi="ar"/>
        </w:rPr>
        <w:t>。</w:t>
      </w:r>
    </w:p>
    <w:p w14:paraId="05A4B9E1">
      <w:pPr>
        <w:spacing w:line="240" w:lineRule="auto"/>
        <w:jc w:val="center"/>
        <w:rPr>
          <w:rFonts w:hint="default" w:ascii="Times New Roman" w:hAnsi="Times New Roman" w:cs="Times New Roman"/>
          <w:color w:val="auto"/>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10</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eastAsia="宋体" w:cs="Times New Roman"/>
          <w:b/>
          <w:bCs/>
          <w:color w:val="auto"/>
          <w:sz w:val="21"/>
          <w:szCs w:val="21"/>
          <w:highlight w:val="none"/>
          <w:lang w:val="en-US" w:eastAsia="zh-CN"/>
        </w:rPr>
        <w:t xml:space="preserve"> 本项目</w:t>
      </w:r>
      <w:r>
        <w:rPr>
          <w:rFonts w:hint="default" w:ascii="Times New Roman" w:hAnsi="Times New Roman" w:eastAsia="宋体" w:cs="Times New Roman"/>
          <w:b/>
          <w:bCs/>
          <w:color w:val="auto"/>
          <w:kern w:val="0"/>
          <w:sz w:val="21"/>
          <w:szCs w:val="21"/>
          <w:highlight w:val="none"/>
          <w:lang w:val="en-US" w:eastAsia="zh-CN" w:bidi="ar"/>
        </w:rPr>
        <w:t>与</w:t>
      </w:r>
      <w:r>
        <w:rPr>
          <w:rFonts w:hint="default" w:ascii="Times New Roman" w:hAnsi="Times New Roman" w:eastAsia="宋体" w:cs="Times New Roman"/>
          <w:b/>
          <w:bCs/>
          <w:color w:val="auto"/>
          <w:sz w:val="21"/>
          <w:szCs w:val="21"/>
          <w:highlight w:val="none"/>
          <w:lang w:val="en-US" w:eastAsia="zh-CN"/>
        </w:rPr>
        <w:t>《城市生活垃圾处理及污染防治技术政策》（建城（2000）120号）符合性</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92"/>
        <w:gridCol w:w="4474"/>
        <w:gridCol w:w="3159"/>
        <w:gridCol w:w="856"/>
      </w:tblGrid>
      <w:tr w14:paraId="34D8816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427" w:type="pct"/>
            <w:tcBorders>
              <w:tl2br w:val="nil"/>
              <w:tr2bl w:val="nil"/>
            </w:tcBorders>
            <w:vAlign w:val="center"/>
          </w:tcPr>
          <w:p w14:paraId="5F2F28D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序号</w:t>
            </w:r>
          </w:p>
        </w:tc>
        <w:tc>
          <w:tcPr>
            <w:tcW w:w="2409" w:type="pct"/>
            <w:tcBorders>
              <w:tl2br w:val="nil"/>
              <w:tr2bl w:val="nil"/>
            </w:tcBorders>
            <w:vAlign w:val="center"/>
          </w:tcPr>
          <w:p w14:paraId="73E703D1">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《城市生活垃圾处理及污染防治技术政策》（建城（2000）120号）有关</w:t>
            </w:r>
            <w:r>
              <w:rPr>
                <w:rFonts w:hint="default" w:ascii="Times New Roman" w:hAnsi="Times New Roman" w:eastAsia="宋体" w:cs="Times New Roman"/>
                <w:b/>
                <w:bCs w:val="0"/>
                <w:color w:val="auto"/>
                <w:kern w:val="2"/>
                <w:sz w:val="20"/>
                <w:szCs w:val="20"/>
                <w:highlight w:val="none"/>
                <w:lang w:eastAsia="zh-CN"/>
              </w:rPr>
              <w:t>要求</w:t>
            </w:r>
          </w:p>
        </w:tc>
        <w:tc>
          <w:tcPr>
            <w:tcW w:w="1701" w:type="pct"/>
            <w:tcBorders>
              <w:tl2br w:val="nil"/>
              <w:tr2bl w:val="nil"/>
            </w:tcBorders>
            <w:vAlign w:val="center"/>
          </w:tcPr>
          <w:p w14:paraId="337954B8">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本项目情况</w:t>
            </w:r>
          </w:p>
        </w:tc>
        <w:tc>
          <w:tcPr>
            <w:tcW w:w="461" w:type="pct"/>
            <w:tcBorders>
              <w:tl2br w:val="nil"/>
              <w:tr2bl w:val="nil"/>
            </w:tcBorders>
            <w:vAlign w:val="center"/>
          </w:tcPr>
          <w:p w14:paraId="017DED4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符合性</w:t>
            </w:r>
          </w:p>
        </w:tc>
      </w:tr>
      <w:tr w14:paraId="4A129B2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7" w:type="pct"/>
            <w:tcBorders>
              <w:tl2br w:val="nil"/>
              <w:tr2bl w:val="nil"/>
            </w:tcBorders>
            <w:vAlign w:val="center"/>
          </w:tcPr>
          <w:p w14:paraId="1F6F010A">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w:t>
            </w:r>
          </w:p>
        </w:tc>
        <w:tc>
          <w:tcPr>
            <w:tcW w:w="2409" w:type="pct"/>
            <w:tcBorders>
              <w:tl2br w:val="nil"/>
              <w:tr2bl w:val="nil"/>
            </w:tcBorders>
            <w:vAlign w:val="center"/>
          </w:tcPr>
          <w:p w14:paraId="636A5C6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卫生填埋、焚烧、堆肥、回收利用等垃圾处理技术及设备都有相应的适用条件，在坚持因地制宜、技术可行、设备可靠、适度度规模、综合治理和利用的原则下，可以合理选择其中之一或适当组合。在具备卫生填埋场地资源和自然条件适宜的城市，以卫生填理作为垃圾处理的基本方案；在具备经济条件、垃圾热值条件和缺乏卫生填埋场地资源的城市，可发展焚烧处理技术；积极发展适宜的生物处理技术，鼓励采用综合处理方式。禁止垃圾随意倾倒和无控制堆放。</w:t>
            </w:r>
          </w:p>
        </w:tc>
        <w:tc>
          <w:tcPr>
            <w:tcW w:w="1701" w:type="pct"/>
            <w:tcBorders>
              <w:tl2br w:val="nil"/>
              <w:tr2bl w:val="nil"/>
            </w:tcBorders>
            <w:vAlign w:val="center"/>
          </w:tcPr>
          <w:p w14:paraId="6FACEFD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考虑项目区域经济水平及生态环境的要求，本项目采用垃圾热解工艺处理区域内产生的生活垃圾，利用工程手段按热解工程技术标准达到最终处理。</w:t>
            </w:r>
          </w:p>
        </w:tc>
        <w:tc>
          <w:tcPr>
            <w:tcW w:w="461" w:type="pct"/>
            <w:tcBorders>
              <w:tl2br w:val="nil"/>
              <w:tr2bl w:val="nil"/>
            </w:tcBorders>
            <w:vAlign w:val="center"/>
          </w:tcPr>
          <w:p w14:paraId="51D970E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rPr>
            </w:pPr>
            <w:r>
              <w:rPr>
                <w:rFonts w:hint="default" w:ascii="Times New Roman" w:hAnsi="Times New Roman" w:eastAsia="宋体" w:cs="Times New Roman"/>
                <w:color w:val="auto"/>
                <w:kern w:val="2"/>
                <w:sz w:val="20"/>
                <w:szCs w:val="20"/>
                <w:highlight w:val="none"/>
                <w:lang w:eastAsia="zh-CN"/>
              </w:rPr>
              <w:t>符合</w:t>
            </w:r>
          </w:p>
        </w:tc>
      </w:tr>
      <w:tr w14:paraId="3B9FE73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7" w:type="pct"/>
            <w:tcBorders>
              <w:tl2br w:val="nil"/>
              <w:tr2bl w:val="nil"/>
            </w:tcBorders>
            <w:vAlign w:val="center"/>
          </w:tcPr>
          <w:p w14:paraId="3FDE710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2</w:t>
            </w:r>
          </w:p>
        </w:tc>
        <w:tc>
          <w:tcPr>
            <w:tcW w:w="2409" w:type="pct"/>
            <w:tcBorders>
              <w:tl2br w:val="nil"/>
              <w:tr2bl w:val="nil"/>
            </w:tcBorders>
            <w:vAlign w:val="center"/>
          </w:tcPr>
          <w:p w14:paraId="20D9FAD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垃圾收集和运输应密闭化，防止暴露、散落和滴漏。鼓励采 用压缩式收集和运输方式。尽快淘汰敞开式收集和运输方式。</w:t>
            </w:r>
          </w:p>
        </w:tc>
        <w:tc>
          <w:tcPr>
            <w:tcW w:w="1701" w:type="pct"/>
            <w:tcBorders>
              <w:tl2br w:val="nil"/>
              <w:tr2bl w:val="nil"/>
            </w:tcBorders>
            <w:vAlign w:val="center"/>
          </w:tcPr>
          <w:p w14:paraId="4E380D6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本项目垃圾收集和运输采用密闭方式。</w:t>
            </w:r>
          </w:p>
        </w:tc>
        <w:tc>
          <w:tcPr>
            <w:tcW w:w="461" w:type="pct"/>
            <w:tcBorders>
              <w:tl2br w:val="nil"/>
              <w:tr2bl w:val="nil"/>
            </w:tcBorders>
            <w:vAlign w:val="center"/>
          </w:tcPr>
          <w:p w14:paraId="2046B44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3F90CB5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7" w:type="pct"/>
            <w:tcBorders>
              <w:tl2br w:val="nil"/>
              <w:tr2bl w:val="nil"/>
            </w:tcBorders>
            <w:vAlign w:val="center"/>
          </w:tcPr>
          <w:p w14:paraId="50BDD02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3</w:t>
            </w:r>
          </w:p>
        </w:tc>
        <w:tc>
          <w:tcPr>
            <w:tcW w:w="2409" w:type="pct"/>
            <w:tcBorders>
              <w:tl2br w:val="nil"/>
              <w:tr2bl w:val="nil"/>
            </w:tcBorders>
            <w:vAlign w:val="center"/>
          </w:tcPr>
          <w:p w14:paraId="03B9360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垃圾焚烧应严格按照《生活垃圾焚烧污染控制标准》等有关标准要求，对烟气、污水、炉渣、飞灰、臭气和噪声等进行控制和处理，防止对环境的污染。</w:t>
            </w:r>
          </w:p>
        </w:tc>
        <w:tc>
          <w:tcPr>
            <w:tcW w:w="1701" w:type="pct"/>
            <w:tcBorders>
              <w:tl2br w:val="nil"/>
              <w:tr2bl w:val="nil"/>
            </w:tcBorders>
            <w:vAlign w:val="center"/>
          </w:tcPr>
          <w:p w14:paraId="6EDE644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本项目严格按照《生活垃圾焚烧污染控制标准》中要求，对烟气、污水、残渣、飞灰及臭气、噪声等进行控制和处理，防止对环境的污染。</w:t>
            </w:r>
          </w:p>
        </w:tc>
        <w:tc>
          <w:tcPr>
            <w:tcW w:w="461" w:type="pct"/>
            <w:tcBorders>
              <w:tl2br w:val="nil"/>
              <w:tr2bl w:val="nil"/>
            </w:tcBorders>
            <w:vAlign w:val="center"/>
          </w:tcPr>
          <w:p w14:paraId="5AB02D6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r w14:paraId="0604089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7" w:type="pct"/>
            <w:tcBorders>
              <w:tl2br w:val="nil"/>
              <w:tr2bl w:val="nil"/>
            </w:tcBorders>
            <w:vAlign w:val="center"/>
          </w:tcPr>
          <w:p w14:paraId="2F6CEC2D">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4</w:t>
            </w:r>
          </w:p>
        </w:tc>
        <w:tc>
          <w:tcPr>
            <w:tcW w:w="2409" w:type="pct"/>
            <w:tcBorders>
              <w:tl2br w:val="nil"/>
              <w:tr2bl w:val="nil"/>
            </w:tcBorders>
            <w:vAlign w:val="center"/>
          </w:tcPr>
          <w:p w14:paraId="1A938BA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应采用先进和可靠的技术及设备，严格控制垃圾焚烧的烟气 排放。烟气处理宜采用半干法加布袋除尘工艺。</w:t>
            </w:r>
          </w:p>
        </w:tc>
        <w:tc>
          <w:tcPr>
            <w:tcW w:w="1701" w:type="pct"/>
            <w:tcBorders>
              <w:tl2br w:val="nil"/>
              <w:tr2bl w:val="nil"/>
            </w:tcBorders>
            <w:vAlign w:val="center"/>
          </w:tcPr>
          <w:p w14:paraId="6B748CB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本项目垃圾热解气净化采用“旋风除尘+喷淋脱酸除雾+二级冷凝+ 电捕焦油”的组合热解气净化工艺，经净化后全部用于热解回转窑燃烧供能，燃烧废气经“SNCR+喷淋+活性炭吸附+布袋除尘”处理后可达到相应标准。</w:t>
            </w:r>
          </w:p>
        </w:tc>
        <w:tc>
          <w:tcPr>
            <w:tcW w:w="461" w:type="pct"/>
            <w:tcBorders>
              <w:tl2br w:val="nil"/>
              <w:tr2bl w:val="nil"/>
            </w:tcBorders>
            <w:vAlign w:val="center"/>
          </w:tcPr>
          <w:p w14:paraId="65BCD76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bl>
    <w:p w14:paraId="0659DF2E">
      <w:pPr>
        <w:pStyle w:val="14"/>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综上所述，本项目建设符合《城市生活垃圾处理及污染防治技术政策》（建城（2000）120号）中有关要求。</w:t>
      </w:r>
    </w:p>
    <w:p w14:paraId="7DFD981C">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与《重点行业二噁英类污染防治技术政策》符合性分析</w:t>
      </w:r>
    </w:p>
    <w:p w14:paraId="44E5B57B">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bCs/>
          <w:color w:val="auto"/>
          <w:kern w:val="2"/>
          <w:sz w:val="24"/>
          <w:szCs w:val="24"/>
          <w:highlight w:val="none"/>
          <w:lang w:val="en-US" w:eastAsia="zh-CN" w:bidi="ar-SA"/>
        </w:rPr>
        <w:t>本项目与</w:t>
      </w:r>
      <w:r>
        <w:rPr>
          <w:rFonts w:hint="default" w:ascii="Times New Roman" w:hAnsi="Times New Roman" w:eastAsia="宋" w:cs="Times New Roman"/>
          <w:color w:val="auto"/>
          <w:kern w:val="0"/>
          <w:sz w:val="24"/>
          <w:szCs w:val="24"/>
          <w:highlight w:val="none"/>
          <w:lang w:val="en-US" w:eastAsia="zh-CN" w:bidi="ar"/>
        </w:rPr>
        <w:t>《重点行业二噁英类污染防治技术政策》</w:t>
      </w:r>
      <w:r>
        <w:rPr>
          <w:rFonts w:hint="default" w:ascii="Times New Roman" w:hAnsi="Times New Roman" w:eastAsia="宋体" w:cs="Times New Roman"/>
          <w:bCs/>
          <w:color w:val="auto"/>
          <w:kern w:val="2"/>
          <w:sz w:val="24"/>
          <w:szCs w:val="24"/>
          <w:highlight w:val="none"/>
          <w:lang w:val="en-US" w:eastAsia="zh-CN" w:bidi="ar-SA"/>
        </w:rPr>
        <w:t>的符合性分析如下表所示</w:t>
      </w:r>
      <w:r>
        <w:rPr>
          <w:rFonts w:hint="default" w:ascii="Times New Roman" w:hAnsi="Times New Roman" w:eastAsia="宋" w:cs="Times New Roman"/>
          <w:color w:val="auto"/>
          <w:kern w:val="0"/>
          <w:sz w:val="24"/>
          <w:szCs w:val="24"/>
          <w:highlight w:val="none"/>
          <w:lang w:val="en-US" w:eastAsia="zh-CN" w:bidi="ar"/>
        </w:rPr>
        <w:t>。</w:t>
      </w:r>
    </w:p>
    <w:p w14:paraId="4F325A70">
      <w:pPr>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2.7</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eastAsia="宋体" w:cs="Times New Roman"/>
          <w:b/>
          <w:bCs/>
          <w:color w:val="auto"/>
          <w:sz w:val="21"/>
          <w:szCs w:val="21"/>
          <w:highlight w:val="none"/>
          <w:lang w:val="en-US" w:eastAsia="zh-CN"/>
        </w:rPr>
        <w:t>本项目与《重点行业二噁英类污染防治技术政策》符合性</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94"/>
        <w:gridCol w:w="5118"/>
        <w:gridCol w:w="2513"/>
        <w:gridCol w:w="856"/>
      </w:tblGrid>
      <w:tr w14:paraId="6AB3FE8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428" w:type="pct"/>
            <w:tcBorders>
              <w:tl2br w:val="nil"/>
              <w:tr2bl w:val="nil"/>
            </w:tcBorders>
            <w:vAlign w:val="center"/>
          </w:tcPr>
          <w:p w14:paraId="2202C32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序号</w:t>
            </w:r>
          </w:p>
        </w:tc>
        <w:tc>
          <w:tcPr>
            <w:tcW w:w="2756" w:type="pct"/>
            <w:tcBorders>
              <w:tl2br w:val="nil"/>
              <w:tr2bl w:val="nil"/>
            </w:tcBorders>
            <w:vAlign w:val="center"/>
          </w:tcPr>
          <w:p w14:paraId="7A126CA9">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《重点行业二噁英类污染防治技术政策》有关</w:t>
            </w:r>
            <w:r>
              <w:rPr>
                <w:rFonts w:hint="default" w:ascii="Times New Roman" w:hAnsi="Times New Roman" w:eastAsia="宋体" w:cs="Times New Roman"/>
                <w:b/>
                <w:bCs w:val="0"/>
                <w:color w:val="auto"/>
                <w:kern w:val="2"/>
                <w:sz w:val="20"/>
                <w:szCs w:val="20"/>
                <w:highlight w:val="none"/>
                <w:lang w:eastAsia="zh-CN"/>
              </w:rPr>
              <w:t>要求</w:t>
            </w:r>
          </w:p>
        </w:tc>
        <w:tc>
          <w:tcPr>
            <w:tcW w:w="1353" w:type="pct"/>
            <w:tcBorders>
              <w:tl2br w:val="nil"/>
              <w:tr2bl w:val="nil"/>
            </w:tcBorders>
            <w:vAlign w:val="center"/>
          </w:tcPr>
          <w:p w14:paraId="22FF0D6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本项目情况</w:t>
            </w:r>
          </w:p>
        </w:tc>
        <w:tc>
          <w:tcPr>
            <w:tcW w:w="461" w:type="pct"/>
            <w:tcBorders>
              <w:tl2br w:val="nil"/>
              <w:tr2bl w:val="nil"/>
            </w:tcBorders>
            <w:vAlign w:val="center"/>
          </w:tcPr>
          <w:p w14:paraId="481420D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符合性</w:t>
            </w:r>
          </w:p>
        </w:tc>
      </w:tr>
      <w:tr w14:paraId="6B7425E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8" w:type="pct"/>
            <w:tcBorders>
              <w:tl2br w:val="nil"/>
              <w:tr2bl w:val="nil"/>
            </w:tcBorders>
            <w:vAlign w:val="center"/>
          </w:tcPr>
          <w:p w14:paraId="0833000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1</w:t>
            </w:r>
          </w:p>
        </w:tc>
        <w:tc>
          <w:tcPr>
            <w:tcW w:w="2756" w:type="pct"/>
            <w:tcBorders>
              <w:tl2br w:val="nil"/>
              <w:tr2bl w:val="nil"/>
            </w:tcBorders>
            <w:vAlign w:val="center"/>
          </w:tcPr>
          <w:p w14:paraId="1299FE6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废弃物焚烧应保持焚烧系统连续稳定运行，减少因非正常工况运行而生成的二噁英类。生活垃圾焚烧和医疗废物热解炉烟气出口的温度应不低 850℃，危险废物热解炉二燃室的温度不低于 1100℃，烟气停留时间应在 2.0 秒以上，热解炉出口烟气的氧气含量不少于 6%</w:t>
            </w:r>
            <w:r>
              <w:rPr>
                <w:rFonts w:hint="eastAsia" w:ascii="Times New Roman" w:hAnsi="Times New Roman" w:eastAsia="宋体" w:cs="Times New Roman"/>
                <w:b w:val="0"/>
                <w:bCs/>
                <w:color w:val="auto"/>
                <w:kern w:val="2"/>
                <w:sz w:val="20"/>
                <w:szCs w:val="20"/>
                <w:highlight w:val="none"/>
                <w:lang w:val="en-US" w:eastAsia="zh-CN"/>
              </w:rPr>
              <w:t>（</w:t>
            </w:r>
            <w:r>
              <w:rPr>
                <w:rFonts w:hint="default" w:ascii="Times New Roman" w:hAnsi="Times New Roman" w:eastAsia="宋体" w:cs="Times New Roman"/>
                <w:b w:val="0"/>
                <w:bCs/>
                <w:color w:val="auto"/>
                <w:kern w:val="2"/>
                <w:sz w:val="20"/>
                <w:szCs w:val="20"/>
                <w:highlight w:val="none"/>
                <w:lang w:val="en-US" w:eastAsia="zh-CN"/>
              </w:rPr>
              <w:t>干烟气</w:t>
            </w:r>
            <w:r>
              <w:rPr>
                <w:rFonts w:hint="eastAsia" w:ascii="Times New Roman" w:hAnsi="Times New Roman" w:eastAsia="宋体" w:cs="Times New Roman"/>
                <w:b w:val="0"/>
                <w:bCs/>
                <w:color w:val="auto"/>
                <w:kern w:val="2"/>
                <w:sz w:val="20"/>
                <w:szCs w:val="20"/>
                <w:highlight w:val="none"/>
                <w:lang w:val="en-US" w:eastAsia="zh-CN"/>
              </w:rPr>
              <w:t>）</w:t>
            </w:r>
            <w:r>
              <w:rPr>
                <w:rFonts w:hint="default" w:ascii="Times New Roman" w:hAnsi="Times New Roman" w:eastAsia="宋体" w:cs="Times New Roman"/>
                <w:b w:val="0"/>
                <w:bCs/>
                <w:color w:val="auto"/>
                <w:kern w:val="2"/>
                <w:sz w:val="20"/>
                <w:szCs w:val="20"/>
                <w:highlight w:val="none"/>
                <w:lang w:val="en-US" w:eastAsia="zh-CN"/>
              </w:rPr>
              <w:t>，并控制助燃空气的风量和注入位置，保证足够的炉内湍流程度。</w:t>
            </w:r>
          </w:p>
        </w:tc>
        <w:tc>
          <w:tcPr>
            <w:tcW w:w="1353" w:type="pct"/>
            <w:tcBorders>
              <w:tl2br w:val="nil"/>
              <w:tr2bl w:val="nil"/>
            </w:tcBorders>
            <w:vAlign w:val="center"/>
          </w:tcPr>
          <w:p w14:paraId="67A7FDC4">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本项目生活垃圾和预餐厨垃圾热解废气在 850℃以上的停留时间大于2秒。</w:t>
            </w:r>
          </w:p>
        </w:tc>
        <w:tc>
          <w:tcPr>
            <w:tcW w:w="461" w:type="pct"/>
            <w:tcBorders>
              <w:tl2br w:val="nil"/>
              <w:tr2bl w:val="nil"/>
            </w:tcBorders>
            <w:vAlign w:val="center"/>
          </w:tcPr>
          <w:p w14:paraId="34D22E0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rPr>
            </w:pPr>
            <w:r>
              <w:rPr>
                <w:rFonts w:hint="default" w:ascii="Times New Roman" w:hAnsi="Times New Roman" w:eastAsia="宋体" w:cs="Times New Roman"/>
                <w:color w:val="auto"/>
                <w:kern w:val="2"/>
                <w:sz w:val="20"/>
                <w:szCs w:val="20"/>
                <w:highlight w:val="none"/>
                <w:lang w:eastAsia="zh-CN"/>
              </w:rPr>
              <w:t>符合</w:t>
            </w:r>
          </w:p>
        </w:tc>
      </w:tr>
      <w:tr w14:paraId="4126F8D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28" w:type="pct"/>
            <w:tcBorders>
              <w:tl2br w:val="nil"/>
              <w:tr2bl w:val="nil"/>
            </w:tcBorders>
            <w:vAlign w:val="center"/>
          </w:tcPr>
          <w:p w14:paraId="45D07EE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2</w:t>
            </w:r>
          </w:p>
        </w:tc>
        <w:tc>
          <w:tcPr>
            <w:tcW w:w="2756" w:type="pct"/>
            <w:tcBorders>
              <w:tl2br w:val="nil"/>
              <w:tr2bl w:val="nil"/>
            </w:tcBorders>
            <w:vAlign w:val="center"/>
          </w:tcPr>
          <w:p w14:paraId="66FBA0E3">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废弃物焚烧烟气净化设施产生的含二噁英类飞灰、特定有机氯化工产品生产过程中产生的含二噁英类废物应按照国家相关规定进行无害化处置。</w:t>
            </w:r>
          </w:p>
        </w:tc>
        <w:tc>
          <w:tcPr>
            <w:tcW w:w="1353" w:type="pct"/>
            <w:tcBorders>
              <w:tl2br w:val="nil"/>
              <w:tr2bl w:val="nil"/>
            </w:tcBorders>
            <w:vAlign w:val="center"/>
          </w:tcPr>
          <w:p w14:paraId="6D295FF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eastAsia="宋体" w:cs="Times New Roman"/>
                <w:b w:val="0"/>
                <w:bCs/>
                <w:color w:val="auto"/>
                <w:kern w:val="2"/>
                <w:sz w:val="20"/>
                <w:szCs w:val="20"/>
                <w:highlight w:val="none"/>
                <w:lang w:val="en-US" w:eastAsia="zh-CN"/>
              </w:rPr>
              <w:t>活性炭吸附主要为去除二噁英类物质及重金属类等有毒物质。</w:t>
            </w:r>
          </w:p>
        </w:tc>
        <w:tc>
          <w:tcPr>
            <w:tcW w:w="461" w:type="pct"/>
            <w:tcBorders>
              <w:tl2br w:val="nil"/>
              <w:tr2bl w:val="nil"/>
            </w:tcBorders>
            <w:vAlign w:val="center"/>
          </w:tcPr>
          <w:p w14:paraId="3EF6925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eastAsia="宋体" w:cs="Times New Roman"/>
                <w:color w:val="auto"/>
                <w:kern w:val="2"/>
                <w:sz w:val="20"/>
                <w:szCs w:val="20"/>
                <w:highlight w:val="none"/>
                <w:lang w:eastAsia="zh-CN"/>
              </w:rPr>
              <w:t>符合</w:t>
            </w:r>
          </w:p>
        </w:tc>
      </w:tr>
    </w:tbl>
    <w:p w14:paraId="21A6054B">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b/>
          <w:bCs/>
          <w:color w:val="auto"/>
          <w:kern w:val="0"/>
          <w:sz w:val="24"/>
          <w:szCs w:val="24"/>
          <w:highlight w:val="none"/>
          <w:lang w:val="en-US" w:eastAsia="zh-CN" w:bidi="ar"/>
        </w:rPr>
        <w:t>综上所述，本项目建设符合《重点行业二噁英类污染防治技术政策》中有关要求。</w:t>
      </w:r>
    </w:p>
    <w:p w14:paraId="3462AF92">
      <w:pPr>
        <w:pStyle w:val="3"/>
        <w:spacing w:before="156" w:after="156"/>
        <w:rPr>
          <w:rFonts w:hint="default" w:ascii="Times New Roman" w:hAnsi="Times New Roman" w:cs="Times New Roman"/>
          <w:color w:val="auto"/>
          <w:highlight w:val="none"/>
        </w:rPr>
      </w:pPr>
      <w:bookmarkStart w:id="46" w:name="_Toc17101"/>
      <w:bookmarkStart w:id="47" w:name="_Toc23341"/>
      <w:bookmarkStart w:id="48" w:name="_Toc26026"/>
      <w:r>
        <w:rPr>
          <w:rFonts w:hint="default" w:ascii="Times New Roman" w:hAnsi="Times New Roman" w:cs="Times New Roman"/>
          <w:color w:val="auto"/>
          <w:highlight w:val="none"/>
        </w:rPr>
        <w:t>与</w:t>
      </w:r>
      <w:r>
        <w:rPr>
          <w:rFonts w:hint="default" w:ascii="Times New Roman" w:hAnsi="Times New Roman" w:cs="Times New Roman"/>
          <w:color w:val="auto"/>
          <w:highlight w:val="none"/>
          <w:lang w:val="en-US" w:eastAsia="zh-CN"/>
        </w:rPr>
        <w:t>生态环境分区管控要求</w:t>
      </w:r>
      <w:r>
        <w:rPr>
          <w:rFonts w:hint="default" w:ascii="Times New Roman" w:hAnsi="Times New Roman" w:cs="Times New Roman"/>
          <w:color w:val="auto"/>
          <w:highlight w:val="none"/>
        </w:rPr>
        <w:t>符合性分析</w:t>
      </w:r>
      <w:bookmarkEnd w:id="46"/>
      <w:bookmarkEnd w:id="47"/>
      <w:bookmarkEnd w:id="48"/>
    </w:p>
    <w:p w14:paraId="6D4D14B3">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与</w:t>
      </w:r>
      <w:r>
        <w:rPr>
          <w:rFonts w:hint="default" w:ascii="Times New Roman" w:hAnsi="Times New Roman" w:cs="Times New Roman"/>
          <w:color w:val="auto"/>
          <w:highlight w:val="none"/>
        </w:rPr>
        <w:t>《四川省人民政府关于落实生态保护红线、环境质量底线、资源利用上线，制定生态环境准入清单实施生态环境分区管控的通知》（川府发〔2020〕9号）的符合性分析</w:t>
      </w:r>
    </w:p>
    <w:p w14:paraId="0D638B41">
      <w:pPr>
        <w:pStyle w:val="14"/>
        <w:ind w:firstLine="480"/>
        <w:rPr>
          <w:rFonts w:hint="default" w:ascii="Times New Roman" w:hAnsi="Times New Roman" w:cs="Times New Roman" w:eastAsiaTheme="minorEastAsia"/>
          <w:color w:val="auto"/>
          <w:highlight w:val="none"/>
          <w:lang w:eastAsia="zh-CN"/>
        </w:rPr>
      </w:pPr>
      <w:r>
        <w:rPr>
          <w:rFonts w:hint="default" w:ascii="Times New Roman" w:hAnsi="Times New Roman" w:cs="Times New Roman"/>
          <w:color w:val="auto"/>
          <w:sz w:val="24"/>
          <w:szCs w:val="24"/>
          <w:highlight w:val="none"/>
        </w:rPr>
        <w:t>根据《四川省人民政府关于落实生态保护红线、环境质量底线、资源利用上线，制定生态环境准入清单实施生态环境分区管控的通知》（川府发〔2020〕9号），</w:t>
      </w:r>
      <w:r>
        <w:rPr>
          <w:rFonts w:hint="default" w:ascii="Times New Roman" w:hAnsi="Times New Roman" w:cs="Times New Roman"/>
          <w:color w:val="auto"/>
          <w:kern w:val="0"/>
          <w:sz w:val="24"/>
          <w:szCs w:val="24"/>
          <w:highlight w:val="none"/>
        </w:rPr>
        <w:t>按照省委“一干多支、五区协同”的区域发展战略部署，立足五大经济区的区域特征、发展定位及突出生态环境问题，将全省行政区域从生态环境保护角度划分为优先保护、重点管控和一般管控三类环境管控单元，优先保护单元指以生态环境保护为主的区域，主要包括生态保护红线、自然保护地、饮用水水源保护区等，应以生态环境保护优先为原则，严格执行相关法律、法规要求，严守生态环境质量底线，确保生态环境功能不降低，重点管控单元指涉及水、大气、土壤、自然资源等资源环境要素重点管控的区域，应不断提升资源利用效率，有针对性地加强污染物排放控制和环境风险防控，解决生态环境质量不达标、生态环境风险高等问题，一般管控单元指除优先保护单元和重点管控单元之外的其他区域，主要落实生态环境保护基本要求</w:t>
      </w:r>
      <w:r>
        <w:rPr>
          <w:rFonts w:hint="default" w:ascii="Times New Roman" w:hAnsi="Times New Roman" w:cs="Times New Roman"/>
          <w:color w:val="auto"/>
          <w:kern w:val="0"/>
          <w:sz w:val="24"/>
          <w:szCs w:val="24"/>
          <w:highlight w:val="none"/>
          <w:lang w:eastAsia="zh-CN"/>
        </w:rPr>
        <w:t>。</w:t>
      </w:r>
    </w:p>
    <w:p w14:paraId="41E17548">
      <w:pPr>
        <w:ind w:firstLine="480" w:firstLineChars="200"/>
        <w:rPr>
          <w:rFonts w:hint="default" w:ascii="Times New Roman" w:hAnsi="Times New Roman" w:cs="Times New Roman"/>
          <w:color w:val="auto"/>
          <w:sz w:val="24"/>
          <w:szCs w:val="24"/>
          <w:highlight w:val="none"/>
        </w:rPr>
      </w:pPr>
      <w:bookmarkStart w:id="49" w:name="_Hlk103248215"/>
      <w:r>
        <w:rPr>
          <w:rFonts w:hint="default" w:ascii="Times New Roman" w:hAnsi="Times New Roman" w:cs="Times New Roman" w:eastAsiaTheme="minorEastAsia"/>
          <w:color w:val="auto"/>
          <w:kern w:val="0"/>
          <w:sz w:val="24"/>
          <w:szCs w:val="24"/>
          <w:highlight w:val="none"/>
          <w:lang w:val="en-US" w:eastAsia="zh-CN" w:bidi="ar-SA"/>
        </w:rPr>
        <w:t>本项目选址位于</w:t>
      </w:r>
      <w:r>
        <w:rPr>
          <w:rFonts w:hint="default" w:ascii="Times New Roman" w:hAnsi="Times New Roman" w:eastAsia="宋体" w:cs="Times New Roman"/>
          <w:color w:val="auto"/>
          <w:kern w:val="0"/>
          <w:sz w:val="24"/>
          <w:szCs w:val="24"/>
          <w:highlight w:val="none"/>
          <w:lang w:val="en-US" w:eastAsia="zh-CN" w:bidi="ar"/>
        </w:rPr>
        <w:t>剑阁县普安镇剑坪村一组，普安镇原生活垃圾场厂址内</w:t>
      </w:r>
      <w:r>
        <w:rPr>
          <w:rFonts w:hint="default" w:ascii="Times New Roman" w:hAnsi="Times New Roman" w:cs="Times New Roman" w:eastAsiaTheme="minorEastAsia"/>
          <w:color w:val="auto"/>
          <w:kern w:val="0"/>
          <w:sz w:val="24"/>
          <w:szCs w:val="24"/>
          <w:highlight w:val="none"/>
          <w:lang w:val="en-US" w:eastAsia="zh-CN" w:bidi="ar-SA"/>
        </w:rPr>
        <w:t>，根据</w:t>
      </w:r>
      <w:r>
        <w:rPr>
          <w:rFonts w:hint="default" w:ascii="Times New Roman" w:hAnsi="Times New Roman" w:cs="Times New Roman"/>
          <w:color w:val="auto"/>
          <w:sz w:val="24"/>
          <w:szCs w:val="24"/>
          <w:highlight w:val="none"/>
        </w:rPr>
        <w:t>《四川省人民政府关于落实生态保护红线、环境质量底线、资源利用上线，制定生态环境准入清单实施生态环境分区管控的通知》（川府发〔2020〕9号），本项目位于四川省</w:t>
      </w:r>
      <w:r>
        <w:rPr>
          <w:rFonts w:hint="default" w:ascii="Times New Roman" w:hAnsi="Times New Roman" w:cs="Times New Roman"/>
          <w:b/>
          <w:bCs/>
          <w:color w:val="auto"/>
          <w:sz w:val="24"/>
          <w:szCs w:val="24"/>
          <w:highlight w:val="none"/>
          <w:lang w:eastAsia="zh-CN"/>
        </w:rPr>
        <w:t>一般</w:t>
      </w:r>
      <w:r>
        <w:rPr>
          <w:rFonts w:hint="default" w:ascii="Times New Roman" w:hAnsi="Times New Roman" w:cs="Times New Roman"/>
          <w:b/>
          <w:bCs/>
          <w:color w:val="auto"/>
          <w:sz w:val="24"/>
          <w:szCs w:val="24"/>
          <w:highlight w:val="none"/>
        </w:rPr>
        <w:t>管控单元。</w:t>
      </w:r>
    </w:p>
    <w:p w14:paraId="795F608B">
      <w:pPr>
        <w:pStyle w:val="34"/>
        <w:keepNext w:val="0"/>
        <w:keepLines w:val="0"/>
        <w:pageBreakBefore w:val="0"/>
        <w:widowControl w:val="0"/>
        <w:kinsoku/>
        <w:wordWrap/>
        <w:overflowPunct/>
        <w:topLinePunct w:val="0"/>
        <w:autoSpaceDE/>
        <w:autoSpaceDN/>
        <w:bidi w:val="0"/>
        <w:adjustRightInd/>
        <w:snapToGrid w:val="0"/>
        <w:spacing w:after="0" w:line="240" w:lineRule="auto"/>
        <w:ind w:left="0" w:leftChars="0" w:firstLine="0" w:firstLineChars="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highlight w:val="none"/>
        </w:rPr>
        <mc:AlternateContent>
          <mc:Choice Requires="wps">
            <w:drawing>
              <wp:anchor distT="0" distB="0" distL="114300" distR="114300" simplePos="0" relativeHeight="251663360" behindDoc="0" locked="0" layoutInCell="1" allowOverlap="1">
                <wp:simplePos x="0" y="0"/>
                <wp:positionH relativeFrom="column">
                  <wp:posOffset>633730</wp:posOffset>
                </wp:positionH>
                <wp:positionV relativeFrom="paragraph">
                  <wp:posOffset>2426970</wp:posOffset>
                </wp:positionV>
                <wp:extent cx="772160" cy="361315"/>
                <wp:effectExtent l="0" t="0" r="0" b="0"/>
                <wp:wrapNone/>
                <wp:docPr id="1" name="圆角矩形标注 1"/>
                <wp:cNvGraphicFramePr/>
                <a:graphic xmlns:a="http://schemas.openxmlformats.org/drawingml/2006/main">
                  <a:graphicData uri="http://schemas.microsoft.com/office/word/2010/wordprocessingShape">
                    <wps:wsp>
                      <wps:cNvSpPr/>
                      <wps:spPr>
                        <a:xfrm>
                          <a:off x="0" y="0"/>
                          <a:ext cx="772160" cy="361315"/>
                        </a:xfrm>
                        <a:prstGeom prst="wedgeRoundRectCallout">
                          <a:avLst>
                            <a:gd name="adj1" fmla="val -54769"/>
                            <a:gd name="adj2" fmla="val -121954"/>
                            <a:gd name="adj3" fmla="val 16667"/>
                          </a:avLst>
                        </a:prstGeom>
                        <a:noFill/>
                        <a:ln w="9525" cap="flat" cmpd="sng">
                          <a:noFill/>
                          <a:prstDash val="solid"/>
                          <a:miter/>
                          <a:headEnd type="none" w="med" len="med"/>
                          <a:tailEnd type="triangle" w="med" len="med"/>
                        </a:ln>
                      </wps:spPr>
                      <wps:txbx>
                        <w:txbxContent>
                          <w:p w14:paraId="7631378D">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14:textFill>
                                  <w14:gradFill>
                                    <w14:gsLst>
                                      <w14:gs w14:pos="0">
                                        <w14:srgbClr w14:val="E30000"/>
                                      </w14:gs>
                                      <w14:gs w14:pos="100000">
                                        <w14:srgbClr w14:val="760303"/>
                                      </w14:gs>
                                    </w14:gsLst>
                                    <w14:lin w14:scaled="0"/>
                                  </w14:gradFill>
                                </w14:textFill>
                              </w:rPr>
                            </w:pPr>
                            <w:r>
                              <w:rPr>
                                <w:rFonts w:hint="eastAsia" w:ascii="黑体" w:hAnsi="黑体" w:eastAsia="黑体" w:cs="黑体"/>
                                <w:sz w:val="15"/>
                                <w:szCs w:val="15"/>
                                <w:lang w:val="en-US" w:eastAsia="zh-CN"/>
                                <w14:textFill>
                                  <w14:gradFill>
                                    <w14:gsLst>
                                      <w14:gs w14:pos="0">
                                        <w14:srgbClr w14:val="E30000"/>
                                      </w14:gs>
                                      <w14:gs w14:pos="100000">
                                        <w14:srgbClr w14:val="760303"/>
                                      </w14:gs>
                                    </w14:gsLst>
                                    <w14:lin w14:scaled="0"/>
                                  </w14:gradFill>
                                </w14:textFill>
                              </w:rPr>
                              <w:t>项目</w:t>
                            </w:r>
                            <w:r>
                              <w:rPr>
                                <w:rFonts w:hint="eastAsia" w:ascii="黑体" w:hAnsi="黑体" w:eastAsia="黑体" w:cs="黑体"/>
                                <w:sz w:val="15"/>
                                <w:szCs w:val="15"/>
                                <w:lang w:eastAsia="zh-CN"/>
                                <w14:textFill>
                                  <w14:gradFill>
                                    <w14:gsLst>
                                      <w14:gs w14:pos="0">
                                        <w14:srgbClr w14:val="E30000"/>
                                      </w14:gs>
                                      <w14:gs w14:pos="100000">
                                        <w14:srgbClr w14:val="760303"/>
                                      </w14:gs>
                                    </w14:gsLst>
                                    <w14:lin w14:scaled="0"/>
                                  </w14:gradFill>
                                </w14:textFill>
                              </w:rPr>
                              <w:t>位置</w:t>
                            </w:r>
                          </w:p>
                        </w:txbxContent>
                      </wps:txbx>
                      <wps:bodyPr upright="1"/>
                    </wps:wsp>
                  </a:graphicData>
                </a:graphic>
              </wp:anchor>
            </w:drawing>
          </mc:Choice>
          <mc:Fallback>
            <w:pict>
              <v:shape id="_x0000_s1026" o:spid="_x0000_s1026" o:spt="62" type="#_x0000_t62" style="position:absolute;left:0pt;margin-left:49.9pt;margin-top:191.1pt;height:28.45pt;width:60.8pt;z-index:251663360;mso-width-relative:page;mso-height-relative:page;" filled="f" stroked="f" coordsize="21600,21600" o:gfxdata="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CZw2Ws2gAAAAoBAAAPAAAAAAAAAAEAIAAAACIA&#10;AABkcnMvZG93bnJldi54bWxQSwECFAAUAAAACACHTuJAaN3slkACAABvBAAADgAAAAAAAAABACAA&#10;AAApAQAAZHJzL2Uyb0RvYy54bWxQSwUGAAAAAAYABgBZAQAA2wUAAAAA&#10;" adj="-1030,-15542,14400">
                <v:fill on="f" focussize="0,0"/>
                <v:stroke on="f" joinstyle="miter" endarrow="block"/>
                <v:imagedata o:title=""/>
                <o:lock v:ext="edit" aspectratio="f"/>
                <v:textbox>
                  <w:txbxContent>
                    <w:p w14:paraId="7631378D">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14:textFill>
                            <w14:gradFill>
                              <w14:gsLst>
                                <w14:gs w14:pos="0">
                                  <w14:srgbClr w14:val="E30000"/>
                                </w14:gs>
                                <w14:gs w14:pos="100000">
                                  <w14:srgbClr w14:val="760303"/>
                                </w14:gs>
                              </w14:gsLst>
                              <w14:lin w14:scaled="0"/>
                            </w14:gradFill>
                          </w14:textFill>
                        </w:rPr>
                      </w:pPr>
                      <w:r>
                        <w:rPr>
                          <w:rFonts w:hint="eastAsia" w:ascii="黑体" w:hAnsi="黑体" w:eastAsia="黑体" w:cs="黑体"/>
                          <w:sz w:val="15"/>
                          <w:szCs w:val="15"/>
                          <w:lang w:val="en-US" w:eastAsia="zh-CN"/>
                          <w14:textFill>
                            <w14:gradFill>
                              <w14:gsLst>
                                <w14:gs w14:pos="0">
                                  <w14:srgbClr w14:val="E30000"/>
                                </w14:gs>
                                <w14:gs w14:pos="100000">
                                  <w14:srgbClr w14:val="760303"/>
                                </w14:gs>
                              </w14:gsLst>
                              <w14:lin w14:scaled="0"/>
                            </w14:gradFill>
                          </w14:textFill>
                        </w:rPr>
                        <w:t>项目</w:t>
                      </w:r>
                      <w:r>
                        <w:rPr>
                          <w:rFonts w:hint="eastAsia" w:ascii="黑体" w:hAnsi="黑体" w:eastAsia="黑体" w:cs="黑体"/>
                          <w:sz w:val="15"/>
                          <w:szCs w:val="15"/>
                          <w:lang w:eastAsia="zh-CN"/>
                          <w14:textFill>
                            <w14:gradFill>
                              <w14:gsLst>
                                <w14:gs w14:pos="0">
                                  <w14:srgbClr w14:val="E30000"/>
                                </w14:gs>
                                <w14:gs w14:pos="100000">
                                  <w14:srgbClr w14:val="760303"/>
                                </w14:gs>
                              </w14:gsLst>
                              <w14:lin w14:scaled="0"/>
                            </w14:gradFill>
                          </w14:textFill>
                        </w:rPr>
                        <w:t>位置</w:t>
                      </w:r>
                    </w:p>
                  </w:txbxContent>
                </v:textbox>
              </v:shape>
            </w:pict>
          </mc:Fallback>
        </mc:AlternateContent>
      </w:r>
      <w:r>
        <w:rPr>
          <w:rFonts w:hint="default" w:ascii="Times New Roman" w:hAnsi="Times New Roman" w:cs="Times New Roman"/>
          <w:color w:val="auto"/>
          <w:sz w:val="21"/>
          <w:highlight w:val="none"/>
        </w:rPr>
        <mc:AlternateContent>
          <mc:Choice Requires="wps">
            <w:drawing>
              <wp:anchor distT="0" distB="0" distL="114300" distR="114300" simplePos="0" relativeHeight="251665408" behindDoc="0" locked="0" layoutInCell="1" allowOverlap="1">
                <wp:simplePos x="0" y="0"/>
                <wp:positionH relativeFrom="column">
                  <wp:posOffset>650240</wp:posOffset>
                </wp:positionH>
                <wp:positionV relativeFrom="paragraph">
                  <wp:posOffset>2510790</wp:posOffset>
                </wp:positionV>
                <wp:extent cx="76200" cy="76200"/>
                <wp:effectExtent l="0" t="0" r="0" b="0"/>
                <wp:wrapNone/>
                <wp:docPr id="40" name="流程图: 摘录 40"/>
                <wp:cNvGraphicFramePr/>
                <a:graphic xmlns:a="http://schemas.openxmlformats.org/drawingml/2006/main">
                  <a:graphicData uri="http://schemas.microsoft.com/office/word/2010/wordprocessingShape">
                    <wps:wsp>
                      <wps:cNvSpPr/>
                      <wps:spPr>
                        <a:xfrm>
                          <a:off x="1894840" y="3235325"/>
                          <a:ext cx="76200" cy="76200"/>
                        </a:xfrm>
                        <a:prstGeom prst="flowChartExtract">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2827319">
                            <w:pPr>
                              <w:jc w:val="center"/>
                              <w:rPr>
                                <w14:textFill>
                                  <w14:gradFill>
                                    <w14:gsLst>
                                      <w14:gs w14:pos="0">
                                        <w14:srgbClr w14:val="E30000"/>
                                      </w14:gs>
                                      <w14:gs w14:pos="100000">
                                        <w14:srgbClr w14:val="760303"/>
                                      </w14:gs>
                                    </w14:gsLst>
                                    <w14:lin w14:scaled="0"/>
                                  </w14:gradFill>
                                </w14:textFill>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27" type="#_x0000_t127" style="position:absolute;left:0pt;margin-left:51.2pt;margin-top:197.7pt;height:6pt;width:6pt;z-index:251665408;v-text-anchor:middle;mso-width-relative:page;mso-height-relative:page;" fillcolor="#C00000" filled="t" stroked="f" coordsize="21600,21600" o:gfxdata="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iQzwd9YA&#10;AAALAQAADwAAAAAAAAABACAAAAAiAAAAZHJzL2Rvd25yZXYueG1sUEsBAhQAFAAAAAgAh07iQKeV&#10;Cf+TAgAA+AQAAA4AAAAAAAAAAQAgAAAAJQEAAGRycy9lMm9Eb2MueG1sUEsFBgAAAAAGAAYAWQEA&#10;ACoGAAAAAA==&#10;">
                <v:fill on="t" focussize="0,0"/>
                <v:stroke on="f" weight="1pt" miterlimit="8" joinstyle="miter"/>
                <v:imagedata o:title=""/>
                <o:lock v:ext="edit" aspectratio="f"/>
                <v:textbox>
                  <w:txbxContent>
                    <w:p w14:paraId="62827319">
                      <w:pPr>
                        <w:jc w:val="center"/>
                        <w:rPr>
                          <w14:textFill>
                            <w14:gradFill>
                              <w14:gsLst>
                                <w14:gs w14:pos="0">
                                  <w14:srgbClr w14:val="E30000"/>
                                </w14:gs>
                                <w14:gs w14:pos="100000">
                                  <w14:srgbClr w14:val="760303"/>
                                </w14:gs>
                              </w14:gsLst>
                              <w14:lin w14:scaled="0"/>
                            </w14:gradFill>
                          </w14:textFill>
                        </w:rPr>
                      </w:pPr>
                    </w:p>
                  </w:txbxContent>
                </v:textbox>
              </v:shape>
            </w:pict>
          </mc:Fallback>
        </mc:AlternateContent>
      </w:r>
      <w:r>
        <w:rPr>
          <w:rFonts w:hint="default" w:ascii="Times New Roman" w:hAnsi="Times New Roman" w:cs="Times New Roman"/>
          <w:color w:val="auto"/>
          <w:highlight w:val="none"/>
        </w:rPr>
        <w:drawing>
          <wp:anchor distT="0" distB="0" distL="114300" distR="114300" simplePos="0" relativeHeight="251662336" behindDoc="0" locked="0" layoutInCell="1" allowOverlap="1">
            <wp:simplePos x="0" y="0"/>
            <wp:positionH relativeFrom="column">
              <wp:posOffset>2540</wp:posOffset>
            </wp:positionH>
            <wp:positionV relativeFrom="paragraph">
              <wp:posOffset>1972310</wp:posOffset>
            </wp:positionV>
            <wp:extent cx="1406525" cy="1028700"/>
            <wp:effectExtent l="0" t="0" r="3175" b="0"/>
            <wp:wrapNone/>
            <wp:docPr id="13"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pic:cNvPicPr>
                      <a:picLocks noChangeAspect="1"/>
                    </pic:cNvPicPr>
                  </pic:nvPicPr>
                  <pic:blipFill>
                    <a:blip r:embed="rId43"/>
                    <a:stretch>
                      <a:fillRect/>
                    </a:stretch>
                  </pic:blipFill>
                  <pic:spPr>
                    <a:xfrm>
                      <a:off x="0" y="0"/>
                      <a:ext cx="1406525" cy="1028700"/>
                    </a:xfrm>
                    <a:prstGeom prst="rect">
                      <a:avLst/>
                    </a:prstGeom>
                    <a:noFill/>
                    <a:ln>
                      <a:noFill/>
                    </a:ln>
                  </pic:spPr>
                </pic:pic>
              </a:graphicData>
            </a:graphic>
          </wp:anchor>
        </w:drawing>
      </w:r>
      <w:r>
        <w:rPr>
          <w:rFonts w:hint="default" w:ascii="Times New Roman" w:hAnsi="Times New Roman" w:cs="Times New Roman"/>
          <w:color w:val="auto"/>
          <w:sz w:val="24"/>
          <w:highlight w:val="none"/>
        </w:rPr>
        <mc:AlternateContent>
          <mc:Choice Requires="wps">
            <w:drawing>
              <wp:anchor distT="0" distB="0" distL="114300" distR="114300" simplePos="0" relativeHeight="251664384" behindDoc="0" locked="0" layoutInCell="1" allowOverlap="1">
                <wp:simplePos x="0" y="0"/>
                <wp:positionH relativeFrom="column">
                  <wp:posOffset>3799205</wp:posOffset>
                </wp:positionH>
                <wp:positionV relativeFrom="paragraph">
                  <wp:posOffset>1207135</wp:posOffset>
                </wp:positionV>
                <wp:extent cx="772160" cy="276225"/>
                <wp:effectExtent l="82550" t="380365" r="21590" b="10160"/>
                <wp:wrapNone/>
                <wp:docPr id="21" name="圆角矩形标注 21"/>
                <wp:cNvGraphicFramePr/>
                <a:graphic xmlns:a="http://schemas.openxmlformats.org/drawingml/2006/main">
                  <a:graphicData uri="http://schemas.microsoft.com/office/word/2010/wordprocessingShape">
                    <wps:wsp>
                      <wps:cNvSpPr/>
                      <wps:spPr>
                        <a:xfrm>
                          <a:off x="0" y="0"/>
                          <a:ext cx="772160" cy="276225"/>
                        </a:xfrm>
                        <a:prstGeom prst="wedgeRoundRectCallout">
                          <a:avLst>
                            <a:gd name="adj1" fmla="val -58388"/>
                            <a:gd name="adj2" fmla="val -179425"/>
                            <a:gd name="adj3" fmla="val 16667"/>
                          </a:avLst>
                        </a:prstGeom>
                        <a:solidFill>
                          <a:srgbClr val="FFFFFF"/>
                        </a:solidFill>
                        <a:ln w="9525" cap="flat" cmpd="sng">
                          <a:solidFill>
                            <a:srgbClr val="000000"/>
                          </a:solidFill>
                          <a:prstDash val="solid"/>
                          <a:miter/>
                          <a:headEnd type="none" w="med" len="med"/>
                          <a:tailEnd type="triangle" w="med" len="med"/>
                        </a:ln>
                      </wps:spPr>
                      <wps:txbx>
                        <w:txbxContent>
                          <w:p w14:paraId="58115C5E">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wps:txbx>
                      <wps:bodyPr upright="1"/>
                    </wps:wsp>
                  </a:graphicData>
                </a:graphic>
              </wp:anchor>
            </w:drawing>
          </mc:Choice>
          <mc:Fallback>
            <w:pict>
              <v:shape id="_x0000_s1026" o:spid="_x0000_s1026" o:spt="62" type="#_x0000_t62" style="position:absolute;left:0pt;margin-left:299.15pt;margin-top:95.05pt;height:21.75pt;width:60.8pt;z-index:251664384;mso-width-relative:page;mso-height-relative:page;" fillcolor="#FFFFFF" filled="t" stroked="t" coordsize="21600,21600" o:gfxdata="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P4Q1&#10;6NkAAAALAQAADwAAAAAAAAABACAAAAAiAAAAZHJzL2Rvd25yZXYueG1sUEsBAhQAFAAAAAgAh07i&#10;QE0r1eRaAgAAwwQAAA4AAAAAAAAAAQAgAAAAKAEAAGRycy9lMm9Eb2MueG1sUEsFBgAAAAAGAAYA&#10;WQEAAPQFAAAAAA==&#10;" adj="-1812,-27956,14400">
                <v:fill on="t" focussize="0,0"/>
                <v:stroke color="#000000" joinstyle="miter" endarrow="block"/>
                <v:imagedata o:title=""/>
                <o:lock v:ext="edit" aspectratio="f"/>
                <v:textbox>
                  <w:txbxContent>
                    <w:p w14:paraId="58115C5E">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v:textbox>
              </v:shape>
            </w:pict>
          </mc:Fallback>
        </mc:AlternateContent>
      </w:r>
      <w:r>
        <w:rPr>
          <w:rFonts w:hint="default" w:ascii="Times New Roman" w:hAnsi="Times New Roman" w:cs="Times New Roman"/>
          <w:color w:val="auto"/>
          <w:highlight w:val="none"/>
        </w:rPr>
        <w:drawing>
          <wp:inline distT="0" distB="0" distL="114935" distR="114935">
            <wp:extent cx="5766435" cy="3009900"/>
            <wp:effectExtent l="0" t="0" r="5715" b="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44"/>
                    <a:stretch>
                      <a:fillRect/>
                    </a:stretch>
                  </pic:blipFill>
                  <pic:spPr>
                    <a:xfrm>
                      <a:off x="0" y="0"/>
                      <a:ext cx="5766435" cy="3009900"/>
                    </a:xfrm>
                    <a:prstGeom prst="rect">
                      <a:avLst/>
                    </a:prstGeom>
                    <a:noFill/>
                    <a:ln>
                      <a:noFill/>
                    </a:ln>
                  </pic:spPr>
                </pic:pic>
              </a:graphicData>
            </a:graphic>
          </wp:inline>
        </w:drawing>
      </w:r>
    </w:p>
    <w:bookmarkEnd w:id="49"/>
    <w:p w14:paraId="19420995">
      <w:pPr>
        <w:pStyle w:val="11"/>
        <w:keepNext w:val="0"/>
        <w:keepLines w:val="0"/>
        <w:pageBreakBefore w:val="0"/>
        <w:widowControl w:val="0"/>
        <w:kinsoku/>
        <w:wordWrap/>
        <w:overflowPunct/>
        <w:topLinePunct w:val="0"/>
        <w:autoSpaceDE/>
        <w:autoSpaceDN/>
        <w:bidi w:val="0"/>
        <w:adjustRightInd/>
        <w:snapToGrid w:val="0"/>
        <w:spacing w:line="240" w:lineRule="auto"/>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highlight w:val="none"/>
        </w:rPr>
        <w:t>图</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2.8</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noBreakHyphen/>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图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1</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四川省</w:t>
      </w:r>
      <w:r>
        <w:rPr>
          <w:rFonts w:hint="default" w:ascii="Times New Roman" w:hAnsi="Times New Roman" w:cs="Times New Roman"/>
          <w:color w:val="auto"/>
          <w:highlight w:val="none"/>
          <w:lang w:eastAsia="zh-CN"/>
        </w:rPr>
        <w:t>环境</w:t>
      </w:r>
      <w:r>
        <w:rPr>
          <w:rFonts w:hint="default" w:ascii="Times New Roman" w:hAnsi="Times New Roman" w:cs="Times New Roman"/>
          <w:color w:val="auto"/>
          <w:highlight w:val="none"/>
        </w:rPr>
        <w:t>管控单元</w:t>
      </w:r>
      <w:r>
        <w:rPr>
          <w:rFonts w:hint="default" w:ascii="Times New Roman" w:hAnsi="Times New Roman" w:cs="Times New Roman"/>
          <w:color w:val="auto"/>
          <w:highlight w:val="none"/>
          <w:lang w:eastAsia="zh-CN"/>
        </w:rPr>
        <w:t>分布</w:t>
      </w:r>
      <w:r>
        <w:rPr>
          <w:rFonts w:hint="default" w:ascii="Times New Roman" w:hAnsi="Times New Roman" w:cs="Times New Roman"/>
          <w:color w:val="auto"/>
          <w:highlight w:val="none"/>
        </w:rPr>
        <w:t>图</w:t>
      </w:r>
    </w:p>
    <w:p w14:paraId="27519DF5">
      <w:pPr>
        <w:ind w:firstLine="480" w:firstLineChars="200"/>
        <w:rPr>
          <w:rFonts w:hint="default" w:ascii="Times New Roman" w:hAnsi="Times New Roman" w:cs="Times New Roman"/>
          <w:color w:val="auto"/>
          <w:sz w:val="24"/>
          <w:szCs w:val="24"/>
          <w:highlight w:val="none"/>
        </w:rPr>
      </w:pPr>
      <w:bookmarkStart w:id="50" w:name="_Hlk103248248"/>
      <w:r>
        <w:rPr>
          <w:rFonts w:hint="default" w:ascii="Times New Roman" w:hAnsi="Times New Roman" w:cs="Times New Roman"/>
          <w:color w:val="auto"/>
          <w:sz w:val="24"/>
          <w:szCs w:val="24"/>
          <w:highlight w:val="none"/>
          <w:lang w:eastAsia="zh-CN"/>
        </w:rPr>
        <w:t>本项目</w:t>
      </w:r>
      <w:r>
        <w:rPr>
          <w:rFonts w:hint="default" w:ascii="Times New Roman" w:hAnsi="Times New Roman" w:cs="Times New Roman"/>
          <w:color w:val="auto"/>
          <w:sz w:val="24"/>
          <w:szCs w:val="24"/>
          <w:highlight w:val="none"/>
        </w:rPr>
        <w:t>与全省总体生态环境管控要求符合性分析见下表。</w:t>
      </w:r>
    </w:p>
    <w:p w14:paraId="36A6A5B7">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color w:val="auto"/>
          <w:kern w:val="0"/>
          <w:highlight w:val="none"/>
        </w:rPr>
        <w:t>与全省总体生态环境管控要求符合性分析</w:t>
      </w:r>
    </w:p>
    <w:tbl>
      <w:tblPr>
        <w:tblStyle w:val="35"/>
        <w:tblW w:w="5000"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92"/>
        <w:gridCol w:w="5005"/>
        <w:gridCol w:w="2115"/>
        <w:gridCol w:w="1076"/>
      </w:tblGrid>
      <w:tr w14:paraId="3F6F88E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8" w:type="pct"/>
            <w:tcBorders>
              <w:top w:val="single" w:color="auto" w:sz="12" w:space="0"/>
              <w:left w:val="nil"/>
              <w:bottom w:val="single" w:color="auto" w:sz="4" w:space="0"/>
              <w:right w:val="single" w:color="auto" w:sz="4" w:space="0"/>
            </w:tcBorders>
            <w:noWrap w:val="0"/>
            <w:vAlign w:val="center"/>
          </w:tcPr>
          <w:p w14:paraId="257DC9B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区域</w:t>
            </w:r>
          </w:p>
        </w:tc>
        <w:tc>
          <w:tcPr>
            <w:tcW w:w="2693" w:type="pct"/>
            <w:tcBorders>
              <w:top w:val="single" w:color="auto" w:sz="12" w:space="0"/>
              <w:left w:val="single" w:color="auto" w:sz="4" w:space="0"/>
              <w:bottom w:val="single" w:color="auto" w:sz="4" w:space="0"/>
              <w:right w:val="single" w:color="auto" w:sz="4" w:space="0"/>
            </w:tcBorders>
            <w:noWrap w:val="0"/>
            <w:vAlign w:val="center"/>
          </w:tcPr>
          <w:p w14:paraId="01BF72C3">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总体生态环境管控要求</w:t>
            </w:r>
          </w:p>
        </w:tc>
        <w:tc>
          <w:tcPr>
            <w:tcW w:w="1138" w:type="pct"/>
            <w:tcBorders>
              <w:top w:val="single" w:color="auto" w:sz="12" w:space="0"/>
              <w:left w:val="single" w:color="auto" w:sz="4" w:space="0"/>
              <w:bottom w:val="single" w:color="auto" w:sz="4" w:space="0"/>
              <w:right w:val="nil"/>
            </w:tcBorders>
            <w:noWrap w:val="0"/>
            <w:vAlign w:val="center"/>
          </w:tcPr>
          <w:p w14:paraId="0478DC05">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eastAsiaTheme="minorEastAsia"/>
                <w:b/>
                <w:bCs/>
                <w:color w:val="auto"/>
                <w:kern w:val="0"/>
                <w:sz w:val="20"/>
                <w:szCs w:val="20"/>
                <w:highlight w:val="none"/>
                <w:lang w:eastAsia="zh-CN"/>
              </w:rPr>
            </w:pPr>
            <w:r>
              <w:rPr>
                <w:rFonts w:hint="default" w:ascii="Times New Roman" w:hAnsi="Times New Roman" w:cs="Times New Roman"/>
                <w:b/>
                <w:bCs/>
                <w:color w:val="auto"/>
                <w:kern w:val="0"/>
                <w:sz w:val="20"/>
                <w:szCs w:val="20"/>
                <w:highlight w:val="none"/>
              </w:rPr>
              <w:t>本项目</w:t>
            </w:r>
            <w:r>
              <w:rPr>
                <w:rFonts w:hint="default" w:ascii="Times New Roman" w:hAnsi="Times New Roman" w:cs="Times New Roman"/>
                <w:b/>
                <w:bCs/>
                <w:color w:val="auto"/>
                <w:kern w:val="0"/>
                <w:sz w:val="20"/>
                <w:szCs w:val="20"/>
                <w:highlight w:val="none"/>
                <w:lang w:eastAsia="zh-CN"/>
              </w:rPr>
              <w:t>情况</w:t>
            </w:r>
          </w:p>
        </w:tc>
        <w:tc>
          <w:tcPr>
            <w:tcW w:w="579" w:type="pct"/>
            <w:tcBorders>
              <w:top w:val="single" w:color="auto" w:sz="12" w:space="0"/>
              <w:left w:val="single" w:color="auto" w:sz="4" w:space="0"/>
              <w:bottom w:val="single" w:color="auto" w:sz="4" w:space="0"/>
              <w:right w:val="nil"/>
            </w:tcBorders>
            <w:noWrap w:val="0"/>
            <w:vAlign w:val="center"/>
          </w:tcPr>
          <w:p w14:paraId="605A4397">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符合性</w:t>
            </w:r>
          </w:p>
        </w:tc>
      </w:tr>
      <w:tr w14:paraId="5AEEB47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8" w:type="pct"/>
            <w:tcBorders>
              <w:top w:val="single" w:color="auto" w:sz="4" w:space="0"/>
              <w:left w:val="nil"/>
              <w:bottom w:val="single" w:color="auto" w:sz="12" w:space="0"/>
              <w:right w:val="single" w:color="auto" w:sz="4" w:space="0"/>
            </w:tcBorders>
            <w:noWrap w:val="0"/>
            <w:vAlign w:val="center"/>
          </w:tcPr>
          <w:p w14:paraId="4611EC28">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lang w:eastAsia="zh-CN"/>
              </w:rPr>
              <w:t>一般管控要求</w:t>
            </w:r>
          </w:p>
        </w:tc>
        <w:tc>
          <w:tcPr>
            <w:tcW w:w="2693" w:type="pct"/>
            <w:tcBorders>
              <w:top w:val="single" w:color="auto" w:sz="4" w:space="0"/>
              <w:left w:val="single" w:color="auto" w:sz="4" w:space="0"/>
              <w:bottom w:val="single" w:color="auto" w:sz="12" w:space="0"/>
              <w:right w:val="single" w:color="auto" w:sz="4" w:space="0"/>
            </w:tcBorders>
            <w:noWrap w:val="0"/>
            <w:vAlign w:val="center"/>
          </w:tcPr>
          <w:p w14:paraId="0DB3134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lang w:val="en-US" w:eastAsia="zh-CN"/>
              </w:rPr>
              <w:t>一般管控单元中，执行区域生态环境保护的基本要求，重点加强农业、生活等领域污染治理</w:t>
            </w:r>
          </w:p>
        </w:tc>
        <w:tc>
          <w:tcPr>
            <w:tcW w:w="1138" w:type="pct"/>
            <w:tcBorders>
              <w:top w:val="single" w:color="auto" w:sz="4" w:space="0"/>
              <w:left w:val="single" w:color="auto" w:sz="4" w:space="0"/>
              <w:bottom w:val="single" w:color="auto" w:sz="12" w:space="0"/>
              <w:right w:val="nil"/>
            </w:tcBorders>
            <w:noWrap w:val="0"/>
            <w:vAlign w:val="center"/>
          </w:tcPr>
          <w:p w14:paraId="6D58CDDA">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val="en-US" w:eastAsia="zh-CN"/>
              </w:rPr>
            </w:pPr>
            <w:r>
              <w:rPr>
                <w:rFonts w:hint="default" w:ascii="Times New Roman" w:hAnsi="Times New Roman" w:cs="Times New Roman"/>
                <w:color w:val="auto"/>
                <w:kern w:val="0"/>
                <w:sz w:val="20"/>
                <w:szCs w:val="20"/>
                <w:highlight w:val="none"/>
                <w:lang w:val="en-US" w:eastAsia="zh-CN"/>
              </w:rPr>
              <w:t xml:space="preserve">本项目建设满足区域生态环境保护要求 </w:t>
            </w:r>
          </w:p>
        </w:tc>
        <w:tc>
          <w:tcPr>
            <w:tcW w:w="579" w:type="pct"/>
            <w:tcBorders>
              <w:top w:val="single" w:color="auto" w:sz="4" w:space="0"/>
              <w:left w:val="single" w:color="auto" w:sz="4" w:space="0"/>
              <w:bottom w:val="single" w:color="auto" w:sz="12" w:space="0"/>
              <w:right w:val="nil"/>
            </w:tcBorders>
            <w:noWrap w:val="0"/>
            <w:vAlign w:val="center"/>
          </w:tcPr>
          <w:p w14:paraId="04D37AF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val="en-US" w:eastAsia="zh-CN"/>
              </w:rPr>
            </w:pPr>
            <w:r>
              <w:rPr>
                <w:rFonts w:hint="default" w:ascii="Times New Roman" w:hAnsi="Times New Roman" w:cs="Times New Roman"/>
                <w:color w:val="auto"/>
                <w:kern w:val="0"/>
                <w:sz w:val="20"/>
                <w:szCs w:val="20"/>
                <w:highlight w:val="none"/>
                <w:lang w:val="en-US" w:eastAsia="zh-CN"/>
              </w:rPr>
              <w:t>符合</w:t>
            </w:r>
          </w:p>
        </w:tc>
      </w:tr>
      <w:bookmarkEnd w:id="50"/>
    </w:tbl>
    <w:p w14:paraId="0B7FB6A1">
      <w:pPr>
        <w:pStyle w:val="121"/>
        <w:spacing w:line="360" w:lineRule="auto"/>
        <w:ind w:firstLine="480" w:firstLineChars="200"/>
        <w:rPr>
          <w:rFonts w:hint="default" w:ascii="Times New Roman" w:hAnsi="Times New Roman" w:cs="Times New Roman"/>
          <w:color w:val="auto"/>
          <w:sz w:val="24"/>
          <w:szCs w:val="24"/>
          <w:highlight w:val="none"/>
        </w:rPr>
      </w:pPr>
      <w:bookmarkStart w:id="51" w:name="_Hlk103248427"/>
      <w:r>
        <w:rPr>
          <w:rFonts w:hint="default" w:ascii="Times New Roman" w:hAnsi="Times New Roman" w:cs="Times New Roman"/>
          <w:color w:val="auto"/>
          <w:sz w:val="24"/>
          <w:szCs w:val="24"/>
          <w:highlight w:val="none"/>
        </w:rPr>
        <w:t>本项目所在地属于</w:t>
      </w:r>
      <w:r>
        <w:rPr>
          <w:rFonts w:hint="default" w:ascii="Times New Roman" w:hAnsi="Times New Roman" w:cs="Times New Roman"/>
          <w:color w:val="auto"/>
          <w:sz w:val="24"/>
          <w:szCs w:val="24"/>
          <w:highlight w:val="none"/>
          <w:lang w:eastAsia="zh-CN"/>
        </w:rPr>
        <w:t>川东北经济区</w:t>
      </w:r>
      <w:r>
        <w:rPr>
          <w:rFonts w:hint="default" w:ascii="Times New Roman" w:hAnsi="Times New Roman" w:cs="Times New Roman"/>
          <w:color w:val="auto"/>
          <w:sz w:val="24"/>
          <w:szCs w:val="24"/>
          <w:highlight w:val="none"/>
        </w:rPr>
        <w:t>，该区域总体生态环境管控要求如下。</w:t>
      </w:r>
    </w:p>
    <w:bookmarkEnd w:id="51"/>
    <w:p w14:paraId="5685C384">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w:t>
      </w:r>
      <w:r>
        <w:rPr>
          <w:rFonts w:hint="default" w:ascii="Times New Roman" w:hAnsi="Times New Roman" w:cs="Times New Roman"/>
          <w:b/>
          <w:bCs/>
          <w:color w:val="auto"/>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eastAsia="宋体" w:cs="Times New Roman"/>
          <w:color w:val="auto"/>
          <w:kern w:val="0"/>
          <w:highlight w:val="none"/>
          <w:lang w:eastAsia="zh-CN"/>
        </w:rPr>
        <w:t>川东北经济区</w:t>
      </w:r>
      <w:r>
        <w:rPr>
          <w:rFonts w:hint="default" w:ascii="Times New Roman" w:hAnsi="Times New Roman" w:eastAsia="宋体" w:cs="Times New Roman"/>
          <w:color w:val="auto"/>
          <w:kern w:val="0"/>
          <w:highlight w:val="none"/>
        </w:rPr>
        <w:t>生态</w:t>
      </w:r>
      <w:r>
        <w:rPr>
          <w:rFonts w:hint="default" w:ascii="Times New Roman" w:hAnsi="Times New Roman" w:cs="Times New Roman"/>
          <w:color w:val="auto"/>
          <w:kern w:val="0"/>
          <w:highlight w:val="none"/>
        </w:rPr>
        <w:t>环境管控要求</w:t>
      </w:r>
    </w:p>
    <w:tbl>
      <w:tblPr>
        <w:tblStyle w:val="35"/>
        <w:tblW w:w="5000"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94"/>
        <w:gridCol w:w="5001"/>
        <w:gridCol w:w="2117"/>
        <w:gridCol w:w="1076"/>
      </w:tblGrid>
      <w:tr w14:paraId="213EF03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9" w:type="pct"/>
            <w:tcBorders>
              <w:top w:val="single" w:color="auto" w:sz="12" w:space="0"/>
              <w:left w:val="nil"/>
              <w:bottom w:val="single" w:color="auto" w:sz="4" w:space="0"/>
              <w:right w:val="single" w:color="auto" w:sz="4" w:space="0"/>
            </w:tcBorders>
            <w:noWrap w:val="0"/>
            <w:vAlign w:val="center"/>
          </w:tcPr>
          <w:p w14:paraId="4A91F3E3">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区域</w:t>
            </w:r>
          </w:p>
        </w:tc>
        <w:tc>
          <w:tcPr>
            <w:tcW w:w="2691" w:type="pct"/>
            <w:tcBorders>
              <w:top w:val="single" w:color="auto" w:sz="12" w:space="0"/>
              <w:left w:val="single" w:color="auto" w:sz="4" w:space="0"/>
              <w:bottom w:val="single" w:color="auto" w:sz="4" w:space="0"/>
              <w:right w:val="single" w:color="auto" w:sz="4" w:space="0"/>
            </w:tcBorders>
            <w:noWrap w:val="0"/>
            <w:vAlign w:val="center"/>
          </w:tcPr>
          <w:p w14:paraId="5CF4BEB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管控要求</w:t>
            </w:r>
          </w:p>
        </w:tc>
        <w:tc>
          <w:tcPr>
            <w:tcW w:w="1139" w:type="pct"/>
            <w:tcBorders>
              <w:top w:val="single" w:color="auto" w:sz="12" w:space="0"/>
              <w:left w:val="single" w:color="auto" w:sz="4" w:space="0"/>
              <w:bottom w:val="single" w:color="auto" w:sz="4" w:space="0"/>
              <w:right w:val="nil"/>
            </w:tcBorders>
            <w:noWrap w:val="0"/>
            <w:vAlign w:val="center"/>
          </w:tcPr>
          <w:p w14:paraId="577FEF23">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eastAsiaTheme="minorEastAsia"/>
                <w:b/>
                <w:bCs/>
                <w:color w:val="auto"/>
                <w:kern w:val="0"/>
                <w:sz w:val="20"/>
                <w:szCs w:val="20"/>
                <w:highlight w:val="none"/>
                <w:lang w:eastAsia="zh-CN"/>
              </w:rPr>
            </w:pPr>
            <w:r>
              <w:rPr>
                <w:rFonts w:hint="default" w:ascii="Times New Roman" w:hAnsi="Times New Roman" w:cs="Times New Roman"/>
                <w:b/>
                <w:bCs/>
                <w:color w:val="auto"/>
                <w:kern w:val="0"/>
                <w:sz w:val="20"/>
                <w:szCs w:val="20"/>
                <w:highlight w:val="none"/>
              </w:rPr>
              <w:t>本项目</w:t>
            </w:r>
            <w:r>
              <w:rPr>
                <w:rFonts w:hint="default" w:ascii="Times New Roman" w:hAnsi="Times New Roman" w:cs="Times New Roman"/>
                <w:b/>
                <w:bCs/>
                <w:color w:val="auto"/>
                <w:kern w:val="0"/>
                <w:sz w:val="20"/>
                <w:szCs w:val="20"/>
                <w:highlight w:val="none"/>
                <w:lang w:eastAsia="zh-CN"/>
              </w:rPr>
              <w:t>情况</w:t>
            </w:r>
          </w:p>
        </w:tc>
        <w:tc>
          <w:tcPr>
            <w:tcW w:w="579" w:type="pct"/>
            <w:tcBorders>
              <w:top w:val="single" w:color="auto" w:sz="12" w:space="0"/>
              <w:left w:val="single" w:color="auto" w:sz="4" w:space="0"/>
              <w:bottom w:val="single" w:color="auto" w:sz="4" w:space="0"/>
              <w:right w:val="nil"/>
            </w:tcBorders>
            <w:noWrap w:val="0"/>
            <w:vAlign w:val="center"/>
          </w:tcPr>
          <w:p w14:paraId="5AF85796">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符合性</w:t>
            </w:r>
          </w:p>
        </w:tc>
      </w:tr>
      <w:tr w14:paraId="3E1EA8E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9" w:type="pct"/>
            <w:tcBorders>
              <w:top w:val="single" w:color="auto" w:sz="4" w:space="0"/>
              <w:left w:val="nil"/>
              <w:bottom w:val="single" w:color="auto" w:sz="12" w:space="0"/>
              <w:right w:val="single" w:color="auto" w:sz="4" w:space="0"/>
            </w:tcBorders>
            <w:noWrap w:val="0"/>
            <w:vAlign w:val="center"/>
          </w:tcPr>
          <w:p w14:paraId="224D76A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eastAsiaTheme="minorEastAsia"/>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川东北经济区</w:t>
            </w:r>
          </w:p>
        </w:tc>
        <w:tc>
          <w:tcPr>
            <w:tcW w:w="2691" w:type="pct"/>
            <w:tcBorders>
              <w:top w:val="single" w:color="auto" w:sz="4" w:space="0"/>
              <w:left w:val="single" w:color="auto" w:sz="4" w:space="0"/>
              <w:bottom w:val="single" w:color="auto" w:sz="12" w:space="0"/>
              <w:right w:val="single" w:color="auto" w:sz="4" w:space="0"/>
            </w:tcBorders>
            <w:noWrap w:val="0"/>
            <w:vAlign w:val="center"/>
          </w:tcPr>
          <w:p w14:paraId="57A351CC">
            <w:pPr>
              <w:keepNext w:val="0"/>
              <w:keepLines w:val="0"/>
              <w:suppressLineNumbers w:val="0"/>
              <w:adjustRightInd w:val="0"/>
              <w:snapToGrid w:val="0"/>
              <w:spacing w:before="0" w:beforeAutospacing="0" w:after="0" w:afterAutospacing="0" w:line="240" w:lineRule="auto"/>
              <w:ind w:left="0" w:right="0"/>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（1）</w:t>
            </w:r>
            <w:r>
              <w:rPr>
                <w:rFonts w:hint="default" w:ascii="Times New Roman" w:hAnsi="Times New Roman" w:cs="Times New Roman"/>
                <w:color w:val="auto"/>
                <w:kern w:val="0"/>
                <w:sz w:val="20"/>
                <w:szCs w:val="20"/>
                <w:highlight w:val="none"/>
                <w:lang w:val="en-US" w:eastAsia="zh-CN"/>
              </w:rPr>
              <w:t xml:space="preserve">控制农村面源污染，提高污水收集处理率，加快乡镇污水处理基础设施建设。 </w:t>
            </w:r>
          </w:p>
          <w:p w14:paraId="300EDA7D">
            <w:pPr>
              <w:keepNext w:val="0"/>
              <w:keepLines w:val="0"/>
              <w:suppressLineNumbers w:val="0"/>
              <w:adjustRightInd w:val="0"/>
              <w:snapToGrid w:val="0"/>
              <w:spacing w:before="0" w:beforeAutospacing="0" w:after="0" w:afterAutospacing="0" w:line="240" w:lineRule="auto"/>
              <w:ind w:left="0" w:right="0"/>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lang w:val="en-US" w:eastAsia="zh-CN"/>
              </w:rPr>
              <w:t xml:space="preserve">（2）建设流域水环境风险联防联控体系。 </w:t>
            </w:r>
          </w:p>
          <w:p w14:paraId="1734DC62">
            <w:pPr>
              <w:keepNext w:val="0"/>
              <w:keepLines w:val="0"/>
              <w:suppressLineNumbers w:val="0"/>
              <w:adjustRightInd w:val="0"/>
              <w:snapToGrid w:val="0"/>
              <w:spacing w:before="0" w:beforeAutospacing="0" w:after="0" w:afterAutospacing="0" w:line="240" w:lineRule="auto"/>
              <w:ind w:left="0" w:right="0"/>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lang w:val="en-US" w:eastAsia="zh-CN"/>
              </w:rPr>
              <w:t>（3）提高大气污染治理水平。</w:t>
            </w:r>
          </w:p>
        </w:tc>
        <w:tc>
          <w:tcPr>
            <w:tcW w:w="1139" w:type="pct"/>
            <w:tcBorders>
              <w:top w:val="single" w:color="auto" w:sz="4" w:space="0"/>
              <w:left w:val="single" w:color="auto" w:sz="4" w:space="0"/>
              <w:bottom w:val="single" w:color="auto" w:sz="12" w:space="0"/>
              <w:right w:val="nil"/>
            </w:tcBorders>
            <w:noWrap w:val="0"/>
            <w:vAlign w:val="center"/>
          </w:tcPr>
          <w:p w14:paraId="2B4F2789">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不涉及</w:t>
            </w:r>
          </w:p>
        </w:tc>
        <w:tc>
          <w:tcPr>
            <w:tcW w:w="579" w:type="pct"/>
            <w:tcBorders>
              <w:top w:val="single" w:color="auto" w:sz="4" w:space="0"/>
              <w:left w:val="single" w:color="auto" w:sz="4" w:space="0"/>
              <w:bottom w:val="single" w:color="auto" w:sz="12" w:space="0"/>
              <w:right w:val="nil"/>
            </w:tcBorders>
            <w:noWrap w:val="0"/>
            <w:vAlign w:val="center"/>
          </w:tcPr>
          <w:p w14:paraId="118F123F">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符合</w:t>
            </w:r>
          </w:p>
        </w:tc>
      </w:tr>
    </w:tbl>
    <w:p w14:paraId="3F06EBD6">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与《广元市人民政府办公室关于加强生态环境分区管控的通知》（广府办函[2024] 26号）符合性分析</w:t>
      </w:r>
    </w:p>
    <w:p w14:paraId="7EB0788C">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根据《广元市人民政府办公室关于加强生态环境分区管控的通知》（广府办函[2024] 26 号）：全市划分优先保护、重点管控、一般管控三大类共62个环境管控单元。</w:t>
      </w:r>
    </w:p>
    <w:p w14:paraId="77BA4239">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 xml:space="preserve">1、优先保护单元。以生态环境保护为主的区域，全市划分优先保护单元24个。主要包括生态保护红线、饮用水水源保护区、国家公园、湿地公园、自然保护区等。 </w:t>
      </w:r>
    </w:p>
    <w:p w14:paraId="172F68A3">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 xml:space="preserve">2、重点管控单元。涉及水、大气、土壤、自然资源等资源环境要素重点管控的区域，全市划分重点管控单元31个。其中：城镇重点单元7个，工业重点单元21个，环境要素重点单元3个。主要包括人口密集的城镇规划区和产业集聚的工业园区（集聚区）等。 </w:t>
      </w:r>
    </w:p>
    <w:p w14:paraId="6C29D5F5">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 xml:space="preserve">3、一般管控单元。除优先保护单元和重点管控单元之外的其他区域，全市划分一般管控单元7个。 </w:t>
      </w:r>
    </w:p>
    <w:p w14:paraId="0283EE05">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本项目位于</w:t>
      </w:r>
      <w:r>
        <w:rPr>
          <w:rFonts w:hint="default" w:ascii="Times New Roman" w:hAnsi="Times New Roman" w:eastAsia="宋体" w:cs="Times New Roman"/>
          <w:color w:val="auto"/>
          <w:kern w:val="0"/>
          <w:sz w:val="24"/>
          <w:szCs w:val="24"/>
          <w:highlight w:val="none"/>
          <w:lang w:val="en-US" w:eastAsia="zh-CN" w:bidi="ar"/>
        </w:rPr>
        <w:t>剑阁县普安镇剑坪村一组，属于</w:t>
      </w:r>
      <w:r>
        <w:rPr>
          <w:rFonts w:hint="default" w:ascii="Times New Roman" w:hAnsi="Times New Roman" w:eastAsia="宋体" w:cs="Times New Roman"/>
          <w:b/>
          <w:bCs/>
          <w:color w:val="auto"/>
          <w:sz w:val="24"/>
          <w:highlight w:val="none"/>
          <w:lang w:val="en-US" w:eastAsia="zh-CN"/>
        </w:rPr>
        <w:t>一般管控单元，不在广元市生态红线范围内</w:t>
      </w:r>
      <w:r>
        <w:rPr>
          <w:rFonts w:hint="default" w:ascii="Times New Roman" w:hAnsi="Times New Roman" w:eastAsia="宋体" w:cs="Times New Roman"/>
          <w:color w:val="auto"/>
          <w:sz w:val="24"/>
          <w:highlight w:val="none"/>
          <w:lang w:val="en-US" w:eastAsia="zh-CN"/>
        </w:rPr>
        <w:t>。</w:t>
      </w:r>
    </w:p>
    <w:p w14:paraId="77445BA7">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p>
    <w:p w14:paraId="6F671BF5">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p>
    <w:p w14:paraId="5CF67A31">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p>
    <w:p w14:paraId="55F4A6FE">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p>
    <w:p w14:paraId="309F57E4">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p>
    <w:p w14:paraId="56F480E0">
      <w:pPr>
        <w:overflowPunct w:val="0"/>
        <w:topLinePunct/>
        <w:spacing w:line="360" w:lineRule="auto"/>
        <w:ind w:firstLine="480" w:firstLineChars="200"/>
        <w:rPr>
          <w:rFonts w:hint="default" w:ascii="Times New Roman" w:hAnsi="Times New Roman" w:eastAsia="宋体" w:cs="Times New Roman"/>
          <w:color w:val="auto"/>
          <w:sz w:val="24"/>
          <w:highlight w:val="none"/>
          <w:lang w:val="en-US" w:eastAsia="zh-CN"/>
        </w:rPr>
      </w:pPr>
    </w:p>
    <w:p w14:paraId="62E52DE7">
      <w:pPr>
        <w:pStyle w:val="34"/>
        <w:keepNext w:val="0"/>
        <w:keepLines w:val="0"/>
        <w:pageBreakBefore w:val="0"/>
        <w:widowControl w:val="0"/>
        <w:kinsoku/>
        <w:wordWrap/>
        <w:overflowPunct/>
        <w:topLinePunct w:val="0"/>
        <w:autoSpaceDE/>
        <w:autoSpaceDN/>
        <w:bidi w:val="0"/>
        <w:adjustRightInd/>
        <w:snapToGrid w:val="0"/>
        <w:spacing w:after="0" w:line="240" w:lineRule="auto"/>
        <w:ind w:left="0" w:leftChars="0" w:firstLine="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highlight w:val="none"/>
        </w:rPr>
        <mc:AlternateContent>
          <mc:Choice Requires="wps">
            <w:drawing>
              <wp:anchor distT="0" distB="0" distL="114300" distR="114300" simplePos="0" relativeHeight="251668480" behindDoc="0" locked="0" layoutInCell="1" allowOverlap="1">
                <wp:simplePos x="0" y="0"/>
                <wp:positionH relativeFrom="column">
                  <wp:posOffset>2225040</wp:posOffset>
                </wp:positionH>
                <wp:positionV relativeFrom="paragraph">
                  <wp:posOffset>2627630</wp:posOffset>
                </wp:positionV>
                <wp:extent cx="772160" cy="276225"/>
                <wp:effectExtent l="205105" t="230505" r="13335" b="7620"/>
                <wp:wrapNone/>
                <wp:docPr id="2" name="圆角矩形标注 2"/>
                <wp:cNvGraphicFramePr/>
                <a:graphic xmlns:a="http://schemas.openxmlformats.org/drawingml/2006/main">
                  <a:graphicData uri="http://schemas.microsoft.com/office/word/2010/wordprocessingShape">
                    <wps:wsp>
                      <wps:cNvSpPr/>
                      <wps:spPr>
                        <a:xfrm>
                          <a:off x="0" y="0"/>
                          <a:ext cx="772160" cy="276225"/>
                        </a:xfrm>
                        <a:prstGeom prst="wedgeRoundRectCallout">
                          <a:avLst>
                            <a:gd name="adj1" fmla="val -72203"/>
                            <a:gd name="adj2" fmla="val -126551"/>
                            <a:gd name="adj3" fmla="val 16667"/>
                          </a:avLst>
                        </a:prstGeom>
                        <a:solidFill>
                          <a:srgbClr val="FFFFFF"/>
                        </a:solidFill>
                        <a:ln w="9525" cap="flat" cmpd="sng">
                          <a:solidFill>
                            <a:srgbClr val="000000"/>
                          </a:solidFill>
                          <a:prstDash val="solid"/>
                          <a:miter/>
                          <a:headEnd type="none" w="med" len="med"/>
                          <a:tailEnd type="triangle" w="med" len="med"/>
                        </a:ln>
                      </wps:spPr>
                      <wps:txbx>
                        <w:txbxContent>
                          <w:p w14:paraId="6BA1E7C3">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wps:txbx>
                      <wps:bodyPr upright="1"/>
                    </wps:wsp>
                  </a:graphicData>
                </a:graphic>
              </wp:anchor>
            </w:drawing>
          </mc:Choice>
          <mc:Fallback>
            <w:pict>
              <v:shape id="_x0000_s1026" o:spid="_x0000_s1026" o:spt="62" type="#_x0000_t62" style="position:absolute;left:0pt;margin-left:175.2pt;margin-top:206.9pt;height:21.75pt;width:60.8pt;z-index:251668480;mso-width-relative:page;mso-height-relative:page;" fillcolor="#FFFFFF" filled="t" stroked="t" coordsize="21600,21600" o:gfxdata="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0icN59kA&#10;AAALAQAADwAAAAAAAAABACAAAAAiAAAAZHJzL2Rvd25yZXYueG1sUEsBAhQAFAAAAAgAh07iQAJc&#10;cMlXAgAAwQQAAA4AAAAAAAAAAQAgAAAAKAEAAGRycy9lMm9Eb2MueG1sUEsFBgAAAAAGAAYAWQEA&#10;APEFAAAAAA==&#10;" adj="-4796,-16535,14400">
                <v:fill on="t" focussize="0,0"/>
                <v:stroke color="#000000" joinstyle="miter" endarrow="block"/>
                <v:imagedata o:title=""/>
                <o:lock v:ext="edit" aspectratio="f"/>
                <v:textbox>
                  <w:txbxContent>
                    <w:p w14:paraId="6BA1E7C3">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v:textbox>
              </v:shape>
            </w:pict>
          </mc:Fallback>
        </mc:AlternateContent>
      </w:r>
      <w:r>
        <w:rPr>
          <w:rFonts w:hint="default" w:ascii="Times New Roman" w:hAnsi="Times New Roman" w:cs="Times New Roman"/>
          <w:color w:val="auto"/>
          <w:sz w:val="21"/>
          <w:szCs w:val="21"/>
          <w:highlight w:val="none"/>
        </w:rPr>
        <w:drawing>
          <wp:inline distT="0" distB="0" distL="114300" distR="114300">
            <wp:extent cx="5696585" cy="3721735"/>
            <wp:effectExtent l="0" t="0" r="18415" b="12065"/>
            <wp:docPr id="89" name="图片 5" descr="广元市环境管控单元图（2024年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5" descr="广元市环境管控单元图（2024年版）"/>
                    <pic:cNvPicPr>
                      <a:picLocks noChangeAspect="1"/>
                    </pic:cNvPicPr>
                  </pic:nvPicPr>
                  <pic:blipFill>
                    <a:blip r:embed="rId45"/>
                    <a:stretch>
                      <a:fillRect/>
                    </a:stretch>
                  </pic:blipFill>
                  <pic:spPr>
                    <a:xfrm>
                      <a:off x="0" y="0"/>
                      <a:ext cx="5696585" cy="3721735"/>
                    </a:xfrm>
                    <a:prstGeom prst="rect">
                      <a:avLst/>
                    </a:prstGeom>
                    <a:noFill/>
                    <a:ln>
                      <a:noFill/>
                    </a:ln>
                  </pic:spPr>
                </pic:pic>
              </a:graphicData>
            </a:graphic>
          </wp:inline>
        </w:drawing>
      </w:r>
    </w:p>
    <w:p w14:paraId="568A2995">
      <w:pPr>
        <w:pStyle w:val="34"/>
        <w:keepNext w:val="0"/>
        <w:keepLines w:val="0"/>
        <w:pageBreakBefore w:val="0"/>
        <w:widowControl w:val="0"/>
        <w:kinsoku/>
        <w:wordWrap/>
        <w:overflowPunct/>
        <w:topLinePunct w:val="0"/>
        <w:autoSpaceDE/>
        <w:autoSpaceDN/>
        <w:bidi w:val="0"/>
        <w:adjustRightInd/>
        <w:snapToGrid w:val="0"/>
        <w:spacing w:after="0" w:line="240" w:lineRule="auto"/>
        <w:ind w:left="0" w:leftChars="0" w:firstLine="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图</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noBreakHyphen/>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图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sz w:val="21"/>
          <w:szCs w:val="21"/>
          <w:highlight w:val="none"/>
        </w:rPr>
        <w:t xml:space="preserve">  </w:t>
      </w:r>
      <w:r>
        <w:rPr>
          <w:rFonts w:hint="default" w:ascii="Times New Roman" w:hAnsi="Times New Roman" w:cs="Times New Roman"/>
          <w:b/>
          <w:bCs/>
          <w:color w:val="auto"/>
          <w:sz w:val="21"/>
          <w:szCs w:val="21"/>
          <w:highlight w:val="none"/>
          <w:lang w:val="en-US" w:eastAsia="zh-CN"/>
        </w:rPr>
        <w:t>广元</w:t>
      </w:r>
      <w:r>
        <w:rPr>
          <w:rFonts w:hint="default" w:ascii="Times New Roman" w:hAnsi="Times New Roman" w:cs="Times New Roman"/>
          <w:b/>
          <w:bCs/>
          <w:color w:val="auto"/>
          <w:sz w:val="21"/>
          <w:szCs w:val="21"/>
          <w:highlight w:val="none"/>
        </w:rPr>
        <w:t>市</w:t>
      </w:r>
      <w:r>
        <w:rPr>
          <w:rFonts w:hint="default" w:ascii="Times New Roman" w:hAnsi="Times New Roman" w:cs="Times New Roman"/>
          <w:b/>
          <w:bCs/>
          <w:color w:val="auto"/>
          <w:sz w:val="21"/>
          <w:szCs w:val="21"/>
          <w:highlight w:val="none"/>
          <w:lang w:val="en-US" w:eastAsia="zh-CN"/>
        </w:rPr>
        <w:t>环境管控单元分布</w:t>
      </w:r>
      <w:r>
        <w:rPr>
          <w:rFonts w:hint="default" w:ascii="Times New Roman" w:hAnsi="Times New Roman" w:cs="Times New Roman"/>
          <w:b/>
          <w:bCs/>
          <w:color w:val="auto"/>
          <w:sz w:val="21"/>
          <w:szCs w:val="21"/>
          <w:highlight w:val="none"/>
        </w:rPr>
        <w:t>图</w:t>
      </w:r>
    </w:p>
    <w:p w14:paraId="0F48F7F0">
      <w:pPr>
        <w:pStyle w:val="34"/>
        <w:keepNext w:val="0"/>
        <w:keepLines w:val="0"/>
        <w:pageBreakBefore w:val="0"/>
        <w:widowControl w:val="0"/>
        <w:kinsoku/>
        <w:wordWrap/>
        <w:overflowPunct/>
        <w:topLinePunct w:val="0"/>
        <w:autoSpaceDE/>
        <w:autoSpaceDN/>
        <w:bidi w:val="0"/>
        <w:adjustRightInd/>
        <w:snapToGrid w:val="0"/>
        <w:spacing w:after="0" w:line="240" w:lineRule="auto"/>
        <w:ind w:left="0" w:leftChars="0" w:firstLine="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color w:val="auto"/>
          <w:sz w:val="24"/>
          <w:highlight w:val="none"/>
        </w:rPr>
        <mc:AlternateContent>
          <mc:Choice Requires="wps">
            <w:drawing>
              <wp:anchor distT="0" distB="0" distL="114300" distR="114300" simplePos="0" relativeHeight="251667456" behindDoc="0" locked="0" layoutInCell="1" allowOverlap="1">
                <wp:simplePos x="0" y="0"/>
                <wp:positionH relativeFrom="column">
                  <wp:posOffset>2047240</wp:posOffset>
                </wp:positionH>
                <wp:positionV relativeFrom="paragraph">
                  <wp:posOffset>2886075</wp:posOffset>
                </wp:positionV>
                <wp:extent cx="772160" cy="276225"/>
                <wp:effectExtent l="205105" t="230505" r="13335" b="7620"/>
                <wp:wrapNone/>
                <wp:docPr id="65" name="圆角矩形标注 65"/>
                <wp:cNvGraphicFramePr/>
                <a:graphic xmlns:a="http://schemas.openxmlformats.org/drawingml/2006/main">
                  <a:graphicData uri="http://schemas.microsoft.com/office/word/2010/wordprocessingShape">
                    <wps:wsp>
                      <wps:cNvSpPr/>
                      <wps:spPr>
                        <a:xfrm>
                          <a:off x="0" y="0"/>
                          <a:ext cx="772160" cy="276225"/>
                        </a:xfrm>
                        <a:prstGeom prst="wedgeRoundRectCallout">
                          <a:avLst>
                            <a:gd name="adj1" fmla="val -72203"/>
                            <a:gd name="adj2" fmla="val -126551"/>
                            <a:gd name="adj3" fmla="val 16667"/>
                          </a:avLst>
                        </a:prstGeom>
                        <a:solidFill>
                          <a:srgbClr val="FFFFFF"/>
                        </a:solidFill>
                        <a:ln w="9525" cap="flat" cmpd="sng">
                          <a:solidFill>
                            <a:srgbClr val="000000"/>
                          </a:solidFill>
                          <a:prstDash val="solid"/>
                          <a:miter/>
                          <a:headEnd type="none" w="med" len="med"/>
                          <a:tailEnd type="triangle" w="med" len="med"/>
                        </a:ln>
                      </wps:spPr>
                      <wps:txbx>
                        <w:txbxContent>
                          <w:p w14:paraId="6B57FC85">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wps:txbx>
                      <wps:bodyPr upright="1"/>
                    </wps:wsp>
                  </a:graphicData>
                </a:graphic>
              </wp:anchor>
            </w:drawing>
          </mc:Choice>
          <mc:Fallback>
            <w:pict>
              <v:shape id="_x0000_s1026" o:spid="_x0000_s1026" o:spt="62" type="#_x0000_t62" style="position:absolute;left:0pt;margin-left:161.2pt;margin-top:227.25pt;height:21.75pt;width:60.8pt;z-index:251667456;mso-width-relative:page;mso-height-relative:page;" fillcolor="#FFFFFF" filled="t" stroked="t" coordsize="21600,21600" o:gfxdata="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34DgfdkA&#10;AAALAQAADwAAAAAAAAABACAAAAAiAAAAZHJzL2Rvd25yZXYueG1sUEsBAhQAFAAAAAgAh07iQCe5&#10;DhtXAgAAwwQAAA4AAAAAAAAAAQAgAAAAKAEAAGRycy9lMm9Eb2MueG1sUEsFBgAAAAAGAAYAWQEA&#10;APEFAAAAAA==&#10;" adj="-4796,-16535,14400">
                <v:fill on="t" focussize="0,0"/>
                <v:stroke color="#000000" joinstyle="miter" endarrow="block"/>
                <v:imagedata o:title=""/>
                <o:lock v:ext="edit" aspectratio="f"/>
                <v:textbox>
                  <w:txbxContent>
                    <w:p w14:paraId="6B57FC85">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v:textbox>
              </v:shape>
            </w:pict>
          </mc:Fallback>
        </mc:AlternateContent>
      </w:r>
      <w:r>
        <w:rPr>
          <w:rFonts w:hint="default" w:ascii="Times New Roman" w:hAnsi="Times New Roman" w:cs="Times New Roman"/>
          <w:color w:val="auto"/>
          <w:highlight w:val="none"/>
        </w:rPr>
        <w:drawing>
          <wp:inline distT="0" distB="0" distL="114300" distR="114300">
            <wp:extent cx="5760085" cy="4076700"/>
            <wp:effectExtent l="0" t="0" r="12065" b="0"/>
            <wp:docPr id="39" name="图片 9" descr="广元红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9" descr="广元红线"/>
                    <pic:cNvPicPr>
                      <a:picLocks noChangeAspect="1"/>
                    </pic:cNvPicPr>
                  </pic:nvPicPr>
                  <pic:blipFill>
                    <a:blip r:embed="rId46"/>
                    <a:stretch>
                      <a:fillRect/>
                    </a:stretch>
                  </pic:blipFill>
                  <pic:spPr>
                    <a:xfrm>
                      <a:off x="0" y="0"/>
                      <a:ext cx="5760085" cy="4076700"/>
                    </a:xfrm>
                    <a:prstGeom prst="rect">
                      <a:avLst/>
                    </a:prstGeom>
                    <a:noFill/>
                    <a:ln>
                      <a:noFill/>
                    </a:ln>
                  </pic:spPr>
                </pic:pic>
              </a:graphicData>
            </a:graphic>
          </wp:inline>
        </w:drawing>
      </w:r>
    </w:p>
    <w:p w14:paraId="47D49760">
      <w:pPr>
        <w:pStyle w:val="34"/>
        <w:keepNext w:val="0"/>
        <w:keepLines w:val="0"/>
        <w:pageBreakBefore w:val="0"/>
        <w:widowControl w:val="0"/>
        <w:kinsoku/>
        <w:wordWrap/>
        <w:overflowPunct/>
        <w:topLinePunct w:val="0"/>
        <w:autoSpaceDE/>
        <w:autoSpaceDN/>
        <w:bidi w:val="0"/>
        <w:adjustRightInd/>
        <w:snapToGrid w:val="0"/>
        <w:spacing w:after="0" w:line="240" w:lineRule="auto"/>
        <w:ind w:left="0" w:leftChars="0" w:firstLine="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图</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noBreakHyphen/>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图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cs="Times New Roman"/>
          <w:b/>
          <w:bCs/>
          <w:color w:val="auto"/>
          <w:sz w:val="21"/>
          <w:szCs w:val="21"/>
          <w:highlight w:val="none"/>
          <w:lang w:val="en-US" w:eastAsia="zh-CN"/>
        </w:rPr>
        <w:t>广元</w:t>
      </w:r>
      <w:r>
        <w:rPr>
          <w:rFonts w:hint="default" w:ascii="Times New Roman" w:hAnsi="Times New Roman" w:cs="Times New Roman"/>
          <w:b/>
          <w:bCs/>
          <w:color w:val="auto"/>
          <w:sz w:val="21"/>
          <w:szCs w:val="21"/>
          <w:highlight w:val="none"/>
        </w:rPr>
        <w:t>市</w:t>
      </w:r>
      <w:r>
        <w:rPr>
          <w:rFonts w:hint="default" w:ascii="Times New Roman" w:hAnsi="Times New Roman" w:cs="Times New Roman"/>
          <w:b/>
          <w:bCs/>
          <w:color w:val="auto"/>
          <w:sz w:val="21"/>
          <w:szCs w:val="21"/>
          <w:highlight w:val="none"/>
          <w:lang w:eastAsia="zh-CN"/>
        </w:rPr>
        <w:t>生态红线</w:t>
      </w:r>
      <w:r>
        <w:rPr>
          <w:rFonts w:hint="default" w:ascii="Times New Roman" w:hAnsi="Times New Roman" w:cs="Times New Roman"/>
          <w:b/>
          <w:bCs/>
          <w:color w:val="auto"/>
          <w:sz w:val="21"/>
          <w:szCs w:val="21"/>
          <w:highlight w:val="none"/>
        </w:rPr>
        <w:t>图</w:t>
      </w:r>
    </w:p>
    <w:p w14:paraId="2DE1AF1D">
      <w:pPr>
        <w:pageBreakBefore w:val="0"/>
        <w:widowControl w:val="0"/>
        <w:numPr>
          <w:ilvl w:val="0"/>
          <w:numId w:val="0"/>
        </w:numPr>
        <w:kinsoku/>
        <w:wordWrap/>
        <w:overflowPunct/>
        <w:topLinePunct w:val="0"/>
        <w:autoSpaceDE/>
        <w:autoSpaceDN/>
        <w:bidi w:val="0"/>
        <w:adjustRightInd/>
        <w:snapToGrid w:val="0"/>
        <w:ind w:left="420" w:leftChars="0"/>
        <w:textAlignment w:val="auto"/>
        <w:outlineLvl w:val="9"/>
        <w:rPr>
          <w:rFonts w:hint="default" w:ascii="Times New Roman" w:hAnsi="Times New Roman" w:eastAsia="宋体" w:cs="Times New Roman"/>
          <w:color w:val="auto"/>
          <w:sz w:val="24"/>
          <w:highlight w:val="none"/>
          <w:lang w:val="en-US" w:eastAsia="zh-CN"/>
        </w:rPr>
      </w:pPr>
    </w:p>
    <w:p w14:paraId="2546E0F4">
      <w:pPr>
        <w:pageBreakBefore w:val="0"/>
        <w:widowControl w:val="0"/>
        <w:numPr>
          <w:ilvl w:val="0"/>
          <w:numId w:val="0"/>
        </w:numPr>
        <w:kinsoku/>
        <w:wordWrap/>
        <w:overflowPunct/>
        <w:topLinePunct w:val="0"/>
        <w:autoSpaceDE/>
        <w:autoSpaceDN/>
        <w:bidi w:val="0"/>
        <w:adjustRightInd/>
        <w:snapToGrid w:val="0"/>
        <w:ind w:left="420" w:leftChars="0"/>
        <w:textAlignment w:val="auto"/>
        <w:outlineLvl w:val="9"/>
        <w:rPr>
          <w:rFonts w:hint="default" w:ascii="Times New Roman" w:hAnsi="Times New Roman" w:cs="Times New Roman"/>
          <w:color w:val="auto"/>
          <w:highlight w:val="none"/>
        </w:rPr>
      </w:pPr>
      <w:r>
        <w:rPr>
          <w:rFonts w:hint="default" w:ascii="Times New Roman" w:hAnsi="Times New Roman" w:eastAsia="宋体" w:cs="Times New Roman"/>
          <w:color w:val="auto"/>
          <w:sz w:val="24"/>
          <w:highlight w:val="none"/>
          <w:lang w:val="en-US" w:eastAsia="zh-CN"/>
        </w:rPr>
        <w:t>本项目与广元市生态环境分区管控方案符合性分析如下：</w:t>
      </w:r>
    </w:p>
    <w:p w14:paraId="6F2E14F4">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2.8</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表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3</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本项目</w:t>
      </w:r>
      <w:r>
        <w:rPr>
          <w:rFonts w:hint="default" w:ascii="Times New Roman" w:hAnsi="Times New Roman" w:cs="Times New Roman"/>
          <w:color w:val="auto"/>
          <w:highlight w:val="none"/>
          <w:lang w:eastAsia="zh-CN"/>
        </w:rPr>
        <w:t>与</w:t>
      </w:r>
      <w:r>
        <w:rPr>
          <w:rFonts w:hint="default" w:ascii="Times New Roman" w:hAnsi="Times New Roman" w:cs="Times New Roman"/>
          <w:color w:val="auto"/>
          <w:highlight w:val="none"/>
          <w:lang w:val="en-US" w:eastAsia="zh-CN"/>
        </w:rPr>
        <w:t>一般</w:t>
      </w:r>
      <w:r>
        <w:rPr>
          <w:rFonts w:hint="default" w:ascii="Times New Roman" w:hAnsi="Times New Roman" w:cs="Times New Roman"/>
          <w:color w:val="auto"/>
          <w:highlight w:val="none"/>
          <w:lang w:eastAsia="zh-CN"/>
        </w:rPr>
        <w:t>管控单元管控要求</w:t>
      </w:r>
      <w:r>
        <w:rPr>
          <w:rFonts w:hint="default" w:ascii="Times New Roman" w:hAnsi="Times New Roman" w:cs="Times New Roman"/>
          <w:color w:val="auto"/>
          <w:highlight w:val="none"/>
          <w:lang w:val="en-US" w:eastAsia="zh-CN"/>
        </w:rPr>
        <w:t>的</w:t>
      </w:r>
      <w:r>
        <w:rPr>
          <w:rFonts w:hint="default" w:ascii="Times New Roman" w:hAnsi="Times New Roman" w:cs="Times New Roman"/>
          <w:color w:val="auto"/>
          <w:highlight w:val="none"/>
        </w:rPr>
        <w:t>符合性分析</w:t>
      </w:r>
    </w:p>
    <w:tbl>
      <w:tblPr>
        <w:tblStyle w:val="35"/>
        <w:tblW w:w="4996"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88"/>
        <w:gridCol w:w="4992"/>
        <w:gridCol w:w="2141"/>
        <w:gridCol w:w="1060"/>
      </w:tblGrid>
      <w:tr w14:paraId="33076F2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586" w:type="pct"/>
            <w:noWrap w:val="0"/>
            <w:vAlign w:val="center"/>
          </w:tcPr>
          <w:p w14:paraId="5C21D4C3">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lang w:eastAsia="zh-CN"/>
              </w:rPr>
            </w:pPr>
            <w:r>
              <w:rPr>
                <w:rFonts w:hint="default" w:ascii="Times New Roman" w:hAnsi="Times New Roman" w:cs="Times New Roman"/>
                <w:b/>
                <w:bCs/>
                <w:color w:val="auto"/>
                <w:kern w:val="0"/>
                <w:sz w:val="20"/>
                <w:szCs w:val="20"/>
                <w:highlight w:val="none"/>
                <w:lang w:eastAsia="zh-CN"/>
              </w:rPr>
              <w:t>区域</w:t>
            </w:r>
          </w:p>
        </w:tc>
        <w:tc>
          <w:tcPr>
            <w:tcW w:w="2688" w:type="pct"/>
            <w:noWrap w:val="0"/>
            <w:vAlign w:val="center"/>
          </w:tcPr>
          <w:p w14:paraId="4704C48B">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lang w:eastAsia="zh-CN"/>
              </w:rPr>
            </w:pPr>
            <w:r>
              <w:rPr>
                <w:rFonts w:hint="default" w:ascii="Times New Roman" w:hAnsi="Times New Roman" w:cs="Times New Roman"/>
                <w:b/>
                <w:bCs/>
                <w:color w:val="auto"/>
                <w:kern w:val="0"/>
                <w:sz w:val="20"/>
                <w:szCs w:val="20"/>
                <w:highlight w:val="none"/>
                <w:lang w:eastAsia="zh-CN"/>
              </w:rPr>
              <w:t>管控要求</w:t>
            </w:r>
          </w:p>
        </w:tc>
        <w:tc>
          <w:tcPr>
            <w:tcW w:w="1153" w:type="pct"/>
            <w:noWrap w:val="0"/>
            <w:vAlign w:val="center"/>
          </w:tcPr>
          <w:p w14:paraId="73248FC6">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lang w:val="en-US" w:eastAsia="zh-CN"/>
              </w:rPr>
            </w:pPr>
            <w:r>
              <w:rPr>
                <w:rFonts w:hint="default" w:ascii="Times New Roman" w:hAnsi="Times New Roman" w:cs="Times New Roman"/>
                <w:b/>
                <w:bCs/>
                <w:color w:val="auto"/>
                <w:kern w:val="0"/>
                <w:sz w:val="20"/>
                <w:szCs w:val="20"/>
                <w:highlight w:val="none"/>
                <w:lang w:eastAsia="zh-CN"/>
              </w:rPr>
              <w:t>本项目情况</w:t>
            </w:r>
          </w:p>
        </w:tc>
        <w:tc>
          <w:tcPr>
            <w:tcW w:w="571" w:type="pct"/>
            <w:noWrap w:val="0"/>
            <w:vAlign w:val="center"/>
          </w:tcPr>
          <w:p w14:paraId="68A2CDF9">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lang w:eastAsia="zh-CN"/>
              </w:rPr>
            </w:pPr>
            <w:r>
              <w:rPr>
                <w:rFonts w:hint="default" w:ascii="Times New Roman" w:hAnsi="Times New Roman" w:cs="Times New Roman"/>
                <w:b/>
                <w:bCs/>
                <w:color w:val="auto"/>
                <w:kern w:val="0"/>
                <w:sz w:val="20"/>
                <w:szCs w:val="20"/>
                <w:highlight w:val="none"/>
                <w:lang w:eastAsia="zh-CN"/>
              </w:rPr>
              <w:t>符合性</w:t>
            </w:r>
          </w:p>
        </w:tc>
      </w:tr>
      <w:tr w14:paraId="12D2571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6" w:type="pct"/>
            <w:noWrap w:val="0"/>
            <w:vAlign w:val="center"/>
          </w:tcPr>
          <w:p w14:paraId="63346704">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val="en-US" w:eastAsia="zh-CN"/>
              </w:rPr>
              <w:t>一般</w:t>
            </w:r>
            <w:r>
              <w:rPr>
                <w:rFonts w:hint="default" w:ascii="Times New Roman" w:hAnsi="Times New Roman" w:cs="Times New Roman"/>
                <w:color w:val="auto"/>
                <w:kern w:val="0"/>
                <w:sz w:val="20"/>
                <w:szCs w:val="20"/>
                <w:highlight w:val="none"/>
                <w:lang w:eastAsia="zh-CN"/>
              </w:rPr>
              <w:t>管控单元</w:t>
            </w:r>
          </w:p>
        </w:tc>
        <w:tc>
          <w:tcPr>
            <w:tcW w:w="2688" w:type="pct"/>
            <w:noWrap w:val="0"/>
            <w:vAlign w:val="center"/>
          </w:tcPr>
          <w:p w14:paraId="6E929366">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val="en-US" w:eastAsia="zh-CN"/>
              </w:rPr>
              <w:t>以生态环境保护与适度开发相结合，开发建设中应落实生态环境保护基本要求。</w:t>
            </w:r>
          </w:p>
        </w:tc>
        <w:tc>
          <w:tcPr>
            <w:tcW w:w="1153" w:type="pct"/>
            <w:noWrap w:val="0"/>
            <w:vAlign w:val="center"/>
          </w:tcPr>
          <w:p w14:paraId="607B8C61">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val="en-US" w:eastAsia="zh-CN"/>
              </w:rPr>
              <w:t>在采取各类污染防治措施后，满足区域生态环境保护的基本要求。</w:t>
            </w:r>
          </w:p>
        </w:tc>
        <w:tc>
          <w:tcPr>
            <w:tcW w:w="571" w:type="pct"/>
            <w:noWrap w:val="0"/>
            <w:vAlign w:val="center"/>
          </w:tcPr>
          <w:p w14:paraId="641D229C">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val="en-US" w:eastAsia="zh-CN"/>
              </w:rPr>
            </w:pPr>
            <w:r>
              <w:rPr>
                <w:rFonts w:hint="default" w:ascii="Times New Roman" w:hAnsi="Times New Roman" w:cs="Times New Roman"/>
                <w:color w:val="auto"/>
                <w:kern w:val="0"/>
                <w:sz w:val="20"/>
                <w:szCs w:val="20"/>
                <w:highlight w:val="none"/>
                <w:lang w:val="en-US" w:eastAsia="zh-CN"/>
              </w:rPr>
              <w:t>符合</w:t>
            </w:r>
          </w:p>
        </w:tc>
      </w:tr>
    </w:tbl>
    <w:p w14:paraId="443BBAC3">
      <w:pPr>
        <w:spacing w:line="240" w:lineRule="auto"/>
        <w:ind w:firstLine="420" w:firstLineChars="20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4</w:t>
      </w:r>
      <w:r>
        <w:rPr>
          <w:rFonts w:hint="default" w:ascii="Times New Roman" w:hAnsi="Times New Roman" w:cs="Times New Roman"/>
          <w:b/>
          <w:bCs/>
          <w:color w:val="auto"/>
          <w:highlight w:val="none"/>
        </w:rPr>
        <w:fldChar w:fldCharType="end"/>
      </w:r>
      <w:r>
        <w:rPr>
          <w:rFonts w:hint="default" w:ascii="Times New Roman" w:hAnsi="Times New Roman" w:cs="Times New Roman"/>
          <w:b/>
          <w:color w:val="auto"/>
          <w:szCs w:val="21"/>
          <w:highlight w:val="none"/>
        </w:rPr>
        <w:t xml:space="preserve">  </w:t>
      </w:r>
      <w:r>
        <w:rPr>
          <w:rFonts w:hint="default" w:ascii="Times New Roman" w:hAnsi="Times New Roman" w:cs="Times New Roman"/>
          <w:b/>
          <w:color w:val="auto"/>
          <w:szCs w:val="21"/>
          <w:highlight w:val="none"/>
          <w:lang w:val="en-US" w:eastAsia="zh-CN"/>
        </w:rPr>
        <w:t>本项目</w:t>
      </w:r>
      <w:r>
        <w:rPr>
          <w:rFonts w:hint="default" w:ascii="Times New Roman" w:hAnsi="Times New Roman" w:eastAsia="宋体" w:cs="Times New Roman"/>
          <w:b/>
          <w:color w:val="auto"/>
          <w:szCs w:val="21"/>
          <w:highlight w:val="none"/>
        </w:rPr>
        <w:t>与</w:t>
      </w:r>
      <w:r>
        <w:rPr>
          <w:rFonts w:hint="default" w:ascii="Times New Roman" w:hAnsi="Times New Roman" w:eastAsia="宋体" w:cs="Times New Roman"/>
          <w:b/>
          <w:color w:val="auto"/>
          <w:szCs w:val="21"/>
          <w:highlight w:val="none"/>
          <w:lang w:val="en-US" w:eastAsia="zh-CN"/>
        </w:rPr>
        <w:t>广元市生态环境准入总体要求</w:t>
      </w:r>
      <w:r>
        <w:rPr>
          <w:rFonts w:hint="default" w:ascii="Times New Roman" w:hAnsi="Times New Roman" w:cs="Times New Roman"/>
          <w:b/>
          <w:color w:val="auto"/>
          <w:szCs w:val="21"/>
          <w:highlight w:val="none"/>
        </w:rPr>
        <w:t>的符合性分析</w:t>
      </w:r>
    </w:p>
    <w:tbl>
      <w:tblPr>
        <w:tblStyle w:val="35"/>
        <w:tblW w:w="4996"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4952"/>
        <w:gridCol w:w="2163"/>
        <w:gridCol w:w="1057"/>
      </w:tblGrid>
      <w:tr w14:paraId="15875D4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597" w:type="pct"/>
            <w:noWrap w:val="0"/>
            <w:vAlign w:val="center"/>
          </w:tcPr>
          <w:p w14:paraId="4926AC3C">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城市</w:t>
            </w:r>
          </w:p>
        </w:tc>
        <w:tc>
          <w:tcPr>
            <w:tcW w:w="2667" w:type="pct"/>
            <w:noWrap w:val="0"/>
            <w:vAlign w:val="center"/>
          </w:tcPr>
          <w:p w14:paraId="02C9DEFB">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lang w:val="en-US" w:eastAsia="zh-CN"/>
              </w:rPr>
              <w:t>准入要求</w:t>
            </w:r>
          </w:p>
        </w:tc>
        <w:tc>
          <w:tcPr>
            <w:tcW w:w="1165" w:type="pct"/>
            <w:noWrap w:val="0"/>
            <w:vAlign w:val="center"/>
          </w:tcPr>
          <w:p w14:paraId="3A94CCC7">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本项目情况</w:t>
            </w:r>
          </w:p>
        </w:tc>
        <w:tc>
          <w:tcPr>
            <w:tcW w:w="569" w:type="pct"/>
            <w:noWrap w:val="0"/>
            <w:vAlign w:val="center"/>
          </w:tcPr>
          <w:p w14:paraId="3703A3EE">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符合性</w:t>
            </w:r>
          </w:p>
        </w:tc>
      </w:tr>
      <w:tr w14:paraId="704A596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7" w:type="pct"/>
            <w:vMerge w:val="restart"/>
            <w:noWrap w:val="0"/>
            <w:vAlign w:val="center"/>
          </w:tcPr>
          <w:p w14:paraId="0673BF7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广元市</w:t>
            </w:r>
          </w:p>
        </w:tc>
        <w:tc>
          <w:tcPr>
            <w:tcW w:w="2667" w:type="pct"/>
            <w:noWrap w:val="0"/>
            <w:vAlign w:val="center"/>
          </w:tcPr>
          <w:p w14:paraId="1BA345E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长江干支流岸线一公里范围不得新建、扩建化工园区和化工项目。长江干流岸线三公里范围内和重要支流岸线一公里范围内不得新建、改建、扩建尾矿库；但是以提升安全、生态环境保护水平为目的的改建除外。 </w:t>
            </w:r>
          </w:p>
        </w:tc>
        <w:tc>
          <w:tcPr>
            <w:tcW w:w="1165" w:type="pct"/>
            <w:noWrap w:val="0"/>
            <w:vAlign w:val="center"/>
          </w:tcPr>
          <w:p w14:paraId="1DF40C5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569" w:type="pct"/>
            <w:noWrap w:val="0"/>
            <w:vAlign w:val="center"/>
          </w:tcPr>
          <w:p w14:paraId="11750B69">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符合</w:t>
            </w:r>
          </w:p>
        </w:tc>
      </w:tr>
      <w:tr w14:paraId="0C732FA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7" w:type="pct"/>
            <w:vMerge w:val="continue"/>
            <w:noWrap w:val="0"/>
            <w:vAlign w:val="center"/>
          </w:tcPr>
          <w:p w14:paraId="0C0321D0">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p>
        </w:tc>
        <w:tc>
          <w:tcPr>
            <w:tcW w:w="2667" w:type="pct"/>
            <w:noWrap w:val="0"/>
            <w:vAlign w:val="center"/>
          </w:tcPr>
          <w:p w14:paraId="1264EC4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 xml:space="preserve">落实《长江流域重点水域禁捕和建立补偿制度实施方案》，长江流域重点水域实施常年禁捕。 </w:t>
            </w:r>
          </w:p>
        </w:tc>
        <w:tc>
          <w:tcPr>
            <w:tcW w:w="1165" w:type="pct"/>
            <w:noWrap w:val="0"/>
            <w:vAlign w:val="center"/>
          </w:tcPr>
          <w:p w14:paraId="5C8C8E7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569" w:type="pct"/>
            <w:noWrap w:val="0"/>
            <w:vAlign w:val="center"/>
          </w:tcPr>
          <w:p w14:paraId="67524E2A">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符合</w:t>
            </w:r>
          </w:p>
        </w:tc>
      </w:tr>
      <w:tr w14:paraId="242EDA0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7" w:type="pct"/>
            <w:vMerge w:val="continue"/>
            <w:noWrap w:val="0"/>
            <w:vAlign w:val="center"/>
          </w:tcPr>
          <w:p w14:paraId="5DC07C83">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p>
        </w:tc>
        <w:tc>
          <w:tcPr>
            <w:tcW w:w="2667" w:type="pct"/>
            <w:noWrap w:val="0"/>
            <w:vAlign w:val="center"/>
          </w:tcPr>
          <w:p w14:paraId="609312D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 xml:space="preserve">结合地区资源环境禀赋，合理布局承接产业，加强环保基础设施建设，确保环境质量不降低。承接钢铁、电解铝等产业转移地区应严格落实生态环境分区管控要求，将环境质量底线作为硬约束。 </w:t>
            </w:r>
          </w:p>
        </w:tc>
        <w:tc>
          <w:tcPr>
            <w:tcW w:w="1165" w:type="pct"/>
            <w:noWrap w:val="0"/>
            <w:vAlign w:val="center"/>
          </w:tcPr>
          <w:p w14:paraId="1230812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569" w:type="pct"/>
            <w:noWrap w:val="0"/>
            <w:vAlign w:val="center"/>
          </w:tcPr>
          <w:p w14:paraId="46E5CA7D">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符合</w:t>
            </w:r>
          </w:p>
        </w:tc>
      </w:tr>
      <w:tr w14:paraId="5CB3D97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7" w:type="pct"/>
            <w:vMerge w:val="continue"/>
            <w:noWrap w:val="0"/>
            <w:vAlign w:val="center"/>
          </w:tcPr>
          <w:p w14:paraId="10AD10F6">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p>
        </w:tc>
        <w:tc>
          <w:tcPr>
            <w:tcW w:w="2667" w:type="pct"/>
            <w:noWrap w:val="0"/>
            <w:vAlign w:val="center"/>
          </w:tcPr>
          <w:p w14:paraId="08D693FA">
            <w:pPr>
              <w:keepNext w:val="0"/>
              <w:keepLines w:val="0"/>
              <w:suppressLineNumbers w:val="0"/>
              <w:snapToGrid w:val="0"/>
              <w:spacing w:before="0" w:beforeAutospacing="0" w:after="0" w:afterAutospacing="0" w:line="240" w:lineRule="auto"/>
              <w:ind w:left="0" w:right="0"/>
              <w:jc w:val="both"/>
              <w:rPr>
                <w:rFonts w:hint="default" w:ascii="Times New Roman" w:hAnsi="Times New Roman" w:eastAsia="宋体" w:cs="Times New Roman"/>
                <w:b w:val="0"/>
                <w:bCs w:val="0"/>
                <w:color w:val="auto"/>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 xml:space="preserve">大熊猫国家公园严格按照《大熊猫国家公园总体规划（2023—2030年）》要求进行保护、管理。 </w:t>
            </w:r>
          </w:p>
        </w:tc>
        <w:tc>
          <w:tcPr>
            <w:tcW w:w="1165" w:type="pct"/>
            <w:noWrap w:val="0"/>
            <w:vAlign w:val="center"/>
          </w:tcPr>
          <w:p w14:paraId="7AA598B0">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569" w:type="pct"/>
            <w:noWrap w:val="0"/>
            <w:vAlign w:val="center"/>
          </w:tcPr>
          <w:p w14:paraId="6868BBE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符合</w:t>
            </w:r>
          </w:p>
        </w:tc>
      </w:tr>
      <w:tr w14:paraId="7941041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7" w:type="pct"/>
            <w:vMerge w:val="continue"/>
            <w:noWrap w:val="0"/>
            <w:vAlign w:val="center"/>
          </w:tcPr>
          <w:p w14:paraId="7B5356B6">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p>
        </w:tc>
        <w:tc>
          <w:tcPr>
            <w:tcW w:w="2667" w:type="pct"/>
            <w:noWrap w:val="0"/>
            <w:vAlign w:val="center"/>
          </w:tcPr>
          <w:p w14:paraId="634DEFE9">
            <w:pPr>
              <w:keepNext w:val="0"/>
              <w:keepLines w:val="0"/>
              <w:suppressLineNumbers w:val="0"/>
              <w:snapToGrid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加强与嘉陵江上游甘肃陇南市、陕西汉中市环境风险联防联控。</w:t>
            </w:r>
          </w:p>
        </w:tc>
        <w:tc>
          <w:tcPr>
            <w:tcW w:w="2163" w:type="dxa"/>
            <w:noWrap w:val="0"/>
            <w:vAlign w:val="center"/>
          </w:tcPr>
          <w:p w14:paraId="26635035">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1057" w:type="dxa"/>
            <w:noWrap w:val="0"/>
            <w:vAlign w:val="center"/>
          </w:tcPr>
          <w:p w14:paraId="4BC10CA0">
            <w:pPr>
              <w:keepNext w:val="0"/>
              <w:keepLines w:val="0"/>
              <w:suppressLineNumbers w:val="0"/>
              <w:snapToGrid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符合</w:t>
            </w:r>
          </w:p>
        </w:tc>
      </w:tr>
      <w:tr w14:paraId="49E62A1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7" w:type="pct"/>
            <w:vMerge w:val="continue"/>
            <w:noWrap w:val="0"/>
            <w:vAlign w:val="center"/>
          </w:tcPr>
          <w:p w14:paraId="2884230F">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p>
        </w:tc>
        <w:tc>
          <w:tcPr>
            <w:tcW w:w="2667" w:type="pct"/>
            <w:noWrap w:val="0"/>
            <w:vAlign w:val="center"/>
          </w:tcPr>
          <w:p w14:paraId="2D77C5A4">
            <w:pPr>
              <w:keepNext w:val="0"/>
              <w:keepLines w:val="0"/>
              <w:suppressLineNumbers w:val="0"/>
              <w:snapToGrid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深化成都平原、川南、川东北地区大气污染联防联控工作机制，加强川渝地区联防联控。强化重污染天气区域应急联动机制，深化区域重污染天气联合应对。</w:t>
            </w:r>
          </w:p>
        </w:tc>
        <w:tc>
          <w:tcPr>
            <w:tcW w:w="2163" w:type="dxa"/>
            <w:noWrap w:val="0"/>
            <w:vAlign w:val="center"/>
          </w:tcPr>
          <w:p w14:paraId="2A916306">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1057" w:type="dxa"/>
            <w:noWrap w:val="0"/>
            <w:vAlign w:val="center"/>
          </w:tcPr>
          <w:p w14:paraId="5D08BF14">
            <w:pPr>
              <w:keepNext w:val="0"/>
              <w:keepLines w:val="0"/>
              <w:suppressLineNumbers w:val="0"/>
              <w:snapToGrid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符合</w:t>
            </w:r>
          </w:p>
        </w:tc>
      </w:tr>
      <w:tr w14:paraId="0C40D21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7" w:type="pct"/>
            <w:vMerge w:val="continue"/>
            <w:noWrap w:val="0"/>
            <w:vAlign w:val="center"/>
          </w:tcPr>
          <w:p w14:paraId="1A271B4B">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p>
        </w:tc>
        <w:tc>
          <w:tcPr>
            <w:tcW w:w="2667" w:type="pct"/>
            <w:noWrap w:val="0"/>
            <w:vAlign w:val="center"/>
          </w:tcPr>
          <w:p w14:paraId="0DA8EAAA">
            <w:pPr>
              <w:keepNext w:val="0"/>
              <w:keepLines w:val="0"/>
              <w:suppressLineNumbers w:val="0"/>
              <w:snapToGrid w:val="0"/>
              <w:spacing w:before="0" w:beforeAutospacing="0" w:after="0" w:afterAutospacing="0" w:line="240" w:lineRule="auto"/>
              <w:ind w:left="0" w:right="0"/>
              <w:jc w:val="both"/>
              <w:rPr>
                <w:rFonts w:hint="default" w:ascii="Times New Roman" w:hAnsi="Times New Roman" w:eastAsia="微软雅黑" w:cs="Times New Roman"/>
                <w:i w:val="0"/>
                <w:iCs w:val="0"/>
                <w:caps w:val="0"/>
                <w:color w:val="auto"/>
                <w:spacing w:val="0"/>
                <w:sz w:val="27"/>
                <w:szCs w:val="27"/>
                <w:highlight w:val="none"/>
              </w:rPr>
            </w:pPr>
            <w:r>
              <w:rPr>
                <w:rFonts w:hint="default" w:ascii="Times New Roman" w:hAnsi="Times New Roman" w:eastAsia="宋体" w:cs="Times New Roman"/>
                <w:color w:val="auto"/>
                <w:kern w:val="0"/>
                <w:sz w:val="20"/>
                <w:szCs w:val="20"/>
                <w:highlight w:val="none"/>
                <w:lang w:val="en-US" w:eastAsia="zh-CN" w:bidi="ar"/>
              </w:rPr>
              <w:t>结合区域生态环境质量现状，合理布局电解铝、再生铝产业。</w:t>
            </w:r>
          </w:p>
        </w:tc>
        <w:tc>
          <w:tcPr>
            <w:tcW w:w="2163" w:type="dxa"/>
            <w:noWrap w:val="0"/>
            <w:vAlign w:val="center"/>
          </w:tcPr>
          <w:p w14:paraId="7B39F226">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1057" w:type="dxa"/>
            <w:noWrap w:val="0"/>
            <w:vAlign w:val="center"/>
          </w:tcPr>
          <w:p w14:paraId="28BE7D5C">
            <w:pPr>
              <w:keepNext w:val="0"/>
              <w:keepLines w:val="0"/>
              <w:suppressLineNumbers w:val="0"/>
              <w:snapToGrid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符合</w:t>
            </w:r>
          </w:p>
        </w:tc>
      </w:tr>
      <w:tr w14:paraId="4E64050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97" w:type="pct"/>
            <w:vMerge w:val="continue"/>
            <w:noWrap w:val="0"/>
            <w:vAlign w:val="center"/>
          </w:tcPr>
          <w:p w14:paraId="1DCDD683">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z w:val="20"/>
                <w:szCs w:val="20"/>
                <w:highlight w:val="none"/>
                <w:lang w:val="en-US" w:eastAsia="zh-CN"/>
              </w:rPr>
            </w:pPr>
          </w:p>
        </w:tc>
        <w:tc>
          <w:tcPr>
            <w:tcW w:w="2667" w:type="pct"/>
            <w:noWrap w:val="0"/>
            <w:vAlign w:val="center"/>
          </w:tcPr>
          <w:p w14:paraId="0DD96448">
            <w:pPr>
              <w:keepNext w:val="0"/>
              <w:keepLines w:val="0"/>
              <w:suppressLineNumbers w:val="0"/>
              <w:snapToGrid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加强对古树名木保护，自然保护地范围内的古树名木严格落实《四川省自然保护区管理条例》《四川省古树名木保护条例》《广元市剑门蜀道保护条例》《剑阁县翠云廊古柏自然保护区管理办法》等相关保护要求，自然保护地以外的古树名木保护同样严格落实《四川省古树名木保护条例》《进一步全面加强古柏安全防范十九条措施》等相关要求。</w:t>
            </w:r>
          </w:p>
        </w:tc>
        <w:tc>
          <w:tcPr>
            <w:tcW w:w="2163" w:type="dxa"/>
            <w:noWrap w:val="0"/>
            <w:vAlign w:val="center"/>
          </w:tcPr>
          <w:p w14:paraId="2116126F">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p w14:paraId="3E473949">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p>
        </w:tc>
        <w:tc>
          <w:tcPr>
            <w:tcW w:w="1057" w:type="dxa"/>
            <w:noWrap w:val="0"/>
            <w:vAlign w:val="center"/>
          </w:tcPr>
          <w:p w14:paraId="1D973034">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符合</w:t>
            </w:r>
          </w:p>
        </w:tc>
      </w:tr>
    </w:tbl>
    <w:p w14:paraId="7A23CD0A">
      <w:pPr>
        <w:spacing w:line="240" w:lineRule="auto"/>
        <w:ind w:firstLine="420" w:firstLineChars="200"/>
        <w:jc w:val="center"/>
        <w:rPr>
          <w:rFonts w:hint="default" w:ascii="Times New Roman" w:hAnsi="Times New Roman" w:cs="Times New Roman"/>
          <w:b/>
          <w:color w:val="auto"/>
          <w:szCs w:val="21"/>
          <w:highlight w:val="none"/>
        </w:rPr>
      </w:pPr>
      <w:r>
        <w:rPr>
          <w:rFonts w:hint="default" w:ascii="Times New Roman" w:hAnsi="Times New Roman" w:cs="Times New Roman"/>
          <w:b/>
          <w:color w:val="auto"/>
          <w:szCs w:val="21"/>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5</w:t>
      </w:r>
      <w:r>
        <w:rPr>
          <w:rFonts w:hint="default" w:ascii="Times New Roman" w:hAnsi="Times New Roman" w:cs="Times New Roman"/>
          <w:b/>
          <w:bCs/>
          <w:color w:val="auto"/>
          <w:highlight w:val="none"/>
        </w:rPr>
        <w:fldChar w:fldCharType="end"/>
      </w:r>
      <w:r>
        <w:rPr>
          <w:rFonts w:hint="default" w:ascii="Times New Roman" w:hAnsi="Times New Roman" w:cs="Times New Roman"/>
          <w:b/>
          <w:color w:val="auto"/>
          <w:szCs w:val="21"/>
          <w:highlight w:val="none"/>
        </w:rPr>
        <w:t xml:space="preserve">  </w:t>
      </w:r>
      <w:r>
        <w:rPr>
          <w:rFonts w:hint="default" w:ascii="Times New Roman" w:hAnsi="Times New Roman" w:cs="Times New Roman"/>
          <w:b/>
          <w:color w:val="auto"/>
          <w:szCs w:val="21"/>
          <w:highlight w:val="none"/>
          <w:lang w:val="en-US" w:eastAsia="zh-CN"/>
        </w:rPr>
        <w:t>本项目</w:t>
      </w:r>
      <w:r>
        <w:rPr>
          <w:rFonts w:hint="default" w:ascii="Times New Roman" w:hAnsi="Times New Roman" w:eastAsia="宋体" w:cs="Times New Roman"/>
          <w:b/>
          <w:color w:val="auto"/>
          <w:szCs w:val="21"/>
          <w:highlight w:val="none"/>
        </w:rPr>
        <w:t>与</w:t>
      </w:r>
      <w:r>
        <w:rPr>
          <w:rFonts w:hint="default" w:ascii="Times New Roman" w:hAnsi="Times New Roman" w:eastAsia="宋体" w:cs="Times New Roman"/>
          <w:b/>
          <w:color w:val="auto"/>
          <w:szCs w:val="21"/>
          <w:highlight w:val="none"/>
          <w:lang w:val="en-US" w:eastAsia="zh-CN"/>
        </w:rPr>
        <w:t>剑阁县生态环境准入总体要求</w:t>
      </w:r>
      <w:r>
        <w:rPr>
          <w:rFonts w:hint="default" w:ascii="Times New Roman" w:hAnsi="Times New Roman" w:cs="Times New Roman"/>
          <w:b/>
          <w:color w:val="auto"/>
          <w:szCs w:val="21"/>
          <w:highlight w:val="none"/>
        </w:rPr>
        <w:t>的符合性分析</w:t>
      </w:r>
    </w:p>
    <w:tbl>
      <w:tblPr>
        <w:tblStyle w:val="35"/>
        <w:tblW w:w="4996"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86"/>
        <w:gridCol w:w="2056"/>
        <w:gridCol w:w="2919"/>
        <w:gridCol w:w="2178"/>
        <w:gridCol w:w="1042"/>
      </w:tblGrid>
      <w:tr w14:paraId="4407426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585" w:type="pct"/>
            <w:noWrap w:val="0"/>
            <w:vAlign w:val="center"/>
          </w:tcPr>
          <w:p w14:paraId="181A9F3C">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县（区）</w:t>
            </w:r>
          </w:p>
        </w:tc>
        <w:tc>
          <w:tcPr>
            <w:tcW w:w="1107" w:type="pct"/>
            <w:noWrap w:val="0"/>
            <w:vAlign w:val="center"/>
          </w:tcPr>
          <w:p w14:paraId="0B74F849">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eastAsiaTheme="minorEastAsia"/>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发展目标与主要产业</w:t>
            </w:r>
          </w:p>
        </w:tc>
        <w:tc>
          <w:tcPr>
            <w:tcW w:w="1572" w:type="pct"/>
            <w:noWrap w:val="0"/>
            <w:vAlign w:val="center"/>
          </w:tcPr>
          <w:p w14:paraId="5271AED1">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eastAsiaTheme="minorEastAsia"/>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总体准入要求</w:t>
            </w:r>
          </w:p>
        </w:tc>
        <w:tc>
          <w:tcPr>
            <w:tcW w:w="1173" w:type="pct"/>
            <w:noWrap w:val="0"/>
            <w:vAlign w:val="center"/>
          </w:tcPr>
          <w:p w14:paraId="22C2BD6B">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本项目情况</w:t>
            </w:r>
          </w:p>
        </w:tc>
        <w:tc>
          <w:tcPr>
            <w:tcW w:w="561" w:type="pct"/>
            <w:noWrap w:val="0"/>
            <w:vAlign w:val="center"/>
          </w:tcPr>
          <w:p w14:paraId="5C079555">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符合性</w:t>
            </w:r>
          </w:p>
        </w:tc>
      </w:tr>
      <w:tr w14:paraId="4D5CA89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5" w:type="pct"/>
            <w:vMerge w:val="restart"/>
            <w:noWrap w:val="0"/>
            <w:vAlign w:val="center"/>
          </w:tcPr>
          <w:p w14:paraId="6203BC7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剑阁县</w:t>
            </w:r>
          </w:p>
        </w:tc>
        <w:tc>
          <w:tcPr>
            <w:tcW w:w="1107" w:type="pct"/>
            <w:vMerge w:val="restart"/>
            <w:noWrap w:val="0"/>
            <w:vAlign w:val="center"/>
          </w:tcPr>
          <w:p w14:paraId="12E7BB9D">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发展目标：建成川陕甘结合部县域经济强县、大蜀道国际旅游目的、高品质宜居宜养宜业地。 </w:t>
            </w:r>
          </w:p>
          <w:p w14:paraId="49DE203B">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b w:val="0"/>
                <w:bCs w:val="0"/>
                <w:color w:val="auto"/>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 xml:space="preserve">主要产业：立足全县资源优势，以食品饮料、生物医药、清洁能源，战略性新兴产业、高新技术转化产业“3+2”新型工业体系为主攻方向。 </w:t>
            </w:r>
          </w:p>
        </w:tc>
        <w:tc>
          <w:tcPr>
            <w:tcW w:w="1572" w:type="pct"/>
            <w:noWrap w:val="0"/>
            <w:vAlign w:val="center"/>
          </w:tcPr>
          <w:p w14:paraId="74C9A00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剑阁县属于国家层面限制开发区域（农产品主产区），严格控制限制开发区域的农业发展用地、生态用地转变为工业发展和城市建设用地。</w:t>
            </w:r>
          </w:p>
        </w:tc>
        <w:tc>
          <w:tcPr>
            <w:tcW w:w="1173" w:type="pct"/>
            <w:noWrap w:val="0"/>
            <w:vAlign w:val="center"/>
          </w:tcPr>
          <w:p w14:paraId="5C9B0B2E">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本项目在普安镇原生活垃圾场用地范围内建设，不新增用地</w:t>
            </w:r>
          </w:p>
        </w:tc>
        <w:tc>
          <w:tcPr>
            <w:tcW w:w="561" w:type="pct"/>
            <w:noWrap w:val="0"/>
            <w:vAlign w:val="center"/>
          </w:tcPr>
          <w:p w14:paraId="2720B4A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符合</w:t>
            </w:r>
          </w:p>
        </w:tc>
      </w:tr>
      <w:tr w14:paraId="61F0E93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5" w:type="pct"/>
            <w:vMerge w:val="continue"/>
            <w:noWrap w:val="0"/>
            <w:vAlign w:val="center"/>
          </w:tcPr>
          <w:p w14:paraId="03E70BC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1107" w:type="pct"/>
            <w:vMerge w:val="continue"/>
            <w:noWrap w:val="0"/>
            <w:vAlign w:val="center"/>
          </w:tcPr>
          <w:p w14:paraId="7DADE69A">
            <w:pPr>
              <w:keepNext w:val="0"/>
              <w:keepLines w:val="0"/>
              <w:widowControl/>
              <w:numPr>
                <w:ilvl w:val="0"/>
                <w:numId w:val="9"/>
              </w:numPr>
              <w:suppressLineNumbers w:val="0"/>
              <w:spacing w:before="0" w:beforeAutospacing="0" w:after="0" w:afterAutospacing="0" w:line="240" w:lineRule="auto"/>
              <w:ind w:left="420" w:leftChars="0" w:right="0" w:hanging="420" w:firstLineChars="0"/>
              <w:jc w:val="center"/>
              <w:rPr>
                <w:rFonts w:hint="default" w:ascii="Times New Roman" w:hAnsi="Times New Roman" w:eastAsia="宋体" w:cs="Times New Roman"/>
                <w:color w:val="auto"/>
                <w:kern w:val="0"/>
                <w:sz w:val="20"/>
                <w:szCs w:val="20"/>
                <w:highlight w:val="none"/>
                <w:lang w:val="en-US" w:eastAsia="zh-CN" w:bidi="ar"/>
              </w:rPr>
            </w:pPr>
          </w:p>
        </w:tc>
        <w:tc>
          <w:tcPr>
            <w:tcW w:w="1572" w:type="pct"/>
            <w:noWrap w:val="0"/>
            <w:vAlign w:val="center"/>
          </w:tcPr>
          <w:p w14:paraId="5E2E8B3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推进西河流域水污染整治工程，提升城乡污水收集处理能力，因地制宜推进城镇生活污水处理设施提标改造工作。</w:t>
            </w:r>
          </w:p>
        </w:tc>
        <w:tc>
          <w:tcPr>
            <w:tcW w:w="1173" w:type="pct"/>
            <w:noWrap w:val="0"/>
            <w:vAlign w:val="center"/>
          </w:tcPr>
          <w:p w14:paraId="7874E192">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561" w:type="pct"/>
            <w:noWrap w:val="0"/>
            <w:vAlign w:val="center"/>
          </w:tcPr>
          <w:p w14:paraId="07F5B82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符合</w:t>
            </w:r>
          </w:p>
        </w:tc>
      </w:tr>
      <w:tr w14:paraId="7A3629A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5" w:type="pct"/>
            <w:vMerge w:val="continue"/>
            <w:noWrap w:val="0"/>
            <w:vAlign w:val="center"/>
          </w:tcPr>
          <w:p w14:paraId="670CC66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1107" w:type="pct"/>
            <w:vMerge w:val="continue"/>
            <w:noWrap w:val="0"/>
            <w:vAlign w:val="center"/>
          </w:tcPr>
          <w:p w14:paraId="7873B589">
            <w:pPr>
              <w:keepNext w:val="0"/>
              <w:keepLines w:val="0"/>
              <w:widowControl/>
              <w:numPr>
                <w:ilvl w:val="0"/>
                <w:numId w:val="9"/>
              </w:numPr>
              <w:suppressLineNumbers w:val="0"/>
              <w:spacing w:before="0" w:beforeAutospacing="0" w:after="0" w:afterAutospacing="0" w:line="240" w:lineRule="auto"/>
              <w:ind w:left="420" w:leftChars="0" w:right="0" w:hanging="420" w:firstLineChars="0"/>
              <w:jc w:val="center"/>
              <w:rPr>
                <w:rFonts w:hint="default" w:ascii="Times New Roman" w:hAnsi="Times New Roman" w:eastAsia="宋体" w:cs="Times New Roman"/>
                <w:color w:val="auto"/>
                <w:kern w:val="0"/>
                <w:sz w:val="20"/>
                <w:szCs w:val="20"/>
                <w:highlight w:val="none"/>
                <w:lang w:val="en-US" w:eastAsia="zh-CN" w:bidi="ar"/>
              </w:rPr>
            </w:pPr>
          </w:p>
        </w:tc>
        <w:tc>
          <w:tcPr>
            <w:tcW w:w="1572" w:type="pct"/>
            <w:noWrap w:val="0"/>
            <w:vAlign w:val="center"/>
          </w:tcPr>
          <w:p w14:paraId="6F627222">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严控水土流失，保护耕地资源，促进和巩固陡坡退耕还林还草，荒山荒坡营造水土保持林。</w:t>
            </w:r>
          </w:p>
        </w:tc>
        <w:tc>
          <w:tcPr>
            <w:tcW w:w="1173" w:type="pct"/>
            <w:noWrap w:val="0"/>
            <w:vAlign w:val="center"/>
          </w:tcPr>
          <w:p w14:paraId="613DC8A1">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561" w:type="pct"/>
            <w:noWrap w:val="0"/>
            <w:vAlign w:val="center"/>
          </w:tcPr>
          <w:p w14:paraId="3D99CA2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符合</w:t>
            </w:r>
          </w:p>
        </w:tc>
      </w:tr>
      <w:tr w14:paraId="000C92B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85" w:type="pct"/>
            <w:vMerge w:val="continue"/>
            <w:noWrap w:val="0"/>
            <w:vAlign w:val="center"/>
          </w:tcPr>
          <w:p w14:paraId="0F9BAC8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1107" w:type="pct"/>
            <w:vMerge w:val="continue"/>
            <w:noWrap w:val="0"/>
            <w:vAlign w:val="center"/>
          </w:tcPr>
          <w:p w14:paraId="4660705E">
            <w:pPr>
              <w:keepNext w:val="0"/>
              <w:keepLines w:val="0"/>
              <w:widowControl/>
              <w:numPr>
                <w:ilvl w:val="0"/>
                <w:numId w:val="9"/>
              </w:numPr>
              <w:suppressLineNumbers w:val="0"/>
              <w:spacing w:before="0" w:beforeAutospacing="0" w:after="0" w:afterAutospacing="0" w:line="240" w:lineRule="auto"/>
              <w:ind w:left="420" w:leftChars="0" w:right="0" w:hanging="420" w:firstLineChars="0"/>
              <w:jc w:val="center"/>
              <w:rPr>
                <w:rFonts w:hint="default" w:ascii="Times New Roman" w:hAnsi="Times New Roman" w:eastAsia="宋体" w:cs="Times New Roman"/>
                <w:color w:val="auto"/>
                <w:kern w:val="0"/>
                <w:sz w:val="20"/>
                <w:szCs w:val="20"/>
                <w:highlight w:val="none"/>
                <w:lang w:val="en-US" w:eastAsia="zh-CN" w:bidi="ar"/>
              </w:rPr>
            </w:pPr>
          </w:p>
        </w:tc>
        <w:tc>
          <w:tcPr>
            <w:tcW w:w="1572" w:type="pct"/>
            <w:noWrap w:val="0"/>
            <w:vAlign w:val="center"/>
          </w:tcPr>
          <w:p w14:paraId="54F4F9C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在自然保护区的外围保护地带建设的项目，不得损害自然保护区内的环境质量。涉及保护区内的部分，严格执行自然保护地中的风景名胜区和自然保护区相关管理要求。</w:t>
            </w:r>
          </w:p>
        </w:tc>
        <w:tc>
          <w:tcPr>
            <w:tcW w:w="1173" w:type="pct"/>
            <w:noWrap w:val="0"/>
            <w:vAlign w:val="center"/>
          </w:tcPr>
          <w:p w14:paraId="70FE027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本项目不涉及</w:t>
            </w:r>
          </w:p>
        </w:tc>
        <w:tc>
          <w:tcPr>
            <w:tcW w:w="561" w:type="pct"/>
            <w:noWrap w:val="0"/>
            <w:vAlign w:val="center"/>
          </w:tcPr>
          <w:p w14:paraId="425D7D2F">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符合</w:t>
            </w:r>
          </w:p>
        </w:tc>
      </w:tr>
    </w:tbl>
    <w:p w14:paraId="64996082">
      <w:pPr>
        <w:spacing w:line="240" w:lineRule="auto"/>
        <w:ind w:firstLine="420" w:firstLineChars="200"/>
        <w:jc w:val="center"/>
        <w:rPr>
          <w:rFonts w:hint="default" w:ascii="Times New Roman" w:hAnsi="Times New Roman" w:cs="Times New Roman"/>
          <w:b/>
          <w:color w:val="auto"/>
          <w:szCs w:val="21"/>
          <w:highlight w:val="none"/>
        </w:rPr>
      </w:pPr>
    </w:p>
    <w:p w14:paraId="5B8B308D">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与四川省政务服务网-生态环境分区管控符合性</w:t>
      </w:r>
      <w:r>
        <w:rPr>
          <w:rFonts w:hint="default" w:ascii="Times New Roman" w:hAnsi="Times New Roman" w:cs="Times New Roman"/>
          <w:color w:val="auto"/>
          <w:highlight w:val="none"/>
          <w:lang w:val="en-US" w:eastAsia="zh-CN"/>
        </w:rPr>
        <w:t>分析</w:t>
      </w:r>
    </w:p>
    <w:p w14:paraId="1461FFD2">
      <w:pPr>
        <w:pStyle w:val="14"/>
        <w:rPr>
          <w:rFonts w:hint="default" w:ascii="Times New Roman" w:hAnsi="Times New Roman" w:eastAsia="宋体" w:cs="Times New Roman"/>
          <w:b w:val="0"/>
          <w:bCs w:val="0"/>
          <w:color w:val="auto"/>
          <w:sz w:val="24"/>
          <w:highlight w:val="none"/>
          <w:lang w:val="en-US" w:eastAsia="zh-CN"/>
        </w:rPr>
      </w:pPr>
      <w:r>
        <w:rPr>
          <w:rFonts w:hint="default" w:ascii="Times New Roman" w:hAnsi="Times New Roman" w:eastAsia="宋体" w:cs="Times New Roman"/>
          <w:color w:val="auto"/>
          <w:highlight w:val="none"/>
          <w:lang w:val="en-US" w:eastAsia="zh-CN"/>
        </w:rPr>
        <w:t>根据《四川省生态环境厅办公室关于印发&lt;产业园区规划环评“三线一单”符合性分析技术要点（试行）&gt;和&lt;项目环评“三线一单”符合性分析技术要点（试行）&gt;的通知》（川环办函</w:t>
      </w:r>
      <w:r>
        <w:rPr>
          <w:rFonts w:hint="default" w:ascii="Times New Roman" w:hAnsi="Times New Roman" w:cs="Times New Roman"/>
          <w:color w:val="auto"/>
          <w:highlight w:val="none"/>
          <w:lang w:val="en-US" w:eastAsia="zh-CN"/>
        </w:rPr>
        <w:t>〔</w:t>
      </w:r>
      <w:r>
        <w:rPr>
          <w:rFonts w:hint="default" w:ascii="Times New Roman" w:hAnsi="Times New Roman" w:eastAsia="宋体" w:cs="Times New Roman"/>
          <w:color w:val="auto"/>
          <w:highlight w:val="none"/>
          <w:lang w:val="en-US" w:eastAsia="zh-CN"/>
        </w:rPr>
        <w:t>2021</w:t>
      </w:r>
      <w:r>
        <w:rPr>
          <w:rFonts w:hint="default" w:ascii="Times New Roman" w:hAnsi="Times New Roman" w:cs="Times New Roman"/>
          <w:color w:val="auto"/>
          <w:highlight w:val="none"/>
          <w:lang w:val="en-US" w:eastAsia="zh-CN"/>
        </w:rPr>
        <w:t>〕</w:t>
      </w:r>
      <w:r>
        <w:rPr>
          <w:rFonts w:hint="default" w:ascii="Times New Roman" w:hAnsi="Times New Roman" w:eastAsia="宋体" w:cs="Times New Roman"/>
          <w:color w:val="auto"/>
          <w:highlight w:val="none"/>
          <w:lang w:val="en-US" w:eastAsia="zh-CN"/>
        </w:rPr>
        <w:t>469号），结合“四川省政务服务网-</w:t>
      </w:r>
      <w:r>
        <w:rPr>
          <w:rFonts w:hint="default" w:ascii="Times New Roman" w:hAnsi="Times New Roman" w:cs="Times New Roman"/>
          <w:color w:val="auto"/>
          <w:highlight w:val="none"/>
          <w:lang w:val="en-US" w:eastAsia="zh-CN"/>
        </w:rPr>
        <w:t>生态环境分区管控符合性分析</w:t>
      </w:r>
      <w:r>
        <w:rPr>
          <w:rFonts w:hint="default" w:ascii="Times New Roman" w:hAnsi="Times New Roman" w:eastAsia="宋体" w:cs="Times New Roman"/>
          <w:color w:val="auto"/>
          <w:highlight w:val="none"/>
          <w:lang w:val="en-US" w:eastAsia="zh-CN"/>
        </w:rPr>
        <w:t>”，本项目共涉及3个管控单元，具体情况见下图</w:t>
      </w:r>
      <w:r>
        <w:rPr>
          <w:rFonts w:hint="default" w:ascii="Times New Roman" w:hAnsi="Times New Roman" w:eastAsia="宋体" w:cs="Times New Roman"/>
          <w:b w:val="0"/>
          <w:bCs w:val="0"/>
          <w:color w:val="auto"/>
          <w:sz w:val="24"/>
          <w:highlight w:val="none"/>
          <w:lang w:val="en-US" w:eastAsia="zh-CN"/>
        </w:rPr>
        <w:t>。</w:t>
      </w:r>
    </w:p>
    <w:p w14:paraId="63C3AE61">
      <w:pPr>
        <w:spacing w:line="240" w:lineRule="auto"/>
        <w:jc w:val="center"/>
        <w:rPr>
          <w:rFonts w:hint="default" w:ascii="Times New Roman" w:hAnsi="Times New Roman" w:eastAsia="宋体" w:cs="Times New Roman"/>
          <w:b w:val="0"/>
          <w:bCs w:val="0"/>
          <w:color w:val="auto"/>
          <w:sz w:val="24"/>
          <w:highlight w:val="none"/>
          <w:lang w:val="en-US" w:eastAsia="zh-CN"/>
        </w:rPr>
      </w:pPr>
      <w:r>
        <w:rPr>
          <w:rFonts w:hint="default" w:ascii="Times New Roman" w:hAnsi="Times New Roman" w:cs="Times New Roman"/>
          <w:color w:val="auto"/>
          <w:highlight w:val="none"/>
        </w:rPr>
        <w:drawing>
          <wp:inline distT="0" distB="0" distL="114300" distR="114300">
            <wp:extent cx="5760085" cy="4707255"/>
            <wp:effectExtent l="0" t="0" r="12065" b="17145"/>
            <wp:docPr id="23"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5"/>
                    <pic:cNvPicPr>
                      <a:picLocks noChangeAspect="1"/>
                    </pic:cNvPicPr>
                  </pic:nvPicPr>
                  <pic:blipFill>
                    <a:blip r:embed="rId47"/>
                    <a:stretch>
                      <a:fillRect/>
                    </a:stretch>
                  </pic:blipFill>
                  <pic:spPr>
                    <a:xfrm>
                      <a:off x="0" y="0"/>
                      <a:ext cx="5760085" cy="4707255"/>
                    </a:xfrm>
                    <a:prstGeom prst="rect">
                      <a:avLst/>
                    </a:prstGeom>
                    <a:noFill/>
                    <a:ln>
                      <a:noFill/>
                    </a:ln>
                  </pic:spPr>
                </pic:pic>
              </a:graphicData>
            </a:graphic>
          </wp:inline>
        </w:drawing>
      </w:r>
    </w:p>
    <w:p w14:paraId="4FBBE8E4">
      <w:pPr>
        <w:numPr>
          <w:ilvl w:val="0"/>
          <w:numId w:val="0"/>
        </w:numPr>
        <w:spacing w:line="240" w:lineRule="auto"/>
        <w:ind w:leftChars="0"/>
        <w:jc w:val="center"/>
        <w:rPr>
          <w:rFonts w:hint="default" w:ascii="Times New Roman" w:hAnsi="Times New Roman" w:cs="Times New Roman"/>
          <w:b/>
          <w:bCs/>
          <w:color w:val="auto"/>
          <w:sz w:val="21"/>
          <w:szCs w:val="21"/>
          <w:highlight w:val="none"/>
        </w:rPr>
      </w:pPr>
      <w:r>
        <w:rPr>
          <w:rFonts w:hint="default" w:ascii="Times New Roman" w:hAnsi="Times New Roman" w:eastAsia="宋体" w:cs="Times New Roman"/>
          <w:b/>
          <w:bCs/>
          <w:color w:val="auto"/>
          <w:kern w:val="0"/>
          <w:sz w:val="21"/>
          <w:szCs w:val="21"/>
          <w:highlight w:val="none"/>
          <w:lang w:val="en-US" w:eastAsia="zh-CN" w:bidi="ar"/>
        </w:rPr>
        <w:t>图</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noBreakHyphen/>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图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4</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kern w:val="0"/>
          <w:sz w:val="21"/>
          <w:szCs w:val="21"/>
          <w:highlight w:val="none"/>
          <w:lang w:val="en-US" w:eastAsia="zh-CN" w:bidi="ar"/>
        </w:rPr>
        <w:t xml:space="preserve">  “生态环境分区管控符合性分析”平台分析结果</w:t>
      </w:r>
    </w:p>
    <w:p w14:paraId="5FB408BB">
      <w:pPr>
        <w:spacing w:line="360" w:lineRule="auto"/>
        <w:ind w:firstLine="480" w:firstLineChars="200"/>
        <w:rPr>
          <w:rFonts w:hint="default" w:ascii="Times New Roman" w:hAnsi="Times New Roman" w:cs="Times New Roman"/>
          <w:b w:val="0"/>
          <w:bCs/>
          <w:color w:val="auto"/>
          <w:sz w:val="20"/>
          <w:szCs w:val="20"/>
          <w:highlight w:val="none"/>
          <w:lang w:eastAsia="zh-CN"/>
        </w:rPr>
      </w:pPr>
      <w:r>
        <w:rPr>
          <w:rFonts w:hint="default" w:ascii="Times New Roman" w:hAnsi="Times New Roman" w:eastAsia="宋体" w:cs="Times New Roman"/>
          <w:b w:val="0"/>
          <w:bCs w:val="0"/>
          <w:color w:val="auto"/>
          <w:sz w:val="24"/>
          <w:highlight w:val="none"/>
          <w:lang w:val="en-US" w:eastAsia="zh-CN"/>
        </w:rPr>
        <w:t>剑阁县城乡生活垃圾无害化处理设施建设项目位于广元市剑阁县环境综合管控单元</w:t>
      </w:r>
      <w:r>
        <w:rPr>
          <w:rFonts w:hint="default" w:ascii="Times New Roman" w:hAnsi="Times New Roman" w:eastAsia="宋体" w:cs="Times New Roman"/>
          <w:b/>
          <w:bCs/>
          <w:color w:val="auto"/>
          <w:sz w:val="24"/>
          <w:highlight w:val="none"/>
          <w:lang w:val="en-US" w:eastAsia="zh-CN"/>
        </w:rPr>
        <w:t>一般管控单元</w:t>
      </w:r>
      <w:r>
        <w:rPr>
          <w:rFonts w:hint="default" w:ascii="Times New Roman" w:hAnsi="Times New Roman" w:eastAsia="宋体" w:cs="Times New Roman"/>
          <w:b w:val="0"/>
          <w:bCs w:val="0"/>
          <w:color w:val="auto"/>
          <w:sz w:val="24"/>
          <w:highlight w:val="none"/>
          <w:lang w:val="en-US" w:eastAsia="zh-CN"/>
        </w:rPr>
        <w:t>（管控单元名称：剑阁县一般管控单元，管控单元编号：ZH51082330001）。项目与管控单元相对位置见下图：</w:t>
      </w:r>
      <w:r>
        <w:rPr>
          <w:rFonts w:hint="default" w:ascii="Times New Roman" w:hAnsi="Times New Roman" w:eastAsia="宋体" w:cs="Times New Roman"/>
          <w:color w:val="auto"/>
          <w:sz w:val="24"/>
          <w:szCs w:val="24"/>
          <w:highlight w:val="none"/>
        </w:rPr>
        <w:t>（图中▼表示项目位置）</w:t>
      </w:r>
      <w:r>
        <w:rPr>
          <w:rFonts w:hint="default" w:ascii="Times New Roman" w:hAnsi="Times New Roman" w:eastAsia="宋体" w:cs="Times New Roman"/>
          <w:b w:val="0"/>
          <w:bCs w:val="0"/>
          <w:color w:val="auto"/>
          <w:sz w:val="24"/>
          <w:highlight w:val="none"/>
          <w:lang w:val="en-US" w:eastAsia="zh-CN"/>
        </w:rPr>
        <w:t>：</w:t>
      </w:r>
    </w:p>
    <w:p w14:paraId="6E448F73">
      <w:pPr>
        <w:keepNext w:val="0"/>
        <w:keepLines w:val="0"/>
        <w:widowControl/>
        <w:suppressLineNumbers w:val="0"/>
        <w:spacing w:line="240" w:lineRule="auto"/>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cs="Times New Roman"/>
          <w:color w:val="auto"/>
          <w:sz w:val="24"/>
          <w:highlight w:val="none"/>
        </w:rPr>
        <mc:AlternateContent>
          <mc:Choice Requires="wps">
            <w:drawing>
              <wp:anchor distT="0" distB="0" distL="114300" distR="114300" simplePos="0" relativeHeight="251671552" behindDoc="0" locked="0" layoutInCell="1" allowOverlap="1">
                <wp:simplePos x="0" y="0"/>
                <wp:positionH relativeFrom="column">
                  <wp:posOffset>1108710</wp:posOffset>
                </wp:positionH>
                <wp:positionV relativeFrom="paragraph">
                  <wp:posOffset>975995</wp:posOffset>
                </wp:positionV>
                <wp:extent cx="772160" cy="276225"/>
                <wp:effectExtent l="205105" t="230505" r="13335" b="7620"/>
                <wp:wrapNone/>
                <wp:docPr id="91" name="圆角矩形标注 91"/>
                <wp:cNvGraphicFramePr/>
                <a:graphic xmlns:a="http://schemas.openxmlformats.org/drawingml/2006/main">
                  <a:graphicData uri="http://schemas.microsoft.com/office/word/2010/wordprocessingShape">
                    <wps:wsp>
                      <wps:cNvSpPr/>
                      <wps:spPr>
                        <a:xfrm>
                          <a:off x="0" y="0"/>
                          <a:ext cx="772160" cy="276225"/>
                        </a:xfrm>
                        <a:prstGeom prst="wedgeRoundRectCallout">
                          <a:avLst>
                            <a:gd name="adj1" fmla="val -72203"/>
                            <a:gd name="adj2" fmla="val -126551"/>
                            <a:gd name="adj3" fmla="val 16667"/>
                          </a:avLst>
                        </a:prstGeom>
                        <a:solidFill>
                          <a:srgbClr val="FFFFFF"/>
                        </a:solidFill>
                        <a:ln w="9525" cap="flat" cmpd="sng">
                          <a:solidFill>
                            <a:srgbClr val="000000"/>
                          </a:solidFill>
                          <a:prstDash val="solid"/>
                          <a:miter/>
                          <a:headEnd type="none" w="med" len="med"/>
                          <a:tailEnd type="triangle" w="med" len="med"/>
                        </a:ln>
                      </wps:spPr>
                      <wps:txbx>
                        <w:txbxContent>
                          <w:p w14:paraId="42CFE941">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wps:txbx>
                      <wps:bodyPr upright="1"/>
                    </wps:wsp>
                  </a:graphicData>
                </a:graphic>
              </wp:anchor>
            </w:drawing>
          </mc:Choice>
          <mc:Fallback>
            <w:pict>
              <v:shape id="_x0000_s1026" o:spid="_x0000_s1026" o:spt="62" type="#_x0000_t62" style="position:absolute;left:0pt;margin-left:87.3pt;margin-top:76.85pt;height:21.75pt;width:60.8pt;z-index:251671552;mso-width-relative:page;mso-height-relative:page;" fillcolor="#FFFFFF" filled="t" stroked="t" coordsize="21600,21600" o:gfxdata="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BLQ6zG&#10;2QAAAAsBAAAPAAAAAAAAAAEAIAAAACIAAABkcnMvZG93bnJldi54bWxQSwECFAAUAAAACACHTuJA&#10;mtGVA1kCAADDBAAADgAAAAAAAAABACAAAAAoAQAAZHJzL2Uyb0RvYy54bWxQSwUGAAAAAAYABgBZ&#10;AQAA8wUAAAAA&#10;" adj="-4796,-16535,14400">
                <v:fill on="t" focussize="0,0"/>
                <v:stroke color="#000000" joinstyle="miter" endarrow="block"/>
                <v:imagedata o:title=""/>
                <o:lock v:ext="edit" aspectratio="f"/>
                <v:textbox>
                  <w:txbxContent>
                    <w:p w14:paraId="42CFE941">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v:textbox>
              </v:shape>
            </w:pict>
          </mc:Fallback>
        </mc:AlternateContent>
      </w:r>
      <w:r>
        <w:rPr>
          <w:rFonts w:hint="default" w:ascii="Times New Roman" w:hAnsi="Times New Roman" w:cs="Times New Roman"/>
          <w:color w:val="auto"/>
          <w:highlight w:val="none"/>
        </w:rPr>
        <w:drawing>
          <wp:anchor distT="0" distB="0" distL="114300" distR="114300" simplePos="0" relativeHeight="251669504" behindDoc="0" locked="0" layoutInCell="1" allowOverlap="1">
            <wp:simplePos x="0" y="0"/>
            <wp:positionH relativeFrom="column">
              <wp:posOffset>41275</wp:posOffset>
            </wp:positionH>
            <wp:positionV relativeFrom="paragraph">
              <wp:posOffset>86995</wp:posOffset>
            </wp:positionV>
            <wp:extent cx="1670050" cy="1324610"/>
            <wp:effectExtent l="19050" t="19050" r="25400" b="27940"/>
            <wp:wrapNone/>
            <wp:docPr id="29"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5"/>
                    <pic:cNvPicPr>
                      <a:picLocks noChangeAspect="1"/>
                    </pic:cNvPicPr>
                  </pic:nvPicPr>
                  <pic:blipFill>
                    <a:blip r:embed="rId48"/>
                    <a:stretch>
                      <a:fillRect/>
                    </a:stretch>
                  </pic:blipFill>
                  <pic:spPr>
                    <a:xfrm>
                      <a:off x="0" y="0"/>
                      <a:ext cx="1670050" cy="1324610"/>
                    </a:xfrm>
                    <a:prstGeom prst="rect">
                      <a:avLst/>
                    </a:prstGeom>
                    <a:noFill/>
                    <a:ln w="19050" cmpd="sng">
                      <a:solidFill>
                        <a:srgbClr val="C00000"/>
                      </a:solidFill>
                      <a:prstDash val="solid"/>
                    </a:ln>
                  </pic:spPr>
                </pic:pic>
              </a:graphicData>
            </a:graphic>
          </wp:anchor>
        </w:drawing>
      </w:r>
      <w:r>
        <w:rPr>
          <w:rFonts w:hint="default" w:ascii="Times New Roman" w:hAnsi="Times New Roman" w:cs="Times New Roman"/>
          <w:color w:val="auto"/>
          <w:sz w:val="24"/>
          <w:highlight w:val="none"/>
        </w:rPr>
        <mc:AlternateContent>
          <mc:Choice Requires="wps">
            <w:drawing>
              <wp:anchor distT="0" distB="0" distL="114300" distR="114300" simplePos="0" relativeHeight="251670528" behindDoc="0" locked="0" layoutInCell="1" allowOverlap="1">
                <wp:simplePos x="0" y="0"/>
                <wp:positionH relativeFrom="column">
                  <wp:posOffset>2980055</wp:posOffset>
                </wp:positionH>
                <wp:positionV relativeFrom="paragraph">
                  <wp:posOffset>1942465</wp:posOffset>
                </wp:positionV>
                <wp:extent cx="772160" cy="276225"/>
                <wp:effectExtent l="205105" t="230505" r="13335" b="7620"/>
                <wp:wrapNone/>
                <wp:docPr id="30" name="圆角矩形标注 30"/>
                <wp:cNvGraphicFramePr/>
                <a:graphic xmlns:a="http://schemas.openxmlformats.org/drawingml/2006/main">
                  <a:graphicData uri="http://schemas.microsoft.com/office/word/2010/wordprocessingShape">
                    <wps:wsp>
                      <wps:cNvSpPr/>
                      <wps:spPr>
                        <a:xfrm>
                          <a:off x="0" y="0"/>
                          <a:ext cx="772160" cy="276225"/>
                        </a:xfrm>
                        <a:prstGeom prst="wedgeRoundRectCallout">
                          <a:avLst>
                            <a:gd name="adj1" fmla="val -72203"/>
                            <a:gd name="adj2" fmla="val -126551"/>
                            <a:gd name="adj3" fmla="val 16667"/>
                          </a:avLst>
                        </a:prstGeom>
                        <a:solidFill>
                          <a:srgbClr val="FFFFFF"/>
                        </a:solidFill>
                        <a:ln w="9525" cap="flat" cmpd="sng">
                          <a:solidFill>
                            <a:srgbClr val="000000"/>
                          </a:solidFill>
                          <a:prstDash val="solid"/>
                          <a:miter/>
                          <a:headEnd type="none" w="med" len="med"/>
                          <a:tailEnd type="triangle" w="med" len="med"/>
                        </a:ln>
                      </wps:spPr>
                      <wps:txbx>
                        <w:txbxContent>
                          <w:p w14:paraId="1DCD940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wps:txbx>
                      <wps:bodyPr upright="1"/>
                    </wps:wsp>
                  </a:graphicData>
                </a:graphic>
              </wp:anchor>
            </w:drawing>
          </mc:Choice>
          <mc:Fallback>
            <w:pict>
              <v:shape id="_x0000_s1026" o:spid="_x0000_s1026" o:spt="62" type="#_x0000_t62" style="position:absolute;left:0pt;margin-left:234.65pt;margin-top:152.95pt;height:21.75pt;width:60.8pt;z-index:251670528;mso-width-relative:page;mso-height-relative:page;" fillcolor="#FFFFFF" filled="t" stroked="t" coordsize="21600,21600" o:gfxdata="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C6wnz42AAA&#10;AAsBAAAPAAAAAAAAAAEAIAAAACIAAABkcnMvZG93bnJldi54bWxQSwECFAAUAAAACACHTuJAoOT7&#10;wFcCAADDBAAADgAAAAAAAAABACAAAAAnAQAAZHJzL2Uyb0RvYy54bWxQSwUGAAAAAAYABgBZAQAA&#10;8AUAAAAA&#10;" adj="-4796,-16535,14400">
                <v:fill on="t" focussize="0,0"/>
                <v:stroke color="#000000" joinstyle="miter" endarrow="block"/>
                <v:imagedata o:title=""/>
                <o:lock v:ext="edit" aspectratio="f"/>
                <v:textbox>
                  <w:txbxContent>
                    <w:p w14:paraId="1DCD940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textAlignment w:val="auto"/>
                        <w:rPr>
                          <w:rFonts w:hint="eastAsia" w:eastAsia="宋体"/>
                          <w:sz w:val="21"/>
                          <w:szCs w:val="21"/>
                          <w:lang w:eastAsia="zh-CN"/>
                        </w:rPr>
                      </w:pPr>
                      <w:r>
                        <w:rPr>
                          <w:rFonts w:hint="eastAsia"/>
                          <w:sz w:val="21"/>
                          <w:szCs w:val="21"/>
                          <w:lang w:val="en-US" w:eastAsia="zh-CN"/>
                        </w:rPr>
                        <w:t>项目</w:t>
                      </w:r>
                      <w:r>
                        <w:rPr>
                          <w:rFonts w:hint="eastAsia"/>
                          <w:sz w:val="21"/>
                          <w:szCs w:val="21"/>
                          <w:lang w:eastAsia="zh-CN"/>
                        </w:rPr>
                        <w:t>位置</w:t>
                      </w:r>
                    </w:p>
                  </w:txbxContent>
                </v:textbox>
              </v:shape>
            </w:pict>
          </mc:Fallback>
        </mc:AlternateContent>
      </w:r>
      <w:r>
        <w:rPr>
          <w:rFonts w:hint="default" w:ascii="Times New Roman" w:hAnsi="Times New Roman" w:eastAsia="Helvetica" w:cs="Times New Roman"/>
          <w:color w:val="auto"/>
          <w:sz w:val="28"/>
          <w:szCs w:val="24"/>
          <w:highlight w:val="none"/>
        </w:rPr>
        <w:drawing>
          <wp:inline distT="0" distB="0" distL="114300" distR="114300">
            <wp:extent cx="5706110" cy="4034790"/>
            <wp:effectExtent l="0" t="0" r="8890" b="3810"/>
            <wp:docPr id="4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6"/>
                    <pic:cNvPicPr>
                      <a:picLocks noChangeAspect="1"/>
                    </pic:cNvPicPr>
                  </pic:nvPicPr>
                  <pic:blipFill>
                    <a:blip r:embed="rId49"/>
                    <a:stretch>
                      <a:fillRect/>
                    </a:stretch>
                  </pic:blipFill>
                  <pic:spPr>
                    <a:xfrm>
                      <a:off x="0" y="0"/>
                      <a:ext cx="5706110" cy="4034790"/>
                    </a:xfrm>
                    <a:prstGeom prst="rect">
                      <a:avLst/>
                    </a:prstGeom>
                    <a:noFill/>
                    <a:ln>
                      <a:noFill/>
                    </a:ln>
                  </pic:spPr>
                </pic:pic>
              </a:graphicData>
            </a:graphic>
          </wp:inline>
        </w:drawing>
      </w:r>
    </w:p>
    <w:p w14:paraId="792A75C0">
      <w:pPr>
        <w:keepNext w:val="0"/>
        <w:keepLines w:val="0"/>
        <w:widowControl/>
        <w:suppressLineNumbers w:val="0"/>
        <w:spacing w:line="240" w:lineRule="auto"/>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图</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noBreakHyphen/>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图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5</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kern w:val="0"/>
          <w:sz w:val="20"/>
          <w:szCs w:val="20"/>
          <w:highlight w:val="none"/>
          <w:lang w:val="en-US" w:eastAsia="zh-CN" w:bidi="ar"/>
        </w:rPr>
        <w:t xml:space="preserve">  本项目与环境综合管控单元的位置关系图</w:t>
      </w:r>
    </w:p>
    <w:p w14:paraId="1EA79309">
      <w:pPr>
        <w:keepNext w:val="0"/>
        <w:keepLines w:val="0"/>
        <w:pageBreakBefore w:val="0"/>
        <w:widowControl w:val="0"/>
        <w:kinsoku/>
        <w:wordWrap/>
        <w:overflowPunct/>
        <w:topLinePunct w:val="0"/>
        <w:autoSpaceDE w:val="0"/>
        <w:autoSpaceDN w:val="0"/>
        <w:bidi w:val="0"/>
        <w:adjustRightInd/>
        <w:snapToGrid/>
        <w:spacing w:before="157" w:beforeLines="50" w:line="360" w:lineRule="auto"/>
        <w:ind w:firstLine="522"/>
        <w:textAlignment w:val="auto"/>
        <w:rPr>
          <w:rFonts w:hint="default" w:ascii="Times New Roman" w:hAnsi="Times New Roman" w:eastAsia="宋体" w:cs="Times New Roman"/>
          <w:b w:val="0"/>
          <w:bCs w:val="0"/>
          <w:color w:val="auto"/>
          <w:sz w:val="24"/>
          <w:highlight w:val="none"/>
          <w:lang w:val="en-US" w:eastAsia="zh-CN"/>
        </w:rPr>
      </w:pPr>
      <w:r>
        <w:rPr>
          <w:rFonts w:hint="default" w:ascii="Times New Roman" w:hAnsi="Times New Roman" w:cs="Times New Roman"/>
          <w:color w:val="auto"/>
          <w:sz w:val="24"/>
          <w:szCs w:val="24"/>
          <w:highlight w:val="none"/>
          <w:lang w:val="en-US" w:eastAsia="zh-CN"/>
        </w:rPr>
        <w:t>本项目生态环境准入清单符合性分析见下表</w:t>
      </w:r>
      <w:r>
        <w:rPr>
          <w:rFonts w:hint="default" w:ascii="Times New Roman" w:hAnsi="Times New Roman" w:eastAsia="宋体" w:cs="Times New Roman"/>
          <w:color w:val="auto"/>
          <w:sz w:val="24"/>
          <w:highlight w:val="none"/>
          <w:lang w:val="en-US" w:eastAsia="zh-CN"/>
        </w:rPr>
        <w:t>。</w:t>
      </w:r>
    </w:p>
    <w:p w14:paraId="32FA090F">
      <w:pPr>
        <w:pStyle w:val="17"/>
        <w:widowControl w:val="0"/>
        <w:numPr>
          <w:ilvl w:val="0"/>
          <w:numId w:val="0"/>
        </w:numPr>
        <w:spacing w:line="360" w:lineRule="auto"/>
        <w:jc w:val="both"/>
        <w:rPr>
          <w:rFonts w:hint="default" w:ascii="Times New Roman" w:hAnsi="Times New Roman" w:eastAsia="宋体" w:cs="Times New Roman"/>
          <w:b w:val="0"/>
          <w:bCs w:val="0"/>
          <w:color w:val="auto"/>
          <w:sz w:val="24"/>
          <w:highlight w:val="none"/>
          <w:lang w:val="en-US" w:eastAsia="zh-CN"/>
        </w:rPr>
        <w:sectPr>
          <w:headerReference r:id="rId15"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2B0C0B74">
      <w:pPr>
        <w:keepNext w:val="0"/>
        <w:keepLines w:val="0"/>
        <w:widowControl/>
        <w:suppressLineNumbers w:val="0"/>
        <w:spacing w:line="240" w:lineRule="auto"/>
        <w:jc w:val="center"/>
        <w:rPr>
          <w:rFonts w:hint="default" w:ascii="Times New Roman" w:hAnsi="Times New Roman" w:cs="Times New Roman"/>
          <w:b/>
          <w:color w:val="auto"/>
          <w:kern w:val="0"/>
          <w:highlight w:val="none"/>
          <w:lang w:val="en-US" w:eastAsia="zh-CN"/>
        </w:rPr>
      </w:pPr>
      <w:r>
        <w:rPr>
          <w:rFonts w:hint="default" w:ascii="Times New Roman" w:hAnsi="Times New Roman" w:eastAsia="宋体" w:cs="Times New Roman"/>
          <w:b/>
          <w:color w:val="auto"/>
          <w:sz w:val="21"/>
          <w:szCs w:val="21"/>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2.8</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6</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cs="Times New Roman"/>
          <w:b/>
          <w:color w:val="auto"/>
          <w:kern w:val="0"/>
          <w:highlight w:val="none"/>
        </w:rPr>
        <w:t>本项目生态环境准入清单符合性</w:t>
      </w:r>
      <w:r>
        <w:rPr>
          <w:rFonts w:hint="default" w:ascii="Times New Roman" w:hAnsi="Times New Roman" w:cs="Times New Roman"/>
          <w:b/>
          <w:color w:val="auto"/>
          <w:kern w:val="0"/>
          <w:highlight w:val="none"/>
          <w:lang w:val="en-US" w:eastAsia="zh-CN"/>
        </w:rPr>
        <w:t>分析</w:t>
      </w:r>
    </w:p>
    <w:tbl>
      <w:tblPr>
        <w:tblStyle w:val="35"/>
        <w:tblW w:w="4990"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505"/>
        <w:gridCol w:w="991"/>
        <w:gridCol w:w="789"/>
        <w:gridCol w:w="1885"/>
        <w:gridCol w:w="6075"/>
        <w:gridCol w:w="2106"/>
        <w:gridCol w:w="841"/>
      </w:tblGrid>
      <w:tr w14:paraId="79EB1BA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blHeader/>
        </w:trPr>
        <w:tc>
          <w:tcPr>
            <w:tcW w:w="530" w:type="pct"/>
            <w:tcBorders>
              <w:tl2br w:val="nil"/>
              <w:tr2bl w:val="nil"/>
            </w:tcBorders>
            <w:shd w:val="clear" w:color="auto" w:fill="auto"/>
            <w:noWrap w:val="0"/>
            <w:vAlign w:val="center"/>
          </w:tcPr>
          <w:p w14:paraId="564F417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环境管控单元名称及编码</w:t>
            </w:r>
          </w:p>
        </w:tc>
        <w:tc>
          <w:tcPr>
            <w:tcW w:w="627" w:type="pct"/>
            <w:gridSpan w:val="2"/>
            <w:tcBorders>
              <w:tl2br w:val="nil"/>
              <w:tr2bl w:val="nil"/>
            </w:tcBorders>
            <w:shd w:val="clear" w:color="auto" w:fill="auto"/>
            <w:noWrap w:val="0"/>
            <w:vAlign w:val="center"/>
          </w:tcPr>
          <w:p w14:paraId="0F8ECAE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环境管控单元</w:t>
            </w:r>
          </w:p>
          <w:p w14:paraId="06AEF62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管控类别</w:t>
            </w:r>
          </w:p>
        </w:tc>
        <w:tc>
          <w:tcPr>
            <w:tcW w:w="2804" w:type="pct"/>
            <w:gridSpan w:val="2"/>
            <w:tcBorders>
              <w:tl2br w:val="nil"/>
              <w:tr2bl w:val="nil"/>
            </w:tcBorders>
            <w:shd w:val="clear" w:color="auto" w:fill="auto"/>
            <w:noWrap w:val="0"/>
            <w:vAlign w:val="center"/>
          </w:tcPr>
          <w:p w14:paraId="486BDF0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单元特性管控要求</w:t>
            </w:r>
          </w:p>
        </w:tc>
        <w:tc>
          <w:tcPr>
            <w:tcW w:w="741" w:type="pct"/>
            <w:tcBorders>
              <w:tl2br w:val="nil"/>
              <w:tr2bl w:val="nil"/>
            </w:tcBorders>
            <w:shd w:val="clear" w:color="auto" w:fill="auto"/>
            <w:noWrap w:val="0"/>
            <w:vAlign w:val="center"/>
          </w:tcPr>
          <w:p w14:paraId="587A17D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本项目情况</w:t>
            </w:r>
          </w:p>
        </w:tc>
        <w:tc>
          <w:tcPr>
            <w:tcW w:w="296" w:type="pct"/>
            <w:tcBorders>
              <w:tl2br w:val="nil"/>
              <w:tr2bl w:val="nil"/>
            </w:tcBorders>
            <w:shd w:val="clear" w:color="auto" w:fill="auto"/>
            <w:noWrap w:val="0"/>
            <w:vAlign w:val="center"/>
          </w:tcPr>
          <w:p w14:paraId="1C416FB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符合性</w:t>
            </w:r>
          </w:p>
        </w:tc>
      </w:tr>
      <w:tr w14:paraId="692997A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restart"/>
            <w:tcBorders>
              <w:tl2br w:val="nil"/>
              <w:tr2bl w:val="nil"/>
            </w:tcBorders>
            <w:shd w:val="clear" w:color="auto" w:fill="auto"/>
            <w:noWrap w:val="0"/>
            <w:vAlign w:val="center"/>
          </w:tcPr>
          <w:p w14:paraId="1747FD7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嘉陵江-剑阁县-金银渡（张家岩）-控制单元YS5108233210002</w:t>
            </w:r>
          </w:p>
        </w:tc>
        <w:tc>
          <w:tcPr>
            <w:tcW w:w="349" w:type="pct"/>
            <w:vMerge w:val="restart"/>
            <w:tcBorders>
              <w:tl2br w:val="nil"/>
              <w:tr2bl w:val="nil"/>
            </w:tcBorders>
            <w:shd w:val="clear" w:color="auto" w:fill="auto"/>
            <w:noWrap w:val="0"/>
            <w:vAlign w:val="center"/>
          </w:tcPr>
          <w:p w14:paraId="21FC5F1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广元市普适性清单管控要求</w:t>
            </w:r>
          </w:p>
        </w:tc>
        <w:tc>
          <w:tcPr>
            <w:tcW w:w="277" w:type="pct"/>
            <w:vMerge w:val="restart"/>
            <w:tcBorders>
              <w:tl2br w:val="nil"/>
              <w:tr2bl w:val="nil"/>
            </w:tcBorders>
            <w:shd w:val="clear" w:color="auto" w:fill="auto"/>
            <w:noWrap w:val="0"/>
            <w:vAlign w:val="center"/>
          </w:tcPr>
          <w:p w14:paraId="6794388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空间布局约束</w:t>
            </w:r>
          </w:p>
        </w:tc>
        <w:tc>
          <w:tcPr>
            <w:tcW w:w="664" w:type="pct"/>
            <w:tcBorders>
              <w:tl2br w:val="nil"/>
              <w:tr2bl w:val="nil"/>
            </w:tcBorders>
            <w:shd w:val="clear" w:color="auto" w:fill="auto"/>
            <w:noWrap w:val="0"/>
            <w:vAlign w:val="center"/>
          </w:tcPr>
          <w:p w14:paraId="6D1E7F5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禁止开发建设活动的要求</w:t>
            </w:r>
          </w:p>
        </w:tc>
        <w:tc>
          <w:tcPr>
            <w:tcW w:w="2140" w:type="pct"/>
            <w:tcBorders>
              <w:tl2br w:val="nil"/>
              <w:tr2bl w:val="nil"/>
            </w:tcBorders>
            <w:shd w:val="clear" w:color="auto" w:fill="auto"/>
            <w:noWrap w:val="0"/>
            <w:vAlign w:val="center"/>
          </w:tcPr>
          <w:p w14:paraId="52BE82E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1DBDB1F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3419AFB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4556C24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025F992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349" w:type="pct"/>
            <w:vMerge w:val="continue"/>
            <w:tcBorders>
              <w:tl2br w:val="nil"/>
              <w:tr2bl w:val="nil"/>
            </w:tcBorders>
            <w:shd w:val="clear" w:color="auto" w:fill="auto"/>
            <w:noWrap w:val="0"/>
            <w:vAlign w:val="center"/>
          </w:tcPr>
          <w:p w14:paraId="71C2E09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298F300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061F2E9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限制开发建设活动的要求</w:t>
            </w:r>
          </w:p>
        </w:tc>
        <w:tc>
          <w:tcPr>
            <w:tcW w:w="2140" w:type="pct"/>
            <w:tcBorders>
              <w:tl2br w:val="nil"/>
              <w:tr2bl w:val="nil"/>
            </w:tcBorders>
            <w:shd w:val="clear" w:color="auto" w:fill="auto"/>
            <w:noWrap w:val="0"/>
            <w:vAlign w:val="center"/>
          </w:tcPr>
          <w:p w14:paraId="61FFE42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7F0CA07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28F2743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324E0B6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7FB6E02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349" w:type="pct"/>
            <w:vMerge w:val="continue"/>
            <w:tcBorders>
              <w:tl2br w:val="nil"/>
              <w:tr2bl w:val="nil"/>
            </w:tcBorders>
            <w:shd w:val="clear" w:color="auto" w:fill="auto"/>
            <w:noWrap w:val="0"/>
            <w:vAlign w:val="center"/>
          </w:tcPr>
          <w:p w14:paraId="52C6096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0E41C60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78366E3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不符合空间布局要求活动的退出要求</w:t>
            </w:r>
          </w:p>
        </w:tc>
        <w:tc>
          <w:tcPr>
            <w:tcW w:w="2140" w:type="pct"/>
            <w:tcBorders>
              <w:tl2br w:val="nil"/>
              <w:tr2bl w:val="nil"/>
            </w:tcBorders>
            <w:shd w:val="clear" w:color="auto" w:fill="auto"/>
            <w:noWrap w:val="0"/>
            <w:vAlign w:val="center"/>
          </w:tcPr>
          <w:p w14:paraId="2F58146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7B2BFF2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2D82312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048DA91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9736B8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349" w:type="pct"/>
            <w:vMerge w:val="continue"/>
            <w:tcBorders>
              <w:tl2br w:val="nil"/>
              <w:tr2bl w:val="nil"/>
            </w:tcBorders>
            <w:shd w:val="clear" w:color="auto" w:fill="auto"/>
            <w:noWrap w:val="0"/>
            <w:vAlign w:val="center"/>
          </w:tcPr>
          <w:p w14:paraId="3D90C0C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03A9EF2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06786AC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其他空间布局约束要求</w:t>
            </w:r>
          </w:p>
        </w:tc>
        <w:tc>
          <w:tcPr>
            <w:tcW w:w="2140" w:type="pct"/>
            <w:tcBorders>
              <w:tl2br w:val="nil"/>
              <w:tr2bl w:val="nil"/>
            </w:tcBorders>
            <w:shd w:val="clear" w:color="auto" w:fill="auto"/>
            <w:noWrap w:val="0"/>
            <w:vAlign w:val="center"/>
          </w:tcPr>
          <w:p w14:paraId="42C9D55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24A8C68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705DADC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2C78191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D5D111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349" w:type="pct"/>
            <w:vMerge w:val="continue"/>
            <w:tcBorders>
              <w:tl2br w:val="nil"/>
              <w:tr2bl w:val="nil"/>
            </w:tcBorders>
            <w:shd w:val="clear" w:color="auto" w:fill="auto"/>
            <w:noWrap w:val="0"/>
            <w:vAlign w:val="center"/>
          </w:tcPr>
          <w:p w14:paraId="15B75C0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restart"/>
            <w:tcBorders>
              <w:tl2br w:val="nil"/>
              <w:tr2bl w:val="nil"/>
            </w:tcBorders>
            <w:shd w:val="clear" w:color="auto" w:fill="auto"/>
            <w:noWrap w:val="0"/>
            <w:vAlign w:val="center"/>
          </w:tcPr>
          <w:p w14:paraId="4C4B986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污染物排放管控</w:t>
            </w:r>
          </w:p>
          <w:p w14:paraId="42D9CD0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 xml:space="preserve"> </w:t>
            </w:r>
          </w:p>
        </w:tc>
        <w:tc>
          <w:tcPr>
            <w:tcW w:w="664" w:type="pct"/>
            <w:tcBorders>
              <w:tl2br w:val="nil"/>
              <w:tr2bl w:val="nil"/>
            </w:tcBorders>
            <w:shd w:val="clear" w:color="auto" w:fill="auto"/>
            <w:noWrap w:val="0"/>
            <w:vAlign w:val="center"/>
          </w:tcPr>
          <w:p w14:paraId="4B2637B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允许排放量要求</w:t>
            </w:r>
          </w:p>
        </w:tc>
        <w:tc>
          <w:tcPr>
            <w:tcW w:w="2140" w:type="pct"/>
            <w:tcBorders>
              <w:tl2br w:val="nil"/>
              <w:tr2bl w:val="nil"/>
            </w:tcBorders>
            <w:shd w:val="clear" w:color="auto" w:fill="auto"/>
            <w:noWrap w:val="0"/>
            <w:vAlign w:val="center"/>
          </w:tcPr>
          <w:p w14:paraId="5AFD01F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5A09727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3D6B7EA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6EF2122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7377B0B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349" w:type="pct"/>
            <w:vMerge w:val="continue"/>
            <w:tcBorders>
              <w:tl2br w:val="nil"/>
              <w:tr2bl w:val="nil"/>
            </w:tcBorders>
            <w:shd w:val="clear" w:color="auto" w:fill="auto"/>
            <w:noWrap w:val="0"/>
            <w:vAlign w:val="center"/>
          </w:tcPr>
          <w:p w14:paraId="00C6F5F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243FDD6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2F4D27F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现有源提标升级改造</w:t>
            </w:r>
          </w:p>
        </w:tc>
        <w:tc>
          <w:tcPr>
            <w:tcW w:w="2140" w:type="pct"/>
            <w:tcBorders>
              <w:tl2br w:val="nil"/>
              <w:tr2bl w:val="nil"/>
            </w:tcBorders>
            <w:shd w:val="clear" w:color="auto" w:fill="auto"/>
            <w:noWrap w:val="0"/>
            <w:vAlign w:val="center"/>
          </w:tcPr>
          <w:p w14:paraId="46BF476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07307AB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7A42DCC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58D0EE1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2D2100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03EE2D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一般管控单元</w:t>
            </w:r>
          </w:p>
        </w:tc>
        <w:tc>
          <w:tcPr>
            <w:tcW w:w="277" w:type="pct"/>
            <w:vMerge w:val="continue"/>
            <w:tcBorders>
              <w:tl2br w:val="nil"/>
              <w:tr2bl w:val="nil"/>
            </w:tcBorders>
            <w:shd w:val="clear" w:color="auto" w:fill="auto"/>
            <w:noWrap w:val="0"/>
            <w:vAlign w:val="center"/>
          </w:tcPr>
          <w:p w14:paraId="0198F83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053357F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其他污染物排放管控要求</w:t>
            </w:r>
          </w:p>
        </w:tc>
        <w:tc>
          <w:tcPr>
            <w:tcW w:w="2140" w:type="pct"/>
            <w:tcBorders>
              <w:tl2br w:val="nil"/>
              <w:tr2bl w:val="nil"/>
            </w:tcBorders>
            <w:shd w:val="clear" w:color="auto" w:fill="auto"/>
            <w:noWrap w:val="0"/>
            <w:vAlign w:val="center"/>
          </w:tcPr>
          <w:p w14:paraId="1AB1091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54E1902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60F9A2D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38E0A1B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60654859">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1FF062A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restart"/>
            <w:tcBorders>
              <w:tl2br w:val="nil"/>
              <w:tr2bl w:val="nil"/>
            </w:tcBorders>
            <w:shd w:val="clear" w:color="auto" w:fill="auto"/>
            <w:noWrap w:val="0"/>
            <w:vAlign w:val="center"/>
          </w:tcPr>
          <w:p w14:paraId="28BFEB3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环境风险防控</w:t>
            </w:r>
          </w:p>
        </w:tc>
        <w:tc>
          <w:tcPr>
            <w:tcW w:w="664" w:type="pct"/>
            <w:tcBorders>
              <w:tl2br w:val="nil"/>
              <w:tr2bl w:val="nil"/>
            </w:tcBorders>
            <w:shd w:val="clear" w:color="auto" w:fill="auto"/>
            <w:noWrap w:val="0"/>
            <w:vAlign w:val="center"/>
          </w:tcPr>
          <w:p w14:paraId="3B760F3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联防联控要求</w:t>
            </w:r>
          </w:p>
        </w:tc>
        <w:tc>
          <w:tcPr>
            <w:tcW w:w="2140" w:type="pct"/>
            <w:tcBorders>
              <w:tl2br w:val="nil"/>
              <w:tr2bl w:val="nil"/>
            </w:tcBorders>
            <w:shd w:val="clear" w:color="auto" w:fill="auto"/>
            <w:noWrap w:val="0"/>
            <w:vAlign w:val="center"/>
          </w:tcPr>
          <w:p w14:paraId="5FD38A6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01B7CE5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4C4BF7A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664ED0B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1" w:hRule="atLeast"/>
        </w:trPr>
        <w:tc>
          <w:tcPr>
            <w:tcW w:w="530" w:type="pct"/>
            <w:vMerge w:val="continue"/>
            <w:tcBorders>
              <w:tl2br w:val="nil"/>
              <w:tr2bl w:val="nil"/>
            </w:tcBorders>
            <w:shd w:val="clear" w:color="auto" w:fill="auto"/>
            <w:noWrap w:val="0"/>
            <w:vAlign w:val="center"/>
          </w:tcPr>
          <w:p w14:paraId="0352608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4E430C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7022669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59DCFF3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其他环境风险防控要求</w:t>
            </w:r>
          </w:p>
        </w:tc>
        <w:tc>
          <w:tcPr>
            <w:tcW w:w="2140" w:type="pct"/>
            <w:tcBorders>
              <w:tl2br w:val="nil"/>
              <w:tr2bl w:val="nil"/>
            </w:tcBorders>
            <w:shd w:val="clear" w:color="auto" w:fill="auto"/>
            <w:noWrap w:val="0"/>
            <w:vAlign w:val="center"/>
          </w:tcPr>
          <w:p w14:paraId="72098B9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5E928E0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7558107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4B7FB51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02FD041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4F7B2D6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restart"/>
            <w:tcBorders>
              <w:tl2br w:val="nil"/>
              <w:tr2bl w:val="nil"/>
            </w:tcBorders>
            <w:shd w:val="clear" w:color="auto" w:fill="auto"/>
            <w:noWrap w:val="0"/>
            <w:vAlign w:val="center"/>
          </w:tcPr>
          <w:p w14:paraId="139C5A5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资源开发利用效率要求</w:t>
            </w:r>
          </w:p>
        </w:tc>
        <w:tc>
          <w:tcPr>
            <w:tcW w:w="664" w:type="pct"/>
            <w:tcBorders>
              <w:tl2br w:val="nil"/>
              <w:tr2bl w:val="nil"/>
            </w:tcBorders>
            <w:shd w:val="clear" w:color="auto" w:fill="auto"/>
            <w:noWrap w:val="0"/>
            <w:vAlign w:val="center"/>
          </w:tcPr>
          <w:p w14:paraId="28A0156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水资源利用总量要求</w:t>
            </w:r>
          </w:p>
        </w:tc>
        <w:tc>
          <w:tcPr>
            <w:tcW w:w="2140" w:type="pct"/>
            <w:tcBorders>
              <w:tl2br w:val="nil"/>
              <w:tr2bl w:val="nil"/>
            </w:tcBorders>
            <w:shd w:val="clear" w:color="auto" w:fill="auto"/>
            <w:noWrap w:val="0"/>
            <w:vAlign w:val="center"/>
          </w:tcPr>
          <w:p w14:paraId="7C05953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5B83111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3FBDA2D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2FCDB97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40" w:hRule="atLeast"/>
        </w:trPr>
        <w:tc>
          <w:tcPr>
            <w:tcW w:w="530" w:type="pct"/>
            <w:vMerge w:val="continue"/>
            <w:tcBorders>
              <w:tl2br w:val="nil"/>
              <w:tr2bl w:val="nil"/>
            </w:tcBorders>
            <w:shd w:val="clear" w:color="auto" w:fill="auto"/>
            <w:noWrap w:val="0"/>
            <w:vAlign w:val="center"/>
          </w:tcPr>
          <w:p w14:paraId="41CAE3B2">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4808C9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00A6E31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51365CB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地下水开采要求</w:t>
            </w:r>
          </w:p>
        </w:tc>
        <w:tc>
          <w:tcPr>
            <w:tcW w:w="2140" w:type="pct"/>
            <w:tcBorders>
              <w:tl2br w:val="nil"/>
              <w:tr2bl w:val="nil"/>
            </w:tcBorders>
            <w:shd w:val="clear" w:color="auto" w:fill="auto"/>
            <w:noWrap w:val="0"/>
            <w:vAlign w:val="center"/>
          </w:tcPr>
          <w:p w14:paraId="29088E2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215D17E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7D2FEEA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7FCC942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4AF56D39">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88D9912">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5232FEE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7CF107E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能源利用总量及效率要求</w:t>
            </w:r>
          </w:p>
        </w:tc>
        <w:tc>
          <w:tcPr>
            <w:tcW w:w="2140" w:type="pct"/>
            <w:tcBorders>
              <w:tl2br w:val="nil"/>
              <w:tr2bl w:val="nil"/>
            </w:tcBorders>
            <w:shd w:val="clear" w:color="auto" w:fill="auto"/>
            <w:noWrap w:val="0"/>
            <w:vAlign w:val="center"/>
          </w:tcPr>
          <w:p w14:paraId="7D2255B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6A92F5A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4D8FE41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5214225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02FE56E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A5F748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一般管控单元</w:t>
            </w:r>
          </w:p>
        </w:tc>
        <w:tc>
          <w:tcPr>
            <w:tcW w:w="277" w:type="pct"/>
            <w:vMerge w:val="continue"/>
            <w:tcBorders>
              <w:tl2br w:val="nil"/>
              <w:tr2bl w:val="nil"/>
            </w:tcBorders>
            <w:shd w:val="clear" w:color="auto" w:fill="auto"/>
            <w:noWrap w:val="0"/>
            <w:vAlign w:val="center"/>
          </w:tcPr>
          <w:p w14:paraId="777E04B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62A1166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禁燃区要求</w:t>
            </w:r>
          </w:p>
        </w:tc>
        <w:tc>
          <w:tcPr>
            <w:tcW w:w="2140" w:type="pct"/>
            <w:tcBorders>
              <w:tl2br w:val="nil"/>
              <w:tr2bl w:val="nil"/>
            </w:tcBorders>
            <w:shd w:val="clear" w:color="auto" w:fill="auto"/>
            <w:noWrap w:val="0"/>
            <w:vAlign w:val="center"/>
          </w:tcPr>
          <w:p w14:paraId="409A337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0E6E5E0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021158B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2F1E8DC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0A17B7F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6983353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一般管控单元</w:t>
            </w:r>
          </w:p>
        </w:tc>
        <w:tc>
          <w:tcPr>
            <w:tcW w:w="277" w:type="pct"/>
            <w:vMerge w:val="continue"/>
            <w:tcBorders>
              <w:tl2br w:val="nil"/>
              <w:tr2bl w:val="nil"/>
            </w:tcBorders>
            <w:shd w:val="clear" w:color="auto" w:fill="auto"/>
            <w:noWrap w:val="0"/>
            <w:vAlign w:val="center"/>
          </w:tcPr>
          <w:p w14:paraId="6749CA5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664" w:type="pct"/>
            <w:tcBorders>
              <w:tl2br w:val="nil"/>
              <w:tr2bl w:val="nil"/>
            </w:tcBorders>
            <w:shd w:val="clear" w:color="auto" w:fill="auto"/>
            <w:noWrap w:val="0"/>
            <w:vAlign w:val="center"/>
          </w:tcPr>
          <w:p w14:paraId="397392E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其他资源利用效率要求</w:t>
            </w:r>
          </w:p>
        </w:tc>
        <w:tc>
          <w:tcPr>
            <w:tcW w:w="2140" w:type="pct"/>
            <w:tcBorders>
              <w:tl2br w:val="nil"/>
              <w:tr2bl w:val="nil"/>
            </w:tcBorders>
            <w:shd w:val="clear" w:color="auto" w:fill="auto"/>
            <w:noWrap w:val="0"/>
            <w:vAlign w:val="center"/>
          </w:tcPr>
          <w:p w14:paraId="791F3FE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0D4E49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0"/>
                <w:sz w:val="20"/>
                <w:szCs w:val="20"/>
                <w:highlight w:val="none"/>
                <w:lang w:val="en-US" w:eastAsia="zh-CN" w:bidi="ar-SA"/>
              </w:rPr>
              <w:t>/</w:t>
            </w:r>
          </w:p>
        </w:tc>
        <w:tc>
          <w:tcPr>
            <w:tcW w:w="296" w:type="pct"/>
            <w:tcBorders>
              <w:tl2br w:val="nil"/>
              <w:tr2bl w:val="nil"/>
            </w:tcBorders>
            <w:shd w:val="clear" w:color="auto" w:fill="auto"/>
            <w:noWrap w:val="0"/>
            <w:vAlign w:val="center"/>
          </w:tcPr>
          <w:p w14:paraId="35C9FD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0"/>
                <w:sz w:val="20"/>
                <w:szCs w:val="20"/>
                <w:highlight w:val="none"/>
                <w:lang w:val="en-US" w:eastAsia="zh-CN" w:bidi="ar-SA"/>
              </w:rPr>
              <w:t>/</w:t>
            </w:r>
          </w:p>
        </w:tc>
      </w:tr>
      <w:tr w14:paraId="2699EBC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3DCB4B7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restart"/>
            <w:tcBorders>
              <w:tl2br w:val="nil"/>
              <w:tr2bl w:val="nil"/>
            </w:tcBorders>
            <w:shd w:val="clear" w:color="auto" w:fill="auto"/>
            <w:noWrap w:val="0"/>
            <w:vAlign w:val="center"/>
          </w:tcPr>
          <w:p w14:paraId="22E77EDB">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单元特性管控要求</w:t>
            </w:r>
          </w:p>
        </w:tc>
        <w:tc>
          <w:tcPr>
            <w:tcW w:w="277" w:type="pct"/>
            <w:vMerge w:val="restart"/>
            <w:tcBorders>
              <w:tl2br w:val="nil"/>
              <w:tr2bl w:val="nil"/>
            </w:tcBorders>
            <w:shd w:val="clear" w:color="auto" w:fill="auto"/>
            <w:noWrap w:val="0"/>
            <w:vAlign w:val="center"/>
          </w:tcPr>
          <w:p w14:paraId="49A56BC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空间布局约束</w:t>
            </w:r>
          </w:p>
        </w:tc>
        <w:tc>
          <w:tcPr>
            <w:tcW w:w="664" w:type="pct"/>
            <w:tcBorders>
              <w:tl2br w:val="nil"/>
              <w:tr2bl w:val="nil"/>
            </w:tcBorders>
            <w:shd w:val="clear" w:color="auto" w:fill="auto"/>
            <w:noWrap w:val="0"/>
            <w:vAlign w:val="center"/>
          </w:tcPr>
          <w:p w14:paraId="710642B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禁止开发建设活动的要求</w:t>
            </w:r>
          </w:p>
        </w:tc>
        <w:tc>
          <w:tcPr>
            <w:tcW w:w="2140" w:type="pct"/>
            <w:tcBorders>
              <w:tl2br w:val="nil"/>
              <w:tr2bl w:val="nil"/>
            </w:tcBorders>
            <w:shd w:val="clear" w:color="auto" w:fill="auto"/>
            <w:noWrap w:val="0"/>
            <w:vAlign w:val="center"/>
          </w:tcPr>
          <w:p w14:paraId="775D18E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对</w:t>
            </w:r>
            <w:r>
              <w:rPr>
                <w:rStyle w:val="37"/>
                <w:rFonts w:hint="default" w:ascii="Times New Roman" w:hAnsi="Times New Roman" w:eastAsia="宋体" w:cs="Times New Roman"/>
                <w:color w:val="auto"/>
                <w:kern w:val="2"/>
                <w:sz w:val="20"/>
                <w:szCs w:val="20"/>
                <w:highlight w:val="none"/>
                <w:lang w:val="en-US" w:eastAsia="zh-CN" w:bidi="ar-SA"/>
              </w:rPr>
              <w:t>不再新建、改扩建开采规模在50万吨/年以下的磷矿，不再新建露天磷矿。</w:t>
            </w:r>
          </w:p>
        </w:tc>
        <w:tc>
          <w:tcPr>
            <w:tcW w:w="741" w:type="pct"/>
            <w:tcBorders>
              <w:tl2br w:val="nil"/>
              <w:tr2bl w:val="nil"/>
            </w:tcBorders>
            <w:shd w:val="clear" w:color="auto" w:fill="auto"/>
            <w:noWrap w:val="0"/>
            <w:vAlign w:val="center"/>
          </w:tcPr>
          <w:p w14:paraId="66BCD3EA">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本项目不涉及</w:t>
            </w:r>
          </w:p>
        </w:tc>
        <w:tc>
          <w:tcPr>
            <w:tcW w:w="296" w:type="pct"/>
            <w:tcBorders>
              <w:tl2br w:val="nil"/>
              <w:tr2bl w:val="nil"/>
            </w:tcBorders>
            <w:shd w:val="clear" w:color="auto" w:fill="auto"/>
            <w:noWrap w:val="0"/>
            <w:vAlign w:val="center"/>
          </w:tcPr>
          <w:p w14:paraId="0E1417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符合</w:t>
            </w:r>
          </w:p>
        </w:tc>
      </w:tr>
      <w:tr w14:paraId="03EE99C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C787FA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777A09B">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092E08E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0F16383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限制开发建设活动的要求</w:t>
            </w:r>
          </w:p>
        </w:tc>
        <w:tc>
          <w:tcPr>
            <w:tcW w:w="2140" w:type="pct"/>
            <w:tcBorders>
              <w:tl2br w:val="nil"/>
              <w:tr2bl w:val="nil"/>
            </w:tcBorders>
            <w:shd w:val="clear" w:color="auto" w:fill="auto"/>
            <w:noWrap w:val="0"/>
            <w:vAlign w:val="center"/>
          </w:tcPr>
          <w:p w14:paraId="72D67B5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2FABD5D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210679C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w:t>
            </w:r>
          </w:p>
        </w:tc>
      </w:tr>
      <w:tr w14:paraId="2882677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44BE7C2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B38199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6979D39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3D69C44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允许开发建设活动的要求</w:t>
            </w:r>
          </w:p>
        </w:tc>
        <w:tc>
          <w:tcPr>
            <w:tcW w:w="2140" w:type="pct"/>
            <w:tcBorders>
              <w:tl2br w:val="nil"/>
              <w:tr2bl w:val="nil"/>
            </w:tcBorders>
            <w:shd w:val="clear" w:color="auto" w:fill="auto"/>
            <w:noWrap w:val="0"/>
            <w:vAlign w:val="center"/>
          </w:tcPr>
          <w:p w14:paraId="663A60C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3394975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5164AF5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w:t>
            </w:r>
          </w:p>
        </w:tc>
      </w:tr>
      <w:tr w14:paraId="06F653B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233D43FE">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E3010D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4A79C34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751572F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不符合空间布局要求活动的退出要求</w:t>
            </w:r>
          </w:p>
        </w:tc>
        <w:tc>
          <w:tcPr>
            <w:tcW w:w="2140" w:type="pct"/>
            <w:tcBorders>
              <w:tl2br w:val="nil"/>
              <w:tr2bl w:val="nil"/>
            </w:tcBorders>
            <w:shd w:val="clear" w:color="auto" w:fill="auto"/>
            <w:noWrap w:val="0"/>
            <w:vAlign w:val="center"/>
          </w:tcPr>
          <w:p w14:paraId="72679F5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5B79132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27B02BA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w:t>
            </w:r>
          </w:p>
        </w:tc>
      </w:tr>
      <w:tr w14:paraId="4B002BF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0E49BBF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62321F8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523E3FA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326FA2B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其他空间布局约束要求</w:t>
            </w:r>
          </w:p>
        </w:tc>
        <w:tc>
          <w:tcPr>
            <w:tcW w:w="2140" w:type="pct"/>
            <w:tcBorders>
              <w:tl2br w:val="nil"/>
              <w:tr2bl w:val="nil"/>
            </w:tcBorders>
            <w:shd w:val="clear" w:color="auto" w:fill="auto"/>
            <w:noWrap w:val="0"/>
            <w:vAlign w:val="center"/>
          </w:tcPr>
          <w:p w14:paraId="5798F2C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264FB32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SA"/>
              </w:rPr>
              <w:t>/</w:t>
            </w:r>
          </w:p>
        </w:tc>
        <w:tc>
          <w:tcPr>
            <w:tcW w:w="296" w:type="pct"/>
            <w:tcBorders>
              <w:tl2br w:val="nil"/>
              <w:tr2bl w:val="nil"/>
            </w:tcBorders>
            <w:shd w:val="clear" w:color="auto" w:fill="auto"/>
            <w:noWrap w:val="0"/>
            <w:vAlign w:val="center"/>
          </w:tcPr>
          <w:p w14:paraId="656D4FE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SA"/>
              </w:rPr>
              <w:t>/</w:t>
            </w:r>
          </w:p>
        </w:tc>
      </w:tr>
      <w:tr w14:paraId="6A4CBE9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7BC986E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4EB39DE9">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restart"/>
            <w:tcBorders>
              <w:tl2br w:val="nil"/>
              <w:tr2bl w:val="nil"/>
            </w:tcBorders>
            <w:shd w:val="clear" w:color="auto" w:fill="auto"/>
            <w:noWrap w:val="0"/>
            <w:vAlign w:val="center"/>
          </w:tcPr>
          <w:p w14:paraId="0EE682A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污染物排放管控</w:t>
            </w:r>
          </w:p>
        </w:tc>
        <w:tc>
          <w:tcPr>
            <w:tcW w:w="664" w:type="pct"/>
            <w:tcBorders>
              <w:tl2br w:val="nil"/>
              <w:tr2bl w:val="nil"/>
            </w:tcBorders>
            <w:shd w:val="clear" w:color="auto" w:fill="auto"/>
            <w:noWrap w:val="0"/>
            <w:vAlign w:val="center"/>
          </w:tcPr>
          <w:p w14:paraId="70AF497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城镇污水污染控制措施要求</w:t>
            </w:r>
          </w:p>
        </w:tc>
        <w:tc>
          <w:tcPr>
            <w:tcW w:w="2140" w:type="pct"/>
            <w:tcBorders>
              <w:tl2br w:val="nil"/>
              <w:tr2bl w:val="nil"/>
            </w:tcBorders>
            <w:shd w:val="clear" w:color="auto" w:fill="auto"/>
            <w:noWrap w:val="0"/>
            <w:vAlign w:val="center"/>
          </w:tcPr>
          <w:p w14:paraId="01A8CCE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1、持续推进环保基础设施补短板，完善污水收集处理系统。2、保障乡镇污水收集处理设施顺畅运行。3、推进污水直排口排查与整治，落实“一口一策”整改措施。</w:t>
            </w:r>
          </w:p>
        </w:tc>
        <w:tc>
          <w:tcPr>
            <w:tcW w:w="741" w:type="pct"/>
            <w:vMerge w:val="restart"/>
            <w:tcBorders>
              <w:tl2br w:val="nil"/>
              <w:tr2bl w:val="nil"/>
            </w:tcBorders>
            <w:shd w:val="clear" w:color="auto" w:fill="auto"/>
            <w:noWrap w:val="0"/>
            <w:vAlign w:val="center"/>
          </w:tcPr>
          <w:p w14:paraId="36D444F9">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本项目厂区内实行雨污分流，生产废水依托</w:t>
            </w:r>
            <w:r>
              <w:rPr>
                <w:rStyle w:val="37"/>
                <w:rFonts w:hint="eastAsia" w:eastAsia="宋体" w:cs="Times New Roman"/>
                <w:color w:val="auto"/>
                <w:kern w:val="2"/>
                <w:sz w:val="20"/>
                <w:szCs w:val="20"/>
                <w:highlight w:val="none"/>
                <w:lang w:val="en-US" w:eastAsia="zh-CN" w:bidi="ar-SA"/>
              </w:rPr>
              <w:t>普安镇污水处理厂或</w:t>
            </w:r>
            <w:r>
              <w:rPr>
                <w:rStyle w:val="37"/>
                <w:rFonts w:hint="default" w:ascii="Times New Roman" w:hAnsi="Times New Roman" w:eastAsia="宋体" w:cs="Times New Roman"/>
                <w:color w:val="auto"/>
                <w:kern w:val="2"/>
                <w:sz w:val="20"/>
                <w:szCs w:val="20"/>
                <w:highlight w:val="none"/>
                <w:lang w:val="en-US" w:eastAsia="zh-CN" w:bidi="ar-SA"/>
              </w:rPr>
              <w:t>剑阁县垃圾填埋场渗滤液处理站处理后达标排放，不直接外排。</w:t>
            </w:r>
          </w:p>
        </w:tc>
        <w:tc>
          <w:tcPr>
            <w:tcW w:w="296" w:type="pct"/>
            <w:vMerge w:val="restart"/>
            <w:tcBorders>
              <w:tl2br w:val="nil"/>
              <w:tr2bl w:val="nil"/>
            </w:tcBorders>
            <w:shd w:val="clear" w:color="auto" w:fill="auto"/>
            <w:noWrap w:val="0"/>
            <w:vAlign w:val="center"/>
          </w:tcPr>
          <w:p w14:paraId="241B57A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SA"/>
              </w:rPr>
              <w:t>符合</w:t>
            </w:r>
          </w:p>
          <w:p w14:paraId="43126A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p>
        </w:tc>
      </w:tr>
      <w:tr w14:paraId="3596FB6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3" w:hRule="atLeast"/>
        </w:trPr>
        <w:tc>
          <w:tcPr>
            <w:tcW w:w="530" w:type="pct"/>
            <w:vMerge w:val="continue"/>
            <w:tcBorders>
              <w:tl2br w:val="nil"/>
              <w:tr2bl w:val="nil"/>
            </w:tcBorders>
            <w:shd w:val="clear" w:color="auto" w:fill="auto"/>
            <w:noWrap w:val="0"/>
            <w:vAlign w:val="center"/>
          </w:tcPr>
          <w:p w14:paraId="6112729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406B773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E919D9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4F8D8FA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工业废水污染控制措施要求</w:t>
            </w:r>
          </w:p>
        </w:tc>
        <w:tc>
          <w:tcPr>
            <w:tcW w:w="2140" w:type="pct"/>
            <w:tcBorders>
              <w:tl2br w:val="nil"/>
              <w:tr2bl w:val="nil"/>
            </w:tcBorders>
            <w:shd w:val="clear" w:color="auto" w:fill="auto"/>
            <w:noWrap w:val="0"/>
            <w:vAlign w:val="center"/>
          </w:tcPr>
          <w:p w14:paraId="30F6D50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1、落实主要污染物排放总量指标控制要求，加强入河排污口登记、审批和监督管理。2、强化流域内工业点源、规模化畜禽养殖场运行监管，避免偷排、漏排。</w:t>
            </w:r>
          </w:p>
        </w:tc>
        <w:tc>
          <w:tcPr>
            <w:tcW w:w="741" w:type="pct"/>
            <w:vMerge w:val="continue"/>
            <w:tcBorders>
              <w:tl2br w:val="nil"/>
              <w:tr2bl w:val="nil"/>
            </w:tcBorders>
            <w:shd w:val="clear" w:color="auto" w:fill="auto"/>
            <w:noWrap w:val="0"/>
            <w:vAlign w:val="center"/>
          </w:tcPr>
          <w:p w14:paraId="38EEF5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0"/>
                <w:sz w:val="20"/>
                <w:szCs w:val="20"/>
                <w:highlight w:val="none"/>
                <w:lang w:val="en-US" w:eastAsia="zh-CN" w:bidi="ar-SA"/>
              </w:rPr>
            </w:pPr>
          </w:p>
        </w:tc>
        <w:tc>
          <w:tcPr>
            <w:tcW w:w="296" w:type="pct"/>
            <w:vMerge w:val="continue"/>
            <w:tcBorders>
              <w:tl2br w:val="nil"/>
              <w:tr2bl w:val="nil"/>
            </w:tcBorders>
            <w:shd w:val="clear" w:color="auto" w:fill="auto"/>
            <w:noWrap w:val="0"/>
            <w:vAlign w:val="center"/>
          </w:tcPr>
          <w:p w14:paraId="05B6BA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0"/>
                <w:sz w:val="20"/>
                <w:szCs w:val="20"/>
                <w:highlight w:val="none"/>
                <w:lang w:val="en-US" w:eastAsia="zh-CN" w:bidi="ar-SA"/>
              </w:rPr>
            </w:pPr>
          </w:p>
        </w:tc>
      </w:tr>
      <w:tr w14:paraId="65C5B33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0C4F258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40C628E">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5DE2C01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5A1C3F0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农业面源水污染控制措施要求</w:t>
            </w:r>
          </w:p>
        </w:tc>
        <w:tc>
          <w:tcPr>
            <w:tcW w:w="2140" w:type="pct"/>
            <w:tcBorders>
              <w:tl2br w:val="nil"/>
              <w:tr2bl w:val="nil"/>
            </w:tcBorders>
            <w:shd w:val="clear" w:color="auto" w:fill="auto"/>
            <w:noWrap w:val="0"/>
            <w:vAlign w:val="center"/>
          </w:tcPr>
          <w:p w14:paraId="0280CFF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1、推进农村污染治理，稳步农村污水处理设施建设，适当预留发展空间，宜集中则集中，宜分散则分散。大力推进农村生活垃圾就地分类减量和资源化利用，因地制宜选择农村生活垃圾治理模式。严格做好“农家乐”、种植采摘园等范围内的生活及农产品产生污水及垃圾治理。2、以环境承载能力为约束，合理规划水产养殖空间及规模；推进水产生态健康养殖，加强渔业生产过程中抗菌药物使用管控。推进水产养殖治理，水产养殖废水应处理达到《四川省水产养殖业水污染物排放标准》后排放；实施池塘标准化改造，完善循环水和进排水处理设施；推进养殖尾水节水减排。3、以环境承载能力为约束，合理规划畜禽养殖空间及规模；推进畜禽粪污分类处置，根据排放去向或利用方式的不同执行相应的标准规范。不断提高畜禽养殖粪污资源化利用率及利用水平；设有污水排放口的规模化畜禽养殖场应当依法申领排污许可证。4、推进化肥、农药使用量“零增长”，逐步推进农田径流拦截及治理。</w:t>
            </w:r>
          </w:p>
        </w:tc>
        <w:tc>
          <w:tcPr>
            <w:tcW w:w="741" w:type="pct"/>
            <w:vMerge w:val="continue"/>
            <w:tcBorders>
              <w:tl2br w:val="nil"/>
              <w:tr2bl w:val="nil"/>
            </w:tcBorders>
            <w:shd w:val="clear" w:color="auto" w:fill="auto"/>
            <w:noWrap w:val="0"/>
            <w:vAlign w:val="center"/>
          </w:tcPr>
          <w:p w14:paraId="2E15CF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0"/>
                <w:sz w:val="20"/>
                <w:szCs w:val="20"/>
                <w:highlight w:val="none"/>
                <w:lang w:val="en-US" w:eastAsia="zh-CN" w:bidi="ar-SA"/>
              </w:rPr>
            </w:pPr>
          </w:p>
        </w:tc>
        <w:tc>
          <w:tcPr>
            <w:tcW w:w="296" w:type="pct"/>
            <w:vMerge w:val="continue"/>
            <w:tcBorders>
              <w:tl2br w:val="nil"/>
              <w:tr2bl w:val="nil"/>
            </w:tcBorders>
            <w:shd w:val="clear" w:color="auto" w:fill="auto"/>
            <w:noWrap w:val="0"/>
            <w:vAlign w:val="center"/>
          </w:tcPr>
          <w:p w14:paraId="4E0C95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0"/>
                <w:sz w:val="20"/>
                <w:szCs w:val="20"/>
                <w:highlight w:val="none"/>
                <w:lang w:val="en-US" w:eastAsia="zh-CN" w:bidi="ar-SA"/>
              </w:rPr>
            </w:pPr>
          </w:p>
        </w:tc>
      </w:tr>
      <w:tr w14:paraId="437CAA0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6C14FD09">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0778C8F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64E7CEB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477AEFD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船舶港口水污染控制措施要求</w:t>
            </w:r>
          </w:p>
        </w:tc>
        <w:tc>
          <w:tcPr>
            <w:tcW w:w="2140" w:type="pct"/>
            <w:tcBorders>
              <w:tl2br w:val="nil"/>
              <w:tr2bl w:val="nil"/>
            </w:tcBorders>
            <w:shd w:val="clear" w:color="auto" w:fill="auto"/>
            <w:noWrap w:val="0"/>
            <w:vAlign w:val="center"/>
          </w:tcPr>
          <w:p w14:paraId="721B6E9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04415FC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p>
        </w:tc>
        <w:tc>
          <w:tcPr>
            <w:tcW w:w="296" w:type="pct"/>
            <w:vMerge w:val="continue"/>
            <w:tcBorders>
              <w:tl2br w:val="nil"/>
              <w:tr2bl w:val="nil"/>
            </w:tcBorders>
            <w:shd w:val="clear" w:color="auto" w:fill="auto"/>
            <w:noWrap w:val="0"/>
            <w:vAlign w:val="center"/>
          </w:tcPr>
          <w:p w14:paraId="6F479E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p>
        </w:tc>
      </w:tr>
      <w:tr w14:paraId="083A569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6E8D191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A42FC7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4595D8D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4F8174A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饮用水水源和其它特殊水体体保护要求</w:t>
            </w:r>
          </w:p>
        </w:tc>
        <w:tc>
          <w:tcPr>
            <w:tcW w:w="2140" w:type="pct"/>
            <w:tcBorders>
              <w:tl2br w:val="nil"/>
              <w:tr2bl w:val="nil"/>
            </w:tcBorders>
            <w:shd w:val="clear" w:color="auto" w:fill="auto"/>
            <w:noWrap w:val="0"/>
            <w:vAlign w:val="center"/>
          </w:tcPr>
          <w:p w14:paraId="6B384A1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7D60D3B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p>
        </w:tc>
        <w:tc>
          <w:tcPr>
            <w:tcW w:w="296" w:type="pct"/>
            <w:tcBorders>
              <w:tl2br w:val="nil"/>
              <w:tr2bl w:val="nil"/>
            </w:tcBorders>
            <w:shd w:val="clear" w:color="auto" w:fill="auto"/>
            <w:noWrap w:val="0"/>
            <w:vAlign w:val="center"/>
          </w:tcPr>
          <w:p w14:paraId="5C42E24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SA"/>
              </w:rPr>
              <w:t>/</w:t>
            </w:r>
          </w:p>
        </w:tc>
      </w:tr>
      <w:tr w14:paraId="00CFB7F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66F14C4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05F89EF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tcBorders>
              <w:tl2br w:val="nil"/>
              <w:tr2bl w:val="nil"/>
            </w:tcBorders>
            <w:shd w:val="clear" w:color="auto" w:fill="auto"/>
            <w:noWrap w:val="0"/>
            <w:vAlign w:val="center"/>
          </w:tcPr>
          <w:p w14:paraId="4B2D817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环境风险防控</w:t>
            </w:r>
          </w:p>
        </w:tc>
        <w:tc>
          <w:tcPr>
            <w:tcW w:w="664" w:type="pct"/>
            <w:tcBorders>
              <w:tl2br w:val="nil"/>
              <w:tr2bl w:val="nil"/>
            </w:tcBorders>
            <w:shd w:val="clear" w:color="auto" w:fill="auto"/>
            <w:noWrap w:val="0"/>
            <w:vAlign w:val="center"/>
          </w:tcPr>
          <w:p w14:paraId="7B2322E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140" w:type="pct"/>
            <w:tcBorders>
              <w:tl2br w:val="nil"/>
              <w:tr2bl w:val="nil"/>
            </w:tcBorders>
            <w:shd w:val="clear" w:color="auto" w:fill="auto"/>
            <w:noWrap w:val="0"/>
            <w:vAlign w:val="center"/>
          </w:tcPr>
          <w:p w14:paraId="6FD45A1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进一步完善工业企业和矿山环境风险防范和管理体系建设，开展企业风险隐患排查与风险评估，增强企业的环境风险意识，守住环境安全底线。落实“一河一策一图”风险管理和应急响应方案，提升风险应急管理水平。</w:t>
            </w:r>
          </w:p>
        </w:tc>
        <w:tc>
          <w:tcPr>
            <w:tcW w:w="741" w:type="pct"/>
            <w:vMerge w:val="restart"/>
            <w:tcBorders>
              <w:tl2br w:val="nil"/>
              <w:tr2bl w:val="nil"/>
            </w:tcBorders>
            <w:shd w:val="clear" w:color="auto" w:fill="auto"/>
            <w:noWrap w:val="0"/>
            <w:vAlign w:val="center"/>
          </w:tcPr>
          <w:p w14:paraId="71C2FCE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环评要求企业采取严格的环境风险防控措施以防范环境风险。</w:t>
            </w:r>
          </w:p>
        </w:tc>
        <w:tc>
          <w:tcPr>
            <w:tcW w:w="296" w:type="pct"/>
            <w:tcBorders>
              <w:tl2br w:val="nil"/>
              <w:tr2bl w:val="nil"/>
            </w:tcBorders>
            <w:shd w:val="clear" w:color="auto" w:fill="auto"/>
            <w:noWrap w:val="0"/>
            <w:vAlign w:val="center"/>
          </w:tcPr>
          <w:p w14:paraId="52CF2BC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SA"/>
              </w:rPr>
              <w:t>符合</w:t>
            </w:r>
          </w:p>
        </w:tc>
      </w:tr>
      <w:tr w14:paraId="79E51A0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5648EDA">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4AF9282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tcBorders>
              <w:tl2br w:val="nil"/>
              <w:tr2bl w:val="nil"/>
            </w:tcBorders>
            <w:shd w:val="clear" w:color="auto" w:fill="auto"/>
            <w:noWrap w:val="0"/>
            <w:vAlign w:val="center"/>
          </w:tcPr>
          <w:p w14:paraId="37C9CA7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资源开发效率要求</w:t>
            </w:r>
          </w:p>
        </w:tc>
        <w:tc>
          <w:tcPr>
            <w:tcW w:w="664" w:type="pct"/>
            <w:tcBorders>
              <w:tl2br w:val="nil"/>
              <w:tr2bl w:val="nil"/>
            </w:tcBorders>
            <w:shd w:val="clear" w:color="auto" w:fill="auto"/>
            <w:noWrap w:val="0"/>
            <w:vAlign w:val="center"/>
          </w:tcPr>
          <w:p w14:paraId="7ED8073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140" w:type="pct"/>
            <w:tcBorders>
              <w:tl2br w:val="nil"/>
              <w:tr2bl w:val="nil"/>
            </w:tcBorders>
            <w:shd w:val="clear" w:color="auto" w:fill="auto"/>
            <w:noWrap w:val="0"/>
            <w:vAlign w:val="center"/>
          </w:tcPr>
          <w:p w14:paraId="4365BBD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强化种植业节水；推进农村污水分质资源化利用。</w:t>
            </w:r>
          </w:p>
        </w:tc>
        <w:tc>
          <w:tcPr>
            <w:tcW w:w="741" w:type="pct"/>
            <w:vMerge w:val="continue"/>
            <w:tcBorders>
              <w:tl2br w:val="nil"/>
              <w:tr2bl w:val="nil"/>
            </w:tcBorders>
            <w:shd w:val="clear" w:color="auto" w:fill="auto"/>
            <w:noWrap w:val="0"/>
            <w:vAlign w:val="center"/>
          </w:tcPr>
          <w:p w14:paraId="70C292E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p>
        </w:tc>
        <w:tc>
          <w:tcPr>
            <w:tcW w:w="296" w:type="pct"/>
            <w:tcBorders>
              <w:tl2br w:val="nil"/>
              <w:tr2bl w:val="nil"/>
            </w:tcBorders>
            <w:shd w:val="clear" w:color="auto" w:fill="auto"/>
            <w:noWrap w:val="0"/>
            <w:vAlign w:val="center"/>
          </w:tcPr>
          <w:p w14:paraId="0E750C33">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SA"/>
              </w:rPr>
              <w:t>符合</w:t>
            </w:r>
          </w:p>
        </w:tc>
      </w:tr>
      <w:tr w14:paraId="780BFF7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PrEx>
        <w:trPr>
          <w:trHeight w:val="340" w:hRule="atLeast"/>
        </w:trPr>
        <w:tc>
          <w:tcPr>
            <w:tcW w:w="530" w:type="pct"/>
            <w:vMerge w:val="restart"/>
            <w:tcBorders>
              <w:tl2br w:val="nil"/>
              <w:tr2bl w:val="nil"/>
            </w:tcBorders>
            <w:shd w:val="clear" w:color="auto" w:fill="auto"/>
            <w:noWrap w:val="0"/>
            <w:vAlign w:val="center"/>
          </w:tcPr>
          <w:p w14:paraId="07EADAB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剑阁县大气环境一般管控区YS5108233310001</w:t>
            </w:r>
          </w:p>
        </w:tc>
        <w:tc>
          <w:tcPr>
            <w:tcW w:w="349" w:type="pct"/>
            <w:tcBorders>
              <w:tl2br w:val="nil"/>
              <w:tr2bl w:val="nil"/>
            </w:tcBorders>
            <w:shd w:val="clear" w:color="auto" w:fill="auto"/>
            <w:noWrap w:val="0"/>
            <w:vAlign w:val="center"/>
          </w:tcPr>
          <w:p w14:paraId="1256160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广元市普适性清单管控要求</w:t>
            </w:r>
          </w:p>
        </w:tc>
        <w:tc>
          <w:tcPr>
            <w:tcW w:w="277" w:type="pct"/>
            <w:tcBorders>
              <w:tl2br w:val="nil"/>
              <w:tr2bl w:val="nil"/>
            </w:tcBorders>
            <w:shd w:val="clear" w:color="auto" w:fill="auto"/>
            <w:noWrap w:val="0"/>
            <w:vAlign w:val="center"/>
          </w:tcPr>
          <w:p w14:paraId="1DA1B08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 xml:space="preserve">空间布局约束 </w:t>
            </w:r>
          </w:p>
          <w:p w14:paraId="4492502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64DF96D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140" w:type="pct"/>
            <w:tcBorders>
              <w:tl2br w:val="nil"/>
              <w:tr2bl w:val="nil"/>
            </w:tcBorders>
            <w:shd w:val="clear" w:color="auto" w:fill="auto"/>
            <w:noWrap w:val="0"/>
            <w:vAlign w:val="center"/>
          </w:tcPr>
          <w:p w14:paraId="47A18D3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41966E6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SA"/>
              </w:rPr>
              <w:t>/</w:t>
            </w:r>
          </w:p>
        </w:tc>
        <w:tc>
          <w:tcPr>
            <w:tcW w:w="296" w:type="pct"/>
            <w:tcBorders>
              <w:tl2br w:val="nil"/>
              <w:tr2bl w:val="nil"/>
            </w:tcBorders>
            <w:shd w:val="clear" w:color="auto" w:fill="auto"/>
            <w:noWrap w:val="0"/>
            <w:vAlign w:val="center"/>
          </w:tcPr>
          <w:p w14:paraId="4A7A507A">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Style w:val="37"/>
                <w:rFonts w:hint="default" w:ascii="Times New Roman" w:hAnsi="Times New Roman" w:eastAsia="宋体" w:cs="Times New Roman"/>
                <w:color w:val="auto"/>
                <w:kern w:val="0"/>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SA"/>
              </w:rPr>
              <w:t>/</w:t>
            </w:r>
          </w:p>
        </w:tc>
      </w:tr>
      <w:tr w14:paraId="3DEB331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3813433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restart"/>
            <w:tcBorders>
              <w:tl2br w:val="nil"/>
              <w:tr2bl w:val="nil"/>
            </w:tcBorders>
            <w:shd w:val="clear" w:color="auto" w:fill="auto"/>
            <w:noWrap w:val="0"/>
            <w:vAlign w:val="center"/>
          </w:tcPr>
          <w:p w14:paraId="63B04FA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单元特性管控要求</w:t>
            </w:r>
          </w:p>
        </w:tc>
        <w:tc>
          <w:tcPr>
            <w:tcW w:w="277" w:type="pct"/>
            <w:vMerge w:val="restart"/>
            <w:tcBorders>
              <w:tl2br w:val="nil"/>
              <w:tr2bl w:val="nil"/>
            </w:tcBorders>
            <w:shd w:val="clear" w:color="auto" w:fill="auto"/>
            <w:noWrap w:val="0"/>
            <w:vAlign w:val="center"/>
          </w:tcPr>
          <w:p w14:paraId="2871A4C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空间布局约束</w:t>
            </w:r>
          </w:p>
        </w:tc>
        <w:tc>
          <w:tcPr>
            <w:tcW w:w="664" w:type="pct"/>
            <w:tcBorders>
              <w:tl2br w:val="nil"/>
              <w:tr2bl w:val="nil"/>
            </w:tcBorders>
            <w:shd w:val="clear" w:color="auto" w:fill="auto"/>
            <w:noWrap w:val="0"/>
            <w:vAlign w:val="center"/>
          </w:tcPr>
          <w:p w14:paraId="1EF3495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禁止开发建设活动的要求</w:t>
            </w:r>
          </w:p>
        </w:tc>
        <w:tc>
          <w:tcPr>
            <w:tcW w:w="2140" w:type="pct"/>
            <w:tcBorders>
              <w:tl2br w:val="nil"/>
              <w:tr2bl w:val="nil"/>
            </w:tcBorders>
            <w:shd w:val="clear" w:color="auto" w:fill="auto"/>
            <w:noWrap w:val="0"/>
            <w:vAlign w:val="center"/>
          </w:tcPr>
          <w:p w14:paraId="2A8D954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2340CA6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7645DF0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2BFBCA8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D206B0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5D52FA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2725EFE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3988869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限制开发建设活动的要求</w:t>
            </w:r>
          </w:p>
        </w:tc>
        <w:tc>
          <w:tcPr>
            <w:tcW w:w="2140" w:type="pct"/>
            <w:tcBorders>
              <w:tl2br w:val="nil"/>
              <w:tr2bl w:val="nil"/>
            </w:tcBorders>
            <w:shd w:val="clear" w:color="auto" w:fill="auto"/>
            <w:noWrap w:val="0"/>
            <w:vAlign w:val="center"/>
          </w:tcPr>
          <w:p w14:paraId="570D7DD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7E11C7C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05484EB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2F3B21F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7E0E865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1ADB9BE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63B88E52">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4E2032C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允许开发建设活动的要求</w:t>
            </w:r>
          </w:p>
        </w:tc>
        <w:tc>
          <w:tcPr>
            <w:tcW w:w="2140" w:type="pct"/>
            <w:tcBorders>
              <w:tl2br w:val="nil"/>
              <w:tr2bl w:val="nil"/>
            </w:tcBorders>
            <w:shd w:val="clear" w:color="auto" w:fill="auto"/>
            <w:noWrap w:val="0"/>
            <w:vAlign w:val="center"/>
          </w:tcPr>
          <w:p w14:paraId="70E6189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619B5B8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06D1396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3CA219C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0DDFAB1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BBE805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71B812FE">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395A595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不符合空间布局要求活动的退出要求</w:t>
            </w:r>
          </w:p>
        </w:tc>
        <w:tc>
          <w:tcPr>
            <w:tcW w:w="2140" w:type="pct"/>
            <w:tcBorders>
              <w:tl2br w:val="nil"/>
              <w:tr2bl w:val="nil"/>
            </w:tcBorders>
            <w:shd w:val="clear" w:color="auto" w:fill="auto"/>
            <w:noWrap w:val="0"/>
            <w:vAlign w:val="center"/>
          </w:tcPr>
          <w:p w14:paraId="481D908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6BC3546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2EA32B5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08A9AC9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3B7A123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717DF1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3089D15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47C239B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其他空间布局约束要求</w:t>
            </w:r>
          </w:p>
        </w:tc>
        <w:tc>
          <w:tcPr>
            <w:tcW w:w="2140" w:type="pct"/>
            <w:tcBorders>
              <w:tl2br w:val="nil"/>
              <w:tr2bl w:val="nil"/>
            </w:tcBorders>
            <w:shd w:val="clear" w:color="auto" w:fill="auto"/>
            <w:noWrap w:val="0"/>
            <w:vAlign w:val="center"/>
          </w:tcPr>
          <w:p w14:paraId="60CF004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4005119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3F1BCD4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295297F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711004E">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AC4454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restart"/>
            <w:tcBorders>
              <w:tl2br w:val="nil"/>
              <w:tr2bl w:val="nil"/>
            </w:tcBorders>
            <w:shd w:val="clear" w:color="auto" w:fill="auto"/>
            <w:noWrap w:val="0"/>
            <w:vAlign w:val="center"/>
          </w:tcPr>
          <w:p w14:paraId="75328CF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污染物排放管控</w:t>
            </w:r>
          </w:p>
        </w:tc>
        <w:tc>
          <w:tcPr>
            <w:tcW w:w="664" w:type="pct"/>
            <w:tcBorders>
              <w:tl2br w:val="nil"/>
              <w:tr2bl w:val="nil"/>
            </w:tcBorders>
            <w:shd w:val="clear" w:color="auto" w:fill="auto"/>
            <w:noWrap w:val="0"/>
            <w:vAlign w:val="center"/>
          </w:tcPr>
          <w:p w14:paraId="1B19472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大气环境质量执行标准</w:t>
            </w:r>
          </w:p>
        </w:tc>
        <w:tc>
          <w:tcPr>
            <w:tcW w:w="2140" w:type="pct"/>
            <w:tcBorders>
              <w:tl2br w:val="nil"/>
              <w:tr2bl w:val="nil"/>
            </w:tcBorders>
            <w:shd w:val="clear" w:color="auto" w:fill="auto"/>
            <w:noWrap w:val="0"/>
            <w:vAlign w:val="center"/>
          </w:tcPr>
          <w:p w14:paraId="280A3B3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《环境空气质量标准》（GB3095-2012）二级</w:t>
            </w:r>
          </w:p>
        </w:tc>
        <w:tc>
          <w:tcPr>
            <w:tcW w:w="741" w:type="pct"/>
            <w:vMerge w:val="restart"/>
            <w:tcBorders>
              <w:tl2br w:val="nil"/>
              <w:tr2bl w:val="nil"/>
            </w:tcBorders>
            <w:shd w:val="clear" w:color="auto" w:fill="auto"/>
            <w:noWrap w:val="0"/>
            <w:vAlign w:val="center"/>
          </w:tcPr>
          <w:p w14:paraId="4121822E">
            <w:pPr>
              <w:pStyle w:val="117"/>
              <w:keepNext w:val="0"/>
              <w:keepLines w:val="0"/>
              <w:widowControl/>
              <w:suppressLineNumbers w:val="0"/>
              <w:shd w:val="clear" w:color="auto" w:fill="FFFFFF"/>
              <w:spacing w:before="0" w:beforeAutospacing="0" w:after="0" w:afterAutospacing="0" w:line="240" w:lineRule="auto"/>
              <w:ind w:left="0" w:right="0" w:firstLine="0" w:firstLineChars="0"/>
              <w:jc w:val="center"/>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本项目产生的废气主要有：生活垃圾预处理车间处理过程产生的恶臭；净化热解气燃烧过程中产生的废气，其中的主要污染物可以分为烟尘（颗粒物）、酸性气体（ HCl、SO</w:t>
            </w:r>
            <w:r>
              <w:rPr>
                <w:rStyle w:val="37"/>
                <w:rFonts w:hint="default" w:ascii="Times New Roman" w:hAnsi="Times New Roman" w:eastAsia="宋体" w:cs="Times New Roman"/>
                <w:color w:val="auto"/>
                <w:kern w:val="2"/>
                <w:sz w:val="20"/>
                <w:szCs w:val="20"/>
                <w:highlight w:val="none"/>
                <w:vertAlign w:val="subscript"/>
                <w:lang w:val="en-US" w:eastAsia="zh-CN" w:bidi="ar-SA"/>
              </w:rPr>
              <w:t>2</w:t>
            </w:r>
            <w:r>
              <w:rPr>
                <w:rStyle w:val="37"/>
                <w:rFonts w:hint="default" w:ascii="Times New Roman" w:hAnsi="Times New Roman" w:eastAsia="宋体" w:cs="Times New Roman"/>
                <w:color w:val="auto"/>
                <w:kern w:val="2"/>
                <w:sz w:val="20"/>
                <w:szCs w:val="20"/>
                <w:highlight w:val="none"/>
                <w:lang w:val="en-US" w:eastAsia="zh-CN" w:bidi="ar-SA"/>
              </w:rPr>
              <w:t>、NO</w:t>
            </w:r>
            <w:r>
              <w:rPr>
                <w:rStyle w:val="37"/>
                <w:rFonts w:hint="default" w:ascii="Times New Roman" w:hAnsi="Times New Roman" w:eastAsia="宋体" w:cs="Times New Roman"/>
                <w:color w:val="auto"/>
                <w:kern w:val="2"/>
                <w:sz w:val="20"/>
                <w:szCs w:val="20"/>
                <w:highlight w:val="none"/>
                <w:vertAlign w:val="subscript"/>
                <w:lang w:val="en-US" w:eastAsia="zh-CN" w:bidi="ar-SA"/>
              </w:rPr>
              <w:t>X</w:t>
            </w:r>
            <w:r>
              <w:rPr>
                <w:rStyle w:val="37"/>
                <w:rFonts w:hint="default" w:ascii="Times New Roman" w:hAnsi="Times New Roman" w:eastAsia="宋体" w:cs="Times New Roman"/>
                <w:color w:val="auto"/>
                <w:kern w:val="2"/>
                <w:sz w:val="20"/>
                <w:szCs w:val="20"/>
                <w:highlight w:val="none"/>
                <w:lang w:val="en-US" w:eastAsia="zh-CN" w:bidi="ar-SA"/>
              </w:rPr>
              <w:t xml:space="preserve"> 等）、重金属（Hg、Pb、Cd 等）和有机剧毒性污染物（二噁英等）等几大类。热解气（净化后）燃烧废气经“ SNCR+喷淋塔（脱酸除雾）+活性炭吸附+布袋除尘”处理后通过 1 根 45m 高烟囱排放，达到《生活垃圾焚烧污染控制标准》（ GB18485-2014）表 4 中标准要求。本项目建设不会对区域环境造成明显不利影响。</w:t>
            </w:r>
          </w:p>
        </w:tc>
        <w:tc>
          <w:tcPr>
            <w:tcW w:w="296" w:type="pct"/>
            <w:vMerge w:val="restart"/>
            <w:tcBorders>
              <w:tl2br w:val="nil"/>
              <w:tr2bl w:val="nil"/>
            </w:tcBorders>
            <w:shd w:val="clear" w:color="auto" w:fill="auto"/>
            <w:noWrap w:val="0"/>
            <w:vAlign w:val="center"/>
          </w:tcPr>
          <w:p w14:paraId="708F0E9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Style w:val="37"/>
                <w:rFonts w:hint="default" w:ascii="Times New Roman" w:hAnsi="Times New Roman" w:eastAsia="宋体" w:cs="Times New Roman"/>
                <w:color w:val="auto"/>
                <w:kern w:val="2"/>
                <w:sz w:val="20"/>
                <w:szCs w:val="20"/>
                <w:highlight w:val="none"/>
                <w:lang w:val="en-US" w:eastAsia="zh-CN" w:bidi="ar-SA"/>
              </w:rPr>
              <w:t>符合</w:t>
            </w:r>
          </w:p>
        </w:tc>
      </w:tr>
      <w:tr w14:paraId="1AFBF67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767FC173">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6542E5F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C5E1EA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743C26D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区域大气污染物削减/替代</w:t>
            </w:r>
          </w:p>
        </w:tc>
        <w:tc>
          <w:tcPr>
            <w:tcW w:w="2140" w:type="pct"/>
            <w:tcBorders>
              <w:tl2br w:val="nil"/>
              <w:tr2bl w:val="nil"/>
            </w:tcBorders>
            <w:shd w:val="clear" w:color="auto" w:fill="auto"/>
            <w:noWrap w:val="0"/>
            <w:vAlign w:val="center"/>
          </w:tcPr>
          <w:p w14:paraId="46B97CA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6287283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p>
        </w:tc>
        <w:tc>
          <w:tcPr>
            <w:tcW w:w="296" w:type="pct"/>
            <w:vMerge w:val="continue"/>
            <w:tcBorders>
              <w:tl2br w:val="nil"/>
              <w:tr2bl w:val="nil"/>
            </w:tcBorders>
            <w:shd w:val="clear" w:color="auto" w:fill="auto"/>
            <w:noWrap w:val="0"/>
            <w:vAlign w:val="center"/>
          </w:tcPr>
          <w:p w14:paraId="17D3D7C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p>
        </w:tc>
      </w:tr>
      <w:tr w14:paraId="6D224A5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PrEx>
        <w:trPr>
          <w:trHeight w:val="340" w:hRule="atLeast"/>
        </w:trPr>
        <w:tc>
          <w:tcPr>
            <w:tcW w:w="530" w:type="pct"/>
            <w:vMerge w:val="continue"/>
            <w:tcBorders>
              <w:tl2br w:val="nil"/>
              <w:tr2bl w:val="nil"/>
            </w:tcBorders>
            <w:shd w:val="clear" w:color="auto" w:fill="auto"/>
            <w:noWrap w:val="0"/>
            <w:vAlign w:val="center"/>
          </w:tcPr>
          <w:p w14:paraId="6D1FCBE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B265D13">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278DB52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7EC74E7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燃煤和其他能源大气污染控制要</w:t>
            </w:r>
            <w:r>
              <w:rPr>
                <w:rFonts w:hint="default" w:ascii="Times New Roman" w:hAnsi="Times New Roman" w:eastAsia="宋体" w:cs="Times New Roman"/>
                <w:color w:val="auto"/>
                <w:sz w:val="20"/>
                <w:szCs w:val="20"/>
                <w:highlight w:val="none"/>
                <w:lang w:val="en-US" w:eastAsia="zh-CN"/>
              </w:rPr>
              <w:t>求</w:t>
            </w:r>
          </w:p>
        </w:tc>
        <w:tc>
          <w:tcPr>
            <w:tcW w:w="2140" w:type="pct"/>
            <w:tcBorders>
              <w:tl2br w:val="nil"/>
              <w:tr2bl w:val="nil"/>
            </w:tcBorders>
            <w:shd w:val="clear" w:color="auto" w:fill="auto"/>
            <w:noWrap w:val="0"/>
            <w:vAlign w:val="center"/>
          </w:tcPr>
          <w:p w14:paraId="2DA51C8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2285FD1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p>
        </w:tc>
        <w:tc>
          <w:tcPr>
            <w:tcW w:w="296" w:type="pct"/>
            <w:vMerge w:val="continue"/>
            <w:tcBorders>
              <w:tl2br w:val="nil"/>
              <w:tr2bl w:val="nil"/>
            </w:tcBorders>
            <w:shd w:val="clear" w:color="auto" w:fill="auto"/>
            <w:noWrap w:val="0"/>
            <w:vAlign w:val="center"/>
          </w:tcPr>
          <w:p w14:paraId="065B444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p>
        </w:tc>
      </w:tr>
      <w:tr w14:paraId="7B63747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4635D16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72DAA1E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4DC46FF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35134B8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机动车船大气污染控制措施要求</w:t>
            </w:r>
          </w:p>
        </w:tc>
        <w:tc>
          <w:tcPr>
            <w:tcW w:w="2140" w:type="pct"/>
            <w:tcBorders>
              <w:tl2br w:val="nil"/>
              <w:tr2bl w:val="nil"/>
            </w:tcBorders>
            <w:shd w:val="clear" w:color="auto" w:fill="auto"/>
            <w:noWrap w:val="0"/>
            <w:vAlign w:val="center"/>
          </w:tcPr>
          <w:p w14:paraId="228C836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w:t>
            </w:r>
          </w:p>
        </w:tc>
        <w:tc>
          <w:tcPr>
            <w:tcW w:w="741" w:type="pct"/>
            <w:vMerge w:val="continue"/>
            <w:tcBorders>
              <w:tl2br w:val="nil"/>
              <w:tr2bl w:val="nil"/>
            </w:tcBorders>
            <w:shd w:val="clear" w:color="auto" w:fill="auto"/>
            <w:noWrap w:val="0"/>
            <w:vAlign w:val="center"/>
          </w:tcPr>
          <w:p w14:paraId="6984595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p>
        </w:tc>
        <w:tc>
          <w:tcPr>
            <w:tcW w:w="296" w:type="pct"/>
            <w:vMerge w:val="continue"/>
            <w:tcBorders>
              <w:tl2br w:val="nil"/>
              <w:tr2bl w:val="nil"/>
            </w:tcBorders>
            <w:shd w:val="clear" w:color="auto" w:fill="auto"/>
            <w:noWrap w:val="0"/>
            <w:vAlign w:val="center"/>
          </w:tcPr>
          <w:p w14:paraId="21B0D24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p>
        </w:tc>
      </w:tr>
      <w:tr w14:paraId="293429C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61075CA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71745D12">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7700C8C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3703A84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扬尘污染控制要求</w:t>
            </w:r>
          </w:p>
        </w:tc>
        <w:tc>
          <w:tcPr>
            <w:tcW w:w="2140" w:type="pct"/>
            <w:tcBorders>
              <w:tl2br w:val="nil"/>
              <w:tr2bl w:val="nil"/>
            </w:tcBorders>
            <w:shd w:val="clear" w:color="auto" w:fill="auto"/>
            <w:noWrap w:val="0"/>
            <w:vAlign w:val="center"/>
          </w:tcPr>
          <w:p w14:paraId="20FCB93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24ACD12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3C5CFB3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r>
      <w:tr w14:paraId="1C4808C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789F085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7E8F130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7AA6C4E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265BD53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农业生产经营活动大气污染控制要求</w:t>
            </w:r>
          </w:p>
        </w:tc>
        <w:tc>
          <w:tcPr>
            <w:tcW w:w="2140" w:type="pct"/>
            <w:tcBorders>
              <w:tl2br w:val="nil"/>
              <w:tr2bl w:val="nil"/>
            </w:tcBorders>
            <w:shd w:val="clear" w:color="auto" w:fill="auto"/>
            <w:noWrap w:val="0"/>
            <w:vAlign w:val="center"/>
          </w:tcPr>
          <w:p w14:paraId="0CC5DE7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w:t>
            </w:r>
          </w:p>
        </w:tc>
        <w:tc>
          <w:tcPr>
            <w:tcW w:w="741" w:type="pct"/>
            <w:vMerge w:val="continue"/>
            <w:tcBorders>
              <w:tl2br w:val="nil"/>
              <w:tr2bl w:val="nil"/>
            </w:tcBorders>
            <w:shd w:val="clear" w:color="auto" w:fill="auto"/>
            <w:noWrap w:val="0"/>
            <w:vAlign w:val="center"/>
          </w:tcPr>
          <w:p w14:paraId="166BFE4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5FCFF5B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1CB3837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3E7B484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6553473">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D9B6DA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76FE11C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重点行业企业专项治理要求</w:t>
            </w:r>
          </w:p>
        </w:tc>
        <w:tc>
          <w:tcPr>
            <w:tcW w:w="2140" w:type="pct"/>
            <w:tcBorders>
              <w:tl2br w:val="nil"/>
              <w:tr2bl w:val="nil"/>
            </w:tcBorders>
            <w:shd w:val="clear" w:color="auto" w:fill="auto"/>
            <w:noWrap w:val="0"/>
            <w:vAlign w:val="center"/>
          </w:tcPr>
          <w:p w14:paraId="13E7598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7BF31E3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0DB6974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4DE462C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26DEC6C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D4ADD4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255F9D2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5555BFA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其他大气污染物排放管控要求</w:t>
            </w:r>
          </w:p>
        </w:tc>
        <w:tc>
          <w:tcPr>
            <w:tcW w:w="2140" w:type="pct"/>
            <w:tcBorders>
              <w:tl2br w:val="nil"/>
              <w:tr2bl w:val="nil"/>
            </w:tcBorders>
            <w:shd w:val="clear" w:color="auto" w:fill="auto"/>
            <w:noWrap w:val="0"/>
            <w:vAlign w:val="center"/>
          </w:tcPr>
          <w:p w14:paraId="12DCA58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减少工业化、城镇化对大气环境的影响，严格执行国家、省、市下达的相关大气污染防治要求。</w:t>
            </w:r>
          </w:p>
        </w:tc>
        <w:tc>
          <w:tcPr>
            <w:tcW w:w="741" w:type="pct"/>
            <w:vMerge w:val="continue"/>
            <w:tcBorders>
              <w:tl2br w:val="nil"/>
              <w:tr2bl w:val="nil"/>
            </w:tcBorders>
            <w:shd w:val="clear" w:color="auto" w:fill="auto"/>
            <w:noWrap w:val="0"/>
            <w:vAlign w:val="center"/>
          </w:tcPr>
          <w:p w14:paraId="4317869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2CB32CA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556AE00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2EEE2F5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FDC810B">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tcBorders>
              <w:tl2br w:val="nil"/>
              <w:tr2bl w:val="nil"/>
            </w:tcBorders>
            <w:shd w:val="clear" w:color="auto" w:fill="auto"/>
            <w:noWrap w:val="0"/>
            <w:vAlign w:val="center"/>
          </w:tcPr>
          <w:p w14:paraId="7E51533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环境风险防控</w:t>
            </w:r>
          </w:p>
        </w:tc>
        <w:tc>
          <w:tcPr>
            <w:tcW w:w="664" w:type="pct"/>
            <w:tcBorders>
              <w:tl2br w:val="nil"/>
              <w:tr2bl w:val="nil"/>
            </w:tcBorders>
            <w:shd w:val="clear" w:color="auto" w:fill="auto"/>
            <w:noWrap w:val="0"/>
            <w:vAlign w:val="center"/>
          </w:tcPr>
          <w:p w14:paraId="250D373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140" w:type="pct"/>
            <w:tcBorders>
              <w:tl2br w:val="nil"/>
              <w:tr2bl w:val="nil"/>
            </w:tcBorders>
            <w:shd w:val="clear" w:color="auto" w:fill="auto"/>
            <w:noWrap w:val="0"/>
            <w:vAlign w:val="center"/>
          </w:tcPr>
          <w:p w14:paraId="53BC5C3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7D8A036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315AAB4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15EBC07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3B3CD0D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042C58D9">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tcBorders>
              <w:tl2br w:val="nil"/>
              <w:tr2bl w:val="nil"/>
            </w:tcBorders>
            <w:shd w:val="clear" w:color="auto" w:fill="auto"/>
            <w:noWrap w:val="0"/>
            <w:vAlign w:val="center"/>
          </w:tcPr>
          <w:p w14:paraId="302F15B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资源开发效率要求</w:t>
            </w:r>
          </w:p>
        </w:tc>
        <w:tc>
          <w:tcPr>
            <w:tcW w:w="664" w:type="pct"/>
            <w:tcBorders>
              <w:tl2br w:val="nil"/>
              <w:tr2bl w:val="nil"/>
            </w:tcBorders>
            <w:shd w:val="clear" w:color="auto" w:fill="auto"/>
            <w:noWrap w:val="0"/>
            <w:vAlign w:val="center"/>
          </w:tcPr>
          <w:p w14:paraId="121BA65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140" w:type="pct"/>
            <w:tcBorders>
              <w:tl2br w:val="nil"/>
              <w:tr2bl w:val="nil"/>
            </w:tcBorders>
            <w:shd w:val="clear" w:color="auto" w:fill="auto"/>
            <w:noWrap w:val="0"/>
            <w:vAlign w:val="center"/>
          </w:tcPr>
          <w:p w14:paraId="466AEC9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tcBorders>
              <w:tl2br w:val="nil"/>
              <w:tr2bl w:val="nil"/>
            </w:tcBorders>
            <w:shd w:val="clear" w:color="auto" w:fill="auto"/>
            <w:noWrap w:val="0"/>
            <w:vAlign w:val="center"/>
          </w:tcPr>
          <w:p w14:paraId="4CEC186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20119A0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117A832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restart"/>
            <w:tcBorders>
              <w:tl2br w:val="nil"/>
              <w:tr2bl w:val="nil"/>
            </w:tcBorders>
            <w:shd w:val="clear" w:color="auto" w:fill="auto"/>
            <w:noWrap w:val="0"/>
            <w:vAlign w:val="center"/>
          </w:tcPr>
          <w:p w14:paraId="6212BC6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r>
              <w:rPr>
                <w:rStyle w:val="37"/>
                <w:rFonts w:hint="default" w:ascii="Times New Roman" w:hAnsi="Times New Roman" w:eastAsia="宋体" w:cs="Times New Roman"/>
                <w:color w:val="auto"/>
                <w:kern w:val="2"/>
                <w:sz w:val="20"/>
                <w:szCs w:val="20"/>
                <w:highlight w:val="none"/>
                <w:lang w:val="en-US" w:eastAsia="zh-CN" w:bidi="ar-SA"/>
              </w:rPr>
              <w:t>剑阁县一般管控单元ZH51082330001</w:t>
            </w:r>
          </w:p>
        </w:tc>
        <w:tc>
          <w:tcPr>
            <w:tcW w:w="349" w:type="pct"/>
            <w:vMerge w:val="restart"/>
            <w:tcBorders>
              <w:tl2br w:val="nil"/>
              <w:tr2bl w:val="nil"/>
            </w:tcBorders>
            <w:shd w:val="clear" w:color="auto" w:fill="auto"/>
            <w:noWrap w:val="0"/>
            <w:vAlign w:val="center"/>
          </w:tcPr>
          <w:p w14:paraId="23D7783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广元市普适性清单管控要求</w:t>
            </w:r>
          </w:p>
        </w:tc>
        <w:tc>
          <w:tcPr>
            <w:tcW w:w="277" w:type="pct"/>
            <w:vMerge w:val="restart"/>
            <w:tcBorders>
              <w:tl2br w:val="nil"/>
              <w:tr2bl w:val="nil"/>
            </w:tcBorders>
            <w:shd w:val="clear" w:color="auto" w:fill="auto"/>
            <w:noWrap w:val="0"/>
            <w:vAlign w:val="center"/>
          </w:tcPr>
          <w:p w14:paraId="5067913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空间布局约束</w:t>
            </w:r>
          </w:p>
        </w:tc>
        <w:tc>
          <w:tcPr>
            <w:tcW w:w="664" w:type="pct"/>
            <w:tcBorders>
              <w:tl2br w:val="nil"/>
              <w:tr2bl w:val="nil"/>
            </w:tcBorders>
            <w:shd w:val="clear" w:color="auto" w:fill="auto"/>
            <w:noWrap w:val="0"/>
            <w:vAlign w:val="center"/>
          </w:tcPr>
          <w:p w14:paraId="7175099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禁止开发建设活动的要求</w:t>
            </w:r>
          </w:p>
        </w:tc>
        <w:tc>
          <w:tcPr>
            <w:tcW w:w="2140" w:type="pct"/>
            <w:tcBorders>
              <w:tl2br w:val="nil"/>
              <w:tr2bl w:val="nil"/>
            </w:tcBorders>
            <w:shd w:val="clear" w:color="auto" w:fill="auto"/>
            <w:noWrap w:val="0"/>
            <w:vAlign w:val="center"/>
          </w:tcPr>
          <w:p w14:paraId="173A9E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禁止在长江干支流岸线一公里范围内新建、扩建化工园区和化工项目。</w:t>
            </w:r>
          </w:p>
          <w:p w14:paraId="25C530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禁止在长江流域开放水域养殖、投放外来物种或者其他非本地物种种质资源。禁止在长江流域禁止采砂区和禁止采砂期从事采砂活动。全面停止小型水电项目开发，已建成的中小型水电站不再扩容。</w:t>
            </w:r>
          </w:p>
          <w:p w14:paraId="496A22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对全部基本农田按禁止开发的要求进行管理，禁止占用基本农田发展林果业和挖塘养鱼。禁止任何单位和个人在基本农田保护区内建窑、建房、建坟、挖砂、采石、采矿、取土、堆放固体废弃物或者进行其他破坏基本农田的活动。</w:t>
            </w:r>
          </w:p>
          <w:p w14:paraId="79E63F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永久基本农田，实行严格保护，确保其面积不减少、土壤环境质量不下降，除法律规定的重点建设项目选址确实无法避让外，其他任何建设不得占用。在永久基本农田集中区域，不得新建可能造成土壤污染的建设项目；已经建成的，应当限期关闭拆除。</w:t>
            </w:r>
          </w:p>
          <w:p w14:paraId="0713DB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畜禽养殖严格按照广元市各区县畜禽养殖区域划定方案执行，依法关闭或搬迁禁养区内的畜禽养殖场（小区）和养殖专业户。禁止在禁采区内开采矿产；禁止土法采、选、冶严重污染环境的矿产资源。</w:t>
            </w:r>
          </w:p>
          <w:p w14:paraId="2A0C8E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禁止在永久基本农田集中区域和其他需要特别保护的区域选址建设尾矿库、冶炼渣库、磷石膏库。</w:t>
            </w:r>
          </w:p>
          <w:p w14:paraId="6D4DFF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禁止在长江干流岸线三公里范围内和重要支流岸线一公里范围内新建、改建、扩建尾矿库、冶炼渣库、磷石膏库，以提升安全、生态环境保护水平为目的的改建除外。</w:t>
            </w:r>
          </w:p>
        </w:tc>
        <w:tc>
          <w:tcPr>
            <w:tcW w:w="741" w:type="pct"/>
            <w:tcBorders>
              <w:tl2br w:val="nil"/>
              <w:tr2bl w:val="nil"/>
            </w:tcBorders>
            <w:shd w:val="clear" w:color="auto" w:fill="auto"/>
            <w:noWrap w:val="0"/>
            <w:vAlign w:val="center"/>
          </w:tcPr>
          <w:p w14:paraId="2A028F0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bidi="ar-SA"/>
              </w:rPr>
              <w:t>本项目为生活垃圾处理项目，不属于禁止或者限制开发活动，项目在普安环卫所用地范围内建设，用地性质为环卫用地。</w:t>
            </w:r>
          </w:p>
        </w:tc>
        <w:tc>
          <w:tcPr>
            <w:tcW w:w="296" w:type="pct"/>
            <w:tcBorders>
              <w:tl2br w:val="nil"/>
              <w:tr2bl w:val="nil"/>
            </w:tcBorders>
            <w:shd w:val="clear" w:color="auto" w:fill="auto"/>
            <w:noWrap w:val="0"/>
            <w:vAlign w:val="center"/>
          </w:tcPr>
          <w:p w14:paraId="4DB016E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符合</w:t>
            </w:r>
          </w:p>
        </w:tc>
      </w:tr>
      <w:tr w14:paraId="66A6FEA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6F3EA6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349" w:type="pct"/>
            <w:vMerge w:val="continue"/>
            <w:tcBorders>
              <w:tl2br w:val="nil"/>
              <w:tr2bl w:val="nil"/>
            </w:tcBorders>
            <w:shd w:val="clear" w:color="auto" w:fill="auto"/>
            <w:noWrap w:val="0"/>
            <w:vAlign w:val="center"/>
          </w:tcPr>
          <w:p w14:paraId="056CCAB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12B0376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41E1499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限制开发建设活动的要求</w:t>
            </w:r>
          </w:p>
        </w:tc>
        <w:tc>
          <w:tcPr>
            <w:tcW w:w="2140" w:type="pct"/>
            <w:tcBorders>
              <w:tl2br w:val="nil"/>
              <w:tr2bl w:val="nil"/>
            </w:tcBorders>
            <w:shd w:val="clear" w:color="auto" w:fill="auto"/>
            <w:noWrap w:val="0"/>
            <w:vAlign w:val="center"/>
          </w:tcPr>
          <w:p w14:paraId="48A53B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对四川省主体功能区划中的限制开发区域（农产品主产区），应限制大规模高强度工业化城镇化开发。</w:t>
            </w:r>
          </w:p>
          <w:p w14:paraId="740E0F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配套旅游、基础设施等建设项目，在符合规划和相关保护要求的前提下，应实施生态避让、减缓影响及生态恢复措施。</w:t>
            </w:r>
          </w:p>
          <w:p w14:paraId="7E8AF20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现有化工、有色等工业企业，原则上限制发展，污染物排放只降不增，允许以提升安全、生态环境保护水平为目的的改建，引导企业结合产业升级等适时搬迁入园。</w:t>
            </w:r>
          </w:p>
          <w:p w14:paraId="5D802F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国家重大战略资源勘查、生态保护修复和环境治理、重大基础设施、军事国防以及农牧民基本生产生活等必要的民生项目（包括深度贫困地区、集中连片特困地区、国家扶贫开发工作重点县省级以下基础设施、易地扶贫搬迁、民生发展等建设项目），选址确实难以避让永久基本农田的，按程序严格论证后依法依规报批。</w:t>
            </w:r>
          </w:p>
          <w:p w14:paraId="60B271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坚持最严格的耕地保护制度，对全部耕地按限制开发的要求进行管理。严格限制农用地转为建设用地，控制建设用地总量，对耕地实行特殊保护。</w:t>
            </w:r>
          </w:p>
          <w:p w14:paraId="7FDA2C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新建大中型水电工程，应当经科学论证，并报国务院或者国务院授权的部门批准。除与生态环境保护相协调的且是国务院及其相关部门、省级人民政府认可的脱贫攻坚项目外，严控新建商业开发的小水电项目。</w:t>
            </w:r>
          </w:p>
          <w:p w14:paraId="35A2CB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长江流域河道采砂应当依法取得国务院水行政主管部门有关流域管理机构或者县级以上地方人民政府水行政主管部门的许可。严格控制采砂区域、采砂总量和采砂区域内的采砂船舶数量。</w:t>
            </w:r>
          </w:p>
          <w:p w14:paraId="25A45F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大气环境布局敏感重点管控区：（1）坚决遏制高耗能、高排放、低水平项目盲目发展，严格落实国家和四川省产业规划、产业政策、规划环评，以及产能置换、煤炭消费减量替代、区域污染物削减等要求，坚决叫停不符合要求的高耗能、高排放、低水平项目。（2）提升高耗能项目能耗准入标准，能耗、物耗要达到清洁生产先进水平。严禁新增钢铁、焦化、炼油、电解铝、水泥、平板玻璃（不含光伏玻璃）等产能。</w:t>
            </w:r>
          </w:p>
          <w:p w14:paraId="71A14F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大气弱扩散重点管控区：强化落后产能退出机制，对能耗、环保、安全、技术达不到标准，生产不合格或淘汰类产品的企业和产能，依法予以关闭淘汰，推动重污染企业搬迁入园或依法关闭。对长江及重要支流沿线存在重大环境安全隐患的生产企业，加快推进就地改造异地迁建、关闭退出。开展差别化环境管理，对能耗、物耗、污染物排放等指标提出最严格管控要求，倒逼竞争乏力的产能退出。支持现有钢铁、水泥、焦化等废气排放量大的产业向有刚性需求、具有资源优势、环境容量允许的地区转移布局。</w:t>
            </w:r>
          </w:p>
          <w:p w14:paraId="27F16B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水环境农业污染重点管控区：（1）稳步推进建制镇污水处理设施建设，适当预留发展空间，宜集中则集中，宜分散则分散。农村生活污水处理设施排水执行《农村生活污水处理设施水污染物排放标准》（DB 51 2626-2019）要求。（2）深入推进化肥减量增效。鼓励以循环利用与生态净化相结合的方式控制种植业污染，农企合作推进测土配方施肥。</w:t>
            </w:r>
          </w:p>
        </w:tc>
        <w:tc>
          <w:tcPr>
            <w:tcW w:w="741" w:type="pct"/>
            <w:tcBorders>
              <w:tl2br w:val="nil"/>
              <w:tr2bl w:val="nil"/>
            </w:tcBorders>
            <w:shd w:val="clear" w:color="auto" w:fill="auto"/>
            <w:noWrap w:val="0"/>
            <w:vAlign w:val="center"/>
          </w:tcPr>
          <w:p w14:paraId="3C087A6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296" w:type="pct"/>
            <w:tcBorders>
              <w:tl2br w:val="nil"/>
              <w:tr2bl w:val="nil"/>
            </w:tcBorders>
            <w:shd w:val="clear" w:color="auto" w:fill="auto"/>
            <w:noWrap w:val="0"/>
            <w:vAlign w:val="center"/>
          </w:tcPr>
          <w:p w14:paraId="48E7535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04A3CCF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B9CA12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p>
        </w:tc>
        <w:tc>
          <w:tcPr>
            <w:tcW w:w="349" w:type="pct"/>
            <w:vMerge w:val="continue"/>
            <w:tcBorders>
              <w:tl2br w:val="nil"/>
              <w:tr2bl w:val="nil"/>
            </w:tcBorders>
            <w:shd w:val="clear" w:color="auto" w:fill="auto"/>
            <w:noWrap w:val="0"/>
            <w:vAlign w:val="center"/>
          </w:tcPr>
          <w:p w14:paraId="06EF241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kern w:val="2"/>
                <w:sz w:val="20"/>
                <w:szCs w:val="20"/>
                <w:highlight w:val="none"/>
                <w:lang w:val="en-US" w:eastAsia="zh-CN" w:bidi="ar-SA"/>
              </w:rPr>
            </w:pPr>
          </w:p>
        </w:tc>
        <w:tc>
          <w:tcPr>
            <w:tcW w:w="277" w:type="pct"/>
            <w:vMerge w:val="continue"/>
            <w:tcBorders>
              <w:tl2br w:val="nil"/>
              <w:tr2bl w:val="nil"/>
            </w:tcBorders>
            <w:shd w:val="clear" w:color="auto" w:fill="auto"/>
            <w:noWrap w:val="0"/>
            <w:vAlign w:val="center"/>
          </w:tcPr>
          <w:p w14:paraId="5A3DF05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52EC027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不符合空间布局要求活动的退出要求</w:t>
            </w:r>
          </w:p>
        </w:tc>
        <w:tc>
          <w:tcPr>
            <w:tcW w:w="2140" w:type="pct"/>
            <w:tcBorders>
              <w:tl2br w:val="nil"/>
              <w:tr2bl w:val="nil"/>
            </w:tcBorders>
            <w:shd w:val="clear" w:color="auto" w:fill="auto"/>
            <w:noWrap w:val="0"/>
            <w:vAlign w:val="center"/>
          </w:tcPr>
          <w:p w14:paraId="44D1FF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对长江流域已建小水电工程，不符合生态保护要求的，县级以上地方人民政府应当组织分类整改或者采取措施逐步退出。</w:t>
            </w:r>
          </w:p>
          <w:p w14:paraId="05CD33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涉及自然保护区、风景名胜区、森林公园、饮用水源保护区等法定自然保护地，现有不符合相关保护区法律法规和规划的项目，应限期整改或关闭。</w:t>
            </w:r>
          </w:p>
          <w:p w14:paraId="5F0880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全面取缔禁养区内规模化畜禽养殖场。嘉陵江岸线延伸至陆域200米范围内基本消除畜禽养殖场（小区）。</w:t>
            </w:r>
          </w:p>
        </w:tc>
        <w:tc>
          <w:tcPr>
            <w:tcW w:w="741" w:type="pct"/>
            <w:vMerge w:val="restart"/>
            <w:tcBorders>
              <w:tl2br w:val="nil"/>
              <w:tr2bl w:val="nil"/>
            </w:tcBorders>
            <w:shd w:val="clear" w:color="auto" w:fill="auto"/>
            <w:noWrap w:val="0"/>
            <w:vAlign w:val="center"/>
          </w:tcPr>
          <w:p w14:paraId="6F3C9B1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restart"/>
            <w:tcBorders>
              <w:tl2br w:val="nil"/>
              <w:tr2bl w:val="nil"/>
            </w:tcBorders>
            <w:shd w:val="clear" w:color="auto" w:fill="auto"/>
            <w:noWrap w:val="0"/>
            <w:vAlign w:val="center"/>
          </w:tcPr>
          <w:p w14:paraId="7220917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3F53B85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3B90805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AB5A58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2AD6223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50BB0F7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其他空间布局约束要求</w:t>
            </w:r>
          </w:p>
        </w:tc>
        <w:tc>
          <w:tcPr>
            <w:tcW w:w="2140" w:type="pct"/>
            <w:tcBorders>
              <w:tl2br w:val="nil"/>
              <w:tr2bl w:val="nil"/>
            </w:tcBorders>
            <w:shd w:val="clear" w:color="auto" w:fill="auto"/>
            <w:noWrap w:val="0"/>
            <w:vAlign w:val="center"/>
          </w:tcPr>
          <w:p w14:paraId="47D78D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位于城镇空间外的区外工业企业：①具有合法手续的企业，且污染物排放及环境风险满足管理要求的企业，可继续保留。其中，钢铁、石化、化工、焦化、有色等高污染项目原则上限制发展，要求污染物排放只降不增，并进一步加强日常环保监管；允许以提升安全、生态环境保护水平为目的的改建，以及不增加污染物排放和环境风险的产品升级调整，引导企业结合产业升级、化解过剩产能等，搬迁入园。②不具备合法手续，或污染物排放超标、环境风险不可控的企业，限期进行整改提升，通过环保、安全、工艺装备升级等落实整改措施并达到相关标准实现合法生产，整改后仍不能达到要求的，属地政府应按相关要求责令关停并退出。</w:t>
            </w:r>
          </w:p>
        </w:tc>
        <w:tc>
          <w:tcPr>
            <w:tcW w:w="741" w:type="pct"/>
            <w:vMerge w:val="continue"/>
            <w:tcBorders>
              <w:tl2br w:val="nil"/>
              <w:tr2bl w:val="nil"/>
            </w:tcBorders>
            <w:shd w:val="clear" w:color="auto" w:fill="auto"/>
            <w:noWrap w:val="0"/>
            <w:vAlign w:val="center"/>
          </w:tcPr>
          <w:p w14:paraId="006F109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4C67225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5849824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4633CAF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FCAEF4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restart"/>
            <w:tcBorders>
              <w:tl2br w:val="nil"/>
              <w:tr2bl w:val="nil"/>
            </w:tcBorders>
            <w:shd w:val="clear" w:color="auto" w:fill="auto"/>
            <w:noWrap w:val="0"/>
            <w:vAlign w:val="center"/>
          </w:tcPr>
          <w:p w14:paraId="1A26E54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污染物排放管控</w:t>
            </w:r>
          </w:p>
        </w:tc>
        <w:tc>
          <w:tcPr>
            <w:tcW w:w="664" w:type="pct"/>
            <w:tcBorders>
              <w:tl2br w:val="nil"/>
              <w:tr2bl w:val="nil"/>
            </w:tcBorders>
            <w:shd w:val="clear" w:color="auto" w:fill="auto"/>
            <w:noWrap w:val="0"/>
            <w:vAlign w:val="center"/>
          </w:tcPr>
          <w:p w14:paraId="7B815A8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允许排放量要求</w:t>
            </w:r>
          </w:p>
        </w:tc>
        <w:tc>
          <w:tcPr>
            <w:tcW w:w="2140" w:type="pct"/>
            <w:tcBorders>
              <w:tl2br w:val="nil"/>
              <w:tr2bl w:val="nil"/>
            </w:tcBorders>
            <w:shd w:val="clear" w:color="auto" w:fill="auto"/>
            <w:noWrap w:val="0"/>
            <w:vAlign w:val="center"/>
          </w:tcPr>
          <w:p w14:paraId="20A00B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restart"/>
            <w:tcBorders>
              <w:tl2br w:val="nil"/>
              <w:tr2bl w:val="nil"/>
            </w:tcBorders>
            <w:shd w:val="clear" w:color="auto" w:fill="auto"/>
            <w:noWrap w:val="0"/>
            <w:vAlign w:val="center"/>
          </w:tcPr>
          <w:p w14:paraId="42A7D60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本项目为新建项目，厂区内实行雨污分流，生产废水依托</w:t>
            </w:r>
            <w:r>
              <w:rPr>
                <w:rStyle w:val="37"/>
                <w:rFonts w:hint="eastAsia" w:eastAsia="宋体" w:cs="Times New Roman"/>
                <w:color w:val="auto"/>
                <w:kern w:val="2"/>
                <w:sz w:val="20"/>
                <w:szCs w:val="20"/>
                <w:highlight w:val="none"/>
                <w:lang w:val="en-US" w:eastAsia="zh-CN" w:bidi="ar-SA"/>
              </w:rPr>
              <w:t>普安镇污水处理厂或</w:t>
            </w:r>
            <w:r>
              <w:rPr>
                <w:rStyle w:val="37"/>
                <w:rFonts w:hint="default" w:ascii="Times New Roman" w:hAnsi="Times New Roman" w:eastAsia="宋体" w:cs="Times New Roman"/>
                <w:color w:val="auto"/>
                <w:kern w:val="2"/>
                <w:sz w:val="20"/>
                <w:szCs w:val="20"/>
                <w:highlight w:val="none"/>
                <w:lang w:val="en-US" w:eastAsia="zh-CN" w:bidi="ar-SA"/>
              </w:rPr>
              <w:t>剑阁县垃圾填埋场渗滤液处理站处理后达标排放</w:t>
            </w:r>
            <w:r>
              <w:rPr>
                <w:rStyle w:val="37"/>
                <w:rFonts w:hint="eastAsia" w:eastAsia="宋体" w:cs="Times New Roman"/>
                <w:color w:val="auto"/>
                <w:kern w:val="2"/>
                <w:sz w:val="20"/>
                <w:szCs w:val="20"/>
                <w:highlight w:val="none"/>
                <w:lang w:val="en-US" w:eastAsia="zh-CN" w:bidi="ar-SA"/>
              </w:rPr>
              <w:t>，不直接外排</w:t>
            </w:r>
            <w:r>
              <w:rPr>
                <w:rStyle w:val="37"/>
                <w:rFonts w:hint="default" w:ascii="Times New Roman" w:hAnsi="Times New Roman" w:eastAsia="宋体" w:cs="Times New Roman"/>
                <w:color w:val="auto"/>
                <w:kern w:val="2"/>
                <w:sz w:val="20"/>
                <w:szCs w:val="20"/>
                <w:highlight w:val="none"/>
                <w:lang w:val="en-US" w:eastAsia="zh-CN" w:bidi="ar-SA"/>
              </w:rPr>
              <w:t>，本项目不新增水污染总量指标；本项目新增的大气污染物</w:t>
            </w:r>
            <w:r>
              <w:rPr>
                <w:rFonts w:hint="default" w:ascii="Times New Roman" w:hAnsi="Times New Roman" w:cs="Times New Roman"/>
                <w:color w:val="auto"/>
                <w:sz w:val="20"/>
                <w:szCs w:val="20"/>
                <w:highlight w:val="none"/>
              </w:rPr>
              <w:t>SO</w:t>
            </w:r>
            <w:r>
              <w:rPr>
                <w:rFonts w:hint="default" w:ascii="Times New Roman" w:hAnsi="Times New Roman" w:cs="Times New Roman"/>
                <w:color w:val="auto"/>
                <w:sz w:val="20"/>
                <w:szCs w:val="20"/>
                <w:highlight w:val="none"/>
                <w:vertAlign w:val="subscript"/>
              </w:rPr>
              <w:t>2</w:t>
            </w:r>
            <w:r>
              <w:rPr>
                <w:rFonts w:hint="default" w:ascii="Times New Roman" w:hAnsi="Times New Roman" w:cs="Times New Roman"/>
                <w:color w:val="auto"/>
                <w:sz w:val="20"/>
                <w:szCs w:val="20"/>
                <w:highlight w:val="none"/>
              </w:rPr>
              <w:t>、NO</w:t>
            </w:r>
            <w:r>
              <w:rPr>
                <w:rFonts w:hint="default" w:ascii="Times New Roman" w:hAnsi="Times New Roman" w:cs="Times New Roman"/>
                <w:color w:val="auto"/>
                <w:sz w:val="20"/>
                <w:szCs w:val="20"/>
                <w:highlight w:val="none"/>
                <w:vertAlign w:val="subscript"/>
              </w:rPr>
              <w:t>X</w:t>
            </w:r>
            <w:r>
              <w:rPr>
                <w:rFonts w:hint="default" w:ascii="Times New Roman" w:hAnsi="Times New Roman" w:cs="Times New Roman"/>
                <w:color w:val="auto"/>
                <w:sz w:val="20"/>
                <w:szCs w:val="20"/>
                <w:highlight w:val="none"/>
              </w:rPr>
              <w:t>、VOCs</w:t>
            </w:r>
            <w:r>
              <w:rPr>
                <w:rStyle w:val="37"/>
                <w:rFonts w:hint="default" w:ascii="Times New Roman" w:hAnsi="Times New Roman" w:eastAsia="宋体" w:cs="Times New Roman"/>
                <w:color w:val="auto"/>
                <w:kern w:val="2"/>
                <w:sz w:val="20"/>
                <w:szCs w:val="20"/>
                <w:highlight w:val="none"/>
                <w:lang w:val="en-US" w:eastAsia="zh-CN" w:bidi="ar-SA"/>
              </w:rPr>
              <w:t xml:space="preserve"> 实行等量替代。</w:t>
            </w:r>
          </w:p>
        </w:tc>
        <w:tc>
          <w:tcPr>
            <w:tcW w:w="296" w:type="pct"/>
            <w:vMerge w:val="restart"/>
            <w:tcBorders>
              <w:tl2br w:val="nil"/>
              <w:tr2bl w:val="nil"/>
            </w:tcBorders>
            <w:shd w:val="clear" w:color="auto" w:fill="auto"/>
            <w:noWrap w:val="0"/>
            <w:vAlign w:val="center"/>
          </w:tcPr>
          <w:p w14:paraId="6C19804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符合</w:t>
            </w:r>
          </w:p>
        </w:tc>
      </w:tr>
      <w:tr w14:paraId="4E6182B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7686D77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0A9FCB6E">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174E7B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137CFF0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现有源提标升级改造</w:t>
            </w:r>
          </w:p>
        </w:tc>
        <w:tc>
          <w:tcPr>
            <w:tcW w:w="2140" w:type="pct"/>
            <w:tcBorders>
              <w:tl2br w:val="nil"/>
              <w:tr2bl w:val="nil"/>
            </w:tcBorders>
            <w:shd w:val="clear" w:color="auto" w:fill="auto"/>
            <w:noWrap w:val="0"/>
            <w:vAlign w:val="center"/>
          </w:tcPr>
          <w:p w14:paraId="0B28C1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水环境：加快城镇污水处理厂工艺升级改造，至2023年，达《城镇污水处理厂污染物排放标准》一级A标或相关规定的水质标准。</w:t>
            </w:r>
          </w:p>
          <w:p w14:paraId="408FA3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大气环境：火电、水泥等行业的燃煤锅炉按相关要求实施大气污染物超低排放。</w:t>
            </w:r>
          </w:p>
          <w:p w14:paraId="60703A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砖瓦行业实施脱硫、除尘升级改造，污染物排放达到《砖瓦工业大气污染物排放标准》相关要求。</w:t>
            </w:r>
          </w:p>
        </w:tc>
        <w:tc>
          <w:tcPr>
            <w:tcW w:w="741" w:type="pct"/>
            <w:vMerge w:val="continue"/>
            <w:tcBorders>
              <w:tl2br w:val="nil"/>
              <w:tr2bl w:val="nil"/>
            </w:tcBorders>
            <w:shd w:val="clear" w:color="auto" w:fill="auto"/>
            <w:noWrap w:val="0"/>
            <w:vAlign w:val="center"/>
          </w:tcPr>
          <w:p w14:paraId="7720DFC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54D9B09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4E095F8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PrEx>
        <w:trPr>
          <w:trHeight w:val="340" w:hRule="atLeast"/>
        </w:trPr>
        <w:tc>
          <w:tcPr>
            <w:tcW w:w="530" w:type="pct"/>
            <w:vMerge w:val="continue"/>
            <w:tcBorders>
              <w:tl2br w:val="nil"/>
              <w:tr2bl w:val="nil"/>
            </w:tcBorders>
            <w:shd w:val="clear" w:color="auto" w:fill="auto"/>
            <w:noWrap w:val="0"/>
            <w:vAlign w:val="center"/>
          </w:tcPr>
          <w:p w14:paraId="5471FD7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47F221B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09E4407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5A581411">
            <w:pPr>
              <w:pStyle w:val="117"/>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bidi="ar-SA"/>
              </w:rPr>
              <w:t>新增源等量或倍量替代</w:t>
            </w:r>
          </w:p>
        </w:tc>
        <w:tc>
          <w:tcPr>
            <w:tcW w:w="2140" w:type="pct"/>
            <w:tcBorders>
              <w:tl2br w:val="nil"/>
              <w:tr2bl w:val="nil"/>
            </w:tcBorders>
            <w:shd w:val="clear" w:color="auto" w:fill="auto"/>
            <w:noWrap w:val="0"/>
            <w:vAlign w:val="center"/>
          </w:tcPr>
          <w:p w14:paraId="09977E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-若上一年度空气质量年平均浓度不达标、水环境质量未达到要求，则建设项目新增相关污染物按照总量管控要求进行倍量削减替代。</w:t>
            </w:r>
          </w:p>
          <w:p w14:paraId="04DD10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-若上一年度空气环境质量、水环境质量达标，则建设项目新增相关污染物按照总量管控要求进行等量替代。</w:t>
            </w:r>
          </w:p>
          <w:p w14:paraId="38D1E4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-新增VOCs排放的建设项目实行等量替代。</w:t>
            </w:r>
          </w:p>
        </w:tc>
        <w:tc>
          <w:tcPr>
            <w:tcW w:w="741" w:type="pct"/>
            <w:vMerge w:val="continue"/>
            <w:tcBorders>
              <w:tl2br w:val="nil"/>
              <w:tr2bl w:val="nil"/>
            </w:tcBorders>
            <w:shd w:val="clear" w:color="auto" w:fill="auto"/>
            <w:noWrap w:val="0"/>
            <w:vAlign w:val="center"/>
          </w:tcPr>
          <w:p w14:paraId="59F48F9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tcBorders>
              <w:tl2br w:val="nil"/>
              <w:tr2bl w:val="nil"/>
            </w:tcBorders>
            <w:shd w:val="clear" w:color="auto" w:fill="auto"/>
            <w:noWrap w:val="0"/>
            <w:vAlign w:val="center"/>
          </w:tcPr>
          <w:p w14:paraId="3546F4E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3EF7A93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83" w:hRule="atLeast"/>
        </w:trPr>
        <w:tc>
          <w:tcPr>
            <w:tcW w:w="530" w:type="pct"/>
            <w:vMerge w:val="continue"/>
            <w:tcBorders>
              <w:tl2br w:val="nil"/>
              <w:tr2bl w:val="nil"/>
            </w:tcBorders>
            <w:shd w:val="clear" w:color="auto" w:fill="auto"/>
            <w:noWrap w:val="0"/>
            <w:vAlign w:val="center"/>
          </w:tcPr>
          <w:p w14:paraId="0FA51309">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625C24E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0F64F3E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558FB51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污染物排放绩效水平准入要求</w:t>
            </w:r>
          </w:p>
        </w:tc>
        <w:tc>
          <w:tcPr>
            <w:tcW w:w="2140" w:type="pct"/>
            <w:tcBorders>
              <w:tl2br w:val="nil"/>
              <w:tr2bl w:val="nil"/>
            </w:tcBorders>
            <w:shd w:val="clear" w:color="auto" w:fill="auto"/>
            <w:noWrap w:val="0"/>
            <w:vAlign w:val="center"/>
          </w:tcPr>
          <w:p w14:paraId="3AE578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水环境污染物：</w:t>
            </w:r>
          </w:p>
          <w:p w14:paraId="1EC42B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-到2023年底，所有建制镇具备污水处理能力。</w:t>
            </w:r>
          </w:p>
          <w:p w14:paraId="57146F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鼓励畜禽粪污还田利用。粪污经无害化处理后还田利用具体要求及限量应符合《畜禽粪便无害化处理技术规范》、《畜禽粪便还田技术规范》、《畜禽粪污土地承载力测算技术指南》。用于农田灌溉的，应符合《农田灌溉水质标准》（GB5084）。</w:t>
            </w:r>
          </w:p>
          <w:p w14:paraId="451D4CE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-屠宰项目应配套污水处理设施或进入城镇污水管网。鼓励新、改扩白酒酿造企业满足《四川省白酒产业环境准入指标体系分析》中提出的相应区域污染物排放约束性管控指标。</w:t>
            </w:r>
          </w:p>
          <w:p w14:paraId="1B02B2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大气环境：</w:t>
            </w:r>
          </w:p>
          <w:p w14:paraId="58C1B6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严格控制道路扬尘。国省道路、高速路连接线等重点通行线路和建成区城乡结合部每天机械化清扫、冲洗不少于1次。强化城郊结合部扬尘污染管控。重点抓好重点交通建筑工地扬尘治理，切实加强城郊结合部重点货车绕行道路扬尘治理。严控城市垃圾、落叶露天焚烧。</w:t>
            </w:r>
          </w:p>
          <w:p w14:paraId="159C1E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固体废物：</w:t>
            </w:r>
          </w:p>
          <w:p w14:paraId="60DCBF6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到2023年底，乡镇及行政村生活垃圾收转运处置体系基本实现全覆盖。大力推进农村生活垃圾就地分类减量和资源化利用，因地制宜选择农村生活垃圾治理模式。建制镇污水处理设施产生的污泥原则上应纳入城市集中无害化处置范围。</w:t>
            </w:r>
          </w:p>
          <w:p w14:paraId="646E14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-力争2025年大中型矿山达到绿色矿山标准，引导小型矿山按照绿色矿山标准规范发展；加强矿山采选废水的处理和综合利用工作，选矿废水全部综合利用，不外排，采矿废水应尽量回用。</w:t>
            </w:r>
          </w:p>
        </w:tc>
        <w:tc>
          <w:tcPr>
            <w:tcW w:w="741" w:type="pct"/>
            <w:vMerge w:val="continue"/>
            <w:tcBorders>
              <w:tl2br w:val="nil"/>
              <w:tr2bl w:val="nil"/>
            </w:tcBorders>
            <w:shd w:val="clear" w:color="auto" w:fill="auto"/>
            <w:noWrap w:val="0"/>
            <w:vAlign w:val="center"/>
          </w:tcPr>
          <w:p w14:paraId="372B550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tcBorders>
              <w:tl2br w:val="nil"/>
              <w:tr2bl w:val="nil"/>
            </w:tcBorders>
            <w:shd w:val="clear" w:color="auto" w:fill="auto"/>
            <w:noWrap w:val="0"/>
            <w:vAlign w:val="center"/>
          </w:tcPr>
          <w:p w14:paraId="4BD3961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r>
      <w:tr w14:paraId="120A248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F04A3F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146DD9BB">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restart"/>
            <w:tcBorders>
              <w:tl2br w:val="nil"/>
              <w:tr2bl w:val="nil"/>
            </w:tcBorders>
            <w:shd w:val="clear" w:color="auto" w:fill="auto"/>
            <w:noWrap w:val="0"/>
            <w:vAlign w:val="center"/>
          </w:tcPr>
          <w:p w14:paraId="5D7C884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环境风险防控</w:t>
            </w:r>
          </w:p>
        </w:tc>
        <w:tc>
          <w:tcPr>
            <w:tcW w:w="664" w:type="pct"/>
            <w:tcBorders>
              <w:tl2br w:val="nil"/>
              <w:tr2bl w:val="nil"/>
            </w:tcBorders>
            <w:shd w:val="clear" w:color="auto" w:fill="auto"/>
            <w:noWrap w:val="0"/>
            <w:vAlign w:val="center"/>
          </w:tcPr>
          <w:p w14:paraId="7A16C1D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联防联控要求</w:t>
            </w:r>
          </w:p>
        </w:tc>
        <w:tc>
          <w:tcPr>
            <w:tcW w:w="2140" w:type="pct"/>
            <w:tcBorders>
              <w:tl2br w:val="nil"/>
              <w:tr2bl w:val="nil"/>
            </w:tcBorders>
            <w:shd w:val="clear" w:color="auto" w:fill="auto"/>
            <w:noWrap w:val="0"/>
            <w:vAlign w:val="center"/>
          </w:tcPr>
          <w:p w14:paraId="255265B0">
            <w:pPr>
              <w:pStyle w:val="117"/>
              <w:keepNext w:val="0"/>
              <w:keepLines w:val="0"/>
              <w:widowControl w:val="0"/>
              <w:suppressLineNumbers w:val="0"/>
              <w:spacing w:before="0" w:beforeAutospacing="0" w:after="0" w:afterAutospacing="0" w:line="240" w:lineRule="auto"/>
              <w:ind w:left="0" w:right="0" w:firstLine="0" w:firstLineChars="0"/>
              <w:jc w:val="left"/>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bidi="ar-SA"/>
              </w:rPr>
              <w:t>加强与嘉陵江上游甘肃陇南市、陕西汉中市环境风险联防联控</w:t>
            </w:r>
          </w:p>
        </w:tc>
        <w:tc>
          <w:tcPr>
            <w:tcW w:w="741" w:type="pct"/>
            <w:vMerge w:val="restart"/>
            <w:tcBorders>
              <w:tl2br w:val="nil"/>
              <w:tr2bl w:val="nil"/>
            </w:tcBorders>
            <w:shd w:val="clear" w:color="auto" w:fill="auto"/>
            <w:noWrap w:val="0"/>
            <w:vAlign w:val="center"/>
          </w:tcPr>
          <w:p w14:paraId="17D3642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bidi="ar-SA"/>
              </w:rPr>
              <w:t>本项目为生活垃圾处理项目，在普安环卫所用地范围内建设，用地性质为环卫用地。项目不涉及重金属，环评要求企业采取严格的环境风险防控措施以防范环境风险。</w:t>
            </w:r>
          </w:p>
        </w:tc>
        <w:tc>
          <w:tcPr>
            <w:tcW w:w="296" w:type="pct"/>
            <w:tcBorders>
              <w:tl2br w:val="nil"/>
              <w:tr2bl w:val="nil"/>
            </w:tcBorders>
            <w:shd w:val="clear" w:color="auto" w:fill="auto"/>
            <w:noWrap w:val="0"/>
            <w:vAlign w:val="center"/>
          </w:tcPr>
          <w:p w14:paraId="73A30D1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7E1888C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42118A4A">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8BB38B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61D4422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5B6DE7C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其他环境风险防控要求</w:t>
            </w:r>
          </w:p>
        </w:tc>
        <w:tc>
          <w:tcPr>
            <w:tcW w:w="2140" w:type="pct"/>
            <w:tcBorders>
              <w:tl2br w:val="nil"/>
              <w:tr2bl w:val="nil"/>
            </w:tcBorders>
            <w:shd w:val="clear" w:color="auto" w:fill="auto"/>
            <w:noWrap w:val="0"/>
            <w:vAlign w:val="center"/>
          </w:tcPr>
          <w:p w14:paraId="4207C5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企业环境风险防控要求:-工业企业退出用地，应按相关要求进行评估、修复，满足相应用地功能后，方可改变用途。</w:t>
            </w:r>
          </w:p>
          <w:p w14:paraId="279A0F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-加强“散乱污”企业环境风险防控。</w:t>
            </w:r>
          </w:p>
          <w:p w14:paraId="60AA15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-严禁新增铅、汞、镉、铬、砷五类重金属污染物排放，引导现有排放重金属企业结合产业升级等适时搬迁入园。</w:t>
            </w:r>
          </w:p>
        </w:tc>
        <w:tc>
          <w:tcPr>
            <w:tcW w:w="741" w:type="pct"/>
            <w:vMerge w:val="continue"/>
            <w:tcBorders>
              <w:tl2br w:val="nil"/>
              <w:tr2bl w:val="nil"/>
            </w:tcBorders>
            <w:shd w:val="clear" w:color="auto" w:fill="auto"/>
            <w:noWrap w:val="0"/>
            <w:vAlign w:val="center"/>
          </w:tcPr>
          <w:p w14:paraId="10D36AE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restart"/>
            <w:tcBorders>
              <w:tl2br w:val="nil"/>
              <w:tr2bl w:val="nil"/>
            </w:tcBorders>
            <w:shd w:val="clear" w:color="auto" w:fill="auto"/>
            <w:noWrap w:val="0"/>
            <w:vAlign w:val="center"/>
          </w:tcPr>
          <w:p w14:paraId="2F64C41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符合</w:t>
            </w:r>
          </w:p>
        </w:tc>
      </w:tr>
      <w:tr w14:paraId="59BE26D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4F66773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67AC473B">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F24C2D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402D635E">
            <w:pPr>
              <w:pStyle w:val="117"/>
              <w:keepNext w:val="0"/>
              <w:keepLines w:val="0"/>
              <w:widowControl w:val="0"/>
              <w:suppressLineNumbers w:val="0"/>
              <w:spacing w:before="0" w:beforeAutospacing="0" w:after="0" w:afterAutospacing="0" w:line="240" w:lineRule="auto"/>
              <w:ind w:left="0" w:right="0" w:firstLine="0" w:firstLineChars="0"/>
              <w:jc w:val="both"/>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bidi="ar-SA"/>
              </w:rPr>
              <w:t>用地环境风险防控要求</w:t>
            </w:r>
          </w:p>
        </w:tc>
        <w:tc>
          <w:tcPr>
            <w:tcW w:w="2140" w:type="pct"/>
            <w:tcBorders>
              <w:tl2br w:val="nil"/>
              <w:tr2bl w:val="nil"/>
            </w:tcBorders>
            <w:shd w:val="clear" w:color="auto" w:fill="auto"/>
            <w:noWrap w:val="0"/>
            <w:vAlign w:val="center"/>
          </w:tcPr>
          <w:p w14:paraId="56135D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建设用地：</w:t>
            </w:r>
          </w:p>
          <w:p w14:paraId="464FA2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对拟收回土地使用权的有色金属矿采选、有色金属冶炼、石油加工、化工、焦化、电镀、制革、天然（页岩）气开采、铅蓄电池、汽车制造、农药、危废处置、电子拆解等行业企业用地，以及用途拟变更为居住和商业、学校、医疗、养老机构等公共设施的上述企业用地，由土地使用权人按照国家发布的建设用地土壤环境调查评估技术规定，开展土壤环境状况调查评估，符合相应规划用地土壤环境质量要求的地块，可进入用地程序。</w:t>
            </w:r>
          </w:p>
          <w:p w14:paraId="1A99D7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农用地：</w:t>
            </w:r>
          </w:p>
          <w:p w14:paraId="3CA71A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到2035年，全市受污染耕地安全利用率得到有效保障，污染地块安全利用率得到有效保障。严禁将城镇生活垃圾、污泥、工业废物直接用作肥料，禁止处理不达标的污泥进入耕地；禁止在农用地排放、倾倒、使用污泥、清淤底泥、尾矿（渣）等可能对土壤造成污染的固体废物。</w:t>
            </w:r>
          </w:p>
          <w:p w14:paraId="644069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严格控制在优先保护类耕地集中的区县新建有色金属矿采选、有色金属冶炼、石油加工、化工、焦化、电镀、制革、天然（页岩）气开采、铅蓄电池、汽车制造、农药、危废处置、电子拆解、涉重等行业企业。严格控制林地、草地、园地的农药使用量，禁止使用高毒、高残留农药。</w:t>
            </w:r>
          </w:p>
        </w:tc>
        <w:tc>
          <w:tcPr>
            <w:tcW w:w="741" w:type="pct"/>
            <w:vMerge w:val="continue"/>
            <w:tcBorders>
              <w:tl2br w:val="nil"/>
              <w:tr2bl w:val="nil"/>
            </w:tcBorders>
            <w:shd w:val="clear" w:color="auto" w:fill="auto"/>
            <w:noWrap w:val="0"/>
            <w:vAlign w:val="center"/>
          </w:tcPr>
          <w:p w14:paraId="0310590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2D10D00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39326A9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B16679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1D4D79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restart"/>
            <w:tcBorders>
              <w:tl2br w:val="nil"/>
              <w:tr2bl w:val="nil"/>
            </w:tcBorders>
            <w:shd w:val="clear" w:color="auto" w:fill="auto"/>
            <w:noWrap w:val="0"/>
            <w:vAlign w:val="center"/>
          </w:tcPr>
          <w:p w14:paraId="4A7230A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资源开发利用效率要求</w:t>
            </w:r>
          </w:p>
        </w:tc>
        <w:tc>
          <w:tcPr>
            <w:tcW w:w="664" w:type="pct"/>
            <w:tcBorders>
              <w:tl2br w:val="nil"/>
              <w:tr2bl w:val="nil"/>
            </w:tcBorders>
            <w:shd w:val="clear" w:color="auto" w:fill="auto"/>
            <w:noWrap w:val="0"/>
            <w:vAlign w:val="center"/>
          </w:tcPr>
          <w:p w14:paraId="36023D6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水资源利用总量要求</w:t>
            </w:r>
          </w:p>
        </w:tc>
        <w:tc>
          <w:tcPr>
            <w:tcW w:w="2140" w:type="pct"/>
            <w:tcBorders>
              <w:tl2br w:val="nil"/>
              <w:tr2bl w:val="nil"/>
            </w:tcBorders>
            <w:shd w:val="clear" w:color="auto" w:fill="auto"/>
            <w:noWrap w:val="0"/>
            <w:vAlign w:val="center"/>
          </w:tcPr>
          <w:p w14:paraId="3AF3DE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加强农业灌溉管理，发展喷灌、微灌、管道输水灌溉、水肥一体化等高效农业节水灌溉方式和农耕农艺节水技术，提高输配水效率和调度水平。发展节水渔业、牧业，组织实施规模养殖场节水建设和改造，推行节水型畜禽养殖技术和方式。</w:t>
            </w:r>
          </w:p>
        </w:tc>
        <w:tc>
          <w:tcPr>
            <w:tcW w:w="741" w:type="pct"/>
            <w:vMerge w:val="restart"/>
            <w:tcBorders>
              <w:tl2br w:val="nil"/>
              <w:tr2bl w:val="nil"/>
            </w:tcBorders>
            <w:shd w:val="clear" w:color="auto" w:fill="auto"/>
            <w:noWrap w:val="0"/>
            <w:vAlign w:val="center"/>
          </w:tcPr>
          <w:p w14:paraId="592EC95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不涉及</w:t>
            </w:r>
          </w:p>
        </w:tc>
        <w:tc>
          <w:tcPr>
            <w:tcW w:w="296" w:type="pct"/>
            <w:vMerge w:val="restart"/>
            <w:tcBorders>
              <w:tl2br w:val="nil"/>
              <w:tr2bl w:val="nil"/>
            </w:tcBorders>
            <w:shd w:val="clear" w:color="auto" w:fill="auto"/>
            <w:noWrap w:val="0"/>
            <w:vAlign w:val="center"/>
          </w:tcPr>
          <w:p w14:paraId="36D09DF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符合</w:t>
            </w:r>
          </w:p>
        </w:tc>
      </w:tr>
      <w:tr w14:paraId="094E8CB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62A5CC5E">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666C1CD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159E08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28D8A5B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地下水开采要求</w:t>
            </w:r>
          </w:p>
        </w:tc>
        <w:tc>
          <w:tcPr>
            <w:tcW w:w="2140" w:type="pct"/>
            <w:tcBorders>
              <w:tl2br w:val="nil"/>
              <w:tr2bl w:val="nil"/>
            </w:tcBorders>
            <w:shd w:val="clear" w:color="auto" w:fill="auto"/>
            <w:noWrap w:val="0"/>
            <w:vAlign w:val="center"/>
          </w:tcPr>
          <w:p w14:paraId="311C29C9">
            <w:pPr>
              <w:pStyle w:val="117"/>
              <w:keepNext w:val="0"/>
              <w:keepLines w:val="0"/>
              <w:widowControl w:val="0"/>
              <w:suppressLineNumbers w:val="0"/>
              <w:spacing w:before="0" w:beforeAutospacing="0" w:after="0" w:afterAutospacing="0" w:line="240" w:lineRule="auto"/>
              <w:ind w:left="0" w:right="0" w:firstLine="0" w:firstLineChars="0"/>
              <w:jc w:val="left"/>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0"/>
                <w:sz w:val="20"/>
                <w:szCs w:val="20"/>
                <w:highlight w:val="none"/>
                <w:lang w:val="en-US" w:eastAsia="zh-CN" w:bidi="ar-SA"/>
              </w:rPr>
              <w:t>参照现行法律法规执行。</w:t>
            </w:r>
          </w:p>
        </w:tc>
        <w:tc>
          <w:tcPr>
            <w:tcW w:w="741" w:type="pct"/>
            <w:vMerge w:val="continue"/>
            <w:tcBorders>
              <w:tl2br w:val="nil"/>
              <w:tr2bl w:val="nil"/>
            </w:tcBorders>
            <w:shd w:val="clear" w:color="auto" w:fill="auto"/>
            <w:noWrap w:val="0"/>
            <w:vAlign w:val="center"/>
          </w:tcPr>
          <w:p w14:paraId="2AD042A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2A31456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5B2C6A5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25130D8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56FB81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B2A003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029CA1E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能源利用总量及效率要求</w:t>
            </w:r>
          </w:p>
        </w:tc>
        <w:tc>
          <w:tcPr>
            <w:tcW w:w="2140" w:type="pct"/>
            <w:tcBorders>
              <w:tl2br w:val="nil"/>
              <w:tr2bl w:val="nil"/>
            </w:tcBorders>
            <w:shd w:val="clear" w:color="auto" w:fill="auto"/>
            <w:noWrap w:val="0"/>
            <w:vAlign w:val="center"/>
          </w:tcPr>
          <w:p w14:paraId="00F5F0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70C9DD3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6C611CA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03E6653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277F6BB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1BDC175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6521A0B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3A16638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禁燃区要求</w:t>
            </w:r>
          </w:p>
        </w:tc>
        <w:tc>
          <w:tcPr>
            <w:tcW w:w="2140" w:type="pct"/>
            <w:tcBorders>
              <w:tl2br w:val="nil"/>
              <w:tr2bl w:val="nil"/>
            </w:tcBorders>
            <w:shd w:val="clear" w:color="auto" w:fill="auto"/>
            <w:noWrap w:val="0"/>
            <w:vAlign w:val="center"/>
          </w:tcPr>
          <w:p w14:paraId="493EA4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不再新建每小时10蒸吨以下的燃煤锅炉。积极实施煤改电、有序推进煤改气。鼓励工业窑炉煤改电、煤改气或集中供热。</w:t>
            </w:r>
          </w:p>
        </w:tc>
        <w:tc>
          <w:tcPr>
            <w:tcW w:w="741" w:type="pct"/>
            <w:vMerge w:val="continue"/>
            <w:tcBorders>
              <w:tl2br w:val="nil"/>
              <w:tr2bl w:val="nil"/>
            </w:tcBorders>
            <w:shd w:val="clear" w:color="auto" w:fill="auto"/>
            <w:noWrap w:val="0"/>
            <w:vAlign w:val="center"/>
          </w:tcPr>
          <w:p w14:paraId="0BC4E7F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6E3D3C0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70EF3B7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3AAF2A4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4E1892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511FEF4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664" w:type="pct"/>
            <w:tcBorders>
              <w:tl2br w:val="nil"/>
              <w:tr2bl w:val="nil"/>
            </w:tcBorders>
            <w:shd w:val="clear" w:color="auto" w:fill="auto"/>
            <w:noWrap w:val="0"/>
            <w:vAlign w:val="center"/>
          </w:tcPr>
          <w:p w14:paraId="7EBF701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其他资源利用效率要求</w:t>
            </w:r>
          </w:p>
        </w:tc>
        <w:tc>
          <w:tcPr>
            <w:tcW w:w="2140" w:type="pct"/>
            <w:tcBorders>
              <w:tl2br w:val="nil"/>
              <w:tr2bl w:val="nil"/>
            </w:tcBorders>
            <w:shd w:val="clear" w:color="auto" w:fill="auto"/>
            <w:noWrap w:val="0"/>
            <w:vAlign w:val="center"/>
          </w:tcPr>
          <w:p w14:paraId="2F3D54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1B452F17">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473B485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740B0A8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8B27C2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restart"/>
            <w:tcBorders>
              <w:tl2br w:val="nil"/>
              <w:tr2bl w:val="nil"/>
            </w:tcBorders>
            <w:shd w:val="clear" w:color="auto" w:fill="auto"/>
            <w:noWrap w:val="0"/>
            <w:vAlign w:val="center"/>
          </w:tcPr>
          <w:p w14:paraId="26C812FA">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单元特性管控要求</w:t>
            </w:r>
          </w:p>
        </w:tc>
        <w:tc>
          <w:tcPr>
            <w:tcW w:w="277" w:type="pct"/>
            <w:vMerge w:val="restart"/>
            <w:tcBorders>
              <w:tl2br w:val="nil"/>
              <w:tr2bl w:val="nil"/>
            </w:tcBorders>
            <w:shd w:val="clear" w:color="auto" w:fill="auto"/>
            <w:noWrap w:val="0"/>
            <w:vAlign w:val="center"/>
          </w:tcPr>
          <w:p w14:paraId="5602040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空间布局约束</w:t>
            </w:r>
          </w:p>
        </w:tc>
        <w:tc>
          <w:tcPr>
            <w:tcW w:w="664" w:type="pct"/>
            <w:tcBorders>
              <w:tl2br w:val="nil"/>
              <w:tr2bl w:val="nil"/>
            </w:tcBorders>
            <w:shd w:val="clear" w:color="auto" w:fill="auto"/>
            <w:noWrap w:val="0"/>
            <w:vAlign w:val="center"/>
          </w:tcPr>
          <w:p w14:paraId="59D5F6E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禁止开发建设活动的要求</w:t>
            </w:r>
          </w:p>
        </w:tc>
        <w:tc>
          <w:tcPr>
            <w:tcW w:w="2140" w:type="pct"/>
            <w:tcBorders>
              <w:tl2br w:val="nil"/>
              <w:tr2bl w:val="nil"/>
            </w:tcBorders>
            <w:shd w:val="clear" w:color="auto" w:fill="auto"/>
            <w:noWrap w:val="0"/>
            <w:vAlign w:val="center"/>
          </w:tcPr>
          <w:p w14:paraId="039F81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rPr>
            </w:pPr>
            <w:r>
              <w:rPr>
                <w:rFonts w:hint="default" w:ascii="Times New Roman" w:hAnsi="Times New Roman" w:cs="Times New Roman"/>
                <w:color w:val="auto"/>
                <w:sz w:val="20"/>
                <w:szCs w:val="20"/>
                <w:highlight w:val="none"/>
                <w:lang w:val="en-US" w:eastAsia="zh-CN"/>
              </w:rPr>
              <w:t>同一般管控单元总体准入要求。</w:t>
            </w:r>
          </w:p>
        </w:tc>
        <w:tc>
          <w:tcPr>
            <w:tcW w:w="741" w:type="pct"/>
            <w:vMerge w:val="restart"/>
            <w:tcBorders>
              <w:tl2br w:val="nil"/>
              <w:tr2bl w:val="nil"/>
            </w:tcBorders>
            <w:shd w:val="clear" w:color="auto" w:fill="auto"/>
            <w:noWrap w:val="0"/>
            <w:vAlign w:val="center"/>
          </w:tcPr>
          <w:p w14:paraId="1F487ED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不涉及</w:t>
            </w:r>
          </w:p>
        </w:tc>
        <w:tc>
          <w:tcPr>
            <w:tcW w:w="296" w:type="pct"/>
            <w:vMerge w:val="restart"/>
            <w:tcBorders>
              <w:tl2br w:val="nil"/>
              <w:tr2bl w:val="nil"/>
            </w:tcBorders>
            <w:shd w:val="clear" w:color="auto" w:fill="auto"/>
            <w:noWrap w:val="0"/>
            <w:vAlign w:val="center"/>
          </w:tcPr>
          <w:p w14:paraId="66255D0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符合</w:t>
            </w:r>
          </w:p>
        </w:tc>
      </w:tr>
      <w:tr w14:paraId="51452A9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3F3CF17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058B145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77" w:type="pct"/>
            <w:vMerge w:val="continue"/>
            <w:tcBorders>
              <w:tl2br w:val="nil"/>
              <w:tr2bl w:val="nil"/>
            </w:tcBorders>
            <w:shd w:val="clear" w:color="auto" w:fill="auto"/>
            <w:noWrap w:val="0"/>
            <w:vAlign w:val="center"/>
          </w:tcPr>
          <w:p w14:paraId="2C3E6BF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0F3B6C0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限制开发建设活动的要求</w:t>
            </w:r>
          </w:p>
        </w:tc>
        <w:tc>
          <w:tcPr>
            <w:tcW w:w="2140" w:type="pct"/>
            <w:tcBorders>
              <w:tl2br w:val="nil"/>
              <w:tr2bl w:val="nil"/>
            </w:tcBorders>
            <w:shd w:val="clear" w:color="auto" w:fill="auto"/>
            <w:noWrap w:val="0"/>
            <w:vAlign w:val="center"/>
          </w:tcPr>
          <w:p w14:paraId="0888F5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rPr>
            </w:pPr>
            <w:r>
              <w:rPr>
                <w:rStyle w:val="37"/>
                <w:rFonts w:hint="default" w:ascii="Times New Roman" w:hAnsi="Times New Roman" w:eastAsia="宋体" w:cs="Times New Roman"/>
                <w:color w:val="auto"/>
                <w:kern w:val="2"/>
                <w:sz w:val="20"/>
                <w:szCs w:val="20"/>
                <w:highlight w:val="none"/>
                <w:lang w:val="en-US" w:eastAsia="zh-CN" w:bidi="ar-SA"/>
              </w:rPr>
              <w:t>大气弱扩散重点管控区，严格项目引入政策，严控新建水泥厂、危废焚烧、陶瓷厂等以大气污染为主的企业其他同一般管控单元总体准入要求。</w:t>
            </w:r>
          </w:p>
        </w:tc>
        <w:tc>
          <w:tcPr>
            <w:tcW w:w="741" w:type="pct"/>
            <w:vMerge w:val="continue"/>
            <w:tcBorders>
              <w:tl2br w:val="nil"/>
              <w:tr2bl w:val="nil"/>
            </w:tcBorders>
            <w:shd w:val="clear" w:color="auto" w:fill="auto"/>
            <w:noWrap w:val="0"/>
            <w:vAlign w:val="center"/>
          </w:tcPr>
          <w:p w14:paraId="19DEA5C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3C14731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72D052B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40" w:hRule="atLeast"/>
        </w:trPr>
        <w:tc>
          <w:tcPr>
            <w:tcW w:w="530" w:type="pct"/>
            <w:vMerge w:val="continue"/>
            <w:tcBorders>
              <w:tl2br w:val="nil"/>
              <w:tr2bl w:val="nil"/>
            </w:tcBorders>
            <w:shd w:val="clear" w:color="auto" w:fill="auto"/>
            <w:noWrap w:val="0"/>
            <w:vAlign w:val="center"/>
          </w:tcPr>
          <w:p w14:paraId="03518A5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E29EF0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77" w:type="pct"/>
            <w:vMerge w:val="continue"/>
            <w:tcBorders>
              <w:tl2br w:val="nil"/>
              <w:tr2bl w:val="nil"/>
            </w:tcBorders>
            <w:shd w:val="clear" w:color="auto" w:fill="auto"/>
            <w:noWrap w:val="0"/>
            <w:vAlign w:val="center"/>
          </w:tcPr>
          <w:p w14:paraId="17C90D7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341658E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允许开发建设活动的要求</w:t>
            </w:r>
          </w:p>
        </w:tc>
        <w:tc>
          <w:tcPr>
            <w:tcW w:w="2140" w:type="pct"/>
            <w:tcBorders>
              <w:tl2br w:val="nil"/>
              <w:tr2bl w:val="nil"/>
            </w:tcBorders>
            <w:shd w:val="clear" w:color="auto" w:fill="auto"/>
            <w:noWrap w:val="0"/>
            <w:vAlign w:val="center"/>
          </w:tcPr>
          <w:p w14:paraId="1444BB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rPr>
            </w:pPr>
            <w:r>
              <w:rPr>
                <w:rStyle w:val="37"/>
                <w:rFonts w:hint="default" w:ascii="Times New Roman" w:hAnsi="Times New Roman" w:eastAsia="宋体" w:cs="Times New Roman"/>
                <w:color w:val="auto"/>
                <w:kern w:val="2"/>
                <w:sz w:val="20"/>
                <w:szCs w:val="20"/>
                <w:highlight w:val="none"/>
                <w:lang w:val="en-US" w:eastAsia="zh-CN" w:bidi="ar-SA"/>
              </w:rPr>
              <w:t>同一般管控单元总体</w:t>
            </w:r>
            <w:r>
              <w:rPr>
                <w:rStyle w:val="37"/>
                <w:rFonts w:hint="default" w:ascii="Times New Roman" w:hAnsi="Times New Roman" w:cs="Times New Roman"/>
                <w:color w:val="auto"/>
                <w:kern w:val="2"/>
                <w:sz w:val="20"/>
                <w:szCs w:val="20"/>
                <w:highlight w:val="none"/>
                <w:lang w:val="en-US" w:eastAsia="zh-CN" w:bidi="ar-SA"/>
              </w:rPr>
              <w:t>准入要求。</w:t>
            </w:r>
          </w:p>
        </w:tc>
        <w:tc>
          <w:tcPr>
            <w:tcW w:w="741" w:type="pct"/>
            <w:vMerge w:val="continue"/>
            <w:tcBorders>
              <w:tl2br w:val="nil"/>
              <w:tr2bl w:val="nil"/>
            </w:tcBorders>
            <w:shd w:val="clear" w:color="auto" w:fill="auto"/>
            <w:noWrap w:val="0"/>
            <w:vAlign w:val="center"/>
          </w:tcPr>
          <w:p w14:paraId="78D28ED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36C6853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0C5CCBD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18D4AEE">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6ABB913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77" w:type="pct"/>
            <w:vMerge w:val="continue"/>
            <w:tcBorders>
              <w:tl2br w:val="nil"/>
              <w:tr2bl w:val="nil"/>
            </w:tcBorders>
            <w:shd w:val="clear" w:color="auto" w:fill="auto"/>
            <w:noWrap w:val="0"/>
            <w:vAlign w:val="center"/>
          </w:tcPr>
          <w:p w14:paraId="6B2131D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7FCBC92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不符合空间布局要求活动的退出要求</w:t>
            </w:r>
          </w:p>
        </w:tc>
        <w:tc>
          <w:tcPr>
            <w:tcW w:w="2140" w:type="pct"/>
            <w:tcBorders>
              <w:tl2br w:val="nil"/>
              <w:tr2bl w:val="nil"/>
            </w:tcBorders>
            <w:shd w:val="clear" w:color="auto" w:fill="auto"/>
            <w:noWrap w:val="0"/>
            <w:vAlign w:val="center"/>
          </w:tcPr>
          <w:p w14:paraId="002D09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rPr>
            </w:pPr>
            <w:r>
              <w:rPr>
                <w:rStyle w:val="37"/>
                <w:rFonts w:hint="default" w:ascii="Times New Roman" w:hAnsi="Times New Roman" w:eastAsia="宋体" w:cs="Times New Roman"/>
                <w:color w:val="auto"/>
                <w:kern w:val="2"/>
                <w:sz w:val="20"/>
                <w:szCs w:val="20"/>
                <w:highlight w:val="none"/>
                <w:lang w:val="en-US" w:eastAsia="zh-CN" w:bidi="ar-SA"/>
              </w:rPr>
              <w:t>同一般管控单元总体</w:t>
            </w:r>
            <w:r>
              <w:rPr>
                <w:rStyle w:val="37"/>
                <w:rFonts w:hint="default" w:ascii="Times New Roman" w:hAnsi="Times New Roman" w:cs="Times New Roman"/>
                <w:color w:val="auto"/>
                <w:kern w:val="2"/>
                <w:sz w:val="20"/>
                <w:szCs w:val="20"/>
                <w:highlight w:val="none"/>
                <w:lang w:val="en-US" w:eastAsia="zh-CN" w:bidi="ar-SA"/>
              </w:rPr>
              <w:t>准入要求。</w:t>
            </w:r>
          </w:p>
        </w:tc>
        <w:tc>
          <w:tcPr>
            <w:tcW w:w="741" w:type="pct"/>
            <w:vMerge w:val="continue"/>
            <w:tcBorders>
              <w:tl2br w:val="nil"/>
              <w:tr2bl w:val="nil"/>
            </w:tcBorders>
            <w:shd w:val="clear" w:color="auto" w:fill="auto"/>
            <w:noWrap w:val="0"/>
            <w:vAlign w:val="center"/>
          </w:tcPr>
          <w:p w14:paraId="3D2B998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0DD39E0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5508E54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A6BE06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3A82AF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restart"/>
            <w:tcBorders>
              <w:tl2br w:val="nil"/>
              <w:tr2bl w:val="nil"/>
            </w:tcBorders>
            <w:shd w:val="clear" w:color="auto" w:fill="auto"/>
            <w:noWrap w:val="0"/>
            <w:vAlign w:val="center"/>
          </w:tcPr>
          <w:p w14:paraId="6909D51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污染物排放管控</w:t>
            </w:r>
          </w:p>
        </w:tc>
        <w:tc>
          <w:tcPr>
            <w:tcW w:w="664" w:type="pct"/>
            <w:tcBorders>
              <w:tl2br w:val="nil"/>
              <w:tr2bl w:val="nil"/>
            </w:tcBorders>
            <w:shd w:val="clear" w:color="auto" w:fill="auto"/>
            <w:noWrap w:val="0"/>
            <w:vAlign w:val="center"/>
          </w:tcPr>
          <w:p w14:paraId="25320A8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现有源提标升级改造</w:t>
            </w:r>
          </w:p>
        </w:tc>
        <w:tc>
          <w:tcPr>
            <w:tcW w:w="2140" w:type="pct"/>
            <w:tcBorders>
              <w:tl2br w:val="nil"/>
              <w:tr2bl w:val="nil"/>
            </w:tcBorders>
            <w:shd w:val="clear" w:color="auto" w:fill="auto"/>
            <w:noWrap w:val="0"/>
            <w:vAlign w:val="center"/>
          </w:tcPr>
          <w:p w14:paraId="28D6368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同一般管控单元总体准入要求。单元内的大气重点管控区执行要素重点管控要求。</w:t>
            </w:r>
          </w:p>
        </w:tc>
        <w:tc>
          <w:tcPr>
            <w:tcW w:w="741" w:type="pct"/>
            <w:vMerge w:val="restart"/>
            <w:tcBorders>
              <w:tl2br w:val="nil"/>
              <w:tr2bl w:val="nil"/>
            </w:tcBorders>
            <w:shd w:val="clear" w:color="auto" w:fill="auto"/>
            <w:noWrap w:val="0"/>
            <w:vAlign w:val="center"/>
          </w:tcPr>
          <w:p w14:paraId="0604E8F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本项目厂区内实行雨污分流，生产废水依托</w:t>
            </w:r>
            <w:r>
              <w:rPr>
                <w:rStyle w:val="37"/>
                <w:rFonts w:hint="eastAsia" w:eastAsia="宋体" w:cs="Times New Roman"/>
                <w:color w:val="auto"/>
                <w:kern w:val="2"/>
                <w:sz w:val="20"/>
                <w:szCs w:val="20"/>
                <w:highlight w:val="none"/>
                <w:lang w:val="en-US" w:eastAsia="zh-CN" w:bidi="ar-SA"/>
              </w:rPr>
              <w:t>普安镇污水处理厂或</w:t>
            </w:r>
            <w:r>
              <w:rPr>
                <w:rStyle w:val="37"/>
                <w:rFonts w:hint="default" w:ascii="Times New Roman" w:hAnsi="Times New Roman" w:eastAsia="宋体" w:cs="Times New Roman"/>
                <w:color w:val="auto"/>
                <w:kern w:val="2"/>
                <w:sz w:val="20"/>
                <w:szCs w:val="20"/>
                <w:highlight w:val="none"/>
                <w:lang w:val="en-US" w:eastAsia="zh-CN" w:bidi="ar-SA"/>
              </w:rPr>
              <w:t>剑阁县垃圾填埋场渗滤液处理站处理后达标排放，不直接外排。</w:t>
            </w:r>
          </w:p>
        </w:tc>
        <w:tc>
          <w:tcPr>
            <w:tcW w:w="296" w:type="pct"/>
            <w:vMerge w:val="restart"/>
            <w:tcBorders>
              <w:tl2br w:val="nil"/>
              <w:tr2bl w:val="nil"/>
            </w:tcBorders>
            <w:shd w:val="clear" w:color="auto" w:fill="auto"/>
            <w:noWrap w:val="0"/>
            <w:vAlign w:val="center"/>
          </w:tcPr>
          <w:p w14:paraId="765AD6A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符合</w:t>
            </w:r>
          </w:p>
        </w:tc>
      </w:tr>
      <w:tr w14:paraId="7944331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742CAE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C3838A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D5EE6C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27B4BF1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新增源等量或倍量替代</w:t>
            </w:r>
          </w:p>
        </w:tc>
        <w:tc>
          <w:tcPr>
            <w:tcW w:w="2140" w:type="pct"/>
            <w:tcBorders>
              <w:tl2br w:val="nil"/>
              <w:tr2bl w:val="nil"/>
            </w:tcBorders>
            <w:shd w:val="clear" w:color="auto" w:fill="auto"/>
            <w:noWrap w:val="0"/>
            <w:vAlign w:val="center"/>
          </w:tcPr>
          <w:p w14:paraId="41C504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同一般管控单元总体准入要求。单元内的大气重点管控区执行要素重点管控要求。</w:t>
            </w:r>
          </w:p>
        </w:tc>
        <w:tc>
          <w:tcPr>
            <w:tcW w:w="741" w:type="pct"/>
            <w:vMerge w:val="continue"/>
            <w:tcBorders>
              <w:tl2br w:val="nil"/>
              <w:tr2bl w:val="nil"/>
            </w:tcBorders>
            <w:shd w:val="clear" w:color="auto" w:fill="auto"/>
            <w:noWrap w:val="0"/>
            <w:vAlign w:val="center"/>
          </w:tcPr>
          <w:p w14:paraId="6858B488">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6552B56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4CBC556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0700BE2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810F31E">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0FE6BBA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6AE1C15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新增源排放标准限值</w:t>
            </w:r>
          </w:p>
        </w:tc>
        <w:tc>
          <w:tcPr>
            <w:tcW w:w="2140" w:type="pct"/>
            <w:tcBorders>
              <w:tl2br w:val="nil"/>
              <w:tr2bl w:val="nil"/>
            </w:tcBorders>
            <w:shd w:val="clear" w:color="auto" w:fill="auto"/>
            <w:noWrap w:val="0"/>
            <w:vAlign w:val="center"/>
          </w:tcPr>
          <w:p w14:paraId="711791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41" w:type="pct"/>
            <w:vMerge w:val="continue"/>
            <w:tcBorders>
              <w:tl2br w:val="nil"/>
              <w:tr2bl w:val="nil"/>
            </w:tcBorders>
            <w:shd w:val="clear" w:color="auto" w:fill="auto"/>
            <w:noWrap w:val="0"/>
            <w:vAlign w:val="center"/>
          </w:tcPr>
          <w:p w14:paraId="1627EE5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7542F8B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4F1508E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2DA477A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550BAD1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24CC9152">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60B6D26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污染物排放绩效水平准入</w:t>
            </w:r>
            <w:r>
              <w:rPr>
                <w:rFonts w:hint="default" w:ascii="Times New Roman" w:hAnsi="Times New Roman" w:eastAsia="宋体" w:cs="Times New Roman"/>
                <w:color w:val="auto"/>
                <w:sz w:val="20"/>
                <w:szCs w:val="20"/>
                <w:highlight w:val="none"/>
                <w:lang w:val="en-US" w:eastAsia="zh-CN"/>
              </w:rPr>
              <w:t>要求</w:t>
            </w:r>
          </w:p>
        </w:tc>
        <w:tc>
          <w:tcPr>
            <w:tcW w:w="2140" w:type="pct"/>
            <w:tcBorders>
              <w:tl2br w:val="nil"/>
              <w:tr2bl w:val="nil"/>
            </w:tcBorders>
            <w:shd w:val="clear" w:color="auto" w:fill="auto"/>
            <w:noWrap w:val="0"/>
            <w:vAlign w:val="center"/>
          </w:tcPr>
          <w:p w14:paraId="2D35DF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同一般管控单元总体准入要求。单元内的大气重点管控区执行要素重点管控要求。</w:t>
            </w:r>
          </w:p>
        </w:tc>
        <w:tc>
          <w:tcPr>
            <w:tcW w:w="741" w:type="pct"/>
            <w:vMerge w:val="continue"/>
            <w:tcBorders>
              <w:tl2br w:val="nil"/>
              <w:tr2bl w:val="nil"/>
            </w:tcBorders>
            <w:shd w:val="clear" w:color="auto" w:fill="auto"/>
            <w:noWrap w:val="0"/>
            <w:vAlign w:val="center"/>
          </w:tcPr>
          <w:p w14:paraId="61A64382">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786BF8A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5D88113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71A6A7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0AE3261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restart"/>
            <w:tcBorders>
              <w:tl2br w:val="nil"/>
              <w:tr2bl w:val="nil"/>
            </w:tcBorders>
            <w:shd w:val="clear" w:color="auto" w:fill="auto"/>
            <w:noWrap w:val="0"/>
            <w:vAlign w:val="center"/>
          </w:tcPr>
          <w:p w14:paraId="5618392A">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环境风险防控</w:t>
            </w:r>
          </w:p>
        </w:tc>
        <w:tc>
          <w:tcPr>
            <w:tcW w:w="664" w:type="pct"/>
            <w:tcBorders>
              <w:tl2br w:val="nil"/>
              <w:tr2bl w:val="nil"/>
            </w:tcBorders>
            <w:shd w:val="clear" w:color="auto" w:fill="auto"/>
            <w:noWrap w:val="0"/>
            <w:vAlign w:val="center"/>
          </w:tcPr>
          <w:p w14:paraId="27A5C08F">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严格管控类农用地管控要求</w:t>
            </w:r>
          </w:p>
        </w:tc>
        <w:tc>
          <w:tcPr>
            <w:tcW w:w="2140" w:type="pct"/>
            <w:tcBorders>
              <w:tl2br w:val="nil"/>
              <w:tr2bl w:val="nil"/>
            </w:tcBorders>
            <w:shd w:val="clear" w:color="auto" w:fill="auto"/>
            <w:noWrap w:val="0"/>
            <w:vAlign w:val="center"/>
          </w:tcPr>
          <w:p w14:paraId="3FE9B3A1">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同一般管控单元总体准入要求。单元内的土壤优先保护区执行土壤要素优先保护管控要求。</w:t>
            </w:r>
          </w:p>
        </w:tc>
        <w:tc>
          <w:tcPr>
            <w:tcW w:w="741" w:type="pct"/>
            <w:vMerge w:val="restart"/>
            <w:tcBorders>
              <w:tl2br w:val="nil"/>
              <w:tr2bl w:val="nil"/>
            </w:tcBorders>
            <w:shd w:val="clear" w:color="auto" w:fill="auto"/>
            <w:noWrap w:val="0"/>
            <w:vAlign w:val="center"/>
          </w:tcPr>
          <w:p w14:paraId="3F5247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bidi="ar-SA"/>
              </w:rPr>
              <w:t>环评要求企业采取严格的环境风险防控措施以防范环境风险。</w:t>
            </w:r>
          </w:p>
        </w:tc>
        <w:tc>
          <w:tcPr>
            <w:tcW w:w="296" w:type="pct"/>
            <w:vMerge w:val="restart"/>
            <w:tcBorders>
              <w:tl2br w:val="nil"/>
              <w:tr2bl w:val="nil"/>
            </w:tcBorders>
            <w:shd w:val="clear" w:color="auto" w:fill="auto"/>
            <w:noWrap w:val="0"/>
            <w:vAlign w:val="center"/>
          </w:tcPr>
          <w:p w14:paraId="04A28B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符合</w:t>
            </w:r>
          </w:p>
        </w:tc>
      </w:tr>
      <w:tr w14:paraId="70E5F39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5FF932C8">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419B9E33">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21A0154D">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372BAAC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安全利用类农用地管控要求</w:t>
            </w:r>
          </w:p>
        </w:tc>
        <w:tc>
          <w:tcPr>
            <w:tcW w:w="2140" w:type="pct"/>
            <w:tcBorders>
              <w:tl2br w:val="nil"/>
              <w:tr2bl w:val="nil"/>
            </w:tcBorders>
            <w:shd w:val="clear" w:color="auto" w:fill="auto"/>
            <w:noWrap w:val="0"/>
            <w:vAlign w:val="center"/>
          </w:tcPr>
          <w:p w14:paraId="04F6FD8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同一般管控单元总体准入要求。单元内的土壤优先保护区执行土壤要素优先保护管控要求。</w:t>
            </w:r>
          </w:p>
        </w:tc>
        <w:tc>
          <w:tcPr>
            <w:tcW w:w="741" w:type="pct"/>
            <w:vMerge w:val="continue"/>
            <w:tcBorders>
              <w:tl2br w:val="nil"/>
              <w:tr2bl w:val="nil"/>
            </w:tcBorders>
            <w:shd w:val="clear" w:color="auto" w:fill="auto"/>
            <w:noWrap w:val="0"/>
            <w:vAlign w:val="center"/>
          </w:tcPr>
          <w:p w14:paraId="69FECC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6DB959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4AEA2A6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6E25FA2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09558D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70B4BE6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5E0046A9">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污染地块管控要求</w:t>
            </w:r>
          </w:p>
        </w:tc>
        <w:tc>
          <w:tcPr>
            <w:tcW w:w="2140" w:type="pct"/>
            <w:tcBorders>
              <w:tl2br w:val="nil"/>
              <w:tr2bl w:val="nil"/>
            </w:tcBorders>
            <w:shd w:val="clear" w:color="auto" w:fill="auto"/>
            <w:noWrap w:val="0"/>
            <w:vAlign w:val="center"/>
          </w:tcPr>
          <w:p w14:paraId="3CB82BD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同一般管控单元总体准入要求。单元内的土壤优先保护区执行土壤要素优先保护管控要求。</w:t>
            </w:r>
          </w:p>
        </w:tc>
        <w:tc>
          <w:tcPr>
            <w:tcW w:w="741" w:type="pct"/>
            <w:vMerge w:val="continue"/>
            <w:tcBorders>
              <w:tl2br w:val="nil"/>
              <w:tr2bl w:val="nil"/>
            </w:tcBorders>
            <w:shd w:val="clear" w:color="auto" w:fill="auto"/>
            <w:noWrap w:val="0"/>
            <w:vAlign w:val="center"/>
          </w:tcPr>
          <w:p w14:paraId="557162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44A771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2571B0F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52C9207">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B247802">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1F3D633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0B87944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园区环境风险防控要求</w:t>
            </w:r>
          </w:p>
        </w:tc>
        <w:tc>
          <w:tcPr>
            <w:tcW w:w="2140" w:type="pct"/>
            <w:tcBorders>
              <w:tl2br w:val="nil"/>
              <w:tr2bl w:val="nil"/>
            </w:tcBorders>
            <w:shd w:val="clear" w:color="auto" w:fill="auto"/>
            <w:noWrap w:val="0"/>
            <w:vAlign w:val="center"/>
          </w:tcPr>
          <w:p w14:paraId="3314AA9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w:t>
            </w:r>
          </w:p>
        </w:tc>
        <w:tc>
          <w:tcPr>
            <w:tcW w:w="741" w:type="pct"/>
            <w:vMerge w:val="continue"/>
            <w:tcBorders>
              <w:tl2br w:val="nil"/>
              <w:tr2bl w:val="nil"/>
            </w:tcBorders>
            <w:shd w:val="clear" w:color="auto" w:fill="auto"/>
            <w:noWrap w:val="0"/>
            <w:vAlign w:val="center"/>
          </w:tcPr>
          <w:p w14:paraId="7508FB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284A6A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5718A08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PrEx>
        <w:trPr>
          <w:trHeight w:val="340" w:hRule="atLeast"/>
        </w:trPr>
        <w:tc>
          <w:tcPr>
            <w:tcW w:w="530" w:type="pct"/>
            <w:vMerge w:val="continue"/>
            <w:tcBorders>
              <w:tl2br w:val="nil"/>
              <w:tr2bl w:val="nil"/>
            </w:tcBorders>
            <w:shd w:val="clear" w:color="auto" w:fill="auto"/>
            <w:noWrap w:val="0"/>
            <w:vAlign w:val="center"/>
          </w:tcPr>
          <w:p w14:paraId="173C723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12BFAA5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70781006">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23496F0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企业环境风险防控要求</w:t>
            </w:r>
          </w:p>
        </w:tc>
        <w:tc>
          <w:tcPr>
            <w:tcW w:w="2140" w:type="pct"/>
            <w:tcBorders>
              <w:tl2br w:val="nil"/>
              <w:tr2bl w:val="nil"/>
            </w:tcBorders>
            <w:shd w:val="clear" w:color="auto" w:fill="auto"/>
            <w:noWrap w:val="0"/>
            <w:vAlign w:val="center"/>
          </w:tcPr>
          <w:p w14:paraId="57992104">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w:t>
            </w:r>
          </w:p>
        </w:tc>
        <w:tc>
          <w:tcPr>
            <w:tcW w:w="741" w:type="pct"/>
            <w:vMerge w:val="continue"/>
            <w:tcBorders>
              <w:tl2br w:val="nil"/>
              <w:tr2bl w:val="nil"/>
            </w:tcBorders>
            <w:shd w:val="clear" w:color="auto" w:fill="auto"/>
            <w:noWrap w:val="0"/>
            <w:vAlign w:val="center"/>
          </w:tcPr>
          <w:p w14:paraId="44A168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50B51D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71F6E78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PrEx>
        <w:trPr>
          <w:trHeight w:val="340" w:hRule="atLeast"/>
        </w:trPr>
        <w:tc>
          <w:tcPr>
            <w:tcW w:w="530" w:type="pct"/>
            <w:vMerge w:val="continue"/>
            <w:tcBorders>
              <w:tl2br w:val="nil"/>
              <w:tr2bl w:val="nil"/>
            </w:tcBorders>
            <w:shd w:val="clear" w:color="auto" w:fill="auto"/>
            <w:noWrap w:val="0"/>
            <w:vAlign w:val="center"/>
          </w:tcPr>
          <w:p w14:paraId="590A449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7BABDAAA">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7FB7A80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5B8C502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其他环境风险防控要求</w:t>
            </w:r>
          </w:p>
        </w:tc>
        <w:tc>
          <w:tcPr>
            <w:tcW w:w="2140" w:type="pct"/>
            <w:tcBorders>
              <w:tl2br w:val="nil"/>
              <w:tr2bl w:val="nil"/>
            </w:tcBorders>
            <w:shd w:val="clear" w:color="auto" w:fill="auto"/>
            <w:noWrap w:val="0"/>
            <w:vAlign w:val="center"/>
          </w:tcPr>
          <w:p w14:paraId="650ACBFD">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Style w:val="37"/>
                <w:rFonts w:hint="default" w:ascii="Times New Roman" w:hAnsi="Times New Roman" w:eastAsia="宋体" w:cs="Times New Roman"/>
                <w:color w:val="auto"/>
                <w:kern w:val="2"/>
                <w:sz w:val="20"/>
                <w:szCs w:val="20"/>
                <w:highlight w:val="none"/>
                <w:lang w:val="en-US" w:eastAsia="zh-CN" w:bidi="ar-SA"/>
              </w:rPr>
            </w:pPr>
            <w:r>
              <w:rPr>
                <w:rStyle w:val="37"/>
                <w:rFonts w:hint="default" w:ascii="Times New Roman" w:hAnsi="Times New Roman" w:eastAsia="宋体" w:cs="Times New Roman"/>
                <w:color w:val="auto"/>
                <w:kern w:val="2"/>
                <w:sz w:val="20"/>
                <w:szCs w:val="20"/>
                <w:highlight w:val="none"/>
                <w:lang w:val="en-US" w:eastAsia="zh-CN" w:bidi="ar-SA"/>
              </w:rPr>
              <w:t>/</w:t>
            </w:r>
          </w:p>
        </w:tc>
        <w:tc>
          <w:tcPr>
            <w:tcW w:w="741" w:type="pct"/>
            <w:vMerge w:val="continue"/>
            <w:tcBorders>
              <w:tl2br w:val="nil"/>
              <w:tr2bl w:val="nil"/>
            </w:tcBorders>
            <w:shd w:val="clear" w:color="auto" w:fill="auto"/>
            <w:noWrap w:val="0"/>
            <w:vAlign w:val="center"/>
          </w:tcPr>
          <w:p w14:paraId="540B0B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5A781D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2046749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6F08961F">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3CC02052">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restart"/>
            <w:tcBorders>
              <w:tl2br w:val="nil"/>
              <w:tr2bl w:val="nil"/>
            </w:tcBorders>
            <w:shd w:val="clear" w:color="auto" w:fill="auto"/>
            <w:noWrap w:val="0"/>
            <w:vAlign w:val="center"/>
          </w:tcPr>
          <w:p w14:paraId="03BD079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资源开发效率</w:t>
            </w:r>
          </w:p>
          <w:p w14:paraId="6732CD23">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要求</w:t>
            </w:r>
          </w:p>
        </w:tc>
        <w:tc>
          <w:tcPr>
            <w:tcW w:w="664" w:type="pct"/>
            <w:tcBorders>
              <w:tl2br w:val="nil"/>
              <w:tr2bl w:val="nil"/>
            </w:tcBorders>
            <w:shd w:val="clear" w:color="auto" w:fill="auto"/>
            <w:noWrap w:val="0"/>
            <w:vAlign w:val="center"/>
          </w:tcPr>
          <w:p w14:paraId="126CE68A">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水资源利用效率要求</w:t>
            </w:r>
          </w:p>
        </w:tc>
        <w:tc>
          <w:tcPr>
            <w:tcW w:w="2140" w:type="pct"/>
            <w:tcBorders>
              <w:tl2br w:val="nil"/>
              <w:tr2bl w:val="nil"/>
            </w:tcBorders>
            <w:shd w:val="clear" w:color="auto" w:fill="auto"/>
            <w:noWrap w:val="0"/>
            <w:vAlign w:val="center"/>
          </w:tcPr>
          <w:p w14:paraId="0634C54B">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同广元市、剑阁县总体准入要求。</w:t>
            </w:r>
          </w:p>
        </w:tc>
        <w:tc>
          <w:tcPr>
            <w:tcW w:w="741" w:type="pct"/>
            <w:vMerge w:val="continue"/>
            <w:tcBorders>
              <w:tl2br w:val="nil"/>
              <w:tr2bl w:val="nil"/>
            </w:tcBorders>
            <w:shd w:val="clear" w:color="auto" w:fill="auto"/>
            <w:noWrap w:val="0"/>
            <w:vAlign w:val="center"/>
          </w:tcPr>
          <w:p w14:paraId="593056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77C227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181E62F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1C402E20">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1CF70CE3">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22F0942B">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20EED766">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地下水开采要求</w:t>
            </w:r>
          </w:p>
        </w:tc>
        <w:tc>
          <w:tcPr>
            <w:tcW w:w="2140" w:type="pct"/>
            <w:tcBorders>
              <w:tl2br w:val="nil"/>
              <w:tr2bl w:val="nil"/>
            </w:tcBorders>
            <w:shd w:val="clear" w:color="auto" w:fill="auto"/>
            <w:noWrap w:val="0"/>
            <w:vAlign w:val="center"/>
          </w:tcPr>
          <w:p w14:paraId="4568177C">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w:t>
            </w:r>
          </w:p>
        </w:tc>
        <w:tc>
          <w:tcPr>
            <w:tcW w:w="741" w:type="pct"/>
            <w:vMerge w:val="continue"/>
            <w:tcBorders>
              <w:tl2br w:val="nil"/>
              <w:tr2bl w:val="nil"/>
            </w:tcBorders>
            <w:shd w:val="clear" w:color="auto" w:fill="auto"/>
            <w:noWrap w:val="0"/>
            <w:vAlign w:val="center"/>
          </w:tcPr>
          <w:p w14:paraId="2B6626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683758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1259C89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792959F5">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6BBD9CC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5C364D2A">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0342FFC5">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能源利用效率要求</w:t>
            </w:r>
          </w:p>
        </w:tc>
        <w:tc>
          <w:tcPr>
            <w:tcW w:w="2140" w:type="pct"/>
            <w:tcBorders>
              <w:tl2br w:val="nil"/>
              <w:tr2bl w:val="nil"/>
            </w:tcBorders>
            <w:shd w:val="clear" w:color="auto" w:fill="auto"/>
            <w:noWrap w:val="0"/>
            <w:vAlign w:val="center"/>
          </w:tcPr>
          <w:p w14:paraId="46C8107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w:t>
            </w:r>
          </w:p>
        </w:tc>
        <w:tc>
          <w:tcPr>
            <w:tcW w:w="741" w:type="pct"/>
            <w:vMerge w:val="continue"/>
            <w:tcBorders>
              <w:tl2br w:val="nil"/>
              <w:tr2bl w:val="nil"/>
            </w:tcBorders>
            <w:shd w:val="clear" w:color="auto" w:fill="auto"/>
            <w:noWrap w:val="0"/>
            <w:vAlign w:val="center"/>
          </w:tcPr>
          <w:p w14:paraId="6CFD8F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5F7966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r w14:paraId="2210090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trPr>
        <w:tc>
          <w:tcPr>
            <w:tcW w:w="530" w:type="pct"/>
            <w:vMerge w:val="continue"/>
            <w:tcBorders>
              <w:tl2br w:val="nil"/>
              <w:tr2bl w:val="nil"/>
            </w:tcBorders>
            <w:shd w:val="clear" w:color="auto" w:fill="auto"/>
            <w:noWrap w:val="0"/>
            <w:vAlign w:val="center"/>
          </w:tcPr>
          <w:p w14:paraId="42A33371">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349" w:type="pct"/>
            <w:vMerge w:val="continue"/>
            <w:tcBorders>
              <w:tl2br w:val="nil"/>
              <w:tr2bl w:val="nil"/>
            </w:tcBorders>
            <w:shd w:val="clear" w:color="auto" w:fill="auto"/>
            <w:noWrap w:val="0"/>
            <w:vAlign w:val="center"/>
          </w:tcPr>
          <w:p w14:paraId="2D17941C">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277" w:type="pct"/>
            <w:vMerge w:val="continue"/>
            <w:tcBorders>
              <w:tl2br w:val="nil"/>
              <w:tr2bl w:val="nil"/>
            </w:tcBorders>
            <w:shd w:val="clear" w:color="auto" w:fill="auto"/>
            <w:noWrap w:val="0"/>
            <w:vAlign w:val="center"/>
          </w:tcPr>
          <w:p w14:paraId="33411254">
            <w:pPr>
              <w:pStyle w:val="1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rPr>
            </w:pPr>
          </w:p>
        </w:tc>
        <w:tc>
          <w:tcPr>
            <w:tcW w:w="664" w:type="pct"/>
            <w:tcBorders>
              <w:tl2br w:val="nil"/>
              <w:tr2bl w:val="nil"/>
            </w:tcBorders>
            <w:shd w:val="clear" w:color="auto" w:fill="auto"/>
            <w:noWrap w:val="0"/>
            <w:vAlign w:val="center"/>
          </w:tcPr>
          <w:p w14:paraId="10486B20">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其他资源利用效率要求</w:t>
            </w:r>
          </w:p>
        </w:tc>
        <w:tc>
          <w:tcPr>
            <w:tcW w:w="2140" w:type="pct"/>
            <w:tcBorders>
              <w:tl2br w:val="nil"/>
              <w:tr2bl w:val="nil"/>
            </w:tcBorders>
            <w:shd w:val="clear" w:color="auto" w:fill="auto"/>
            <w:noWrap w:val="0"/>
            <w:vAlign w:val="center"/>
          </w:tcPr>
          <w:p w14:paraId="419F97C3">
            <w:pPr>
              <w:pStyle w:val="12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default" w:ascii="Times New Roman" w:hAnsi="Times New Roman" w:eastAsia="宋体" w:cs="Times New Roman"/>
                <w:color w:val="auto"/>
                <w:sz w:val="20"/>
                <w:szCs w:val="20"/>
                <w:highlight w:val="none"/>
                <w:lang w:val="en-US" w:eastAsia="zh-CN"/>
              </w:rPr>
            </w:pPr>
            <w:r>
              <w:rPr>
                <w:rStyle w:val="37"/>
                <w:rFonts w:hint="default" w:ascii="Times New Roman" w:hAnsi="Times New Roman" w:eastAsia="宋体" w:cs="Times New Roman"/>
                <w:color w:val="auto"/>
                <w:kern w:val="2"/>
                <w:sz w:val="20"/>
                <w:szCs w:val="20"/>
                <w:highlight w:val="none"/>
                <w:lang w:val="en-US" w:eastAsia="zh-CN" w:bidi="ar-SA"/>
              </w:rPr>
              <w:t>/</w:t>
            </w:r>
          </w:p>
        </w:tc>
        <w:tc>
          <w:tcPr>
            <w:tcW w:w="741" w:type="pct"/>
            <w:vMerge w:val="continue"/>
            <w:tcBorders>
              <w:tl2br w:val="nil"/>
              <w:tr2bl w:val="nil"/>
            </w:tcBorders>
            <w:shd w:val="clear" w:color="auto" w:fill="auto"/>
            <w:noWrap w:val="0"/>
            <w:vAlign w:val="center"/>
          </w:tcPr>
          <w:p w14:paraId="1A5E14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c>
          <w:tcPr>
            <w:tcW w:w="296" w:type="pct"/>
            <w:vMerge w:val="continue"/>
            <w:tcBorders>
              <w:tl2br w:val="nil"/>
              <w:tr2bl w:val="nil"/>
            </w:tcBorders>
            <w:shd w:val="clear" w:color="auto" w:fill="auto"/>
            <w:noWrap w:val="0"/>
            <w:vAlign w:val="center"/>
          </w:tcPr>
          <w:p w14:paraId="16F434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 w:val="20"/>
                <w:szCs w:val="20"/>
                <w:highlight w:val="none"/>
                <w:lang w:val="en-US" w:eastAsia="zh-CN"/>
              </w:rPr>
            </w:pPr>
          </w:p>
        </w:tc>
      </w:tr>
    </w:tbl>
    <w:p w14:paraId="10F5C0B1">
      <w:pPr>
        <w:pStyle w:val="17"/>
        <w:widowControl w:val="0"/>
        <w:numPr>
          <w:ilvl w:val="0"/>
          <w:numId w:val="0"/>
        </w:numPr>
        <w:spacing w:line="360" w:lineRule="auto"/>
        <w:jc w:val="both"/>
        <w:rPr>
          <w:rFonts w:hint="default" w:ascii="Times New Roman" w:hAnsi="Times New Roman" w:eastAsia="宋体" w:cs="Times New Roman"/>
          <w:b w:val="0"/>
          <w:bCs w:val="0"/>
          <w:color w:val="auto"/>
          <w:sz w:val="24"/>
          <w:highlight w:val="none"/>
          <w:lang w:val="en-US" w:eastAsia="zh-CN"/>
        </w:rPr>
      </w:pPr>
    </w:p>
    <w:p w14:paraId="2CBC0062">
      <w:pPr>
        <w:pStyle w:val="17"/>
        <w:widowControl w:val="0"/>
        <w:numPr>
          <w:ilvl w:val="0"/>
          <w:numId w:val="0"/>
        </w:numPr>
        <w:spacing w:line="360" w:lineRule="auto"/>
        <w:jc w:val="both"/>
        <w:rPr>
          <w:rFonts w:hint="default" w:ascii="Times New Roman" w:hAnsi="Times New Roman" w:eastAsia="宋体" w:cs="Times New Roman"/>
          <w:b w:val="0"/>
          <w:bCs w:val="0"/>
          <w:color w:val="auto"/>
          <w:sz w:val="24"/>
          <w:highlight w:val="none"/>
          <w:lang w:val="en-US" w:eastAsia="zh-CN"/>
        </w:rPr>
      </w:pPr>
    </w:p>
    <w:p w14:paraId="1D5A62CA">
      <w:pPr>
        <w:pStyle w:val="17"/>
        <w:widowControl w:val="0"/>
        <w:numPr>
          <w:ilvl w:val="0"/>
          <w:numId w:val="0"/>
        </w:numPr>
        <w:spacing w:line="360" w:lineRule="auto"/>
        <w:jc w:val="both"/>
        <w:rPr>
          <w:rFonts w:hint="default" w:ascii="Times New Roman" w:hAnsi="Times New Roman" w:eastAsia="宋体" w:cs="Times New Roman"/>
          <w:b w:val="0"/>
          <w:bCs w:val="0"/>
          <w:color w:val="auto"/>
          <w:sz w:val="24"/>
          <w:highlight w:val="none"/>
          <w:lang w:val="en-US" w:eastAsia="zh-CN"/>
        </w:rPr>
        <w:sectPr>
          <w:headerReference r:id="rId16" w:type="default"/>
          <w:pgSz w:w="16838" w:h="11906" w:orient="landscape"/>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68EE79D9">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生态环境分区管控要求符合性分析小结</w:t>
      </w:r>
    </w:p>
    <w:p w14:paraId="6841479D">
      <w:pPr>
        <w:pStyle w:val="14"/>
        <w:keepNext w:val="0"/>
        <w:keepLines w:val="0"/>
        <w:pageBreakBefore w:val="0"/>
        <w:widowControl/>
        <w:kinsoku/>
        <w:wordWrap/>
        <w:overflowPunct/>
        <w:topLinePunct w:val="0"/>
        <w:autoSpaceDE/>
        <w:autoSpaceDN/>
        <w:bidi w:val="0"/>
        <w:adjustRightInd w:val="0"/>
        <w:snapToGrid w:val="0"/>
        <w:spacing w:before="0" w:after="0" w:line="360" w:lineRule="auto"/>
        <w:ind w:right="0" w:firstLine="480" w:firstLineChars="20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sz w:val="24"/>
          <w:szCs w:val="24"/>
          <w:highlight w:val="none"/>
        </w:rPr>
        <w:t>本项目位于</w:t>
      </w:r>
      <w:r>
        <w:rPr>
          <w:rFonts w:hint="default" w:ascii="Times New Roman" w:hAnsi="Times New Roman" w:cs="Times New Roman" w:eastAsiaTheme="minorEastAsia"/>
          <w:color w:val="auto"/>
          <w:sz w:val="24"/>
          <w:szCs w:val="24"/>
          <w:highlight w:val="none"/>
          <w:lang w:val="en-US" w:eastAsia="zh-CN"/>
        </w:rPr>
        <w:t>剑阁县普安镇剑坪村1组</w:t>
      </w:r>
      <w:r>
        <w:rPr>
          <w:rFonts w:hint="default" w:ascii="Times New Roman" w:hAnsi="Times New Roman" w:cs="Times New Roman"/>
          <w:color w:val="auto"/>
          <w:sz w:val="24"/>
          <w:szCs w:val="24"/>
          <w:highlight w:val="none"/>
        </w:rPr>
        <w:t>，项目建设</w:t>
      </w:r>
      <w:r>
        <w:rPr>
          <w:rFonts w:hint="default" w:ascii="Times New Roman" w:hAnsi="Times New Roman" w:cs="Times New Roman"/>
          <w:color w:val="auto"/>
          <w:sz w:val="24"/>
          <w:szCs w:val="24"/>
          <w:highlight w:val="none"/>
          <w:lang w:val="en-US" w:eastAsia="zh-CN"/>
        </w:rPr>
        <w:t>符合《四川省人民政府关于落实生态保护红线、环境质量底线、资源利用上线，制定生态环境准入清单实施生态环境分区管控的通知》（川府发〔2020〕9号）、</w:t>
      </w:r>
      <w:r>
        <w:rPr>
          <w:rFonts w:hint="default" w:ascii="Times New Roman" w:hAnsi="Times New Roman" w:cs="Times New Roman"/>
          <w:color w:val="auto"/>
          <w:highlight w:val="none"/>
          <w:lang w:val="en-US" w:eastAsia="zh-CN"/>
        </w:rPr>
        <w:t>《广元市人民政府办公室关于加强生态环境分区管控的通知》（广府办函[2024] 26号）中相关要求</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根据“四川省政务服务网-生态环境分区管控符合性分析”在线系统，项目所在区域属于</w:t>
      </w:r>
      <w:r>
        <w:rPr>
          <w:rFonts w:hint="default" w:ascii="Times New Roman" w:hAnsi="Times New Roman" w:eastAsia="宋体" w:cs="Times New Roman"/>
          <w:b w:val="0"/>
          <w:bCs w:val="0"/>
          <w:color w:val="auto"/>
          <w:sz w:val="24"/>
          <w:highlight w:val="none"/>
          <w:lang w:val="en-US" w:eastAsia="zh-CN"/>
        </w:rPr>
        <w:t>广元市剑阁县</w:t>
      </w:r>
      <w:r>
        <w:rPr>
          <w:rFonts w:hint="default" w:ascii="Times New Roman" w:hAnsi="Times New Roman" w:eastAsia="宋体" w:cs="Times New Roman"/>
          <w:color w:val="auto"/>
          <w:sz w:val="24"/>
          <w:szCs w:val="22"/>
          <w:highlight w:val="none"/>
        </w:rPr>
        <w:t>环境综合管控单元一般管控单元（管控单元名称：</w:t>
      </w:r>
      <w:r>
        <w:rPr>
          <w:rFonts w:hint="default" w:ascii="Times New Roman" w:hAnsi="Times New Roman" w:eastAsia="宋体" w:cs="Times New Roman"/>
          <w:b w:val="0"/>
          <w:bCs w:val="0"/>
          <w:color w:val="auto"/>
          <w:sz w:val="24"/>
          <w:highlight w:val="none"/>
          <w:lang w:val="en-US" w:eastAsia="zh-CN"/>
        </w:rPr>
        <w:t>剑阁县</w:t>
      </w:r>
      <w:r>
        <w:rPr>
          <w:rFonts w:hint="default" w:ascii="Times New Roman" w:hAnsi="Times New Roman" w:eastAsia="宋体" w:cs="Times New Roman"/>
          <w:color w:val="auto"/>
          <w:sz w:val="24"/>
          <w:szCs w:val="22"/>
          <w:highlight w:val="none"/>
        </w:rPr>
        <w:t>一般管控单元，管控单元编号：</w:t>
      </w:r>
      <w:r>
        <w:rPr>
          <w:rFonts w:hint="default" w:ascii="Times New Roman" w:hAnsi="Times New Roman" w:eastAsia="宋体" w:cs="Times New Roman"/>
          <w:color w:val="auto"/>
          <w:sz w:val="24"/>
          <w:szCs w:val="22"/>
          <w:highlight w:val="none"/>
          <w:lang w:val="en-US" w:eastAsia="zh-CN"/>
        </w:rPr>
        <w:t>ZH51082330001</w:t>
      </w:r>
      <w:r>
        <w:rPr>
          <w:rFonts w:hint="default" w:ascii="Times New Roman" w:hAnsi="Times New Roman" w:eastAsia="宋体" w:cs="Times New Roman"/>
          <w:color w:val="auto"/>
          <w:sz w:val="24"/>
          <w:szCs w:val="22"/>
          <w:highlight w:val="none"/>
        </w:rPr>
        <w:t>）</w:t>
      </w:r>
      <w:r>
        <w:rPr>
          <w:rFonts w:hint="default" w:ascii="Times New Roman" w:hAnsi="Times New Roman" w:cs="Times New Roman"/>
          <w:color w:val="auto"/>
          <w:sz w:val="24"/>
          <w:szCs w:val="22"/>
          <w:highlight w:val="none"/>
          <w:lang w:eastAsia="zh-CN"/>
        </w:rPr>
        <w:t>，</w:t>
      </w:r>
      <w:r>
        <w:rPr>
          <w:rFonts w:hint="default" w:ascii="Times New Roman" w:hAnsi="Times New Roman" w:cs="Times New Roman"/>
          <w:color w:val="auto"/>
          <w:sz w:val="24"/>
          <w:szCs w:val="22"/>
          <w:highlight w:val="none"/>
          <w:lang w:val="en-US" w:eastAsia="zh-CN"/>
        </w:rPr>
        <w:t>本项目建设符合项目所涉及</w:t>
      </w:r>
      <w:r>
        <w:rPr>
          <w:rFonts w:hint="default" w:ascii="Times New Roman" w:hAnsi="Times New Roman" w:cs="Times New Roman"/>
          <w:color w:val="auto"/>
          <w:sz w:val="24"/>
          <w:szCs w:val="24"/>
          <w:highlight w:val="none"/>
          <w:lang w:val="en-US" w:eastAsia="zh-CN"/>
        </w:rPr>
        <w:t>的剑阁县一般管控单元、嘉陵江-剑阁县-金银渡（张家岩）-控制单元</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剑阁县大气环境一般管控区</w:t>
      </w:r>
      <w:r>
        <w:rPr>
          <w:rFonts w:hint="default" w:ascii="Times New Roman" w:hAnsi="Times New Roman" w:cs="Times New Roman"/>
          <w:color w:val="auto"/>
          <w:sz w:val="24"/>
          <w:szCs w:val="24"/>
          <w:highlight w:val="none"/>
        </w:rPr>
        <w:t>的管控要求</w:t>
      </w:r>
      <w:r>
        <w:rPr>
          <w:rFonts w:hint="default" w:ascii="Times New Roman" w:hAnsi="Times New Roman" w:cs="Times New Roman"/>
          <w:color w:val="auto"/>
          <w:sz w:val="24"/>
          <w:szCs w:val="24"/>
          <w:highlight w:val="none"/>
          <w:lang w:eastAsia="zh-CN"/>
        </w:rPr>
        <w:t>。</w:t>
      </w:r>
    </w:p>
    <w:p w14:paraId="763CDD33">
      <w:pPr>
        <w:pStyle w:val="3"/>
        <w:spacing w:before="156" w:after="156"/>
        <w:rPr>
          <w:rFonts w:hint="default" w:ascii="Times New Roman" w:hAnsi="Times New Roman" w:cs="Times New Roman"/>
          <w:color w:val="auto"/>
          <w:highlight w:val="none"/>
          <w:lang w:val="en-US" w:eastAsia="zh-CN"/>
        </w:rPr>
      </w:pPr>
      <w:bookmarkStart w:id="52" w:name="_Toc620"/>
      <w:bookmarkStart w:id="53" w:name="_Toc28007"/>
      <w:bookmarkStart w:id="54" w:name="_Toc23724"/>
      <w:r>
        <w:rPr>
          <w:rFonts w:hint="default" w:ascii="Times New Roman" w:hAnsi="Times New Roman" w:cs="Times New Roman"/>
          <w:color w:val="auto"/>
          <w:highlight w:val="none"/>
          <w:lang w:val="en-US" w:eastAsia="zh-CN"/>
        </w:rPr>
        <w:t>选址合理性分析</w:t>
      </w:r>
      <w:bookmarkEnd w:id="52"/>
      <w:bookmarkEnd w:id="53"/>
      <w:bookmarkEnd w:id="54"/>
    </w:p>
    <w:p w14:paraId="73220193">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项目选址原则符合性分析</w:t>
      </w:r>
    </w:p>
    <w:p w14:paraId="4D4EE7BA">
      <w:pPr>
        <w:keepNext w:val="0"/>
        <w:keepLines w:val="0"/>
        <w:widowControl/>
        <w:suppressLineNumbers w:val="0"/>
        <w:ind w:firstLine="480" w:firstLineChars="200"/>
        <w:jc w:val="left"/>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本项目为城乡生活垃圾无害化处理项目，选址与相关规范符合性分析如下表所示</w:t>
      </w:r>
      <w:r>
        <w:rPr>
          <w:rFonts w:hint="default" w:ascii="Times New Roman" w:hAnsi="Times New Roman" w:eastAsia="宋" w:cs="Times New Roman"/>
          <w:color w:val="auto"/>
          <w:kern w:val="0"/>
          <w:sz w:val="24"/>
          <w:szCs w:val="24"/>
          <w:highlight w:val="none"/>
          <w:lang w:val="en-US" w:eastAsia="zh-CN" w:bidi="ar"/>
        </w:rPr>
        <w:t>。</w:t>
      </w:r>
    </w:p>
    <w:p w14:paraId="1912E9BC">
      <w:pPr>
        <w:keepNext w:val="0"/>
        <w:keepLines w:val="0"/>
        <w:widowControl/>
        <w:suppressLineNumbers w:val="0"/>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2.9</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bCs/>
          <w:color w:val="auto"/>
          <w:sz w:val="21"/>
          <w:szCs w:val="21"/>
          <w:highlight w:val="none"/>
          <w:lang w:val="en-US" w:eastAsia="zh-CN"/>
        </w:rPr>
        <w:t xml:space="preserve">  本项目选址</w:t>
      </w:r>
      <w:r>
        <w:rPr>
          <w:rFonts w:hint="default" w:ascii="Times New Roman" w:hAnsi="Times New Roman" w:eastAsia="宋体" w:cs="Times New Roman"/>
          <w:b/>
          <w:bCs/>
          <w:color w:val="auto"/>
          <w:kern w:val="0"/>
          <w:sz w:val="21"/>
          <w:szCs w:val="21"/>
          <w:highlight w:val="none"/>
          <w:lang w:val="en-US" w:eastAsia="zh-CN" w:bidi="ar"/>
        </w:rPr>
        <w:t>与相关规范的符合性分析</w:t>
      </w:r>
    </w:p>
    <w:tbl>
      <w:tblPr>
        <w:tblStyle w:val="35"/>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62"/>
        <w:gridCol w:w="2357"/>
        <w:gridCol w:w="3821"/>
        <w:gridCol w:w="2344"/>
      </w:tblGrid>
      <w:tr w14:paraId="72CBF28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10" w:type="pct"/>
            <w:tcBorders>
              <w:tl2br w:val="nil"/>
              <w:tr2bl w:val="nil"/>
            </w:tcBorders>
            <w:vAlign w:val="center"/>
          </w:tcPr>
          <w:p w14:paraId="4FB9FC96">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eastAsia="zh-CN"/>
              </w:rPr>
              <w:t>序号</w:t>
            </w:r>
          </w:p>
        </w:tc>
        <w:tc>
          <w:tcPr>
            <w:tcW w:w="1269" w:type="pct"/>
            <w:tcBorders>
              <w:tl2br w:val="nil"/>
              <w:tr2bl w:val="nil"/>
            </w:tcBorders>
            <w:vAlign w:val="center"/>
          </w:tcPr>
          <w:p w14:paraId="6AF9CB2E">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规范名称</w:t>
            </w:r>
          </w:p>
        </w:tc>
        <w:tc>
          <w:tcPr>
            <w:tcW w:w="2057" w:type="pct"/>
            <w:tcBorders>
              <w:tl2br w:val="nil"/>
              <w:tr2bl w:val="nil"/>
            </w:tcBorders>
            <w:vAlign w:val="center"/>
          </w:tcPr>
          <w:p w14:paraId="33E0FBC2">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eastAsia="zh-CN"/>
              </w:rPr>
            </w:pPr>
            <w:r>
              <w:rPr>
                <w:rFonts w:hint="default" w:ascii="Times New Roman" w:hAnsi="Times New Roman" w:eastAsia="宋体" w:cs="Times New Roman"/>
                <w:b/>
                <w:bCs w:val="0"/>
                <w:color w:val="auto"/>
                <w:kern w:val="2"/>
                <w:sz w:val="20"/>
                <w:szCs w:val="20"/>
                <w:highlight w:val="none"/>
                <w:lang w:val="en-US" w:eastAsia="zh-CN"/>
              </w:rPr>
              <w:t>具体要求</w:t>
            </w:r>
          </w:p>
        </w:tc>
        <w:tc>
          <w:tcPr>
            <w:tcW w:w="1262" w:type="pct"/>
            <w:tcBorders>
              <w:tl2br w:val="nil"/>
              <w:tr2bl w:val="nil"/>
            </w:tcBorders>
            <w:vAlign w:val="center"/>
          </w:tcPr>
          <w:p w14:paraId="51ECB2FB">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bCs w:val="0"/>
                <w:color w:val="auto"/>
                <w:kern w:val="2"/>
                <w:sz w:val="20"/>
                <w:szCs w:val="20"/>
                <w:highlight w:val="none"/>
                <w:lang w:val="en-US" w:eastAsia="zh-CN"/>
              </w:rPr>
            </w:pPr>
            <w:r>
              <w:rPr>
                <w:rFonts w:hint="default" w:ascii="Times New Roman" w:hAnsi="Times New Roman" w:eastAsia="宋体" w:cs="Times New Roman"/>
                <w:b/>
                <w:bCs w:val="0"/>
                <w:color w:val="auto"/>
                <w:kern w:val="2"/>
                <w:sz w:val="20"/>
                <w:szCs w:val="20"/>
                <w:highlight w:val="none"/>
                <w:lang w:val="en-US" w:eastAsia="zh-CN"/>
              </w:rPr>
              <w:t>本项目情况</w:t>
            </w:r>
          </w:p>
        </w:tc>
      </w:tr>
      <w:tr w14:paraId="2E2A66C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10" w:type="pct"/>
            <w:tcBorders>
              <w:tl2br w:val="nil"/>
              <w:tr2bl w:val="nil"/>
            </w:tcBorders>
            <w:vAlign w:val="center"/>
          </w:tcPr>
          <w:p w14:paraId="62346C65">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1</w:t>
            </w:r>
          </w:p>
        </w:tc>
        <w:tc>
          <w:tcPr>
            <w:tcW w:w="1269" w:type="pct"/>
            <w:tcBorders>
              <w:tl2br w:val="nil"/>
              <w:tr2bl w:val="nil"/>
            </w:tcBorders>
            <w:vAlign w:val="center"/>
          </w:tcPr>
          <w:p w14:paraId="691B36B0">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cs="Times New Roman"/>
                <w:b w:val="0"/>
                <w:bCs w:val="0"/>
                <w:color w:val="auto"/>
                <w:kern w:val="0"/>
                <w:sz w:val="20"/>
                <w:szCs w:val="20"/>
                <w:highlight w:val="none"/>
                <w:lang w:eastAsia="zh-CN"/>
              </w:rPr>
              <w:t>《生活垃圾焚烧发电建设项目环境准入条件（试行）》（环办环评[2018]20 号）</w:t>
            </w:r>
          </w:p>
        </w:tc>
        <w:tc>
          <w:tcPr>
            <w:tcW w:w="2057" w:type="pct"/>
            <w:tcBorders>
              <w:tl2br w:val="nil"/>
              <w:tr2bl w:val="nil"/>
            </w:tcBorders>
            <w:vAlign w:val="center"/>
          </w:tcPr>
          <w:p w14:paraId="3D478E4C">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cs="Times New Roman"/>
                <w:b w:val="0"/>
                <w:bCs w:val="0"/>
                <w:color w:val="auto"/>
                <w:kern w:val="0"/>
                <w:sz w:val="20"/>
                <w:szCs w:val="20"/>
                <w:highlight w:val="none"/>
                <w:lang w:eastAsia="zh-CN"/>
              </w:rPr>
              <w:t>第十三条</w:t>
            </w:r>
            <w:r>
              <w:rPr>
                <w:rFonts w:hint="default" w:ascii="Times New Roman" w:hAnsi="Times New Roman" w:cs="Times New Roman"/>
                <w:b w:val="0"/>
                <w:bCs w:val="0"/>
                <w:color w:val="auto"/>
                <w:kern w:val="0"/>
                <w:sz w:val="20"/>
                <w:szCs w:val="20"/>
                <w:highlight w:val="none"/>
                <w:lang w:val="en-US" w:eastAsia="zh-CN"/>
              </w:rPr>
              <w:t xml:space="preserve"> </w:t>
            </w:r>
            <w:r>
              <w:rPr>
                <w:rFonts w:hint="default" w:ascii="Times New Roman" w:hAnsi="Times New Roman" w:cs="Times New Roman"/>
                <w:b w:val="0"/>
                <w:bCs w:val="0"/>
                <w:color w:val="auto"/>
                <w:kern w:val="0"/>
                <w:sz w:val="20"/>
                <w:szCs w:val="20"/>
                <w:highlight w:val="none"/>
                <w:lang w:eastAsia="zh-CN"/>
              </w:rPr>
              <w:t>根据项目所在地区的环境功能区类别，综合评价其对周围环境、居住人群的身体健康、日常生活和生产活动的影响等，确定生活垃圾焚烧厂与常住居民居住场所、农用地、地表水体以及其他敏感对象之间合理的位置关系，厂界外设置不小于300 米的环境防护距离。防护距离范围内不应规划建设居民区、学校、医院、行政办公和科研等敏感目标，并采取园林绿化等缓解环境影响的措施。</w:t>
            </w:r>
          </w:p>
        </w:tc>
        <w:tc>
          <w:tcPr>
            <w:tcW w:w="1262" w:type="pct"/>
            <w:tcBorders>
              <w:tl2br w:val="nil"/>
              <w:tr2bl w:val="nil"/>
            </w:tcBorders>
            <w:vAlign w:val="center"/>
          </w:tcPr>
          <w:p w14:paraId="453002C9">
            <w:pPr>
              <w:keepNext w:val="0"/>
              <w:keepLines w:val="0"/>
              <w:suppressLineNumbers w:val="0"/>
              <w:adjustRightInd w:val="0"/>
              <w:snapToGrid w:val="0"/>
              <w:spacing w:before="0" w:beforeAutospacing="0" w:after="0" w:afterAutospacing="0" w:line="240" w:lineRule="auto"/>
              <w:ind w:left="0" w:right="0"/>
              <w:jc w:val="center"/>
              <w:rPr>
                <w:rFonts w:hint="default" w:ascii="Times New Roman" w:hAnsi="Times New Roman" w:cs="Times New Roman"/>
                <w:b w:val="0"/>
                <w:bCs w:val="0"/>
                <w:color w:val="auto"/>
                <w:kern w:val="0"/>
                <w:sz w:val="20"/>
                <w:szCs w:val="20"/>
                <w:highlight w:val="none"/>
                <w:lang w:eastAsia="zh-CN"/>
              </w:rPr>
            </w:pPr>
            <w:r>
              <w:rPr>
                <w:rFonts w:hint="default" w:ascii="Times New Roman" w:hAnsi="Times New Roman" w:cs="Times New Roman"/>
                <w:b w:val="0"/>
                <w:bCs w:val="0"/>
                <w:color w:val="auto"/>
                <w:kern w:val="0"/>
                <w:sz w:val="20"/>
                <w:szCs w:val="20"/>
                <w:highlight w:val="none"/>
                <w:lang w:eastAsia="zh-CN"/>
              </w:rPr>
              <w:t>本项目不属于发电项目，参照执行。</w:t>
            </w:r>
          </w:p>
          <w:p w14:paraId="4E9678EA">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cs="Times New Roman"/>
                <w:b w:val="0"/>
                <w:bCs w:val="0"/>
                <w:color w:val="auto"/>
                <w:kern w:val="0"/>
                <w:sz w:val="20"/>
                <w:szCs w:val="20"/>
                <w:highlight w:val="none"/>
                <w:lang w:eastAsia="zh-CN"/>
              </w:rPr>
              <w:t>本项目</w:t>
            </w:r>
            <w:r>
              <w:rPr>
                <w:rFonts w:hint="default" w:ascii="Times New Roman" w:hAnsi="Times New Roman" w:cs="Times New Roman"/>
                <w:b w:val="0"/>
                <w:bCs w:val="0"/>
                <w:color w:val="auto"/>
                <w:kern w:val="0"/>
                <w:sz w:val="20"/>
                <w:szCs w:val="20"/>
                <w:highlight w:val="none"/>
                <w:lang w:val="en-US" w:eastAsia="zh-CN"/>
              </w:rPr>
              <w:t>300m范围内有居民分布，1000m范围内居民分布多。</w:t>
            </w:r>
          </w:p>
        </w:tc>
      </w:tr>
      <w:tr w14:paraId="5B3EB04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410" w:type="pct"/>
            <w:vMerge w:val="restart"/>
            <w:tcBorders>
              <w:tl2br w:val="nil"/>
              <w:tr2bl w:val="nil"/>
            </w:tcBorders>
            <w:vAlign w:val="center"/>
          </w:tcPr>
          <w:p w14:paraId="2C4FF17F">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2</w:t>
            </w:r>
          </w:p>
        </w:tc>
        <w:tc>
          <w:tcPr>
            <w:tcW w:w="1269" w:type="pct"/>
            <w:vMerge w:val="restart"/>
            <w:tcBorders>
              <w:tl2br w:val="nil"/>
              <w:tr2bl w:val="nil"/>
            </w:tcBorders>
            <w:vAlign w:val="center"/>
          </w:tcPr>
          <w:p w14:paraId="48C35677">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cs="Times New Roman"/>
                <w:b w:val="0"/>
                <w:bCs w:val="0"/>
                <w:color w:val="auto"/>
                <w:kern w:val="0"/>
                <w:sz w:val="20"/>
                <w:szCs w:val="20"/>
                <w:highlight w:val="none"/>
                <w:lang w:eastAsia="zh-CN"/>
              </w:rPr>
              <w:t>《生活垃圾焚烧污染控制标准》（GB18485-2014）</w:t>
            </w:r>
          </w:p>
        </w:tc>
        <w:tc>
          <w:tcPr>
            <w:tcW w:w="2057" w:type="pct"/>
            <w:tcBorders>
              <w:tl2br w:val="nil"/>
              <w:tr2bl w:val="nil"/>
            </w:tcBorders>
            <w:vAlign w:val="center"/>
          </w:tcPr>
          <w:p w14:paraId="5D9E7E33">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cs="Times New Roman"/>
                <w:b w:val="0"/>
                <w:bCs w:val="0"/>
                <w:color w:val="auto"/>
                <w:kern w:val="0"/>
                <w:sz w:val="20"/>
                <w:szCs w:val="20"/>
                <w:highlight w:val="none"/>
                <w:lang w:eastAsia="zh-CN"/>
              </w:rPr>
              <w:t>依据环境影响评价结论确定生活垃圾焚烧厂厂址的位置及其与周围人群的距离。经具有审批权的环境保护行政主管部门批准后，这一距离可作为规划控制的依据。</w:t>
            </w:r>
          </w:p>
        </w:tc>
        <w:tc>
          <w:tcPr>
            <w:tcW w:w="1262" w:type="pct"/>
            <w:tcBorders>
              <w:tl2br w:val="nil"/>
              <w:tr2bl w:val="nil"/>
            </w:tcBorders>
            <w:vAlign w:val="center"/>
          </w:tcPr>
          <w:p w14:paraId="6197693C">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cs="Times New Roman"/>
                <w:b w:val="0"/>
                <w:bCs w:val="0"/>
                <w:color w:val="auto"/>
                <w:kern w:val="0"/>
                <w:sz w:val="20"/>
                <w:szCs w:val="20"/>
                <w:highlight w:val="none"/>
                <w:lang w:eastAsia="zh-CN"/>
              </w:rPr>
              <w:t>参照同类环评，环评计算预估划定卫生防护距离约</w:t>
            </w:r>
            <w:r>
              <w:rPr>
                <w:rFonts w:hint="default" w:ascii="Times New Roman" w:hAnsi="Times New Roman" w:cs="Times New Roman"/>
                <w:b w:val="0"/>
                <w:bCs w:val="0"/>
                <w:color w:val="auto"/>
                <w:kern w:val="0"/>
                <w:sz w:val="20"/>
                <w:szCs w:val="20"/>
                <w:highlight w:val="none"/>
                <w:lang w:val="en-US" w:eastAsia="zh-CN"/>
              </w:rPr>
              <w:t>300m，该范围内有较多居民分布</w:t>
            </w:r>
          </w:p>
        </w:tc>
      </w:tr>
      <w:tr w14:paraId="4A39A13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10" w:type="pct"/>
            <w:vMerge w:val="continue"/>
            <w:tcBorders>
              <w:tl2br w:val="nil"/>
              <w:tr2bl w:val="nil"/>
            </w:tcBorders>
            <w:vAlign w:val="center"/>
          </w:tcPr>
          <w:p w14:paraId="1F022E78">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p>
        </w:tc>
        <w:tc>
          <w:tcPr>
            <w:tcW w:w="1269" w:type="pct"/>
            <w:vMerge w:val="continue"/>
            <w:tcBorders>
              <w:tl2br w:val="nil"/>
              <w:tr2bl w:val="nil"/>
            </w:tcBorders>
            <w:vAlign w:val="center"/>
          </w:tcPr>
          <w:p w14:paraId="19163BD8">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p>
        </w:tc>
        <w:tc>
          <w:tcPr>
            <w:tcW w:w="2057" w:type="pct"/>
            <w:tcBorders>
              <w:tl2br w:val="nil"/>
              <w:tr2bl w:val="nil"/>
            </w:tcBorders>
            <w:vAlign w:val="center"/>
          </w:tcPr>
          <w:p w14:paraId="0F92B86A">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cs="Times New Roman"/>
                <w:b w:val="0"/>
                <w:bCs w:val="0"/>
                <w:color w:val="auto"/>
                <w:kern w:val="0"/>
                <w:sz w:val="20"/>
                <w:szCs w:val="20"/>
                <w:highlight w:val="none"/>
                <w:lang w:eastAsia="zh-CN"/>
              </w:rPr>
              <w:t>在对生活垃圾焚烧厂厂址进行环境影响评价时，应重点考虑生活垃圾焚烧厂内各设施可能产生的有害物质泄漏、大气污染物（含恶臭物质）的产生与扩散以及可能的事故风险等因素，根据所在地区的环境功能区类别，综合评价其对周围境、居住人群的身体健康、日常生活和生产活动的影响，确定生活垃圾焚烧厂与常住居民居住场所、农用地、地表水体以及其他敏感对象之间合理的位置关系。</w:t>
            </w:r>
          </w:p>
        </w:tc>
        <w:tc>
          <w:tcPr>
            <w:tcW w:w="1262" w:type="pct"/>
            <w:tcBorders>
              <w:tl2br w:val="nil"/>
              <w:tr2bl w:val="nil"/>
            </w:tcBorders>
            <w:vAlign w:val="center"/>
          </w:tcPr>
          <w:p w14:paraId="2182611F">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cs="Times New Roman"/>
                <w:b w:val="0"/>
                <w:bCs w:val="0"/>
                <w:color w:val="auto"/>
                <w:kern w:val="0"/>
                <w:sz w:val="20"/>
                <w:szCs w:val="20"/>
                <w:highlight w:val="none"/>
                <w:lang w:val="en-US" w:eastAsia="zh-CN"/>
              </w:rPr>
              <w:t>本项目拟选场地现状周边分布有居民，与剑门蜀道风景名胜区、四川翠云廊古柏（省级）自然保护区距离较近，产生废气及风险事故时可能对其产生不利影响</w:t>
            </w:r>
          </w:p>
        </w:tc>
      </w:tr>
      <w:tr w14:paraId="1C53DBD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10" w:type="pct"/>
            <w:tcBorders>
              <w:tl2br w:val="nil"/>
              <w:tr2bl w:val="nil"/>
            </w:tcBorders>
            <w:vAlign w:val="center"/>
          </w:tcPr>
          <w:p w14:paraId="29BADAC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color w:val="auto"/>
                <w:kern w:val="2"/>
                <w:sz w:val="20"/>
                <w:szCs w:val="20"/>
                <w:highlight w:val="none"/>
                <w:lang w:val="en-US" w:eastAsia="zh-CN"/>
              </w:rPr>
            </w:pPr>
            <w:r>
              <w:rPr>
                <w:rFonts w:hint="default" w:ascii="Times New Roman" w:hAnsi="Times New Roman" w:eastAsia="宋体" w:cs="Times New Roman"/>
                <w:color w:val="auto"/>
                <w:kern w:val="2"/>
                <w:sz w:val="20"/>
                <w:szCs w:val="20"/>
                <w:highlight w:val="none"/>
                <w:lang w:val="en-US" w:eastAsia="zh-CN"/>
              </w:rPr>
              <w:t>3</w:t>
            </w:r>
          </w:p>
        </w:tc>
        <w:tc>
          <w:tcPr>
            <w:tcW w:w="1269" w:type="pct"/>
            <w:tcBorders>
              <w:tl2br w:val="nil"/>
              <w:tr2bl w:val="nil"/>
            </w:tcBorders>
            <w:vAlign w:val="center"/>
          </w:tcPr>
          <w:p w14:paraId="552221AC">
            <w:pPr>
              <w:keepNext w:val="0"/>
              <w:keepLines w:val="0"/>
              <w:widowControl w:val="0"/>
              <w:suppressLineNumbers w:val="0"/>
              <w:spacing w:before="0" w:beforeAutospacing="0" w:after="0" w:afterAutospacing="0" w:line="240" w:lineRule="auto"/>
              <w:ind w:left="-6" w:right="0" w:firstLine="0" w:firstLine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cs="Times New Roman"/>
                <w:b w:val="0"/>
                <w:bCs w:val="0"/>
                <w:color w:val="auto"/>
                <w:kern w:val="0"/>
                <w:sz w:val="20"/>
                <w:szCs w:val="20"/>
                <w:highlight w:val="none"/>
                <w:lang w:eastAsia="zh-CN"/>
              </w:rPr>
              <w:t>《生活垃圾焚烧处理工程技术规范》（CJJ90-2009）</w:t>
            </w:r>
          </w:p>
        </w:tc>
        <w:tc>
          <w:tcPr>
            <w:tcW w:w="2057" w:type="pct"/>
            <w:tcBorders>
              <w:tl2br w:val="nil"/>
              <w:tr2bl w:val="nil"/>
            </w:tcBorders>
            <w:vAlign w:val="center"/>
          </w:tcPr>
          <w:p w14:paraId="0E99E164">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b w:val="0"/>
                <w:bCs/>
                <w:color w:val="auto"/>
                <w:kern w:val="2"/>
                <w:sz w:val="20"/>
                <w:szCs w:val="20"/>
                <w:highlight w:val="none"/>
                <w:lang w:val="en-US" w:eastAsia="zh-CN"/>
              </w:rPr>
            </w:pPr>
            <w:r>
              <w:rPr>
                <w:rFonts w:hint="default" w:ascii="Times New Roman" w:hAnsi="Times New Roman" w:cs="Times New Roman"/>
                <w:b w:val="0"/>
                <w:bCs w:val="0"/>
                <w:color w:val="auto"/>
                <w:kern w:val="0"/>
                <w:sz w:val="20"/>
                <w:szCs w:val="20"/>
                <w:highlight w:val="none"/>
                <w:lang w:eastAsia="zh-CN"/>
              </w:rPr>
              <w:t>厂址选址应符合城乡总体规划和环境卫生专业规划要求，并应通过环境影响评价的认定。</w:t>
            </w:r>
          </w:p>
        </w:tc>
        <w:tc>
          <w:tcPr>
            <w:tcW w:w="1262" w:type="pct"/>
            <w:tcBorders>
              <w:tl2br w:val="nil"/>
              <w:tr2bl w:val="nil"/>
            </w:tcBorders>
            <w:vAlign w:val="center"/>
          </w:tcPr>
          <w:p w14:paraId="65B82031">
            <w:pPr>
              <w:keepNext w:val="0"/>
              <w:keepLines w:val="0"/>
              <w:suppressLineNumbers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eastAsia="zh-CN"/>
              </w:rPr>
            </w:pPr>
            <w:r>
              <w:rPr>
                <w:rFonts w:hint="default" w:ascii="Times New Roman" w:hAnsi="Times New Roman" w:cs="Times New Roman"/>
                <w:b w:val="0"/>
                <w:bCs w:val="0"/>
                <w:color w:val="auto"/>
                <w:kern w:val="0"/>
                <w:sz w:val="20"/>
                <w:szCs w:val="20"/>
                <w:highlight w:val="none"/>
                <w:lang w:eastAsia="zh-CN"/>
              </w:rPr>
              <w:t>参照同类环评，环评计算预估划定卫生防护距离约</w:t>
            </w:r>
            <w:r>
              <w:rPr>
                <w:rFonts w:hint="default" w:ascii="Times New Roman" w:hAnsi="Times New Roman" w:cs="Times New Roman"/>
                <w:b w:val="0"/>
                <w:bCs w:val="0"/>
                <w:color w:val="auto"/>
                <w:kern w:val="0"/>
                <w:sz w:val="20"/>
                <w:szCs w:val="20"/>
                <w:highlight w:val="none"/>
                <w:lang w:val="en-US" w:eastAsia="zh-CN"/>
              </w:rPr>
              <w:t>300m，该范围内有居民分布</w:t>
            </w:r>
          </w:p>
        </w:tc>
      </w:tr>
    </w:tbl>
    <w:p w14:paraId="4D7DCD80">
      <w:pPr>
        <w:pStyle w:val="14"/>
        <w:rPr>
          <w:rFonts w:hint="default" w:ascii="Times New Roman" w:hAnsi="Times New Roman" w:cs="Times New Roman"/>
          <w:color w:val="auto"/>
          <w:sz w:val="24"/>
          <w:highlight w:val="none"/>
          <w:lang w:val="en-US" w:eastAsia="zh-CN"/>
        </w:rPr>
      </w:pPr>
      <w:r>
        <w:rPr>
          <w:rFonts w:hint="default" w:ascii="Times New Roman" w:hAnsi="Times New Roman" w:eastAsia="宋体" w:cs="Times New Roman"/>
          <w:b/>
          <w:bCs/>
          <w:color w:val="auto"/>
          <w:kern w:val="0"/>
          <w:sz w:val="24"/>
          <w:szCs w:val="24"/>
          <w:highlight w:val="none"/>
          <w:lang w:val="en-US" w:eastAsia="zh-CN" w:bidi="ar"/>
        </w:rPr>
        <w:t>综上所述，本项目周边分布有居民，与剑门蜀道风景名胜区、四川翠云廊古柏（省级）自然保护区等环境敏感区距离较近，对项目建设形成制约。</w:t>
      </w:r>
    </w:p>
    <w:p w14:paraId="58E7FE08">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周边环境制约因素</w:t>
      </w:r>
    </w:p>
    <w:p w14:paraId="610B17CD">
      <w:pPr>
        <w:keepNext w:val="0"/>
        <w:keepLines w:val="0"/>
        <w:widowControl/>
        <w:suppressLineNumbers w:val="0"/>
        <w:ind w:firstLine="480" w:firstLineChars="200"/>
        <w:jc w:val="left"/>
        <w:rPr>
          <w:rFonts w:hint="default" w:ascii="Times New Roman" w:hAnsi="Times New Roman" w:cs="Times New Roman"/>
          <w:b/>
          <w:bCs/>
          <w:color w:val="auto"/>
          <w:highlight w:val="none"/>
        </w:rPr>
      </w:pPr>
      <w:r>
        <w:rPr>
          <w:rFonts w:hint="default" w:ascii="Times New Roman" w:hAnsi="Times New Roman" w:eastAsia="宋体" w:cs="Times New Roman"/>
          <w:b/>
          <w:bCs/>
          <w:color w:val="auto"/>
          <w:kern w:val="0"/>
          <w:sz w:val="24"/>
          <w:szCs w:val="24"/>
          <w:highlight w:val="none"/>
          <w:lang w:val="en-US" w:eastAsia="zh-CN" w:bidi="ar"/>
        </w:rPr>
        <w:t xml:space="preserve">1、与风景名胜区、自然保护区、湿地保护区等的位置关系 </w:t>
      </w:r>
    </w:p>
    <w:p w14:paraId="5DA2DBC4">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项目用地边界北侧距剑门蜀道风景名胜区最近距离180m、西北侧距剑门关国家森林公园（古驿道翠云廊）直线距离约943m、西侧距四川翠云廊古柏（省级）自然保护区最近距离1110m。本项目在普安环卫所用地范围内建设，本项目选址不在上述保护区范围内。</w:t>
      </w:r>
    </w:p>
    <w:p w14:paraId="31D59D7D">
      <w:pPr>
        <w:ind w:firstLine="480" w:firstLineChars="200"/>
        <w:rPr>
          <w:rFonts w:hint="default" w:ascii="Times New Roman" w:hAnsi="Times New Roman" w:cs="Times New Roman"/>
          <w:color w:val="auto"/>
          <w:highlight w:val="none"/>
          <w:lang w:eastAsia="zh-CN"/>
        </w:rPr>
      </w:pPr>
      <w:r>
        <w:rPr>
          <w:rFonts w:hint="default" w:ascii="Times New Roman" w:hAnsi="Times New Roman" w:cs="Times New Roman"/>
          <w:color w:val="auto"/>
          <w:sz w:val="24"/>
          <w:szCs w:val="24"/>
          <w:highlight w:val="none"/>
          <w:lang w:eastAsia="zh-CN"/>
        </w:rPr>
        <w:t>剑阁县风景名胜保护中心和剑阁县翠云廊古柏自然保护中心已于</w:t>
      </w:r>
      <w:r>
        <w:rPr>
          <w:rFonts w:hint="default" w:ascii="Times New Roman" w:hAnsi="Times New Roman" w:cs="Times New Roman"/>
          <w:color w:val="auto"/>
          <w:sz w:val="24"/>
          <w:szCs w:val="24"/>
          <w:highlight w:val="none"/>
        </w:rPr>
        <w:t>202</w:t>
      </w:r>
      <w:r>
        <w:rPr>
          <w:rFonts w:hint="default" w:ascii="Times New Roman" w:hAnsi="Times New Roman"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 xml:space="preserve"> 年</w:t>
      </w:r>
      <w:r>
        <w:rPr>
          <w:rFonts w:hint="default" w:ascii="Times New Roman" w:hAnsi="Times New Roman" w:cs="Times New Roman"/>
          <w:color w:val="auto"/>
          <w:sz w:val="24"/>
          <w:szCs w:val="24"/>
          <w:highlight w:val="none"/>
          <w:lang w:val="en-US" w:eastAsia="zh-CN"/>
        </w:rPr>
        <w:t>9</w:t>
      </w:r>
      <w:r>
        <w:rPr>
          <w:rFonts w:hint="default" w:ascii="Times New Roman" w:hAnsi="Times New Roman" w:cs="Times New Roman"/>
          <w:color w:val="auto"/>
          <w:sz w:val="24"/>
          <w:szCs w:val="24"/>
          <w:highlight w:val="none"/>
        </w:rPr>
        <w:t>月</w:t>
      </w:r>
      <w:r>
        <w:rPr>
          <w:rFonts w:hint="default" w:ascii="Times New Roman" w:hAnsi="Times New Roman" w:cs="Times New Roman"/>
          <w:color w:val="auto"/>
          <w:sz w:val="24"/>
          <w:szCs w:val="24"/>
          <w:highlight w:val="none"/>
          <w:lang w:val="en-US" w:eastAsia="zh-CN"/>
        </w:rPr>
        <w:t>28</w:t>
      </w:r>
      <w:r>
        <w:rPr>
          <w:rFonts w:hint="default" w:ascii="Times New Roman" w:hAnsi="Times New Roman" w:cs="Times New Roman"/>
          <w:color w:val="auto"/>
          <w:sz w:val="24"/>
          <w:szCs w:val="24"/>
          <w:highlight w:val="none"/>
        </w:rPr>
        <w:t>日出具</w:t>
      </w:r>
      <w:r>
        <w:rPr>
          <w:rFonts w:hint="default" w:ascii="Times New Roman" w:hAnsi="Times New Roman" w:cs="Times New Roman"/>
          <w:color w:val="auto"/>
          <w:sz w:val="24"/>
          <w:szCs w:val="24"/>
          <w:highlight w:val="none"/>
          <w:lang w:eastAsia="zh-CN"/>
        </w:rPr>
        <w:t>说明，本项目不涉及占用</w:t>
      </w:r>
      <w:r>
        <w:rPr>
          <w:rFonts w:hint="default" w:ascii="Times New Roman" w:hAnsi="Times New Roman" w:eastAsia="宋体" w:cs="Times New Roman"/>
          <w:color w:val="auto"/>
          <w:kern w:val="0"/>
          <w:sz w:val="24"/>
          <w:szCs w:val="24"/>
          <w:highlight w:val="none"/>
          <w:lang w:val="en-US" w:eastAsia="zh-CN" w:bidi="ar"/>
        </w:rPr>
        <w:t>剑门蜀道风景名胜区、剑门关国家森林公园、四川翠云廊古柏自然保护区、四川剑阁西河湿地保护区、四川剑门关地质公园（具体见附件9）。</w:t>
      </w:r>
    </w:p>
    <w:p w14:paraId="72C7012B">
      <w:pPr>
        <w:ind w:firstLine="480" w:firstLineChars="200"/>
        <w:rPr>
          <w:rFonts w:hint="default" w:ascii="Times New Roman" w:hAnsi="Times New Roman" w:cs="Times New Roman"/>
          <w:color w:val="auto"/>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bidi="ar"/>
        </w:rPr>
        <w:t>本项目与剑阁县各保护区位置关系示意图见附图。</w:t>
      </w:r>
    </w:p>
    <w:p w14:paraId="77EF41B5">
      <w:pPr>
        <w:pStyle w:val="14"/>
        <w:ind w:firstLine="480"/>
        <w:rPr>
          <w:rFonts w:hint="default" w:ascii="Times New Roman" w:hAnsi="Times New Roman" w:cs="Times New Roman" w:eastAsiaTheme="minorEastAsia"/>
          <w:b/>
          <w:bCs/>
          <w:color w:val="auto"/>
          <w:kern w:val="2"/>
          <w:sz w:val="24"/>
          <w:szCs w:val="21"/>
          <w:highlight w:val="none"/>
          <w:lang w:val="en-US" w:eastAsia="zh-CN" w:bidi="ar-SA"/>
        </w:rPr>
      </w:pPr>
      <w:r>
        <w:rPr>
          <w:rFonts w:hint="default" w:ascii="Times New Roman" w:hAnsi="Times New Roman" w:cs="Times New Roman"/>
          <w:b/>
          <w:bCs/>
          <w:color w:val="auto"/>
          <w:kern w:val="2"/>
          <w:sz w:val="24"/>
          <w:szCs w:val="21"/>
          <w:highlight w:val="none"/>
          <w:lang w:val="en-US" w:eastAsia="zh-CN" w:bidi="ar-SA"/>
        </w:rPr>
        <w:t>2、项目外环境关系及制约因素</w:t>
      </w:r>
    </w:p>
    <w:p w14:paraId="29C6E70A">
      <w:pPr>
        <w:keepNext w:val="0"/>
        <w:keepLines w:val="0"/>
        <w:pageBreakBefore w:val="0"/>
        <w:widowControl/>
        <w:suppressLineNumbers w:val="0"/>
        <w:kinsoku/>
        <w:wordWrap/>
        <w:overflowPunct/>
        <w:topLinePunct w:val="0"/>
        <w:autoSpaceDE/>
        <w:autoSpaceDN/>
        <w:bidi w:val="0"/>
        <w:adjustRightInd/>
        <w:snapToGrid/>
        <w:ind w:firstLine="480" w:firstLineChars="200"/>
        <w:jc w:val="left"/>
        <w:textAlignment w:val="auto"/>
        <w:outlineLvl w:val="9"/>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cs="Times New Roman"/>
          <w:color w:val="auto"/>
          <w:sz w:val="24"/>
          <w:highlight w:val="none"/>
          <w:lang w:val="en-US" w:eastAsia="zh-CN"/>
        </w:rPr>
        <w:t>本项目选址于剑阁县普安镇剑坪村1组，项目用地属于普安环卫所用地南侧地块内（高程657m），用地面积为9958.17 m</w:t>
      </w:r>
      <w:r>
        <w:rPr>
          <w:rFonts w:hint="default" w:ascii="Times New Roman" w:hAnsi="Times New Roman" w:cs="Times New Roman"/>
          <w:color w:val="auto"/>
          <w:sz w:val="24"/>
          <w:highlight w:val="none"/>
          <w:vertAlign w:val="superscript"/>
          <w:lang w:val="en-US" w:eastAsia="zh-CN"/>
        </w:rPr>
        <w:t>2</w:t>
      </w:r>
      <w:r>
        <w:rPr>
          <w:rFonts w:hint="default" w:ascii="Times New Roman" w:hAnsi="Times New Roman" w:cs="Times New Roman"/>
          <w:color w:val="auto"/>
          <w:sz w:val="24"/>
          <w:highlight w:val="none"/>
          <w:vertAlign w:val="baseline"/>
          <w:lang w:val="en-US" w:eastAsia="zh-CN"/>
        </w:rPr>
        <w:t>。</w:t>
      </w:r>
      <w:r>
        <w:rPr>
          <w:rFonts w:hint="default" w:ascii="Times New Roman" w:hAnsi="Times New Roman" w:cs="Times New Roman" w:eastAsiaTheme="minorEastAsia"/>
          <w:color w:val="auto"/>
          <w:sz w:val="24"/>
          <w:highlight w:val="none"/>
          <w:lang w:val="en-US" w:eastAsia="zh-CN"/>
        </w:rPr>
        <w:t>普安环卫所用地南高北低，在普安环卫所用地范围内拟建地块西侧40m为垃圾转运站，西北侧30m为餐厨垃圾处置项目，北侧紧邻垃圾填埋场填埋区（已封场），北侧120m为医疗废物处置中心，北侧103m为填埋场垃圾渗滤液处理站</w:t>
      </w:r>
      <w:r>
        <w:rPr>
          <w:rFonts w:hint="default" w:ascii="Times New Roman" w:hAnsi="Times New Roman" w:cs="Times New Roman" w:eastAsiaTheme="minorEastAsia"/>
          <w:color w:val="auto"/>
          <w:kern w:val="0"/>
          <w:sz w:val="24"/>
          <w:szCs w:val="24"/>
          <w:highlight w:val="none"/>
          <w:lang w:val="en-US" w:eastAsia="zh-CN" w:bidi="ar"/>
        </w:rPr>
        <w:t>。</w:t>
      </w:r>
      <w:r>
        <w:rPr>
          <w:rFonts w:hint="default" w:ascii="Times New Roman" w:hAnsi="Times New Roman" w:cs="Times New Roman"/>
          <w:color w:val="auto"/>
          <w:sz w:val="24"/>
          <w:highlight w:val="none"/>
          <w:lang w:val="en-US" w:eastAsia="zh-CN"/>
        </w:rPr>
        <w:t>拟选地块现状主要为荒草地，通过场平</w:t>
      </w:r>
      <w:r>
        <w:rPr>
          <w:rFonts w:hint="default" w:ascii="Times New Roman" w:hAnsi="Times New Roman" w:eastAsia="宋体" w:cs="Times New Roman"/>
          <w:color w:val="auto"/>
          <w:kern w:val="0"/>
          <w:sz w:val="24"/>
          <w:szCs w:val="24"/>
          <w:highlight w:val="none"/>
          <w:lang w:val="en-US" w:eastAsia="zh-CN" w:bidi="ar"/>
        </w:rPr>
        <w:t>处理，可满足建设要求。</w:t>
      </w:r>
    </w:p>
    <w:p w14:paraId="03CA5BAC">
      <w:pPr>
        <w:pStyle w:val="11"/>
        <w:keepNext/>
        <w:pageBreakBefore w:val="0"/>
        <w:kinsoku/>
        <w:wordWrap/>
        <w:overflowPunct/>
        <w:topLinePunct w:val="0"/>
        <w:autoSpaceDE/>
        <w:autoSpaceDN/>
        <w:bidi w:val="0"/>
        <w:adjustRightInd/>
        <w:snapToGrid/>
        <w:textAlignment w:val="auto"/>
        <w:outlineLvl w:val="9"/>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2.9</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w:t>
      </w:r>
      <w:r>
        <w:rPr>
          <w:rFonts w:hint="default" w:ascii="Times New Roman" w:hAnsi="Times New Roman" w:cs="Times New Roman"/>
          <w:b/>
          <w:bCs/>
          <w:color w:val="auto"/>
          <w:highlight w:val="none"/>
        </w:rPr>
        <w:fldChar w:fldCharType="end"/>
      </w:r>
      <w:r>
        <w:rPr>
          <w:rFonts w:hint="default" w:ascii="Times New Roman" w:hAnsi="Times New Roman" w:cs="Times New Roman"/>
          <w:color w:val="auto"/>
          <w:highlight w:val="none"/>
        </w:rPr>
        <w:t xml:space="preserve">  项目</w:t>
      </w:r>
      <w:r>
        <w:rPr>
          <w:rFonts w:hint="default" w:ascii="Times New Roman" w:hAnsi="Times New Roman" w:cs="Times New Roman"/>
          <w:color w:val="auto"/>
          <w:highlight w:val="none"/>
          <w:lang w:val="en-US" w:eastAsia="zh-CN"/>
        </w:rPr>
        <w:t>拟建场地外环境关系（普安环卫所用地范围内）</w:t>
      </w:r>
    </w:p>
    <w:tbl>
      <w:tblPr>
        <w:tblStyle w:val="35"/>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33"/>
        <w:gridCol w:w="1636"/>
        <w:gridCol w:w="1023"/>
        <w:gridCol w:w="1337"/>
        <w:gridCol w:w="4252"/>
      </w:tblGrid>
      <w:tr w14:paraId="5725A16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556" w:type="pct"/>
            <w:tcBorders>
              <w:tl2br w:val="nil"/>
              <w:tr2bl w:val="nil"/>
            </w:tcBorders>
            <w:vAlign w:val="center"/>
          </w:tcPr>
          <w:p w14:paraId="5072979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lang w:val="en-US" w:eastAsia="zh-CN"/>
              </w:rPr>
              <w:t>方位</w:t>
            </w:r>
          </w:p>
        </w:tc>
        <w:tc>
          <w:tcPr>
            <w:tcW w:w="881" w:type="pct"/>
            <w:tcBorders>
              <w:tl2br w:val="nil"/>
              <w:tr2bl w:val="nil"/>
            </w:tcBorders>
            <w:vAlign w:val="center"/>
          </w:tcPr>
          <w:p w14:paraId="2023D83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距离m</w:t>
            </w:r>
          </w:p>
        </w:tc>
        <w:tc>
          <w:tcPr>
            <w:tcW w:w="551" w:type="pct"/>
            <w:tcBorders>
              <w:tl2br w:val="nil"/>
              <w:tr2bl w:val="nil"/>
            </w:tcBorders>
            <w:vAlign w:val="center"/>
          </w:tcPr>
          <w:p w14:paraId="33A76E4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高程m</w:t>
            </w:r>
          </w:p>
        </w:tc>
        <w:tc>
          <w:tcPr>
            <w:tcW w:w="720" w:type="pct"/>
            <w:tcBorders>
              <w:tl2br w:val="nil"/>
              <w:tr2bl w:val="nil"/>
            </w:tcBorders>
            <w:vAlign w:val="center"/>
          </w:tcPr>
          <w:p w14:paraId="585BD4C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与本项目</w:t>
            </w:r>
          </w:p>
          <w:p w14:paraId="52FFE33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高差m</w:t>
            </w:r>
          </w:p>
        </w:tc>
        <w:tc>
          <w:tcPr>
            <w:tcW w:w="2289" w:type="pct"/>
            <w:tcBorders>
              <w:tl2br w:val="nil"/>
              <w:tr2bl w:val="nil"/>
            </w:tcBorders>
            <w:vAlign w:val="center"/>
          </w:tcPr>
          <w:p w14:paraId="634F674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外环境名称</w:t>
            </w:r>
          </w:p>
        </w:tc>
      </w:tr>
      <w:tr w14:paraId="593047C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6" w:type="pct"/>
            <w:tcBorders>
              <w:tl2br w:val="nil"/>
              <w:tr2bl w:val="nil"/>
            </w:tcBorders>
            <w:vAlign w:val="center"/>
          </w:tcPr>
          <w:p w14:paraId="3B06C93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西侧</w:t>
            </w:r>
          </w:p>
        </w:tc>
        <w:tc>
          <w:tcPr>
            <w:tcW w:w="881" w:type="pct"/>
            <w:tcBorders>
              <w:tl2br w:val="nil"/>
              <w:tr2bl w:val="nil"/>
            </w:tcBorders>
            <w:vAlign w:val="center"/>
          </w:tcPr>
          <w:p w14:paraId="48E24EC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40</w:t>
            </w:r>
          </w:p>
        </w:tc>
        <w:tc>
          <w:tcPr>
            <w:tcW w:w="551" w:type="pct"/>
            <w:tcBorders>
              <w:tl2br w:val="nil"/>
              <w:tr2bl w:val="nil"/>
            </w:tcBorders>
            <w:vAlign w:val="center"/>
          </w:tcPr>
          <w:p w14:paraId="36F95F3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660</w:t>
            </w:r>
          </w:p>
        </w:tc>
        <w:tc>
          <w:tcPr>
            <w:tcW w:w="720" w:type="pct"/>
            <w:tcBorders>
              <w:tl2br w:val="nil"/>
              <w:tr2bl w:val="nil"/>
            </w:tcBorders>
            <w:vAlign w:val="center"/>
          </w:tcPr>
          <w:p w14:paraId="1918CD0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23</w:t>
            </w:r>
          </w:p>
        </w:tc>
        <w:tc>
          <w:tcPr>
            <w:tcW w:w="2289" w:type="pct"/>
            <w:tcBorders>
              <w:tl2br w:val="nil"/>
              <w:tr2bl w:val="nil"/>
            </w:tcBorders>
            <w:vAlign w:val="center"/>
          </w:tcPr>
          <w:p w14:paraId="40B3BF1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垃圾转运站</w:t>
            </w:r>
          </w:p>
        </w:tc>
      </w:tr>
      <w:tr w14:paraId="29C4883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6" w:type="pct"/>
            <w:tcBorders>
              <w:tl2br w:val="nil"/>
              <w:tr2bl w:val="nil"/>
            </w:tcBorders>
            <w:vAlign w:val="center"/>
          </w:tcPr>
          <w:p w14:paraId="57A7F7A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西北侧</w:t>
            </w:r>
          </w:p>
        </w:tc>
        <w:tc>
          <w:tcPr>
            <w:tcW w:w="881" w:type="pct"/>
            <w:tcBorders>
              <w:tl2br w:val="nil"/>
              <w:tr2bl w:val="nil"/>
            </w:tcBorders>
            <w:vAlign w:val="center"/>
          </w:tcPr>
          <w:p w14:paraId="0925AEB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30</w:t>
            </w:r>
          </w:p>
        </w:tc>
        <w:tc>
          <w:tcPr>
            <w:tcW w:w="551" w:type="pct"/>
            <w:tcBorders>
              <w:tl2br w:val="nil"/>
              <w:tr2bl w:val="nil"/>
            </w:tcBorders>
            <w:vAlign w:val="center"/>
          </w:tcPr>
          <w:p w14:paraId="23C27AB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650</w:t>
            </w:r>
          </w:p>
        </w:tc>
        <w:tc>
          <w:tcPr>
            <w:tcW w:w="720" w:type="pct"/>
            <w:tcBorders>
              <w:tl2br w:val="nil"/>
              <w:tr2bl w:val="nil"/>
            </w:tcBorders>
            <w:vAlign w:val="center"/>
          </w:tcPr>
          <w:p w14:paraId="0CA1F0D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13</w:t>
            </w:r>
          </w:p>
        </w:tc>
        <w:tc>
          <w:tcPr>
            <w:tcW w:w="2289" w:type="pct"/>
            <w:tcBorders>
              <w:tl2br w:val="nil"/>
              <w:tr2bl w:val="nil"/>
            </w:tcBorders>
            <w:vAlign w:val="center"/>
          </w:tcPr>
          <w:p w14:paraId="76FF55A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餐厨垃圾处置项目</w:t>
            </w:r>
          </w:p>
        </w:tc>
      </w:tr>
      <w:tr w14:paraId="339CB31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6" w:type="pct"/>
            <w:tcBorders>
              <w:tl2br w:val="nil"/>
              <w:tr2bl w:val="nil"/>
            </w:tcBorders>
            <w:vAlign w:val="center"/>
          </w:tcPr>
          <w:p w14:paraId="2D2AF2F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北侧</w:t>
            </w:r>
          </w:p>
        </w:tc>
        <w:tc>
          <w:tcPr>
            <w:tcW w:w="881" w:type="pct"/>
            <w:tcBorders>
              <w:tl2br w:val="nil"/>
              <w:tr2bl w:val="nil"/>
            </w:tcBorders>
            <w:vAlign w:val="center"/>
          </w:tcPr>
          <w:p w14:paraId="08D60D2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紧邻</w:t>
            </w:r>
          </w:p>
        </w:tc>
        <w:tc>
          <w:tcPr>
            <w:tcW w:w="551" w:type="pct"/>
            <w:tcBorders>
              <w:tl2br w:val="nil"/>
              <w:tr2bl w:val="nil"/>
            </w:tcBorders>
            <w:vAlign w:val="center"/>
          </w:tcPr>
          <w:p w14:paraId="2D838D4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720" w:type="pct"/>
            <w:tcBorders>
              <w:tl2br w:val="nil"/>
              <w:tr2bl w:val="nil"/>
            </w:tcBorders>
            <w:vAlign w:val="center"/>
          </w:tcPr>
          <w:p w14:paraId="5097501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2289" w:type="pct"/>
            <w:tcBorders>
              <w:tl2br w:val="nil"/>
              <w:tr2bl w:val="nil"/>
            </w:tcBorders>
            <w:vAlign w:val="center"/>
          </w:tcPr>
          <w:p w14:paraId="2449B99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填埋场填埋区（已封场）</w:t>
            </w:r>
          </w:p>
        </w:tc>
      </w:tr>
      <w:tr w14:paraId="294B439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6" w:type="pct"/>
            <w:tcBorders>
              <w:tl2br w:val="nil"/>
              <w:tr2bl w:val="nil"/>
            </w:tcBorders>
            <w:vAlign w:val="center"/>
          </w:tcPr>
          <w:p w14:paraId="041A29B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北侧</w:t>
            </w:r>
          </w:p>
        </w:tc>
        <w:tc>
          <w:tcPr>
            <w:tcW w:w="881" w:type="pct"/>
            <w:tcBorders>
              <w:tl2br w:val="nil"/>
              <w:tr2bl w:val="nil"/>
            </w:tcBorders>
            <w:vAlign w:val="center"/>
          </w:tcPr>
          <w:p w14:paraId="3664101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120</w:t>
            </w:r>
          </w:p>
        </w:tc>
        <w:tc>
          <w:tcPr>
            <w:tcW w:w="551" w:type="pct"/>
            <w:tcBorders>
              <w:tl2br w:val="nil"/>
              <w:tr2bl w:val="nil"/>
            </w:tcBorders>
            <w:vAlign w:val="center"/>
          </w:tcPr>
          <w:p w14:paraId="22D7AEE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638</w:t>
            </w:r>
          </w:p>
        </w:tc>
        <w:tc>
          <w:tcPr>
            <w:tcW w:w="720" w:type="pct"/>
            <w:tcBorders>
              <w:tl2br w:val="nil"/>
              <w:tr2bl w:val="nil"/>
            </w:tcBorders>
            <w:vAlign w:val="center"/>
          </w:tcPr>
          <w:p w14:paraId="274DCAB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1</w:t>
            </w:r>
          </w:p>
        </w:tc>
        <w:tc>
          <w:tcPr>
            <w:tcW w:w="2289" w:type="pct"/>
            <w:tcBorders>
              <w:tl2br w:val="nil"/>
              <w:tr2bl w:val="nil"/>
            </w:tcBorders>
            <w:vAlign w:val="center"/>
          </w:tcPr>
          <w:p w14:paraId="5E3BCEC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剑阁县医疗废物处置中心</w:t>
            </w:r>
          </w:p>
        </w:tc>
      </w:tr>
      <w:tr w14:paraId="5C05BBE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6" w:type="pct"/>
            <w:tcBorders>
              <w:tl2br w:val="nil"/>
              <w:tr2bl w:val="nil"/>
            </w:tcBorders>
            <w:vAlign w:val="center"/>
          </w:tcPr>
          <w:p w14:paraId="1693A7B1">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北侧</w:t>
            </w:r>
          </w:p>
        </w:tc>
        <w:tc>
          <w:tcPr>
            <w:tcW w:w="881" w:type="pct"/>
            <w:tcBorders>
              <w:tl2br w:val="nil"/>
              <w:tr2bl w:val="nil"/>
            </w:tcBorders>
            <w:vAlign w:val="center"/>
          </w:tcPr>
          <w:p w14:paraId="4C36A61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103</w:t>
            </w:r>
          </w:p>
        </w:tc>
        <w:tc>
          <w:tcPr>
            <w:tcW w:w="551" w:type="pct"/>
            <w:tcBorders>
              <w:tl2br w:val="nil"/>
              <w:tr2bl w:val="nil"/>
            </w:tcBorders>
            <w:vAlign w:val="center"/>
          </w:tcPr>
          <w:p w14:paraId="67D39F3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608</w:t>
            </w:r>
          </w:p>
        </w:tc>
        <w:tc>
          <w:tcPr>
            <w:tcW w:w="720" w:type="pct"/>
            <w:tcBorders>
              <w:tl2br w:val="nil"/>
              <w:tr2bl w:val="nil"/>
            </w:tcBorders>
            <w:vAlign w:val="center"/>
          </w:tcPr>
          <w:p w14:paraId="279666F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-29</w:t>
            </w:r>
          </w:p>
        </w:tc>
        <w:tc>
          <w:tcPr>
            <w:tcW w:w="2289" w:type="pct"/>
            <w:tcBorders>
              <w:tl2br w:val="nil"/>
              <w:tr2bl w:val="nil"/>
            </w:tcBorders>
            <w:vAlign w:val="center"/>
          </w:tcPr>
          <w:p w14:paraId="2EE419B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填埋场垃圾渗滤液处理站</w:t>
            </w:r>
          </w:p>
        </w:tc>
      </w:tr>
    </w:tbl>
    <w:p w14:paraId="10B49BBA">
      <w:pPr>
        <w:pStyle w:val="14"/>
        <w:ind w:firstLine="480"/>
        <w:rPr>
          <w:rFonts w:hint="default" w:ascii="Times New Roman" w:hAnsi="Times New Roman" w:cs="Times New Roman"/>
          <w:color w:val="auto"/>
          <w:sz w:val="24"/>
          <w:highlight w:val="none"/>
          <w:lang w:val="en-US" w:eastAsia="zh-CN"/>
        </w:rPr>
      </w:pPr>
      <w:r>
        <w:rPr>
          <w:rFonts w:hint="default" w:ascii="Times New Roman" w:hAnsi="Times New Roman" w:cs="Times New Roman" w:eastAsiaTheme="minorEastAsia"/>
          <w:color w:val="auto"/>
          <w:kern w:val="2"/>
          <w:sz w:val="24"/>
          <w:szCs w:val="21"/>
          <w:highlight w:val="none"/>
          <w:lang w:val="en-US" w:eastAsia="zh-CN" w:bidi="ar-SA"/>
        </w:rPr>
        <w:t>根据现场调查，</w:t>
      </w:r>
      <w:r>
        <w:rPr>
          <w:rFonts w:hint="default" w:ascii="Times New Roman" w:hAnsi="Times New Roman" w:cs="Times New Roman"/>
          <w:color w:val="auto"/>
          <w:kern w:val="2"/>
          <w:sz w:val="24"/>
          <w:szCs w:val="21"/>
          <w:highlight w:val="none"/>
          <w:lang w:val="en-US" w:eastAsia="zh-CN" w:bidi="ar-SA"/>
        </w:rPr>
        <w:t>本项目拟建场地</w:t>
      </w:r>
      <w:r>
        <w:rPr>
          <w:rFonts w:hint="default" w:ascii="Times New Roman" w:hAnsi="Times New Roman" w:eastAsia="宋体" w:cs="Times New Roman"/>
          <w:color w:val="auto"/>
          <w:kern w:val="0"/>
          <w:sz w:val="24"/>
          <w:szCs w:val="24"/>
          <w:highlight w:val="none"/>
          <w:lang w:val="en-US" w:eastAsia="zh-CN" w:bidi="ar"/>
        </w:rPr>
        <w:t>普安环卫所用地范围外</w:t>
      </w:r>
      <w:r>
        <w:rPr>
          <w:rFonts w:hint="default" w:ascii="Times New Roman" w:hAnsi="Times New Roman" w:cs="Times New Roman"/>
          <w:color w:val="auto"/>
          <w:kern w:val="2"/>
          <w:sz w:val="24"/>
          <w:szCs w:val="21"/>
          <w:highlight w:val="none"/>
          <w:lang w:val="en-US" w:eastAsia="zh-CN" w:bidi="ar-SA"/>
        </w:rPr>
        <w:t>与周边</w:t>
      </w:r>
      <w:r>
        <w:rPr>
          <w:rFonts w:hint="default" w:ascii="Times New Roman" w:hAnsi="Times New Roman" w:cs="Times New Roman"/>
          <w:color w:val="auto"/>
          <w:sz w:val="24"/>
          <w:highlight w:val="none"/>
          <w:lang w:val="en-US" w:eastAsia="zh-CN"/>
        </w:rPr>
        <w:t>外环境关系如下：</w:t>
      </w:r>
    </w:p>
    <w:p w14:paraId="1060F6AF">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sz w:val="24"/>
          <w:highlight w:val="none"/>
          <w:lang w:val="en-US" w:eastAsia="zh-CN"/>
        </w:rPr>
        <w:t>南侧66m为剑苍路（高程680m），隔道路距项目约80m为剑阁县普安工业园区规划工业用地（园区主要产业定位为以粮油精深加工、畜禽深加工、保健饮料、林产品加工为主导的现代农副产品加工），园区内现状在距离项目170-300m范围内分布有10户居民，234m处有1家企业（剑洲机动车辆技术检测有限公司），暂无其他企业分布；东侧为未开发山林；北侧180m为剑门蜀道风景名胜区；西侧173m为水塘，主要水体功能为泄洪、灌溉。</w:t>
      </w:r>
    </w:p>
    <w:p w14:paraId="571F883F">
      <w:pPr>
        <w:pStyle w:val="11"/>
        <w:keepNext/>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2.9</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w:t>
      </w:r>
      <w:r>
        <w:rPr>
          <w:rFonts w:hint="default" w:ascii="Times New Roman" w:hAnsi="Times New Roman" w:cs="Times New Roman"/>
          <w:b/>
          <w:bCs/>
          <w:color w:val="auto"/>
          <w:highlight w:val="none"/>
        </w:rPr>
        <w:fldChar w:fldCharType="end"/>
      </w:r>
      <w:r>
        <w:rPr>
          <w:rFonts w:hint="default" w:ascii="Times New Roman" w:hAnsi="Times New Roman" w:cs="Times New Roman"/>
          <w:color w:val="auto"/>
          <w:highlight w:val="none"/>
        </w:rPr>
        <w:t xml:space="preserve">  项目</w:t>
      </w:r>
      <w:r>
        <w:rPr>
          <w:rFonts w:hint="default" w:ascii="Times New Roman" w:hAnsi="Times New Roman" w:cs="Times New Roman"/>
          <w:color w:val="auto"/>
          <w:highlight w:val="none"/>
          <w:lang w:val="en-US" w:eastAsia="zh-CN"/>
        </w:rPr>
        <w:t>拟建场地外环境关系（普安环卫所用地范围外500m范围）</w:t>
      </w:r>
    </w:p>
    <w:tbl>
      <w:tblPr>
        <w:tblStyle w:val="35"/>
        <w:tblW w:w="4994"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1635"/>
        <w:gridCol w:w="1021"/>
        <w:gridCol w:w="1201"/>
        <w:gridCol w:w="949"/>
        <w:gridCol w:w="3445"/>
      </w:tblGrid>
      <w:tr w14:paraId="3F8F4DF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553" w:type="pct"/>
            <w:tcBorders>
              <w:tl2br w:val="nil"/>
              <w:tr2bl w:val="nil"/>
            </w:tcBorders>
            <w:vAlign w:val="center"/>
          </w:tcPr>
          <w:p w14:paraId="57EED0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方位</w:t>
            </w:r>
          </w:p>
        </w:tc>
        <w:tc>
          <w:tcPr>
            <w:tcW w:w="881" w:type="pct"/>
            <w:tcBorders>
              <w:tl2br w:val="nil"/>
              <w:tr2bl w:val="nil"/>
            </w:tcBorders>
            <w:vAlign w:val="center"/>
          </w:tcPr>
          <w:p w14:paraId="01F3E3A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距离m</w:t>
            </w:r>
          </w:p>
        </w:tc>
        <w:tc>
          <w:tcPr>
            <w:tcW w:w="550" w:type="pct"/>
            <w:tcBorders>
              <w:tl2br w:val="nil"/>
              <w:tr2bl w:val="nil"/>
            </w:tcBorders>
            <w:vAlign w:val="center"/>
          </w:tcPr>
          <w:p w14:paraId="55F9FB1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高程m</w:t>
            </w:r>
          </w:p>
        </w:tc>
        <w:tc>
          <w:tcPr>
            <w:tcW w:w="647" w:type="pct"/>
            <w:tcBorders>
              <w:tl2br w:val="nil"/>
              <w:tr2bl w:val="nil"/>
            </w:tcBorders>
            <w:vAlign w:val="center"/>
          </w:tcPr>
          <w:p w14:paraId="3F9E95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与本项目</w:t>
            </w:r>
          </w:p>
          <w:p w14:paraId="2D2B8BE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高差m</w:t>
            </w:r>
          </w:p>
        </w:tc>
        <w:tc>
          <w:tcPr>
            <w:tcW w:w="2367" w:type="pct"/>
            <w:gridSpan w:val="2"/>
            <w:tcBorders>
              <w:tl2br w:val="nil"/>
              <w:tr2bl w:val="nil"/>
            </w:tcBorders>
            <w:vAlign w:val="center"/>
          </w:tcPr>
          <w:p w14:paraId="790C91D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外环境名称</w:t>
            </w:r>
          </w:p>
        </w:tc>
      </w:tr>
      <w:tr w14:paraId="286C4F4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pct"/>
            <w:tcBorders>
              <w:tl2br w:val="nil"/>
              <w:tr2bl w:val="nil"/>
            </w:tcBorders>
            <w:vAlign w:val="center"/>
          </w:tcPr>
          <w:p w14:paraId="7178C89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南侧</w:t>
            </w:r>
          </w:p>
        </w:tc>
        <w:tc>
          <w:tcPr>
            <w:tcW w:w="881" w:type="pct"/>
            <w:tcBorders>
              <w:tl2br w:val="nil"/>
              <w:tr2bl w:val="nil"/>
            </w:tcBorders>
            <w:vAlign w:val="center"/>
          </w:tcPr>
          <w:p w14:paraId="2C99DF3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66</w:t>
            </w:r>
          </w:p>
        </w:tc>
        <w:tc>
          <w:tcPr>
            <w:tcW w:w="550" w:type="pct"/>
            <w:tcBorders>
              <w:tl2br w:val="nil"/>
              <w:tr2bl w:val="nil"/>
            </w:tcBorders>
            <w:vAlign w:val="center"/>
          </w:tcPr>
          <w:p w14:paraId="7D30C9A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680</w:t>
            </w:r>
          </w:p>
        </w:tc>
        <w:tc>
          <w:tcPr>
            <w:tcW w:w="647" w:type="pct"/>
            <w:tcBorders>
              <w:tl2br w:val="nil"/>
              <w:tr2bl w:val="nil"/>
            </w:tcBorders>
            <w:vAlign w:val="center"/>
          </w:tcPr>
          <w:p w14:paraId="38E5704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43</w:t>
            </w:r>
          </w:p>
        </w:tc>
        <w:tc>
          <w:tcPr>
            <w:tcW w:w="2367" w:type="pct"/>
            <w:gridSpan w:val="2"/>
            <w:tcBorders>
              <w:tl2br w:val="nil"/>
              <w:tr2bl w:val="nil"/>
            </w:tcBorders>
            <w:vAlign w:val="center"/>
          </w:tcPr>
          <w:p w14:paraId="143F26D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剑苍路</w:t>
            </w:r>
          </w:p>
        </w:tc>
      </w:tr>
      <w:tr w14:paraId="1976B88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pct"/>
            <w:tcBorders>
              <w:tl2br w:val="nil"/>
              <w:tr2bl w:val="nil"/>
            </w:tcBorders>
            <w:vAlign w:val="center"/>
          </w:tcPr>
          <w:p w14:paraId="3C0E5A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西南侧</w:t>
            </w:r>
          </w:p>
        </w:tc>
        <w:tc>
          <w:tcPr>
            <w:tcW w:w="881" w:type="pct"/>
            <w:tcBorders>
              <w:tl2br w:val="nil"/>
              <w:tr2bl w:val="nil"/>
            </w:tcBorders>
            <w:vAlign w:val="center"/>
          </w:tcPr>
          <w:p w14:paraId="2EF0A1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170~300</w:t>
            </w:r>
          </w:p>
        </w:tc>
        <w:tc>
          <w:tcPr>
            <w:tcW w:w="550" w:type="pct"/>
            <w:tcBorders>
              <w:tl2br w:val="nil"/>
              <w:tr2bl w:val="nil"/>
            </w:tcBorders>
            <w:vAlign w:val="center"/>
          </w:tcPr>
          <w:p w14:paraId="11A2A81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665-672</w:t>
            </w:r>
          </w:p>
        </w:tc>
        <w:tc>
          <w:tcPr>
            <w:tcW w:w="647" w:type="pct"/>
            <w:tcBorders>
              <w:tl2br w:val="nil"/>
              <w:tr2bl w:val="nil"/>
            </w:tcBorders>
            <w:vAlign w:val="center"/>
          </w:tcPr>
          <w:p w14:paraId="7B67F35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28-35</w:t>
            </w:r>
          </w:p>
        </w:tc>
        <w:tc>
          <w:tcPr>
            <w:tcW w:w="511" w:type="pct"/>
            <w:vMerge w:val="restart"/>
            <w:tcBorders>
              <w:tl2br w:val="nil"/>
              <w:tr2bl w:val="nil"/>
            </w:tcBorders>
            <w:vAlign w:val="center"/>
          </w:tcPr>
          <w:p w14:paraId="0C1932F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普安工业园</w:t>
            </w:r>
          </w:p>
        </w:tc>
        <w:tc>
          <w:tcPr>
            <w:tcW w:w="1856" w:type="pct"/>
            <w:tcBorders>
              <w:tl2br w:val="nil"/>
              <w:tr2bl w:val="nil"/>
            </w:tcBorders>
            <w:vAlign w:val="center"/>
          </w:tcPr>
          <w:p w14:paraId="2DC406E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10户居民</w:t>
            </w:r>
          </w:p>
        </w:tc>
      </w:tr>
      <w:tr w14:paraId="5794E46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pct"/>
            <w:tcBorders>
              <w:tl2br w:val="nil"/>
              <w:tr2bl w:val="nil"/>
            </w:tcBorders>
            <w:vAlign w:val="center"/>
          </w:tcPr>
          <w:p w14:paraId="6B1BCAC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南侧</w:t>
            </w:r>
          </w:p>
        </w:tc>
        <w:tc>
          <w:tcPr>
            <w:tcW w:w="881" w:type="pct"/>
            <w:tcBorders>
              <w:tl2br w:val="nil"/>
              <w:tr2bl w:val="nil"/>
            </w:tcBorders>
            <w:vAlign w:val="center"/>
          </w:tcPr>
          <w:p w14:paraId="50EF07C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234</w:t>
            </w:r>
          </w:p>
        </w:tc>
        <w:tc>
          <w:tcPr>
            <w:tcW w:w="550" w:type="pct"/>
            <w:tcBorders>
              <w:tl2br w:val="nil"/>
              <w:tr2bl w:val="nil"/>
            </w:tcBorders>
            <w:vAlign w:val="center"/>
          </w:tcPr>
          <w:p w14:paraId="2B3B924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709</w:t>
            </w:r>
          </w:p>
        </w:tc>
        <w:tc>
          <w:tcPr>
            <w:tcW w:w="647" w:type="pct"/>
            <w:tcBorders>
              <w:tl2br w:val="nil"/>
              <w:tr2bl w:val="nil"/>
            </w:tcBorders>
            <w:vAlign w:val="center"/>
          </w:tcPr>
          <w:p w14:paraId="15737D3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72</w:t>
            </w:r>
          </w:p>
        </w:tc>
        <w:tc>
          <w:tcPr>
            <w:tcW w:w="511" w:type="pct"/>
            <w:vMerge w:val="continue"/>
            <w:tcBorders>
              <w:tl2br w:val="nil"/>
              <w:tr2bl w:val="nil"/>
            </w:tcBorders>
            <w:vAlign w:val="center"/>
          </w:tcPr>
          <w:p w14:paraId="6F5A86D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p>
        </w:tc>
        <w:tc>
          <w:tcPr>
            <w:tcW w:w="1856" w:type="pct"/>
            <w:tcBorders>
              <w:tl2br w:val="nil"/>
              <w:tr2bl w:val="nil"/>
            </w:tcBorders>
            <w:vAlign w:val="center"/>
          </w:tcPr>
          <w:p w14:paraId="63305E6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剑洲机动车辆技术检测有限公司</w:t>
            </w:r>
          </w:p>
        </w:tc>
      </w:tr>
      <w:tr w14:paraId="33C7EC4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pct"/>
            <w:tcBorders>
              <w:tl2br w:val="nil"/>
              <w:tr2bl w:val="nil"/>
            </w:tcBorders>
            <w:vAlign w:val="center"/>
          </w:tcPr>
          <w:p w14:paraId="1D59F51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东侧</w:t>
            </w:r>
          </w:p>
        </w:tc>
        <w:tc>
          <w:tcPr>
            <w:tcW w:w="881" w:type="pct"/>
            <w:tcBorders>
              <w:tl2br w:val="nil"/>
              <w:tr2bl w:val="nil"/>
            </w:tcBorders>
            <w:vAlign w:val="center"/>
          </w:tcPr>
          <w:p w14:paraId="144CEC6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w:t>
            </w:r>
          </w:p>
        </w:tc>
        <w:tc>
          <w:tcPr>
            <w:tcW w:w="550" w:type="pct"/>
            <w:tcBorders>
              <w:tl2br w:val="nil"/>
              <w:tr2bl w:val="nil"/>
            </w:tcBorders>
            <w:vAlign w:val="center"/>
          </w:tcPr>
          <w:p w14:paraId="09F1B9C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610-660</w:t>
            </w:r>
          </w:p>
        </w:tc>
        <w:tc>
          <w:tcPr>
            <w:tcW w:w="647" w:type="pct"/>
            <w:tcBorders>
              <w:tl2br w:val="nil"/>
              <w:tr2bl w:val="nil"/>
            </w:tcBorders>
            <w:vAlign w:val="center"/>
          </w:tcPr>
          <w:p w14:paraId="473BB65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-27-23</w:t>
            </w:r>
          </w:p>
        </w:tc>
        <w:tc>
          <w:tcPr>
            <w:tcW w:w="2367" w:type="pct"/>
            <w:gridSpan w:val="2"/>
            <w:tcBorders>
              <w:tl2br w:val="nil"/>
              <w:tr2bl w:val="nil"/>
            </w:tcBorders>
            <w:vAlign w:val="center"/>
          </w:tcPr>
          <w:p w14:paraId="4372684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山林</w:t>
            </w:r>
          </w:p>
        </w:tc>
      </w:tr>
      <w:tr w14:paraId="1D51135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pct"/>
            <w:tcBorders>
              <w:tl2br w:val="nil"/>
              <w:tr2bl w:val="nil"/>
            </w:tcBorders>
            <w:vAlign w:val="center"/>
          </w:tcPr>
          <w:p w14:paraId="3789DA4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北侧</w:t>
            </w:r>
          </w:p>
        </w:tc>
        <w:tc>
          <w:tcPr>
            <w:tcW w:w="881" w:type="pct"/>
            <w:tcBorders>
              <w:tl2br w:val="nil"/>
              <w:tr2bl w:val="nil"/>
            </w:tcBorders>
            <w:vAlign w:val="center"/>
          </w:tcPr>
          <w:p w14:paraId="48ACD83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eastAsiaTheme="minorEastAsia"/>
                <w:color w:val="auto"/>
                <w:kern w:val="2"/>
                <w:sz w:val="20"/>
                <w:szCs w:val="20"/>
                <w:highlight w:val="none"/>
                <w:lang w:val="en-US" w:eastAsia="zh-CN" w:bidi="ar-SA"/>
              </w:rPr>
              <w:t>180</w:t>
            </w:r>
          </w:p>
        </w:tc>
        <w:tc>
          <w:tcPr>
            <w:tcW w:w="550" w:type="pct"/>
            <w:tcBorders>
              <w:tl2br w:val="nil"/>
              <w:tr2bl w:val="nil"/>
            </w:tcBorders>
            <w:vAlign w:val="center"/>
          </w:tcPr>
          <w:p w14:paraId="27CD66B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eastAsiaTheme="minorEastAsia"/>
                <w:color w:val="auto"/>
                <w:sz w:val="20"/>
                <w:szCs w:val="20"/>
                <w:highlight w:val="none"/>
                <w:lang w:val="en-US" w:eastAsia="zh-CN"/>
              </w:rPr>
              <w:t>/</w:t>
            </w:r>
          </w:p>
        </w:tc>
        <w:tc>
          <w:tcPr>
            <w:tcW w:w="647" w:type="pct"/>
            <w:tcBorders>
              <w:tl2br w:val="nil"/>
              <w:tr2bl w:val="nil"/>
            </w:tcBorders>
            <w:vAlign w:val="center"/>
          </w:tcPr>
          <w:p w14:paraId="16B3D0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eastAsiaTheme="minorEastAsia"/>
                <w:color w:val="auto"/>
                <w:kern w:val="2"/>
                <w:sz w:val="20"/>
                <w:szCs w:val="20"/>
                <w:highlight w:val="none"/>
                <w:lang w:val="en-US" w:eastAsia="zh-CN" w:bidi="ar-SA"/>
              </w:rPr>
              <w:t>/</w:t>
            </w:r>
          </w:p>
        </w:tc>
        <w:tc>
          <w:tcPr>
            <w:tcW w:w="2367" w:type="pct"/>
            <w:gridSpan w:val="2"/>
            <w:tcBorders>
              <w:tl2br w:val="nil"/>
              <w:tr2bl w:val="nil"/>
            </w:tcBorders>
            <w:vAlign w:val="center"/>
          </w:tcPr>
          <w:p w14:paraId="1615032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eastAsiaTheme="minorEastAsia"/>
                <w:color w:val="auto"/>
                <w:sz w:val="20"/>
                <w:szCs w:val="20"/>
                <w:highlight w:val="none"/>
                <w:lang w:val="en-US" w:eastAsia="zh-CN"/>
              </w:rPr>
              <w:t>剑门蜀道风景名胜区</w:t>
            </w:r>
          </w:p>
        </w:tc>
      </w:tr>
      <w:tr w14:paraId="2BB12C1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53" w:type="pct"/>
            <w:tcBorders>
              <w:tl2br w:val="nil"/>
              <w:tr2bl w:val="nil"/>
            </w:tcBorders>
            <w:vAlign w:val="center"/>
          </w:tcPr>
          <w:p w14:paraId="3EF6122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西侧</w:t>
            </w:r>
          </w:p>
        </w:tc>
        <w:tc>
          <w:tcPr>
            <w:tcW w:w="881" w:type="pct"/>
            <w:tcBorders>
              <w:tl2br w:val="nil"/>
              <w:tr2bl w:val="nil"/>
            </w:tcBorders>
            <w:vAlign w:val="center"/>
          </w:tcPr>
          <w:p w14:paraId="4F6CE47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173</w:t>
            </w:r>
          </w:p>
        </w:tc>
        <w:tc>
          <w:tcPr>
            <w:tcW w:w="550" w:type="pct"/>
            <w:tcBorders>
              <w:tl2br w:val="nil"/>
              <w:tr2bl w:val="nil"/>
            </w:tcBorders>
            <w:vAlign w:val="center"/>
          </w:tcPr>
          <w:p w14:paraId="44E6473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649</w:t>
            </w:r>
          </w:p>
        </w:tc>
        <w:tc>
          <w:tcPr>
            <w:tcW w:w="647" w:type="pct"/>
            <w:tcBorders>
              <w:tl2br w:val="nil"/>
              <w:tr2bl w:val="nil"/>
            </w:tcBorders>
            <w:vAlign w:val="center"/>
          </w:tcPr>
          <w:p w14:paraId="79D387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12</w:t>
            </w:r>
          </w:p>
        </w:tc>
        <w:tc>
          <w:tcPr>
            <w:tcW w:w="2367" w:type="pct"/>
            <w:gridSpan w:val="2"/>
            <w:tcBorders>
              <w:tl2br w:val="nil"/>
              <w:tr2bl w:val="nil"/>
            </w:tcBorders>
            <w:vAlign w:val="center"/>
          </w:tcPr>
          <w:p w14:paraId="15BE820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eastAsiaTheme="minorEastAsia"/>
                <w:color w:val="auto"/>
                <w:sz w:val="20"/>
                <w:szCs w:val="20"/>
                <w:highlight w:val="none"/>
                <w:lang w:val="en-US" w:eastAsia="zh-CN"/>
              </w:rPr>
              <w:t>水塘，主要水体功能为泄洪、灌溉</w:t>
            </w:r>
          </w:p>
        </w:tc>
      </w:tr>
    </w:tbl>
    <w:p w14:paraId="7C1D6340">
      <w:pPr>
        <w:pStyle w:val="14"/>
        <w:ind w:firstLine="480"/>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cs="Times New Roman"/>
          <w:color w:val="auto"/>
          <w:kern w:val="2"/>
          <w:sz w:val="24"/>
          <w:szCs w:val="21"/>
          <w:highlight w:val="none"/>
          <w:lang w:val="en-US" w:eastAsia="zh-CN" w:bidi="ar-SA"/>
        </w:rPr>
        <w:t>普安镇场镇</w:t>
      </w:r>
      <w:r>
        <w:rPr>
          <w:rFonts w:hint="default" w:ascii="Times New Roman" w:hAnsi="Times New Roman" w:cs="Times New Roman"/>
          <w:color w:val="auto"/>
          <w:sz w:val="24"/>
          <w:highlight w:val="none"/>
          <w:lang w:val="en-US" w:eastAsia="zh-CN"/>
        </w:rPr>
        <w:t>（高程508m）</w:t>
      </w:r>
      <w:r>
        <w:rPr>
          <w:rFonts w:hint="default" w:ascii="Times New Roman" w:hAnsi="Times New Roman" w:cs="Times New Roman"/>
          <w:color w:val="auto"/>
          <w:kern w:val="2"/>
          <w:sz w:val="24"/>
          <w:szCs w:val="21"/>
          <w:highlight w:val="none"/>
          <w:lang w:val="en-US" w:eastAsia="zh-CN" w:bidi="ar-SA"/>
        </w:rPr>
        <w:t>位于项目西北侧约1.6km，拟建项目主导风向上风向；闻溪河</w:t>
      </w:r>
      <w:r>
        <w:rPr>
          <w:rFonts w:hint="default" w:ascii="Times New Roman" w:hAnsi="Times New Roman" w:cs="Times New Roman"/>
          <w:color w:val="auto"/>
          <w:sz w:val="24"/>
          <w:highlight w:val="none"/>
          <w:lang w:val="en-US" w:eastAsia="zh-CN"/>
        </w:rPr>
        <w:t>（高程460m）</w:t>
      </w:r>
      <w:r>
        <w:rPr>
          <w:rFonts w:hint="default" w:ascii="Times New Roman" w:hAnsi="Times New Roman" w:cs="Times New Roman"/>
          <w:color w:val="auto"/>
          <w:kern w:val="2"/>
          <w:sz w:val="24"/>
          <w:szCs w:val="21"/>
          <w:highlight w:val="none"/>
          <w:lang w:val="en-US" w:eastAsia="zh-CN" w:bidi="ar-SA"/>
        </w:rPr>
        <w:t>位于项目北侧834m，主要水体功能为灌溉、泄洪、工农业用水，光荣水库</w:t>
      </w:r>
      <w:r>
        <w:rPr>
          <w:rFonts w:hint="default" w:ascii="Times New Roman" w:hAnsi="Times New Roman" w:cs="Times New Roman"/>
          <w:color w:val="auto"/>
          <w:sz w:val="24"/>
          <w:highlight w:val="none"/>
          <w:lang w:val="en-US" w:eastAsia="zh-CN"/>
        </w:rPr>
        <w:t>（高程639m）</w:t>
      </w:r>
      <w:r>
        <w:rPr>
          <w:rFonts w:hint="default" w:ascii="Times New Roman" w:hAnsi="Times New Roman" w:cs="Times New Roman"/>
          <w:color w:val="auto"/>
          <w:kern w:val="2"/>
          <w:sz w:val="24"/>
          <w:szCs w:val="21"/>
          <w:highlight w:val="none"/>
          <w:lang w:val="en-US" w:eastAsia="zh-CN" w:bidi="ar-SA"/>
        </w:rPr>
        <w:t>位于项目南侧844m，主要水体功能</w:t>
      </w:r>
      <w:r>
        <w:rPr>
          <w:rFonts w:hint="default" w:ascii="Times New Roman" w:hAnsi="Times New Roman" w:eastAsia="宋体" w:cs="Times New Roman"/>
          <w:color w:val="auto"/>
          <w:kern w:val="0"/>
          <w:sz w:val="24"/>
          <w:szCs w:val="24"/>
          <w:highlight w:val="none"/>
          <w:lang w:val="en-US" w:eastAsia="zh-CN" w:bidi="ar"/>
        </w:rPr>
        <w:t>为灌溉、泄洪功能。</w:t>
      </w:r>
      <w:r>
        <w:rPr>
          <w:rFonts w:hint="default" w:ascii="Times New Roman" w:hAnsi="Times New Roman" w:eastAsia="宋体" w:cs="Times New Roman"/>
          <w:color w:val="auto"/>
          <w:sz w:val="24"/>
          <w:highlight w:val="none"/>
          <w:lang w:val="en-US" w:eastAsia="zh-CN"/>
        </w:rPr>
        <w:t>本项目周边居民饮用水为自来水，项目评价范围内不存在集中式饮用水源取水点，不涉及集中式饮用水源保护区</w:t>
      </w:r>
      <w:r>
        <w:rPr>
          <w:rFonts w:hint="default" w:ascii="Times New Roman" w:hAnsi="Times New Roman" w:eastAsia="宋体" w:cs="Times New Roman"/>
          <w:color w:val="auto"/>
          <w:kern w:val="0"/>
          <w:sz w:val="24"/>
          <w:szCs w:val="24"/>
          <w:highlight w:val="none"/>
          <w:lang w:val="en-US" w:eastAsia="zh-CN" w:bidi="ar"/>
        </w:rPr>
        <w:t>。</w:t>
      </w:r>
    </w:p>
    <w:p w14:paraId="6114F771">
      <w:pPr>
        <w:keepNext w:val="0"/>
        <w:keepLines w:val="0"/>
        <w:widowControl/>
        <w:suppressLineNumbers w:val="0"/>
        <w:ind w:firstLine="480" w:firstLineChars="200"/>
        <w:jc w:val="left"/>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根据环评计算，本项目以生活垃圾预处理车间边界为起点300m范围内设定卫生防护距离。根据调查，项目卫生防护距离包络线范围内为无医院、学校、食品加工等敏感保护目标，有10户零散居民分布。为确保项目对周边环境的影响控制到最小，</w:t>
      </w:r>
      <w:r>
        <w:rPr>
          <w:rFonts w:hint="default" w:ascii="Times New Roman" w:hAnsi="Times New Roman" w:eastAsia="宋体" w:cs="Times New Roman"/>
          <w:b/>
          <w:bCs/>
          <w:color w:val="auto"/>
          <w:kern w:val="2"/>
          <w:sz w:val="24"/>
          <w:szCs w:val="21"/>
          <w:highlight w:val="none"/>
          <w:lang w:val="en-US" w:eastAsia="zh-CN" w:bidi="ar-SA"/>
        </w:rPr>
        <w:t>环评要求相关规划部门在该卫生防护距离包络线范围内禁止建设医院、学校、集中居民区等环境敏感建筑物的控制性要求。</w:t>
      </w:r>
    </w:p>
    <w:p w14:paraId="3BA7060F">
      <w:pPr>
        <w:keepNext w:val="0"/>
        <w:keepLines w:val="0"/>
        <w:widowControl/>
        <w:numPr>
          <w:ilvl w:val="0"/>
          <w:numId w:val="0"/>
        </w:numPr>
        <w:suppressLineNumbers w:val="0"/>
        <w:ind w:leftChars="0"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3、周边基础设施情况</w:t>
      </w:r>
    </w:p>
    <w:p w14:paraId="31AE05FF">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本项目拟建场地周边有市政电网分布，现有电、网络、通讯等基础设施配套齐全，本项目可利用现有道路进入拟建场地，无需新建进厂道路，项目南侧为</w:t>
      </w:r>
      <w:r>
        <w:rPr>
          <w:rFonts w:hint="default" w:ascii="Times New Roman" w:hAnsi="Times New Roman" w:cs="Times New Roman"/>
          <w:color w:val="auto"/>
          <w:sz w:val="24"/>
          <w:highlight w:val="none"/>
          <w:lang w:val="en-US" w:eastAsia="zh-CN"/>
        </w:rPr>
        <w:t>剑苍路</w:t>
      </w:r>
      <w:r>
        <w:rPr>
          <w:rFonts w:hint="default" w:ascii="Times New Roman" w:hAnsi="Times New Roman" w:eastAsia="宋体" w:cs="Times New Roman"/>
          <w:color w:val="auto"/>
          <w:kern w:val="0"/>
          <w:sz w:val="24"/>
          <w:szCs w:val="24"/>
          <w:highlight w:val="none"/>
          <w:lang w:val="en-US" w:eastAsia="zh-CN" w:bidi="ar"/>
        </w:rPr>
        <w:t>，交通便利，本项目附近已有自来水管网，可满足生产、生活所需。本项目所在地基础设施建设情况较好。</w:t>
      </w:r>
    </w:p>
    <w:p w14:paraId="402DCA57">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4、与相关选址要求符合性情况</w:t>
      </w:r>
    </w:p>
    <w:p w14:paraId="5C6A274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本项目用地为普安环卫所用地，用地性质为环卫用地，符合《剑阁县普安镇（含城北）控制性详细规划》。</w:t>
      </w:r>
    </w:p>
    <w:p w14:paraId="2A937223">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5、本项目建设对周边环境影响</w:t>
      </w:r>
    </w:p>
    <w:p w14:paraId="18C86B9B">
      <w:pPr>
        <w:keepNext w:val="0"/>
        <w:keepLines w:val="0"/>
        <w:widowControl/>
        <w:suppressLineNumbers w:val="0"/>
        <w:ind w:firstLine="480" w:firstLineChars="200"/>
        <w:jc w:val="left"/>
        <w:rPr>
          <w:rFonts w:hint="default" w:ascii="Times New Roman" w:hAnsi="Times New Roman" w:cs="Times New Roman"/>
          <w:color w:val="auto"/>
          <w:highlight w:val="none"/>
          <w:lang w:val="en-US" w:eastAsia="zh-CN"/>
        </w:rPr>
      </w:pPr>
      <w:r>
        <w:rPr>
          <w:rFonts w:hint="default" w:ascii="Times New Roman" w:hAnsi="Times New Roman" w:eastAsia="宋体" w:cs="Times New Roman"/>
          <w:color w:val="auto"/>
          <w:kern w:val="0"/>
          <w:sz w:val="24"/>
          <w:szCs w:val="24"/>
          <w:highlight w:val="none"/>
          <w:lang w:val="en-US" w:eastAsia="zh-CN" w:bidi="ar"/>
        </w:rPr>
        <w:t>本项目营运过程中生产及生活污水依托</w:t>
      </w:r>
      <w:r>
        <w:rPr>
          <w:rFonts w:hint="eastAsia" w:ascii="Times New Roman" w:hAnsi="Times New Roman" w:eastAsia="宋体" w:cs="Times New Roman"/>
          <w:color w:val="auto"/>
          <w:kern w:val="0"/>
          <w:sz w:val="24"/>
          <w:szCs w:val="24"/>
          <w:highlight w:val="none"/>
          <w:lang w:val="en-US" w:eastAsia="zh-CN" w:bidi="ar"/>
        </w:rPr>
        <w:t>普安镇污水处理厂或</w:t>
      </w:r>
      <w:r>
        <w:rPr>
          <w:rFonts w:hint="default" w:ascii="Times New Roman" w:hAnsi="Times New Roman" w:eastAsia="宋体" w:cs="Times New Roman"/>
          <w:color w:val="auto"/>
          <w:kern w:val="0"/>
          <w:sz w:val="24"/>
          <w:szCs w:val="24"/>
          <w:highlight w:val="none"/>
          <w:lang w:val="en-US" w:eastAsia="zh-CN" w:bidi="ar"/>
        </w:rPr>
        <w:t>垃圾渗滤液处理站处理达标后排放，产生的废气通过采取相关措施可确保大气污染物达标排放，各类固体废物均有合理的处置去向和处置方式，且评价对厂内废物暂存设施均提出了严格的污染防治措施，对地下水、土壤影响很小，噪声通过采取隔声和合理布局等措施后实现厂界达标。总的来说，在严格按照环评提出的污染防治措施实施厂区生产管理的条件下，本项目营运期产生的污染物对项目周边环境及剑门蜀道风景名胜区、四川翠云廊古柏（省级）自然保护区影响较小。</w:t>
      </w:r>
    </w:p>
    <w:p w14:paraId="593F0A2B">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综上所述，本项目位于剑阁县普安镇剑坪村一组，剑阁县普安镇垃圾填埋场南侧。项目区交通便利，水、电供应均有保证，基本能够满足本项目生产及生活需要。项目用地符合《剑阁县普安镇（含城北）控制性详细规划》，项目选址不在生态红线范围内，满足广元市“三线一单”管控要求，卫生防护距离范围内无居民区、文教、医院、医药食品企业等敏感目标。因此，只要建设单位在严格按照环评提出的污染防治措施实施厂区生产管理的条件下，对环境影响较小。因此，</w:t>
      </w:r>
      <w:r>
        <w:rPr>
          <w:rFonts w:hint="default" w:ascii="Times New Roman" w:hAnsi="Times New Roman" w:eastAsia="宋体" w:cs="Times New Roman"/>
          <w:b/>
          <w:bCs/>
          <w:color w:val="auto"/>
          <w:kern w:val="0"/>
          <w:sz w:val="24"/>
          <w:szCs w:val="24"/>
          <w:highlight w:val="none"/>
          <w:lang w:val="en-US" w:eastAsia="zh-CN" w:bidi="ar"/>
        </w:rPr>
        <w:t>评价认为从环保角度本项目选址合理。</w:t>
      </w:r>
    </w:p>
    <w:p w14:paraId="344E4D90">
      <w:pPr>
        <w:pStyle w:val="3"/>
        <w:spacing w:before="156" w:after="156"/>
        <w:rPr>
          <w:rFonts w:hint="default" w:ascii="Times New Roman" w:hAnsi="Times New Roman" w:cs="Times New Roman"/>
          <w:color w:val="auto"/>
          <w:highlight w:val="none"/>
        </w:rPr>
      </w:pPr>
      <w:bookmarkStart w:id="55" w:name="_Toc1312"/>
      <w:bookmarkStart w:id="56" w:name="_Toc21791"/>
      <w:r>
        <w:rPr>
          <w:rFonts w:hint="default" w:ascii="Times New Roman" w:hAnsi="Times New Roman" w:cs="Times New Roman"/>
          <w:color w:val="auto"/>
          <w:highlight w:val="none"/>
          <w:lang w:val="en-US" w:eastAsia="zh-CN"/>
        </w:rPr>
        <w:t xml:space="preserve"> </w:t>
      </w:r>
      <w:bookmarkStart w:id="57" w:name="_Toc12511"/>
      <w:r>
        <w:rPr>
          <w:rFonts w:hint="default" w:ascii="Times New Roman" w:hAnsi="Times New Roman" w:cs="Times New Roman"/>
          <w:color w:val="auto"/>
          <w:highlight w:val="none"/>
        </w:rPr>
        <w:t>环境保护目标</w:t>
      </w:r>
      <w:bookmarkEnd w:id="55"/>
      <w:bookmarkEnd w:id="56"/>
      <w:bookmarkEnd w:id="57"/>
    </w:p>
    <w:p w14:paraId="41B0D93C">
      <w:pPr>
        <w:ind w:firstLine="480" w:firstLineChars="200"/>
        <w:rPr>
          <w:rFonts w:hint="default" w:ascii="Times New Roman" w:hAnsi="Times New Roman" w:cs="Times New Roman"/>
          <w:color w:val="auto"/>
          <w:kern w:val="2"/>
          <w:sz w:val="24"/>
          <w:szCs w:val="21"/>
          <w:highlight w:val="none"/>
          <w:lang w:val="en-US" w:eastAsia="zh-CN" w:bidi="ar-SA"/>
        </w:rPr>
      </w:pPr>
      <w:r>
        <w:rPr>
          <w:rFonts w:hint="default" w:ascii="Times New Roman" w:hAnsi="Times New Roman" w:cs="Times New Roman"/>
          <w:color w:val="auto"/>
          <w:kern w:val="2"/>
          <w:sz w:val="24"/>
          <w:szCs w:val="21"/>
          <w:highlight w:val="none"/>
          <w:lang w:val="en-US" w:eastAsia="zh-CN" w:bidi="ar-SA"/>
        </w:rPr>
        <w:t>结合项目外环境关系，本项目主要环境保护目标见下表：</w:t>
      </w:r>
    </w:p>
    <w:p w14:paraId="661859A6">
      <w:pPr>
        <w:pStyle w:val="19"/>
        <w:rPr>
          <w:rFonts w:hint="default" w:ascii="Times New Roman" w:hAnsi="Times New Roman" w:cs="Times New Roman"/>
          <w:color w:val="auto"/>
          <w:highlight w:val="none"/>
        </w:rPr>
        <w:sectPr>
          <w:headerReference r:id="rId17"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076820F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cs="Times New Roman"/>
          <w:b/>
          <w:color w:val="auto"/>
          <w:sz w:val="21"/>
          <w:szCs w:val="21"/>
          <w:highlight w:val="none"/>
          <w:lang w:val="en-US" w:eastAsia="zh-CN"/>
        </w:rPr>
      </w:pPr>
      <w:r>
        <w:rPr>
          <w:rFonts w:hint="default" w:ascii="Times New Roman" w:hAnsi="Times New Roman" w:cs="Times New Roman"/>
          <w:b/>
          <w:color w:val="auto"/>
          <w:sz w:val="21"/>
          <w:szCs w:val="21"/>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2.10</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cs="Times New Roman"/>
          <w:b/>
          <w:color w:val="auto"/>
          <w:sz w:val="21"/>
          <w:szCs w:val="21"/>
          <w:highlight w:val="none"/>
        </w:rPr>
        <w:t xml:space="preserve"> </w:t>
      </w:r>
      <w:r>
        <w:rPr>
          <w:rFonts w:hint="default" w:ascii="Times New Roman" w:hAnsi="Times New Roman" w:cs="Times New Roman"/>
          <w:b/>
          <w:color w:val="auto"/>
          <w:sz w:val="21"/>
          <w:szCs w:val="21"/>
          <w:highlight w:val="none"/>
          <w:lang w:val="en-US" w:eastAsia="zh-CN"/>
        </w:rPr>
        <w:t xml:space="preserve"> </w:t>
      </w:r>
      <w:r>
        <w:rPr>
          <w:rFonts w:hint="default" w:ascii="Times New Roman" w:hAnsi="Times New Roman" w:cs="Times New Roman"/>
          <w:b/>
          <w:color w:val="auto"/>
          <w:szCs w:val="21"/>
          <w:highlight w:val="none"/>
          <w:lang w:val="en-US" w:eastAsia="zh-CN"/>
        </w:rPr>
        <w:t>主要</w:t>
      </w:r>
      <w:r>
        <w:rPr>
          <w:rFonts w:hint="default" w:ascii="Times New Roman" w:hAnsi="Times New Roman" w:cs="Times New Roman"/>
          <w:b/>
          <w:color w:val="auto"/>
          <w:sz w:val="21"/>
          <w:szCs w:val="21"/>
          <w:highlight w:val="none"/>
        </w:rPr>
        <w:t>环境保护目标</w:t>
      </w:r>
      <w:r>
        <w:rPr>
          <w:rFonts w:hint="default" w:ascii="Times New Roman" w:hAnsi="Times New Roman" w:cs="Times New Roman"/>
          <w:b/>
          <w:color w:val="auto"/>
          <w:sz w:val="21"/>
          <w:szCs w:val="21"/>
          <w:highlight w:val="none"/>
          <w:lang w:val="en-US" w:eastAsia="zh-CN"/>
        </w:rPr>
        <w:t>一览表</w:t>
      </w:r>
    </w:p>
    <w:tbl>
      <w:tblPr>
        <w:tblStyle w:val="36"/>
        <w:tblW w:w="4996"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51"/>
        <w:gridCol w:w="1234"/>
        <w:gridCol w:w="1731"/>
        <w:gridCol w:w="1688"/>
        <w:gridCol w:w="1015"/>
        <w:gridCol w:w="995"/>
        <w:gridCol w:w="799"/>
        <w:gridCol w:w="1157"/>
        <w:gridCol w:w="2194"/>
        <w:gridCol w:w="2345"/>
      </w:tblGrid>
      <w:tr w14:paraId="48E8C9FB">
        <w:tblPrEx>
          <w:tblCellMar>
            <w:top w:w="0" w:type="dxa"/>
            <w:left w:w="108" w:type="dxa"/>
            <w:bottom w:w="0" w:type="dxa"/>
            <w:right w:w="108" w:type="dxa"/>
          </w:tblCellMar>
        </w:tblPrEx>
        <w:trPr>
          <w:trHeight w:val="340" w:hRule="atLeast"/>
          <w:tblHeader/>
        </w:trPr>
        <w:tc>
          <w:tcPr>
            <w:tcW w:w="370" w:type="pct"/>
            <w:vMerge w:val="restart"/>
            <w:tcBorders>
              <w:tl2br w:val="nil"/>
              <w:tr2bl w:val="nil"/>
            </w:tcBorders>
            <w:noWrap w:val="0"/>
            <w:vAlign w:val="center"/>
          </w:tcPr>
          <w:p w14:paraId="64E1377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bCs/>
                <w:color w:val="auto"/>
                <w:sz w:val="20"/>
                <w:szCs w:val="20"/>
                <w:highlight w:val="none"/>
                <w:vertAlign w:val="baseline"/>
              </w:rPr>
            </w:pPr>
            <w:r>
              <w:rPr>
                <w:rFonts w:hint="default" w:ascii="Times New Roman" w:hAnsi="Times New Roman" w:eastAsia="宋体" w:cs="Times New Roman"/>
                <w:b/>
                <w:bCs/>
                <w:color w:val="auto"/>
                <w:sz w:val="20"/>
                <w:szCs w:val="20"/>
                <w:highlight w:val="none"/>
                <w:lang w:eastAsia="zh-CN"/>
              </w:rPr>
              <w:t>环境要素</w:t>
            </w:r>
          </w:p>
        </w:tc>
        <w:tc>
          <w:tcPr>
            <w:tcW w:w="434" w:type="pct"/>
            <w:vMerge w:val="restart"/>
            <w:tcBorders>
              <w:tl2br w:val="nil"/>
              <w:tr2bl w:val="nil"/>
            </w:tcBorders>
            <w:noWrap w:val="0"/>
            <w:vAlign w:val="center"/>
          </w:tcPr>
          <w:p w14:paraId="1562F4E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bCs/>
                <w:color w:val="auto"/>
                <w:sz w:val="20"/>
                <w:szCs w:val="20"/>
                <w:highlight w:val="none"/>
                <w:vertAlign w:val="baseline"/>
              </w:rPr>
            </w:pPr>
            <w:r>
              <w:rPr>
                <w:rFonts w:hint="default" w:ascii="Times New Roman" w:hAnsi="Times New Roman" w:eastAsia="宋体" w:cs="Times New Roman"/>
                <w:b/>
                <w:bCs/>
                <w:color w:val="auto"/>
                <w:sz w:val="20"/>
                <w:szCs w:val="20"/>
                <w:highlight w:val="none"/>
              </w:rPr>
              <w:t>主要保护目标</w:t>
            </w:r>
          </w:p>
        </w:tc>
        <w:tc>
          <w:tcPr>
            <w:tcW w:w="1203" w:type="pct"/>
            <w:gridSpan w:val="2"/>
            <w:tcBorders>
              <w:tl2br w:val="nil"/>
              <w:tr2bl w:val="nil"/>
            </w:tcBorders>
            <w:noWrap w:val="0"/>
            <w:vAlign w:val="center"/>
          </w:tcPr>
          <w:p w14:paraId="541E9CC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bCs/>
                <w:color w:val="auto"/>
                <w:sz w:val="20"/>
                <w:szCs w:val="20"/>
                <w:highlight w:val="none"/>
                <w:vertAlign w:val="baseline"/>
                <w:lang w:eastAsia="zh-CN"/>
              </w:rPr>
            </w:pPr>
            <w:r>
              <w:rPr>
                <w:rFonts w:hint="default" w:ascii="Times New Roman" w:hAnsi="Times New Roman" w:eastAsia="宋体" w:cs="Times New Roman"/>
                <w:b/>
                <w:bCs/>
                <w:color w:val="auto"/>
                <w:sz w:val="20"/>
                <w:szCs w:val="20"/>
                <w:highlight w:val="none"/>
                <w:vertAlign w:val="baseline"/>
                <w:lang w:eastAsia="zh-CN"/>
              </w:rPr>
              <w:t>坐标</w:t>
            </w:r>
          </w:p>
        </w:tc>
        <w:tc>
          <w:tcPr>
            <w:tcW w:w="357" w:type="pct"/>
            <w:vMerge w:val="restart"/>
            <w:tcBorders>
              <w:tl2br w:val="nil"/>
              <w:tr2bl w:val="nil"/>
            </w:tcBorders>
            <w:noWrap w:val="0"/>
            <w:vAlign w:val="center"/>
          </w:tcPr>
          <w:p w14:paraId="1395A04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高程m</w:t>
            </w:r>
          </w:p>
        </w:tc>
        <w:tc>
          <w:tcPr>
            <w:tcW w:w="350" w:type="pct"/>
            <w:vMerge w:val="restart"/>
            <w:tcBorders>
              <w:tl2br w:val="nil"/>
              <w:tr2bl w:val="nil"/>
            </w:tcBorders>
            <w:noWrap w:val="0"/>
            <w:vAlign w:val="center"/>
          </w:tcPr>
          <w:p w14:paraId="7511D47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eastAsia="zh-CN"/>
              </w:rPr>
              <w:t>与本项目高差</w:t>
            </w:r>
            <w:r>
              <w:rPr>
                <w:rFonts w:hint="default" w:ascii="Times New Roman" w:hAnsi="Times New Roman" w:eastAsia="宋体" w:cs="Times New Roman"/>
                <w:b/>
                <w:bCs/>
                <w:color w:val="auto"/>
                <w:sz w:val="20"/>
                <w:szCs w:val="20"/>
                <w:highlight w:val="none"/>
                <w:lang w:val="en-US" w:eastAsia="zh-CN"/>
              </w:rPr>
              <w:t>m</w:t>
            </w:r>
          </w:p>
        </w:tc>
        <w:tc>
          <w:tcPr>
            <w:tcW w:w="281" w:type="pct"/>
            <w:vMerge w:val="restart"/>
            <w:tcBorders>
              <w:tl2br w:val="nil"/>
              <w:tr2bl w:val="nil"/>
            </w:tcBorders>
            <w:noWrap w:val="0"/>
            <w:vAlign w:val="center"/>
          </w:tcPr>
          <w:p w14:paraId="6ACED86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bCs/>
                <w:color w:val="auto"/>
                <w:sz w:val="20"/>
                <w:szCs w:val="20"/>
                <w:highlight w:val="none"/>
                <w:vertAlign w:val="baseline"/>
              </w:rPr>
            </w:pPr>
            <w:r>
              <w:rPr>
                <w:rFonts w:hint="default" w:ascii="Times New Roman" w:hAnsi="Times New Roman" w:eastAsia="宋体" w:cs="Times New Roman"/>
                <w:b/>
                <w:bCs/>
                <w:color w:val="auto"/>
                <w:sz w:val="20"/>
                <w:szCs w:val="20"/>
                <w:highlight w:val="none"/>
              </w:rPr>
              <w:t>方位</w:t>
            </w:r>
          </w:p>
        </w:tc>
        <w:tc>
          <w:tcPr>
            <w:tcW w:w="407" w:type="pct"/>
            <w:vMerge w:val="restart"/>
            <w:tcBorders>
              <w:tl2br w:val="nil"/>
              <w:tr2bl w:val="nil"/>
            </w:tcBorders>
            <w:noWrap w:val="0"/>
            <w:vAlign w:val="center"/>
          </w:tcPr>
          <w:p w14:paraId="2E1BB14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bCs/>
                <w:color w:val="auto"/>
                <w:sz w:val="20"/>
                <w:szCs w:val="20"/>
                <w:highlight w:val="none"/>
                <w:vertAlign w:val="baseline"/>
                <w:lang w:val="en-US" w:eastAsia="zh-CN"/>
              </w:rPr>
            </w:pPr>
            <w:r>
              <w:rPr>
                <w:rFonts w:hint="default" w:ascii="Times New Roman" w:hAnsi="Times New Roman" w:eastAsia="宋体" w:cs="Times New Roman"/>
                <w:b/>
                <w:bCs/>
                <w:color w:val="auto"/>
                <w:sz w:val="20"/>
                <w:szCs w:val="20"/>
                <w:highlight w:val="none"/>
              </w:rPr>
              <w:t>距离</w:t>
            </w:r>
          </w:p>
        </w:tc>
        <w:tc>
          <w:tcPr>
            <w:tcW w:w="770" w:type="pct"/>
            <w:vMerge w:val="restart"/>
            <w:tcBorders>
              <w:tl2br w:val="nil"/>
              <w:tr2bl w:val="nil"/>
            </w:tcBorders>
            <w:noWrap w:val="0"/>
            <w:vAlign w:val="center"/>
          </w:tcPr>
          <w:p w14:paraId="1DCBEB0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bCs/>
                <w:color w:val="auto"/>
                <w:sz w:val="20"/>
                <w:szCs w:val="20"/>
                <w:highlight w:val="none"/>
                <w:vertAlign w:val="baseline"/>
              </w:rPr>
            </w:pPr>
            <w:r>
              <w:rPr>
                <w:rFonts w:hint="default" w:ascii="Times New Roman" w:hAnsi="Times New Roman" w:eastAsia="宋体" w:cs="Times New Roman"/>
                <w:b/>
                <w:bCs/>
                <w:color w:val="auto"/>
                <w:sz w:val="20"/>
                <w:szCs w:val="20"/>
                <w:highlight w:val="none"/>
                <w:lang w:eastAsia="zh-CN"/>
              </w:rPr>
              <w:t>属性、特征</w:t>
            </w:r>
          </w:p>
        </w:tc>
        <w:tc>
          <w:tcPr>
            <w:tcW w:w="825" w:type="pct"/>
            <w:vMerge w:val="restart"/>
            <w:tcBorders>
              <w:tl2br w:val="nil"/>
              <w:tr2bl w:val="nil"/>
            </w:tcBorders>
            <w:noWrap w:val="0"/>
            <w:vAlign w:val="center"/>
          </w:tcPr>
          <w:p w14:paraId="25101EC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bCs/>
                <w:color w:val="auto"/>
                <w:sz w:val="20"/>
                <w:szCs w:val="20"/>
                <w:highlight w:val="none"/>
                <w:vertAlign w:val="baseline"/>
              </w:rPr>
            </w:pPr>
            <w:r>
              <w:rPr>
                <w:rFonts w:hint="default" w:ascii="Times New Roman" w:hAnsi="Times New Roman" w:eastAsia="宋体" w:cs="Times New Roman"/>
                <w:b/>
                <w:bCs/>
                <w:color w:val="auto"/>
                <w:sz w:val="20"/>
                <w:szCs w:val="20"/>
                <w:highlight w:val="none"/>
                <w:lang w:eastAsia="zh-CN"/>
              </w:rPr>
              <w:t>保护级别</w:t>
            </w:r>
          </w:p>
        </w:tc>
      </w:tr>
      <w:tr w14:paraId="2DCB210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35F8012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434" w:type="pct"/>
            <w:vMerge w:val="continue"/>
            <w:tcBorders>
              <w:tl2br w:val="nil"/>
              <w:tr2bl w:val="nil"/>
            </w:tcBorders>
            <w:noWrap w:val="0"/>
            <w:vAlign w:val="center"/>
          </w:tcPr>
          <w:p w14:paraId="250E5C1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609" w:type="pct"/>
            <w:tcBorders>
              <w:tl2br w:val="nil"/>
              <w:tr2bl w:val="nil"/>
            </w:tcBorders>
            <w:noWrap w:val="0"/>
            <w:vAlign w:val="center"/>
          </w:tcPr>
          <w:p w14:paraId="4584A42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bCs/>
                <w:color w:val="auto"/>
                <w:sz w:val="20"/>
                <w:szCs w:val="20"/>
                <w:highlight w:val="none"/>
                <w:vertAlign w:val="baseline"/>
                <w:lang w:val="en-US" w:eastAsia="zh-CN"/>
              </w:rPr>
            </w:pPr>
            <w:r>
              <w:rPr>
                <w:rFonts w:hint="default" w:ascii="Times New Roman" w:hAnsi="Times New Roman" w:cs="Times New Roman"/>
                <w:b/>
                <w:bCs/>
                <w:color w:val="auto"/>
                <w:sz w:val="20"/>
                <w:szCs w:val="20"/>
                <w:highlight w:val="none"/>
                <w:vertAlign w:val="baseline"/>
                <w:lang w:val="en-US" w:eastAsia="zh-CN"/>
              </w:rPr>
              <w:t>经度（°）</w:t>
            </w:r>
          </w:p>
        </w:tc>
        <w:tc>
          <w:tcPr>
            <w:tcW w:w="593" w:type="pct"/>
            <w:tcBorders>
              <w:tl2br w:val="nil"/>
              <w:tr2bl w:val="nil"/>
            </w:tcBorders>
            <w:noWrap w:val="0"/>
            <w:vAlign w:val="center"/>
          </w:tcPr>
          <w:p w14:paraId="774DA15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bCs/>
                <w:color w:val="auto"/>
                <w:sz w:val="20"/>
                <w:szCs w:val="20"/>
                <w:highlight w:val="none"/>
                <w:vertAlign w:val="baseline"/>
                <w:lang w:val="en-US" w:eastAsia="zh-CN"/>
              </w:rPr>
            </w:pPr>
            <w:r>
              <w:rPr>
                <w:rFonts w:hint="default" w:ascii="Times New Roman" w:hAnsi="Times New Roman" w:cs="Times New Roman"/>
                <w:b/>
                <w:bCs/>
                <w:color w:val="auto"/>
                <w:sz w:val="20"/>
                <w:szCs w:val="20"/>
                <w:highlight w:val="none"/>
                <w:vertAlign w:val="baseline"/>
                <w:lang w:val="en-US" w:eastAsia="zh-CN"/>
              </w:rPr>
              <w:t>纬度（°）</w:t>
            </w:r>
          </w:p>
        </w:tc>
        <w:tc>
          <w:tcPr>
            <w:tcW w:w="357" w:type="pct"/>
            <w:vMerge w:val="continue"/>
            <w:tcBorders>
              <w:tl2br w:val="nil"/>
              <w:tr2bl w:val="nil"/>
            </w:tcBorders>
            <w:noWrap w:val="0"/>
            <w:vAlign w:val="center"/>
          </w:tcPr>
          <w:p w14:paraId="5B7502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350" w:type="pct"/>
            <w:vMerge w:val="continue"/>
            <w:tcBorders>
              <w:tl2br w:val="nil"/>
              <w:tr2bl w:val="nil"/>
            </w:tcBorders>
            <w:noWrap w:val="0"/>
            <w:vAlign w:val="center"/>
          </w:tcPr>
          <w:p w14:paraId="7A64F9E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281" w:type="pct"/>
            <w:vMerge w:val="continue"/>
            <w:tcBorders>
              <w:tl2br w:val="nil"/>
              <w:tr2bl w:val="nil"/>
            </w:tcBorders>
            <w:noWrap w:val="0"/>
            <w:vAlign w:val="center"/>
          </w:tcPr>
          <w:p w14:paraId="441BEE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407" w:type="pct"/>
            <w:vMerge w:val="continue"/>
            <w:tcBorders>
              <w:tl2br w:val="nil"/>
              <w:tr2bl w:val="nil"/>
            </w:tcBorders>
            <w:noWrap w:val="0"/>
            <w:vAlign w:val="center"/>
          </w:tcPr>
          <w:p w14:paraId="4695F0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770" w:type="pct"/>
            <w:vMerge w:val="continue"/>
            <w:tcBorders>
              <w:tl2br w:val="nil"/>
              <w:tr2bl w:val="nil"/>
            </w:tcBorders>
            <w:noWrap w:val="0"/>
            <w:vAlign w:val="center"/>
          </w:tcPr>
          <w:p w14:paraId="66DA945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825" w:type="pct"/>
            <w:vMerge w:val="continue"/>
            <w:tcBorders>
              <w:tl2br w:val="nil"/>
              <w:tr2bl w:val="nil"/>
            </w:tcBorders>
            <w:noWrap w:val="0"/>
            <w:vAlign w:val="center"/>
          </w:tcPr>
          <w:p w14:paraId="4650D56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r>
      <w:tr w14:paraId="0E3CE9B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restart"/>
            <w:tcBorders>
              <w:tl2br w:val="nil"/>
              <w:tr2bl w:val="nil"/>
            </w:tcBorders>
            <w:noWrap w:val="0"/>
            <w:vAlign w:val="center"/>
          </w:tcPr>
          <w:p w14:paraId="1A94C0B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cs="Times New Roman"/>
                <w:color w:val="auto"/>
                <w:sz w:val="20"/>
                <w:szCs w:val="20"/>
                <w:highlight w:val="none"/>
                <w:lang w:eastAsia="zh-CN"/>
              </w:rPr>
              <w:t>大气环境</w:t>
            </w:r>
          </w:p>
        </w:tc>
        <w:tc>
          <w:tcPr>
            <w:tcW w:w="434" w:type="pct"/>
            <w:tcBorders>
              <w:tl2br w:val="nil"/>
              <w:tr2bl w:val="nil"/>
            </w:tcBorders>
            <w:noWrap w:val="0"/>
            <w:vAlign w:val="center"/>
          </w:tcPr>
          <w:p w14:paraId="4B28674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剑阁县普安镇场镇</w:t>
            </w:r>
          </w:p>
        </w:tc>
        <w:tc>
          <w:tcPr>
            <w:tcW w:w="609" w:type="pct"/>
            <w:tcBorders>
              <w:tl2br w:val="nil"/>
              <w:tr2bl w:val="nil"/>
            </w:tcBorders>
            <w:noWrap w:val="0"/>
            <w:vAlign w:val="center"/>
          </w:tcPr>
          <w:p w14:paraId="1408BDB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eastAsia="宋体" w:cs="Times New Roman"/>
                <w:b w:val="0"/>
                <w:bCs w:val="0"/>
                <w:color w:val="auto"/>
                <w:sz w:val="20"/>
                <w:szCs w:val="20"/>
                <w:highlight w:val="none"/>
                <w:vertAlign w:val="baseline"/>
              </w:rPr>
              <w:t>105.471028268</w:t>
            </w:r>
          </w:p>
        </w:tc>
        <w:tc>
          <w:tcPr>
            <w:tcW w:w="593" w:type="pct"/>
            <w:tcBorders>
              <w:tl2br w:val="nil"/>
              <w:tr2bl w:val="nil"/>
            </w:tcBorders>
            <w:noWrap w:val="0"/>
            <w:vAlign w:val="center"/>
          </w:tcPr>
          <w:p w14:paraId="62DD13A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eastAsia="宋体" w:cs="Times New Roman"/>
                <w:b w:val="0"/>
                <w:bCs w:val="0"/>
                <w:color w:val="auto"/>
                <w:sz w:val="20"/>
                <w:szCs w:val="20"/>
                <w:highlight w:val="none"/>
                <w:vertAlign w:val="baseline"/>
              </w:rPr>
              <w:t>32.032964733</w:t>
            </w:r>
          </w:p>
        </w:tc>
        <w:tc>
          <w:tcPr>
            <w:tcW w:w="357" w:type="pct"/>
            <w:tcBorders>
              <w:tl2br w:val="nil"/>
              <w:tr2bl w:val="nil"/>
            </w:tcBorders>
            <w:noWrap w:val="0"/>
            <w:vAlign w:val="center"/>
          </w:tcPr>
          <w:p w14:paraId="3145C3C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color w:val="auto"/>
                <w:sz w:val="20"/>
                <w:szCs w:val="20"/>
                <w:highlight w:val="none"/>
                <w:lang w:eastAsia="zh-CN"/>
              </w:rPr>
            </w:pPr>
            <w:r>
              <w:rPr>
                <w:rFonts w:hint="default" w:ascii="Times New Roman" w:hAnsi="Times New Roman" w:eastAsia="宋体" w:cs="Times New Roman"/>
                <w:b w:val="0"/>
                <w:bCs w:val="0"/>
                <w:color w:val="auto"/>
                <w:sz w:val="20"/>
                <w:szCs w:val="20"/>
                <w:highlight w:val="none"/>
                <w:vertAlign w:val="baseline"/>
              </w:rPr>
              <w:t>508</w:t>
            </w:r>
          </w:p>
        </w:tc>
        <w:tc>
          <w:tcPr>
            <w:tcW w:w="350" w:type="pct"/>
            <w:tcBorders>
              <w:tl2br w:val="nil"/>
              <w:tr2bl w:val="nil"/>
            </w:tcBorders>
            <w:noWrap w:val="0"/>
            <w:vAlign w:val="center"/>
          </w:tcPr>
          <w:p w14:paraId="49D53B8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-129</w:t>
            </w:r>
          </w:p>
        </w:tc>
        <w:tc>
          <w:tcPr>
            <w:tcW w:w="281" w:type="pct"/>
            <w:tcBorders>
              <w:tl2br w:val="nil"/>
              <w:tr2bl w:val="nil"/>
            </w:tcBorders>
            <w:noWrap w:val="0"/>
            <w:vAlign w:val="center"/>
          </w:tcPr>
          <w:p w14:paraId="5739C3F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西北</w:t>
            </w:r>
          </w:p>
        </w:tc>
        <w:tc>
          <w:tcPr>
            <w:tcW w:w="407" w:type="pct"/>
            <w:tcBorders>
              <w:tl2br w:val="nil"/>
              <w:tr2bl w:val="nil"/>
            </w:tcBorders>
            <w:noWrap w:val="0"/>
            <w:vAlign w:val="center"/>
          </w:tcPr>
          <w:p w14:paraId="27441A7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1.6km</w:t>
            </w:r>
          </w:p>
        </w:tc>
        <w:tc>
          <w:tcPr>
            <w:tcW w:w="770" w:type="pct"/>
            <w:tcBorders>
              <w:tl2br w:val="nil"/>
              <w:tr2bl w:val="nil"/>
            </w:tcBorders>
            <w:noWrap w:val="0"/>
            <w:vAlign w:val="center"/>
          </w:tcPr>
          <w:p w14:paraId="4432A5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color w:val="auto"/>
                <w:spacing w:val="2"/>
                <w:sz w:val="20"/>
                <w:szCs w:val="20"/>
                <w:highlight w:val="none"/>
              </w:rPr>
              <w:t>常驻人口约</w:t>
            </w:r>
            <w:r>
              <w:rPr>
                <w:rFonts w:hint="default" w:ascii="Times New Roman" w:hAnsi="Times New Roman" w:cs="Times New Roman"/>
                <w:color w:val="auto"/>
                <w:spacing w:val="2"/>
                <w:sz w:val="20"/>
                <w:szCs w:val="20"/>
                <w:highlight w:val="none"/>
                <w:lang w:val="en-US" w:eastAsia="zh-CN"/>
              </w:rPr>
              <w:t>30000</w:t>
            </w:r>
            <w:r>
              <w:rPr>
                <w:rFonts w:hint="default" w:ascii="Times New Roman" w:hAnsi="Times New Roman" w:eastAsia="宋体" w:cs="Times New Roman"/>
                <w:color w:val="auto"/>
                <w:spacing w:val="2"/>
                <w:sz w:val="20"/>
                <w:szCs w:val="20"/>
                <w:highlight w:val="none"/>
              </w:rPr>
              <w:t>人，场镇设有政府、</w:t>
            </w:r>
            <w:r>
              <w:rPr>
                <w:rFonts w:hint="default" w:ascii="Times New Roman" w:hAnsi="Times New Roman" w:eastAsia="宋体" w:cs="Times New Roman"/>
                <w:color w:val="auto"/>
                <w:spacing w:val="2"/>
                <w:sz w:val="20"/>
                <w:szCs w:val="20"/>
                <w:highlight w:val="none"/>
                <w:lang w:eastAsia="zh-CN"/>
              </w:rPr>
              <w:t>中小学、剑阁县人民医院等单位</w:t>
            </w:r>
          </w:p>
        </w:tc>
        <w:tc>
          <w:tcPr>
            <w:tcW w:w="825" w:type="pct"/>
            <w:vMerge w:val="restart"/>
            <w:tcBorders>
              <w:tl2br w:val="nil"/>
              <w:tr2bl w:val="nil"/>
            </w:tcBorders>
            <w:noWrap w:val="0"/>
            <w:vAlign w:val="center"/>
          </w:tcPr>
          <w:p w14:paraId="73D1847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cs="Times New Roman"/>
                <w:color w:val="auto"/>
                <w:sz w:val="20"/>
                <w:szCs w:val="20"/>
                <w:highlight w:val="none"/>
                <w:lang w:val="en-US" w:eastAsia="zh-CN"/>
              </w:rPr>
              <w:t>《环境空气质量标准》（GB3095-2012）中的一级和二级标准</w:t>
            </w:r>
          </w:p>
        </w:tc>
      </w:tr>
      <w:tr w14:paraId="013323C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658EE3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eastAsia="zh-CN"/>
              </w:rPr>
            </w:pPr>
          </w:p>
        </w:tc>
        <w:tc>
          <w:tcPr>
            <w:tcW w:w="434" w:type="pct"/>
            <w:tcBorders>
              <w:tl2br w:val="nil"/>
              <w:tr2bl w:val="nil"/>
            </w:tcBorders>
            <w:noWrap w:val="0"/>
            <w:vAlign w:val="center"/>
          </w:tcPr>
          <w:p w14:paraId="3B5461E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剑坪村</w:t>
            </w:r>
          </w:p>
        </w:tc>
        <w:tc>
          <w:tcPr>
            <w:tcW w:w="609" w:type="pct"/>
            <w:tcBorders>
              <w:tl2br w:val="nil"/>
              <w:tr2bl w:val="nil"/>
            </w:tcBorders>
            <w:noWrap w:val="0"/>
            <w:vAlign w:val="center"/>
          </w:tcPr>
          <w:p w14:paraId="159DBC1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105.4730 66747</w:t>
            </w:r>
          </w:p>
        </w:tc>
        <w:tc>
          <w:tcPr>
            <w:tcW w:w="593" w:type="pct"/>
            <w:tcBorders>
              <w:tl2br w:val="nil"/>
              <w:tr2bl w:val="nil"/>
            </w:tcBorders>
            <w:noWrap w:val="0"/>
            <w:vAlign w:val="center"/>
          </w:tcPr>
          <w:p w14:paraId="057683B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32.016292122</w:t>
            </w:r>
          </w:p>
        </w:tc>
        <w:tc>
          <w:tcPr>
            <w:tcW w:w="357" w:type="pct"/>
            <w:tcBorders>
              <w:tl2br w:val="nil"/>
              <w:tr2bl w:val="nil"/>
            </w:tcBorders>
            <w:noWrap w:val="0"/>
            <w:vAlign w:val="center"/>
          </w:tcPr>
          <w:p w14:paraId="6BB95B1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646</w:t>
            </w:r>
          </w:p>
        </w:tc>
        <w:tc>
          <w:tcPr>
            <w:tcW w:w="350" w:type="pct"/>
            <w:tcBorders>
              <w:tl2br w:val="nil"/>
              <w:tr2bl w:val="nil"/>
            </w:tcBorders>
            <w:noWrap w:val="0"/>
            <w:vAlign w:val="center"/>
          </w:tcPr>
          <w:p w14:paraId="7841B63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9</w:t>
            </w:r>
          </w:p>
        </w:tc>
        <w:tc>
          <w:tcPr>
            <w:tcW w:w="281" w:type="pct"/>
            <w:tcBorders>
              <w:tl2br w:val="nil"/>
              <w:tr2bl w:val="nil"/>
            </w:tcBorders>
            <w:noWrap w:val="0"/>
            <w:vAlign w:val="center"/>
          </w:tcPr>
          <w:p w14:paraId="0C61649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西南</w:t>
            </w:r>
          </w:p>
        </w:tc>
        <w:tc>
          <w:tcPr>
            <w:tcW w:w="407" w:type="pct"/>
            <w:tcBorders>
              <w:tl2br w:val="nil"/>
              <w:tr2bl w:val="nil"/>
            </w:tcBorders>
            <w:noWrap w:val="0"/>
            <w:vAlign w:val="center"/>
          </w:tcPr>
          <w:p w14:paraId="7868295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0.68</w:t>
            </w:r>
            <w:r>
              <w:rPr>
                <w:rFonts w:hint="default" w:ascii="Times New Roman" w:hAnsi="Times New Roman" w:eastAsia="宋体" w:cs="Times New Roman"/>
                <w:b w:val="0"/>
                <w:bCs w:val="0"/>
                <w:color w:val="auto"/>
                <w:sz w:val="20"/>
                <w:szCs w:val="20"/>
                <w:highlight w:val="none"/>
                <w:vertAlign w:val="baseline"/>
                <w:lang w:val="en-US" w:eastAsia="zh-CN"/>
              </w:rPr>
              <w:t>km</w:t>
            </w:r>
          </w:p>
        </w:tc>
        <w:tc>
          <w:tcPr>
            <w:tcW w:w="770" w:type="pct"/>
            <w:tcBorders>
              <w:tl2br w:val="nil"/>
              <w:tr2bl w:val="nil"/>
            </w:tcBorders>
            <w:noWrap w:val="0"/>
            <w:vAlign w:val="center"/>
          </w:tcPr>
          <w:p w14:paraId="542369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居民约800人，本项目500m范围内57户，约200人</w:t>
            </w:r>
          </w:p>
        </w:tc>
        <w:tc>
          <w:tcPr>
            <w:tcW w:w="825" w:type="pct"/>
            <w:vMerge w:val="continue"/>
            <w:tcBorders>
              <w:tl2br w:val="nil"/>
              <w:tr2bl w:val="nil"/>
            </w:tcBorders>
            <w:noWrap w:val="0"/>
            <w:vAlign w:val="center"/>
          </w:tcPr>
          <w:p w14:paraId="3078F3F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p>
        </w:tc>
      </w:tr>
      <w:tr w14:paraId="6122696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5C152F0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eastAsia="zh-CN"/>
              </w:rPr>
            </w:pPr>
          </w:p>
        </w:tc>
        <w:tc>
          <w:tcPr>
            <w:tcW w:w="434" w:type="pct"/>
            <w:tcBorders>
              <w:tl2br w:val="nil"/>
              <w:tr2bl w:val="nil"/>
            </w:tcBorders>
            <w:noWrap w:val="0"/>
            <w:vAlign w:val="center"/>
          </w:tcPr>
          <w:p w14:paraId="3CC4B9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中坪村</w:t>
            </w:r>
          </w:p>
        </w:tc>
        <w:tc>
          <w:tcPr>
            <w:tcW w:w="609" w:type="pct"/>
            <w:tcBorders>
              <w:tl2br w:val="nil"/>
              <w:tr2bl w:val="nil"/>
            </w:tcBorders>
            <w:noWrap w:val="0"/>
            <w:vAlign w:val="center"/>
          </w:tcPr>
          <w:p w14:paraId="424E2E9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105.460449636</w:t>
            </w:r>
          </w:p>
        </w:tc>
        <w:tc>
          <w:tcPr>
            <w:tcW w:w="593" w:type="pct"/>
            <w:tcBorders>
              <w:tl2br w:val="nil"/>
              <w:tr2bl w:val="nil"/>
            </w:tcBorders>
            <w:noWrap w:val="0"/>
            <w:vAlign w:val="center"/>
          </w:tcPr>
          <w:p w14:paraId="443A30D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32.018523720</w:t>
            </w:r>
          </w:p>
        </w:tc>
        <w:tc>
          <w:tcPr>
            <w:tcW w:w="357" w:type="pct"/>
            <w:tcBorders>
              <w:tl2br w:val="nil"/>
              <w:tr2bl w:val="nil"/>
            </w:tcBorders>
            <w:noWrap w:val="0"/>
            <w:vAlign w:val="center"/>
          </w:tcPr>
          <w:p w14:paraId="27350C3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680</w:t>
            </w:r>
          </w:p>
        </w:tc>
        <w:tc>
          <w:tcPr>
            <w:tcW w:w="350" w:type="pct"/>
            <w:tcBorders>
              <w:tl2br w:val="nil"/>
              <w:tr2bl w:val="nil"/>
            </w:tcBorders>
            <w:noWrap w:val="0"/>
            <w:vAlign w:val="center"/>
          </w:tcPr>
          <w:p w14:paraId="644A350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43</w:t>
            </w:r>
          </w:p>
        </w:tc>
        <w:tc>
          <w:tcPr>
            <w:tcW w:w="281" w:type="pct"/>
            <w:tcBorders>
              <w:tl2br w:val="nil"/>
              <w:tr2bl w:val="nil"/>
            </w:tcBorders>
            <w:noWrap w:val="0"/>
            <w:vAlign w:val="center"/>
          </w:tcPr>
          <w:p w14:paraId="08EC4B0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西</w:t>
            </w:r>
          </w:p>
        </w:tc>
        <w:tc>
          <w:tcPr>
            <w:tcW w:w="407" w:type="pct"/>
            <w:tcBorders>
              <w:tl2br w:val="nil"/>
              <w:tr2bl w:val="nil"/>
            </w:tcBorders>
            <w:noWrap w:val="0"/>
            <w:vAlign w:val="center"/>
          </w:tcPr>
          <w:p w14:paraId="6A1AC1E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1.87</w:t>
            </w:r>
            <w:r>
              <w:rPr>
                <w:rFonts w:hint="default" w:ascii="Times New Roman" w:hAnsi="Times New Roman" w:eastAsia="宋体" w:cs="Times New Roman"/>
                <w:b w:val="0"/>
                <w:bCs w:val="0"/>
                <w:color w:val="auto"/>
                <w:sz w:val="20"/>
                <w:szCs w:val="20"/>
                <w:highlight w:val="none"/>
                <w:vertAlign w:val="baseline"/>
                <w:lang w:val="en-US" w:eastAsia="zh-CN"/>
              </w:rPr>
              <w:t>km</w:t>
            </w:r>
          </w:p>
        </w:tc>
        <w:tc>
          <w:tcPr>
            <w:tcW w:w="770" w:type="pct"/>
            <w:tcBorders>
              <w:tl2br w:val="nil"/>
              <w:tr2bl w:val="nil"/>
            </w:tcBorders>
            <w:noWrap w:val="0"/>
            <w:vAlign w:val="center"/>
          </w:tcPr>
          <w:p w14:paraId="23FAA49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居民，约250人</w:t>
            </w:r>
          </w:p>
        </w:tc>
        <w:tc>
          <w:tcPr>
            <w:tcW w:w="825" w:type="pct"/>
            <w:vMerge w:val="continue"/>
            <w:tcBorders>
              <w:tl2br w:val="nil"/>
              <w:tr2bl w:val="nil"/>
            </w:tcBorders>
            <w:noWrap w:val="0"/>
            <w:vAlign w:val="center"/>
          </w:tcPr>
          <w:p w14:paraId="5DC6C0A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p>
        </w:tc>
      </w:tr>
      <w:tr w14:paraId="03AB5BE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729721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eastAsia="zh-CN"/>
              </w:rPr>
            </w:pPr>
          </w:p>
        </w:tc>
        <w:tc>
          <w:tcPr>
            <w:tcW w:w="434" w:type="pct"/>
            <w:tcBorders>
              <w:tl2br w:val="nil"/>
              <w:tr2bl w:val="nil"/>
            </w:tcBorders>
            <w:noWrap w:val="0"/>
            <w:vAlign w:val="center"/>
          </w:tcPr>
          <w:p w14:paraId="76799A9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光荣村</w:t>
            </w:r>
          </w:p>
        </w:tc>
        <w:tc>
          <w:tcPr>
            <w:tcW w:w="609" w:type="pct"/>
            <w:tcBorders>
              <w:tl2br w:val="nil"/>
              <w:tr2bl w:val="nil"/>
            </w:tcBorders>
            <w:noWrap w:val="0"/>
            <w:vAlign w:val="center"/>
          </w:tcPr>
          <w:p w14:paraId="1A1A8F2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rPr>
              <w:t>105.481821477</w:t>
            </w:r>
          </w:p>
        </w:tc>
        <w:tc>
          <w:tcPr>
            <w:tcW w:w="593" w:type="pct"/>
            <w:tcBorders>
              <w:tl2br w:val="nil"/>
              <w:tr2bl w:val="nil"/>
            </w:tcBorders>
            <w:noWrap w:val="0"/>
            <w:vAlign w:val="center"/>
          </w:tcPr>
          <w:p w14:paraId="2F7B52E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rPr>
              <w:t>32.006593254</w:t>
            </w:r>
          </w:p>
        </w:tc>
        <w:tc>
          <w:tcPr>
            <w:tcW w:w="357" w:type="pct"/>
            <w:tcBorders>
              <w:tl2br w:val="nil"/>
              <w:tr2bl w:val="nil"/>
            </w:tcBorders>
            <w:noWrap w:val="0"/>
            <w:vAlign w:val="center"/>
          </w:tcPr>
          <w:p w14:paraId="5B5A65D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b w:val="0"/>
                <w:bCs w:val="0"/>
                <w:color w:val="auto"/>
                <w:sz w:val="20"/>
                <w:szCs w:val="20"/>
                <w:highlight w:val="none"/>
                <w:vertAlign w:val="baseline"/>
              </w:rPr>
              <w:t>653</w:t>
            </w:r>
          </w:p>
        </w:tc>
        <w:tc>
          <w:tcPr>
            <w:tcW w:w="350" w:type="pct"/>
            <w:tcBorders>
              <w:tl2br w:val="nil"/>
              <w:tr2bl w:val="nil"/>
            </w:tcBorders>
            <w:noWrap w:val="0"/>
            <w:vAlign w:val="center"/>
          </w:tcPr>
          <w:p w14:paraId="2B684CC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16</w:t>
            </w:r>
          </w:p>
        </w:tc>
        <w:tc>
          <w:tcPr>
            <w:tcW w:w="281" w:type="pct"/>
            <w:tcBorders>
              <w:tl2br w:val="nil"/>
              <w:tr2bl w:val="nil"/>
            </w:tcBorders>
            <w:noWrap w:val="0"/>
            <w:vAlign w:val="center"/>
          </w:tcPr>
          <w:p w14:paraId="0ADEAE8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南</w:t>
            </w:r>
          </w:p>
        </w:tc>
        <w:tc>
          <w:tcPr>
            <w:tcW w:w="407" w:type="pct"/>
            <w:tcBorders>
              <w:tl2br w:val="nil"/>
              <w:tr2bl w:val="nil"/>
            </w:tcBorders>
            <w:noWrap w:val="0"/>
            <w:vAlign w:val="center"/>
          </w:tcPr>
          <w:p w14:paraId="4987F5A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1.28</w:t>
            </w:r>
            <w:r>
              <w:rPr>
                <w:rFonts w:hint="default" w:ascii="Times New Roman" w:hAnsi="Times New Roman" w:eastAsia="宋体" w:cs="Times New Roman"/>
                <w:b w:val="0"/>
                <w:bCs w:val="0"/>
                <w:color w:val="auto"/>
                <w:sz w:val="20"/>
                <w:szCs w:val="20"/>
                <w:highlight w:val="none"/>
                <w:vertAlign w:val="baseline"/>
                <w:lang w:val="en-US" w:eastAsia="zh-CN"/>
              </w:rPr>
              <w:t>km</w:t>
            </w:r>
          </w:p>
        </w:tc>
        <w:tc>
          <w:tcPr>
            <w:tcW w:w="770" w:type="pct"/>
            <w:tcBorders>
              <w:tl2br w:val="nil"/>
              <w:tr2bl w:val="nil"/>
            </w:tcBorders>
            <w:noWrap w:val="0"/>
            <w:vAlign w:val="center"/>
          </w:tcPr>
          <w:p w14:paraId="7679BC7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居民，约200人</w:t>
            </w:r>
          </w:p>
        </w:tc>
        <w:tc>
          <w:tcPr>
            <w:tcW w:w="825" w:type="pct"/>
            <w:vMerge w:val="continue"/>
            <w:tcBorders>
              <w:tl2br w:val="nil"/>
              <w:tr2bl w:val="nil"/>
            </w:tcBorders>
            <w:noWrap w:val="0"/>
            <w:vAlign w:val="center"/>
          </w:tcPr>
          <w:p w14:paraId="3F9BE5E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p>
        </w:tc>
      </w:tr>
      <w:tr w14:paraId="2EB87D9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5D9D4CF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eastAsia="zh-CN"/>
              </w:rPr>
            </w:pPr>
          </w:p>
        </w:tc>
        <w:tc>
          <w:tcPr>
            <w:tcW w:w="434" w:type="pct"/>
            <w:tcBorders>
              <w:tl2br w:val="nil"/>
              <w:tr2bl w:val="nil"/>
            </w:tcBorders>
            <w:noWrap w:val="0"/>
            <w:vAlign w:val="center"/>
          </w:tcPr>
          <w:p w14:paraId="1C43DD0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笔尖村</w:t>
            </w:r>
          </w:p>
        </w:tc>
        <w:tc>
          <w:tcPr>
            <w:tcW w:w="609" w:type="pct"/>
            <w:tcBorders>
              <w:tl2br w:val="nil"/>
              <w:tr2bl w:val="nil"/>
            </w:tcBorders>
            <w:noWrap w:val="0"/>
            <w:vAlign w:val="center"/>
          </w:tcPr>
          <w:p w14:paraId="5659676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rPr>
              <w:t>105.491949498</w:t>
            </w:r>
          </w:p>
        </w:tc>
        <w:tc>
          <w:tcPr>
            <w:tcW w:w="593" w:type="pct"/>
            <w:tcBorders>
              <w:tl2br w:val="nil"/>
              <w:tr2bl w:val="nil"/>
            </w:tcBorders>
            <w:noWrap w:val="0"/>
            <w:vAlign w:val="center"/>
          </w:tcPr>
          <w:p w14:paraId="652B832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rPr>
              <w:t>32.005992439</w:t>
            </w:r>
          </w:p>
        </w:tc>
        <w:tc>
          <w:tcPr>
            <w:tcW w:w="357" w:type="pct"/>
            <w:tcBorders>
              <w:tl2br w:val="nil"/>
              <w:tr2bl w:val="nil"/>
            </w:tcBorders>
            <w:noWrap w:val="0"/>
            <w:vAlign w:val="center"/>
          </w:tcPr>
          <w:p w14:paraId="6240D6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b w:val="0"/>
                <w:bCs w:val="0"/>
                <w:color w:val="auto"/>
                <w:sz w:val="20"/>
                <w:szCs w:val="20"/>
                <w:highlight w:val="none"/>
                <w:vertAlign w:val="baseline"/>
              </w:rPr>
              <w:t>700</w:t>
            </w:r>
          </w:p>
        </w:tc>
        <w:tc>
          <w:tcPr>
            <w:tcW w:w="350" w:type="pct"/>
            <w:tcBorders>
              <w:tl2br w:val="nil"/>
              <w:tr2bl w:val="nil"/>
            </w:tcBorders>
            <w:noWrap w:val="0"/>
            <w:vAlign w:val="center"/>
          </w:tcPr>
          <w:p w14:paraId="2CBF532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63</w:t>
            </w:r>
          </w:p>
        </w:tc>
        <w:tc>
          <w:tcPr>
            <w:tcW w:w="281" w:type="pct"/>
            <w:tcBorders>
              <w:tl2br w:val="nil"/>
              <w:tr2bl w:val="nil"/>
            </w:tcBorders>
            <w:noWrap w:val="0"/>
            <w:vAlign w:val="center"/>
          </w:tcPr>
          <w:p w14:paraId="4A7833B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南</w:t>
            </w:r>
          </w:p>
        </w:tc>
        <w:tc>
          <w:tcPr>
            <w:tcW w:w="407" w:type="pct"/>
            <w:tcBorders>
              <w:tl2br w:val="nil"/>
              <w:tr2bl w:val="nil"/>
            </w:tcBorders>
            <w:noWrap w:val="0"/>
            <w:vAlign w:val="center"/>
          </w:tcPr>
          <w:p w14:paraId="791FB92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1.56</w:t>
            </w:r>
            <w:r>
              <w:rPr>
                <w:rFonts w:hint="default" w:ascii="Times New Roman" w:hAnsi="Times New Roman" w:eastAsia="宋体" w:cs="Times New Roman"/>
                <w:b w:val="0"/>
                <w:bCs w:val="0"/>
                <w:color w:val="auto"/>
                <w:sz w:val="20"/>
                <w:szCs w:val="20"/>
                <w:highlight w:val="none"/>
                <w:vertAlign w:val="baseline"/>
                <w:lang w:val="en-US" w:eastAsia="zh-CN"/>
              </w:rPr>
              <w:t>km</w:t>
            </w:r>
          </w:p>
        </w:tc>
        <w:tc>
          <w:tcPr>
            <w:tcW w:w="770" w:type="pct"/>
            <w:tcBorders>
              <w:tl2br w:val="nil"/>
              <w:tr2bl w:val="nil"/>
            </w:tcBorders>
            <w:noWrap w:val="0"/>
            <w:vAlign w:val="center"/>
          </w:tcPr>
          <w:p w14:paraId="5A833A8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居民，约200人</w:t>
            </w:r>
          </w:p>
        </w:tc>
        <w:tc>
          <w:tcPr>
            <w:tcW w:w="825" w:type="pct"/>
            <w:vMerge w:val="continue"/>
            <w:tcBorders>
              <w:tl2br w:val="nil"/>
              <w:tr2bl w:val="nil"/>
            </w:tcBorders>
            <w:noWrap w:val="0"/>
            <w:vAlign w:val="center"/>
          </w:tcPr>
          <w:p w14:paraId="4BEA0A0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p>
        </w:tc>
      </w:tr>
      <w:tr w14:paraId="50788AB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17ED8C2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eastAsia="zh-CN"/>
              </w:rPr>
            </w:pPr>
          </w:p>
        </w:tc>
        <w:tc>
          <w:tcPr>
            <w:tcW w:w="434" w:type="pct"/>
            <w:tcBorders>
              <w:tl2br w:val="nil"/>
              <w:tr2bl w:val="nil"/>
            </w:tcBorders>
            <w:noWrap w:val="0"/>
            <w:vAlign w:val="center"/>
          </w:tcPr>
          <w:p w14:paraId="3CCBA53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闻溪村</w:t>
            </w:r>
          </w:p>
        </w:tc>
        <w:tc>
          <w:tcPr>
            <w:tcW w:w="609" w:type="pct"/>
            <w:tcBorders>
              <w:tl2br w:val="nil"/>
              <w:tr2bl w:val="nil"/>
            </w:tcBorders>
            <w:noWrap w:val="0"/>
            <w:vAlign w:val="center"/>
          </w:tcPr>
          <w:p w14:paraId="18AD06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rPr>
              <w:t>105.494610250</w:t>
            </w:r>
          </w:p>
        </w:tc>
        <w:tc>
          <w:tcPr>
            <w:tcW w:w="593" w:type="pct"/>
            <w:tcBorders>
              <w:tl2br w:val="nil"/>
              <w:tr2bl w:val="nil"/>
            </w:tcBorders>
            <w:noWrap w:val="0"/>
            <w:vAlign w:val="center"/>
          </w:tcPr>
          <w:p w14:paraId="4A36009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rPr>
              <w:t>32.032170799</w:t>
            </w:r>
          </w:p>
        </w:tc>
        <w:tc>
          <w:tcPr>
            <w:tcW w:w="357" w:type="pct"/>
            <w:tcBorders>
              <w:tl2br w:val="nil"/>
              <w:tr2bl w:val="nil"/>
            </w:tcBorders>
            <w:noWrap w:val="0"/>
            <w:vAlign w:val="center"/>
          </w:tcPr>
          <w:p w14:paraId="1FB6C5F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b w:val="0"/>
                <w:bCs w:val="0"/>
                <w:color w:val="auto"/>
                <w:sz w:val="20"/>
                <w:szCs w:val="20"/>
                <w:highlight w:val="none"/>
                <w:vertAlign w:val="baseline"/>
              </w:rPr>
              <w:t>4</w:t>
            </w:r>
            <w:r>
              <w:rPr>
                <w:rFonts w:hint="default" w:ascii="Times New Roman" w:hAnsi="Times New Roman" w:eastAsia="宋体" w:cs="Times New Roman"/>
                <w:b w:val="0"/>
                <w:bCs w:val="0"/>
                <w:color w:val="auto"/>
                <w:sz w:val="20"/>
                <w:szCs w:val="20"/>
                <w:highlight w:val="none"/>
                <w:vertAlign w:val="baseline"/>
                <w:lang w:val="en-US" w:eastAsia="zh-CN"/>
              </w:rPr>
              <w:t>70</w:t>
            </w:r>
          </w:p>
        </w:tc>
        <w:tc>
          <w:tcPr>
            <w:tcW w:w="350" w:type="pct"/>
            <w:tcBorders>
              <w:tl2br w:val="nil"/>
              <w:tr2bl w:val="nil"/>
            </w:tcBorders>
            <w:noWrap w:val="0"/>
            <w:vAlign w:val="center"/>
          </w:tcPr>
          <w:p w14:paraId="576FFB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kern w:val="2"/>
                <w:sz w:val="20"/>
                <w:szCs w:val="20"/>
                <w:highlight w:val="none"/>
                <w:vertAlign w:val="baseli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-167</w:t>
            </w:r>
          </w:p>
        </w:tc>
        <w:tc>
          <w:tcPr>
            <w:tcW w:w="281" w:type="pct"/>
            <w:tcBorders>
              <w:tl2br w:val="nil"/>
              <w:tr2bl w:val="nil"/>
            </w:tcBorders>
            <w:noWrap w:val="0"/>
            <w:vAlign w:val="center"/>
          </w:tcPr>
          <w:p w14:paraId="320E64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东北</w:t>
            </w:r>
          </w:p>
        </w:tc>
        <w:tc>
          <w:tcPr>
            <w:tcW w:w="407" w:type="pct"/>
            <w:tcBorders>
              <w:tl2br w:val="nil"/>
              <w:tr2bl w:val="nil"/>
            </w:tcBorders>
            <w:noWrap w:val="0"/>
            <w:vAlign w:val="center"/>
          </w:tcPr>
          <w:p w14:paraId="372B86C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1.8</w:t>
            </w:r>
            <w:r>
              <w:rPr>
                <w:rFonts w:hint="default" w:ascii="Times New Roman" w:hAnsi="Times New Roman" w:eastAsia="宋体" w:cs="Times New Roman"/>
                <w:b w:val="0"/>
                <w:bCs w:val="0"/>
                <w:color w:val="auto"/>
                <w:sz w:val="20"/>
                <w:szCs w:val="20"/>
                <w:highlight w:val="none"/>
                <w:vertAlign w:val="baseline"/>
                <w:lang w:val="en-US" w:eastAsia="zh-CN"/>
              </w:rPr>
              <w:t>km</w:t>
            </w:r>
          </w:p>
        </w:tc>
        <w:tc>
          <w:tcPr>
            <w:tcW w:w="770" w:type="pct"/>
            <w:tcBorders>
              <w:tl2br w:val="nil"/>
              <w:tr2bl w:val="nil"/>
            </w:tcBorders>
            <w:noWrap w:val="0"/>
            <w:vAlign w:val="center"/>
          </w:tcPr>
          <w:p w14:paraId="5176BF4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b w:val="0"/>
                <w:bCs w:val="0"/>
                <w:color w:val="auto"/>
                <w:sz w:val="20"/>
                <w:szCs w:val="20"/>
                <w:highlight w:val="none"/>
                <w:vertAlign w:val="baseline"/>
                <w:lang w:val="en-US" w:eastAsia="zh-CN"/>
              </w:rPr>
              <w:t>居民，约250人</w:t>
            </w:r>
          </w:p>
        </w:tc>
        <w:tc>
          <w:tcPr>
            <w:tcW w:w="825" w:type="pct"/>
            <w:vMerge w:val="continue"/>
            <w:tcBorders>
              <w:tl2br w:val="nil"/>
              <w:tr2bl w:val="nil"/>
            </w:tcBorders>
            <w:noWrap w:val="0"/>
            <w:vAlign w:val="center"/>
          </w:tcPr>
          <w:p w14:paraId="77DE6D1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p>
        </w:tc>
      </w:tr>
      <w:tr w14:paraId="1DC2233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3D08BA7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eastAsia="zh-CN"/>
              </w:rPr>
            </w:pPr>
          </w:p>
        </w:tc>
        <w:tc>
          <w:tcPr>
            <w:tcW w:w="434" w:type="pct"/>
            <w:tcBorders>
              <w:tl2br w:val="nil"/>
              <w:tr2bl w:val="nil"/>
            </w:tcBorders>
            <w:noWrap w:val="0"/>
            <w:vAlign w:val="center"/>
          </w:tcPr>
          <w:p w14:paraId="06BC37C3">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rPr>
              <w:t>翠云廊古柏省级自然保护区</w:t>
            </w:r>
          </w:p>
        </w:tc>
        <w:tc>
          <w:tcPr>
            <w:tcW w:w="609" w:type="pct"/>
            <w:tcBorders>
              <w:tl2br w:val="nil"/>
              <w:tr2bl w:val="nil"/>
            </w:tcBorders>
            <w:noWrap w:val="0"/>
            <w:vAlign w:val="center"/>
          </w:tcPr>
          <w:p w14:paraId="7005834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593" w:type="pct"/>
            <w:tcBorders>
              <w:tl2br w:val="nil"/>
              <w:tr2bl w:val="nil"/>
            </w:tcBorders>
            <w:noWrap w:val="0"/>
            <w:vAlign w:val="center"/>
          </w:tcPr>
          <w:p w14:paraId="4455E3E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357" w:type="pct"/>
            <w:tcBorders>
              <w:tl2br w:val="nil"/>
              <w:tr2bl w:val="nil"/>
            </w:tcBorders>
            <w:noWrap w:val="0"/>
            <w:vAlign w:val="center"/>
          </w:tcPr>
          <w:p w14:paraId="0209E81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350" w:type="pct"/>
            <w:tcBorders>
              <w:tl2br w:val="nil"/>
              <w:tr2bl w:val="nil"/>
            </w:tcBorders>
            <w:noWrap w:val="0"/>
            <w:vAlign w:val="center"/>
          </w:tcPr>
          <w:p w14:paraId="6E6FE9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281" w:type="pct"/>
            <w:tcBorders>
              <w:tl2br w:val="nil"/>
              <w:tr2bl w:val="nil"/>
            </w:tcBorders>
            <w:noWrap w:val="0"/>
            <w:vAlign w:val="center"/>
          </w:tcPr>
          <w:p w14:paraId="3E69E6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西北</w:t>
            </w:r>
          </w:p>
        </w:tc>
        <w:tc>
          <w:tcPr>
            <w:tcW w:w="407" w:type="pct"/>
            <w:tcBorders>
              <w:tl2br w:val="nil"/>
              <w:tr2bl w:val="nil"/>
            </w:tcBorders>
            <w:noWrap w:val="0"/>
            <w:vAlign w:val="center"/>
          </w:tcPr>
          <w:p w14:paraId="7974A13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1.11km</w:t>
            </w:r>
          </w:p>
        </w:tc>
        <w:tc>
          <w:tcPr>
            <w:tcW w:w="770" w:type="pct"/>
            <w:tcBorders>
              <w:tl2br w:val="nil"/>
              <w:tr2bl w:val="nil"/>
            </w:tcBorders>
            <w:noWrap w:val="0"/>
            <w:vAlign w:val="center"/>
          </w:tcPr>
          <w:p w14:paraId="61A5BE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825" w:type="pct"/>
            <w:vMerge w:val="restart"/>
            <w:tcBorders>
              <w:tl2br w:val="nil"/>
              <w:tr2bl w:val="nil"/>
            </w:tcBorders>
            <w:noWrap w:val="0"/>
            <w:vAlign w:val="center"/>
          </w:tcPr>
          <w:p w14:paraId="09D5178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《环境空气质量标准》（GB3095-2012）中的一级标准</w:t>
            </w:r>
          </w:p>
        </w:tc>
      </w:tr>
      <w:tr w14:paraId="051ACD1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09F3A4A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eastAsia="zh-CN"/>
              </w:rPr>
            </w:pPr>
          </w:p>
        </w:tc>
        <w:tc>
          <w:tcPr>
            <w:tcW w:w="434" w:type="pct"/>
            <w:tcBorders>
              <w:tl2br w:val="nil"/>
              <w:tr2bl w:val="nil"/>
            </w:tcBorders>
            <w:noWrap w:val="0"/>
            <w:vAlign w:val="center"/>
          </w:tcPr>
          <w:p w14:paraId="1D0F3707">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rPr>
              <w:t>剑门蜀道国家级风景名胜区</w:t>
            </w:r>
          </w:p>
        </w:tc>
        <w:tc>
          <w:tcPr>
            <w:tcW w:w="609" w:type="pct"/>
            <w:tcBorders>
              <w:tl2br w:val="nil"/>
              <w:tr2bl w:val="nil"/>
            </w:tcBorders>
            <w:noWrap w:val="0"/>
            <w:vAlign w:val="center"/>
          </w:tcPr>
          <w:p w14:paraId="203DC8F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593" w:type="pct"/>
            <w:tcBorders>
              <w:tl2br w:val="nil"/>
              <w:tr2bl w:val="nil"/>
            </w:tcBorders>
            <w:noWrap w:val="0"/>
            <w:vAlign w:val="center"/>
          </w:tcPr>
          <w:p w14:paraId="5D3EF90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357" w:type="pct"/>
            <w:tcBorders>
              <w:tl2br w:val="nil"/>
              <w:tr2bl w:val="nil"/>
            </w:tcBorders>
            <w:noWrap w:val="0"/>
            <w:vAlign w:val="center"/>
          </w:tcPr>
          <w:p w14:paraId="771D531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350" w:type="pct"/>
            <w:tcBorders>
              <w:tl2br w:val="nil"/>
              <w:tr2bl w:val="nil"/>
            </w:tcBorders>
            <w:noWrap w:val="0"/>
            <w:vAlign w:val="center"/>
          </w:tcPr>
          <w:p w14:paraId="01F69E4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281" w:type="pct"/>
            <w:tcBorders>
              <w:tl2br w:val="nil"/>
              <w:tr2bl w:val="nil"/>
            </w:tcBorders>
            <w:noWrap w:val="0"/>
            <w:vAlign w:val="center"/>
          </w:tcPr>
          <w:p w14:paraId="46C5F53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北</w:t>
            </w:r>
          </w:p>
        </w:tc>
        <w:tc>
          <w:tcPr>
            <w:tcW w:w="407" w:type="pct"/>
            <w:tcBorders>
              <w:tl2br w:val="nil"/>
              <w:tr2bl w:val="nil"/>
            </w:tcBorders>
            <w:noWrap w:val="0"/>
            <w:vAlign w:val="center"/>
          </w:tcPr>
          <w:p w14:paraId="547ABE2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0.18km</w:t>
            </w:r>
          </w:p>
        </w:tc>
        <w:tc>
          <w:tcPr>
            <w:tcW w:w="770" w:type="pct"/>
            <w:tcBorders>
              <w:tl2br w:val="nil"/>
              <w:tr2bl w:val="nil"/>
            </w:tcBorders>
            <w:noWrap w:val="0"/>
            <w:vAlign w:val="center"/>
          </w:tcPr>
          <w:p w14:paraId="4114EE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825" w:type="pct"/>
            <w:vMerge w:val="continue"/>
            <w:tcBorders>
              <w:tl2br w:val="nil"/>
              <w:tr2bl w:val="nil"/>
            </w:tcBorders>
            <w:noWrap w:val="0"/>
            <w:vAlign w:val="center"/>
          </w:tcPr>
          <w:p w14:paraId="22D7DCB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p>
        </w:tc>
      </w:tr>
      <w:tr w14:paraId="338FCA2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30BA367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cs="Times New Roman"/>
                <w:color w:val="auto"/>
                <w:sz w:val="20"/>
                <w:szCs w:val="20"/>
                <w:highlight w:val="none"/>
                <w:lang w:eastAsia="zh-CN"/>
              </w:rPr>
            </w:pPr>
          </w:p>
        </w:tc>
        <w:tc>
          <w:tcPr>
            <w:tcW w:w="434" w:type="pct"/>
            <w:tcBorders>
              <w:tl2br w:val="nil"/>
              <w:tr2bl w:val="nil"/>
            </w:tcBorders>
            <w:noWrap w:val="0"/>
            <w:vAlign w:val="center"/>
          </w:tcPr>
          <w:p w14:paraId="4F47F370">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剑门关国家森林公园（古驿道翠云廊）</w:t>
            </w:r>
          </w:p>
        </w:tc>
        <w:tc>
          <w:tcPr>
            <w:tcW w:w="609" w:type="pct"/>
            <w:tcBorders>
              <w:tl2br w:val="nil"/>
              <w:tr2bl w:val="nil"/>
            </w:tcBorders>
            <w:noWrap w:val="0"/>
            <w:vAlign w:val="center"/>
          </w:tcPr>
          <w:p w14:paraId="3CA54BD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593" w:type="pct"/>
            <w:tcBorders>
              <w:tl2br w:val="nil"/>
              <w:tr2bl w:val="nil"/>
            </w:tcBorders>
            <w:noWrap w:val="0"/>
            <w:vAlign w:val="center"/>
          </w:tcPr>
          <w:p w14:paraId="79C6C29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357" w:type="pct"/>
            <w:tcBorders>
              <w:tl2br w:val="nil"/>
              <w:tr2bl w:val="nil"/>
            </w:tcBorders>
            <w:noWrap w:val="0"/>
            <w:vAlign w:val="center"/>
          </w:tcPr>
          <w:p w14:paraId="76A111D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350" w:type="pct"/>
            <w:tcBorders>
              <w:tl2br w:val="nil"/>
              <w:tr2bl w:val="nil"/>
            </w:tcBorders>
            <w:noWrap w:val="0"/>
            <w:vAlign w:val="center"/>
          </w:tcPr>
          <w:p w14:paraId="120F94D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281" w:type="pct"/>
            <w:tcBorders>
              <w:tl2br w:val="nil"/>
              <w:tr2bl w:val="nil"/>
            </w:tcBorders>
            <w:noWrap w:val="0"/>
            <w:vAlign w:val="center"/>
          </w:tcPr>
          <w:p w14:paraId="7AC3C6B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西</w:t>
            </w:r>
          </w:p>
        </w:tc>
        <w:tc>
          <w:tcPr>
            <w:tcW w:w="407" w:type="pct"/>
            <w:tcBorders>
              <w:tl2br w:val="nil"/>
              <w:tr2bl w:val="nil"/>
            </w:tcBorders>
            <w:noWrap w:val="0"/>
            <w:vAlign w:val="center"/>
          </w:tcPr>
          <w:p w14:paraId="51B1D4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0.943km</w:t>
            </w:r>
          </w:p>
        </w:tc>
        <w:tc>
          <w:tcPr>
            <w:tcW w:w="770" w:type="pct"/>
            <w:tcBorders>
              <w:tl2br w:val="nil"/>
              <w:tr2bl w:val="nil"/>
            </w:tcBorders>
            <w:noWrap w:val="0"/>
            <w:vAlign w:val="center"/>
          </w:tcPr>
          <w:p w14:paraId="44F56E8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825" w:type="pct"/>
            <w:vMerge w:val="continue"/>
            <w:tcBorders>
              <w:tl2br w:val="nil"/>
              <w:tr2bl w:val="nil"/>
            </w:tcBorders>
            <w:noWrap w:val="0"/>
            <w:vAlign w:val="center"/>
          </w:tcPr>
          <w:p w14:paraId="7C99C61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p>
        </w:tc>
      </w:tr>
      <w:tr w14:paraId="3E90242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tcBorders>
              <w:tl2br w:val="nil"/>
              <w:tr2bl w:val="nil"/>
            </w:tcBorders>
            <w:noWrap w:val="0"/>
            <w:vAlign w:val="center"/>
          </w:tcPr>
          <w:p w14:paraId="7BBE78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声环境</w:t>
            </w:r>
          </w:p>
        </w:tc>
        <w:tc>
          <w:tcPr>
            <w:tcW w:w="434" w:type="pct"/>
            <w:tcBorders>
              <w:tl2br w:val="nil"/>
              <w:tr2bl w:val="nil"/>
            </w:tcBorders>
            <w:noWrap w:val="0"/>
            <w:vAlign w:val="center"/>
          </w:tcPr>
          <w:p w14:paraId="2B830B6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居民</w:t>
            </w:r>
          </w:p>
        </w:tc>
        <w:tc>
          <w:tcPr>
            <w:tcW w:w="609" w:type="pct"/>
            <w:tcBorders>
              <w:tl2br w:val="nil"/>
              <w:tr2bl w:val="nil"/>
            </w:tcBorders>
            <w:noWrap w:val="0"/>
            <w:vAlign w:val="center"/>
          </w:tcPr>
          <w:p w14:paraId="18CD6A5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eastAsia="宋体" w:cs="Times New Roman"/>
                <w:b w:val="0"/>
                <w:bCs w:val="0"/>
                <w:color w:val="auto"/>
                <w:sz w:val="20"/>
                <w:szCs w:val="20"/>
                <w:highlight w:val="none"/>
                <w:vertAlign w:val="baseline"/>
              </w:rPr>
              <w:t>105.478315168</w:t>
            </w:r>
          </w:p>
        </w:tc>
        <w:tc>
          <w:tcPr>
            <w:tcW w:w="593" w:type="pct"/>
            <w:tcBorders>
              <w:tl2br w:val="nil"/>
              <w:tr2bl w:val="nil"/>
            </w:tcBorders>
            <w:noWrap w:val="0"/>
            <w:vAlign w:val="center"/>
          </w:tcPr>
          <w:p w14:paraId="4D58F9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rPr>
              <w:t>32.018727150</w:t>
            </w:r>
          </w:p>
        </w:tc>
        <w:tc>
          <w:tcPr>
            <w:tcW w:w="357" w:type="pct"/>
            <w:tcBorders>
              <w:tl2br w:val="nil"/>
              <w:tr2bl w:val="nil"/>
            </w:tcBorders>
            <w:noWrap w:val="0"/>
            <w:vAlign w:val="center"/>
          </w:tcPr>
          <w:p w14:paraId="7A5EA29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cs="Times New Roman"/>
                <w:color w:val="auto"/>
                <w:sz w:val="20"/>
                <w:szCs w:val="20"/>
                <w:highlight w:val="none"/>
                <w:lang w:val="en-US" w:eastAsia="zh-CN"/>
              </w:rPr>
              <w:t>665-672</w:t>
            </w:r>
          </w:p>
        </w:tc>
        <w:tc>
          <w:tcPr>
            <w:tcW w:w="350" w:type="pct"/>
            <w:tcBorders>
              <w:tl2br w:val="nil"/>
              <w:tr2bl w:val="nil"/>
            </w:tcBorders>
            <w:noWrap w:val="0"/>
            <w:vAlign w:val="center"/>
          </w:tcPr>
          <w:p w14:paraId="2A7188D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cs="Times New Roman"/>
                <w:color w:val="auto"/>
                <w:sz w:val="20"/>
                <w:szCs w:val="20"/>
                <w:highlight w:val="none"/>
                <w:lang w:val="en-US" w:eastAsia="zh-CN"/>
              </w:rPr>
              <w:t>15~22</w:t>
            </w:r>
          </w:p>
        </w:tc>
        <w:tc>
          <w:tcPr>
            <w:tcW w:w="281" w:type="pct"/>
            <w:tcBorders>
              <w:tl2br w:val="nil"/>
              <w:tr2bl w:val="nil"/>
            </w:tcBorders>
            <w:noWrap w:val="0"/>
            <w:vAlign w:val="center"/>
          </w:tcPr>
          <w:p w14:paraId="7464E82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西南侧</w:t>
            </w:r>
          </w:p>
        </w:tc>
        <w:tc>
          <w:tcPr>
            <w:tcW w:w="407" w:type="pct"/>
            <w:tcBorders>
              <w:tl2br w:val="nil"/>
              <w:tr2bl w:val="nil"/>
            </w:tcBorders>
            <w:noWrap w:val="0"/>
            <w:vAlign w:val="center"/>
          </w:tcPr>
          <w:p w14:paraId="0DC0265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159-200</w:t>
            </w:r>
            <w:r>
              <w:rPr>
                <w:rFonts w:hint="default" w:ascii="Times New Roman" w:hAnsi="Times New Roman" w:eastAsia="宋体" w:cs="Times New Roman"/>
                <w:color w:val="auto"/>
                <w:spacing w:val="2"/>
                <w:sz w:val="20"/>
                <w:szCs w:val="20"/>
                <w:highlight w:val="none"/>
                <w:lang w:val="en-US" w:eastAsia="zh-CN"/>
              </w:rPr>
              <w:t>m</w:t>
            </w:r>
          </w:p>
        </w:tc>
        <w:tc>
          <w:tcPr>
            <w:tcW w:w="770" w:type="pct"/>
            <w:tcBorders>
              <w:tl2br w:val="nil"/>
              <w:tr2bl w:val="nil"/>
            </w:tcBorders>
            <w:noWrap w:val="0"/>
            <w:vAlign w:val="center"/>
          </w:tcPr>
          <w:p w14:paraId="45D8A29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rPr>
              <w:t>共</w:t>
            </w:r>
            <w:r>
              <w:rPr>
                <w:rFonts w:hint="default" w:ascii="Times New Roman" w:hAnsi="Times New Roman" w:cs="Times New Roman"/>
                <w:color w:val="auto"/>
                <w:sz w:val="20"/>
                <w:szCs w:val="20"/>
                <w:highlight w:val="none"/>
                <w:lang w:val="en-US" w:eastAsia="zh-CN"/>
              </w:rPr>
              <w:t>4</w:t>
            </w:r>
            <w:r>
              <w:rPr>
                <w:rFonts w:hint="default" w:ascii="Times New Roman" w:hAnsi="Times New Roman" w:eastAsia="宋体" w:cs="Times New Roman"/>
                <w:color w:val="auto"/>
                <w:sz w:val="20"/>
                <w:szCs w:val="20"/>
                <w:highlight w:val="none"/>
              </w:rPr>
              <w:t>户</w:t>
            </w:r>
            <w:r>
              <w:rPr>
                <w:rFonts w:hint="default" w:ascii="Times New Roman" w:hAnsi="Times New Roman" w:eastAsia="宋体" w:cs="Times New Roman"/>
                <w:color w:val="auto"/>
                <w:sz w:val="20"/>
                <w:szCs w:val="20"/>
                <w:highlight w:val="none"/>
                <w:lang w:eastAsia="zh-CN"/>
              </w:rPr>
              <w:t>，约</w:t>
            </w:r>
            <w:r>
              <w:rPr>
                <w:rFonts w:hint="default" w:ascii="Times New Roman" w:hAnsi="Times New Roman" w:eastAsia="宋体" w:cs="Times New Roman"/>
                <w:color w:val="auto"/>
                <w:sz w:val="20"/>
                <w:szCs w:val="20"/>
                <w:highlight w:val="none"/>
                <w:lang w:val="en-US" w:eastAsia="zh-CN"/>
              </w:rPr>
              <w:t>18人</w:t>
            </w:r>
          </w:p>
        </w:tc>
        <w:tc>
          <w:tcPr>
            <w:tcW w:w="825" w:type="pct"/>
            <w:tcBorders>
              <w:tl2br w:val="nil"/>
              <w:tr2bl w:val="nil"/>
            </w:tcBorders>
            <w:noWrap w:val="0"/>
            <w:vAlign w:val="center"/>
          </w:tcPr>
          <w:p w14:paraId="5AA7DEB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rPr>
              <w:t>《声环境质量标准》（GB3096-2008）中</w:t>
            </w:r>
            <w:r>
              <w:rPr>
                <w:rFonts w:hint="default" w:ascii="Times New Roman" w:hAnsi="Times New Roman" w:eastAsia="宋体" w:cs="Times New Roman"/>
                <w:color w:val="auto"/>
                <w:sz w:val="20"/>
                <w:szCs w:val="20"/>
                <w:highlight w:val="none"/>
                <w:lang w:val="en-US" w:eastAsia="zh-CN"/>
              </w:rPr>
              <w:t>2</w:t>
            </w:r>
            <w:r>
              <w:rPr>
                <w:rFonts w:hint="default" w:ascii="Times New Roman" w:hAnsi="Times New Roman" w:eastAsia="宋体" w:cs="Times New Roman"/>
                <w:color w:val="auto"/>
                <w:sz w:val="20"/>
                <w:szCs w:val="20"/>
                <w:highlight w:val="none"/>
              </w:rPr>
              <w:t>类区域标准</w:t>
            </w:r>
          </w:p>
        </w:tc>
      </w:tr>
      <w:tr w14:paraId="672BE67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restart"/>
            <w:tcBorders>
              <w:tl2br w:val="nil"/>
              <w:tr2bl w:val="nil"/>
            </w:tcBorders>
            <w:noWrap w:val="0"/>
            <w:vAlign w:val="center"/>
          </w:tcPr>
          <w:p w14:paraId="135FDE2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lang w:eastAsia="zh-CN"/>
              </w:rPr>
            </w:pPr>
            <w:r>
              <w:rPr>
                <w:rFonts w:hint="default" w:ascii="Times New Roman" w:hAnsi="Times New Roman" w:eastAsia="宋体" w:cs="Times New Roman"/>
                <w:b w:val="0"/>
                <w:bCs w:val="0"/>
                <w:color w:val="auto"/>
                <w:sz w:val="20"/>
                <w:szCs w:val="20"/>
                <w:highlight w:val="none"/>
                <w:vertAlign w:val="baseline"/>
                <w:lang w:eastAsia="zh-CN"/>
              </w:rPr>
              <w:t>地表水环境</w:t>
            </w:r>
          </w:p>
        </w:tc>
        <w:tc>
          <w:tcPr>
            <w:tcW w:w="434" w:type="pct"/>
            <w:tcBorders>
              <w:tl2br w:val="nil"/>
              <w:tr2bl w:val="nil"/>
            </w:tcBorders>
            <w:noWrap w:val="0"/>
            <w:vAlign w:val="center"/>
          </w:tcPr>
          <w:p w14:paraId="57F7CD91">
            <w:pPr>
              <w:pStyle w:val="108"/>
              <w:keepLines w:val="0"/>
              <w:pageBreakBefore w:val="0"/>
              <w:widowControl w:val="0"/>
              <w:suppressLineNumbers w:val="0"/>
              <w:kinsoku/>
              <w:wordWrap/>
              <w:overflowPunct/>
              <w:topLinePunct w:val="0"/>
              <w:autoSpaceDE/>
              <w:autoSpaceDN/>
              <w:bidi w:val="0"/>
              <w:adjustRightInd/>
              <w:snapToGrid/>
              <w:spacing w:before="0" w:beforeLines="0" w:beforeAutospacing="0" w:after="0" w:afterAutospacing="0" w:line="240" w:lineRule="auto"/>
              <w:ind w:left="0" w:leftChars="0" w:right="0" w:rightChars="0" w:firstLine="0" w:firstLineChars="0"/>
              <w:jc w:val="center"/>
              <w:outlineLvl w:val="9"/>
              <w:rPr>
                <w:rFonts w:hint="default" w:ascii="Times New Roman" w:hAnsi="Times New Roman"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val="en-US" w:eastAsia="zh-CN"/>
              </w:rPr>
              <w:t>水塘</w:t>
            </w:r>
          </w:p>
        </w:tc>
        <w:tc>
          <w:tcPr>
            <w:tcW w:w="609" w:type="pct"/>
            <w:tcBorders>
              <w:tl2br w:val="nil"/>
              <w:tr2bl w:val="nil"/>
            </w:tcBorders>
            <w:noWrap w:val="0"/>
            <w:vAlign w:val="center"/>
          </w:tcPr>
          <w:p w14:paraId="46E9814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105.478009397</w:t>
            </w:r>
          </w:p>
        </w:tc>
        <w:tc>
          <w:tcPr>
            <w:tcW w:w="593" w:type="pct"/>
            <w:tcBorders>
              <w:tl2br w:val="nil"/>
              <w:tr2bl w:val="nil"/>
            </w:tcBorders>
            <w:noWrap w:val="0"/>
            <w:vAlign w:val="center"/>
          </w:tcPr>
          <w:p w14:paraId="519A98DE">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32.020116534</w:t>
            </w:r>
          </w:p>
        </w:tc>
        <w:tc>
          <w:tcPr>
            <w:tcW w:w="357" w:type="pct"/>
            <w:tcBorders>
              <w:tl2br w:val="nil"/>
              <w:tr2bl w:val="nil"/>
            </w:tcBorders>
            <w:noWrap w:val="0"/>
            <w:vAlign w:val="center"/>
          </w:tcPr>
          <w:p w14:paraId="271CFEA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649</w:t>
            </w:r>
          </w:p>
        </w:tc>
        <w:tc>
          <w:tcPr>
            <w:tcW w:w="350" w:type="pct"/>
            <w:tcBorders>
              <w:tl2br w:val="nil"/>
              <w:tr2bl w:val="nil"/>
            </w:tcBorders>
            <w:noWrap w:val="0"/>
            <w:vAlign w:val="center"/>
          </w:tcPr>
          <w:p w14:paraId="0D59402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12</w:t>
            </w:r>
          </w:p>
        </w:tc>
        <w:tc>
          <w:tcPr>
            <w:tcW w:w="281" w:type="pct"/>
            <w:tcBorders>
              <w:tl2br w:val="nil"/>
              <w:tr2bl w:val="nil"/>
            </w:tcBorders>
            <w:noWrap w:val="0"/>
            <w:vAlign w:val="center"/>
          </w:tcPr>
          <w:p w14:paraId="4E0E699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cs="Times New Roman"/>
                <w:color w:val="auto"/>
                <w:sz w:val="20"/>
                <w:szCs w:val="20"/>
                <w:highlight w:val="none"/>
                <w:lang w:val="en-US" w:eastAsia="zh-CN"/>
              </w:rPr>
              <w:t>西</w:t>
            </w:r>
            <w:r>
              <w:rPr>
                <w:rFonts w:hint="default" w:ascii="Times New Roman" w:hAnsi="Times New Roman" w:cs="Times New Roman"/>
                <w:color w:val="auto"/>
                <w:sz w:val="20"/>
                <w:szCs w:val="20"/>
                <w:highlight w:val="none"/>
                <w:lang w:eastAsia="zh-CN"/>
              </w:rPr>
              <w:t>侧</w:t>
            </w:r>
          </w:p>
        </w:tc>
        <w:tc>
          <w:tcPr>
            <w:tcW w:w="407" w:type="pct"/>
            <w:tcBorders>
              <w:tl2br w:val="nil"/>
              <w:tr2bl w:val="nil"/>
            </w:tcBorders>
            <w:noWrap w:val="0"/>
            <w:vAlign w:val="center"/>
          </w:tcPr>
          <w:p w14:paraId="232D1F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eastAsia="宋体" w:cs="Times New Roman"/>
                <w:bCs/>
                <w:color w:val="auto"/>
                <w:spacing w:val="2"/>
                <w:sz w:val="20"/>
                <w:szCs w:val="20"/>
                <w:highlight w:val="none"/>
                <w:lang w:val="en-US" w:eastAsia="zh-CN"/>
              </w:rPr>
              <w:t>173m</w:t>
            </w:r>
          </w:p>
        </w:tc>
        <w:tc>
          <w:tcPr>
            <w:tcW w:w="770" w:type="pct"/>
            <w:tcBorders>
              <w:tl2br w:val="nil"/>
              <w:tr2bl w:val="nil"/>
            </w:tcBorders>
            <w:noWrap w:val="0"/>
            <w:vAlign w:val="center"/>
          </w:tcPr>
          <w:p w14:paraId="61EA870D">
            <w:pPr>
              <w:pStyle w:val="114"/>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eastAsiaTheme="minorEastAsia"/>
                <w:b w:val="0"/>
                <w:bCs w:val="0"/>
                <w:color w:val="auto"/>
                <w:sz w:val="20"/>
                <w:szCs w:val="20"/>
                <w:highlight w:val="none"/>
                <w:vertAlign w:val="baseline"/>
                <w:lang w:eastAsia="zh-CN"/>
              </w:rPr>
            </w:pPr>
            <w:r>
              <w:rPr>
                <w:rFonts w:hint="default" w:ascii="Times New Roman" w:hAnsi="Times New Roman" w:cs="Times New Roman"/>
                <w:color w:val="auto"/>
                <w:sz w:val="20"/>
                <w:szCs w:val="20"/>
                <w:highlight w:val="none"/>
              </w:rPr>
              <w:t>项目周边水体</w:t>
            </w:r>
            <w:r>
              <w:rPr>
                <w:rFonts w:hint="default"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lang w:val="en-US" w:eastAsia="zh-CN"/>
              </w:rPr>
              <w:t>水体功能为</w:t>
            </w:r>
            <w:r>
              <w:rPr>
                <w:rFonts w:hint="default" w:ascii="Times New Roman" w:hAnsi="Times New Roman" w:eastAsia="宋体" w:cs="Times New Roman"/>
                <w:color w:val="auto"/>
                <w:sz w:val="20"/>
                <w:szCs w:val="20"/>
                <w:highlight w:val="none"/>
                <w:lang w:val="en-US" w:eastAsia="zh-CN"/>
              </w:rPr>
              <w:t>灌溉、泄洪</w:t>
            </w:r>
          </w:p>
        </w:tc>
        <w:tc>
          <w:tcPr>
            <w:tcW w:w="825" w:type="pct"/>
            <w:vMerge w:val="restart"/>
            <w:tcBorders>
              <w:tl2br w:val="nil"/>
              <w:tr2bl w:val="nil"/>
            </w:tcBorders>
            <w:noWrap w:val="0"/>
            <w:vAlign w:val="center"/>
          </w:tcPr>
          <w:p w14:paraId="2861578C">
            <w:pPr>
              <w:pStyle w:val="114"/>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lang w:val="en-US" w:eastAsia="zh-CN"/>
              </w:rPr>
              <w:t>地表水环境质量标准</w:t>
            </w:r>
            <w:r>
              <w:rPr>
                <w:rFonts w:hint="default"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rPr>
              <w:t>（GB3838-2002）Ⅲ类</w:t>
            </w:r>
            <w:r>
              <w:rPr>
                <w:rFonts w:hint="default" w:ascii="Times New Roman" w:hAnsi="Times New Roman" w:cs="Times New Roman"/>
                <w:color w:val="auto"/>
                <w:sz w:val="20"/>
                <w:szCs w:val="20"/>
                <w:highlight w:val="none"/>
                <w:lang w:val="en-US" w:eastAsia="zh-CN"/>
              </w:rPr>
              <w:t>标准</w:t>
            </w:r>
          </w:p>
        </w:tc>
      </w:tr>
      <w:tr w14:paraId="5D119A5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47962F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434" w:type="pct"/>
            <w:tcBorders>
              <w:tl2br w:val="nil"/>
              <w:tr2bl w:val="nil"/>
            </w:tcBorders>
            <w:noWrap w:val="0"/>
            <w:vAlign w:val="center"/>
          </w:tcPr>
          <w:p w14:paraId="63FDC8D6">
            <w:pPr>
              <w:pStyle w:val="108"/>
              <w:keepLines w:val="0"/>
              <w:pageBreakBefore w:val="0"/>
              <w:widowControl w:val="0"/>
              <w:suppressLineNumbers w:val="0"/>
              <w:kinsoku/>
              <w:wordWrap/>
              <w:overflowPunct/>
              <w:topLinePunct w:val="0"/>
              <w:autoSpaceDE/>
              <w:autoSpaceDN/>
              <w:bidi w:val="0"/>
              <w:adjustRightInd/>
              <w:snapToGrid/>
              <w:spacing w:before="0" w:beforeLines="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闻溪河</w:t>
            </w:r>
          </w:p>
        </w:tc>
        <w:tc>
          <w:tcPr>
            <w:tcW w:w="609" w:type="pct"/>
            <w:tcBorders>
              <w:tl2br w:val="nil"/>
              <w:tr2bl w:val="nil"/>
            </w:tcBorders>
            <w:noWrap w:val="0"/>
            <w:vAlign w:val="center"/>
          </w:tcPr>
          <w:p w14:paraId="70C3CE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593" w:type="pct"/>
            <w:tcBorders>
              <w:tl2br w:val="nil"/>
              <w:tr2bl w:val="nil"/>
            </w:tcBorders>
            <w:noWrap w:val="0"/>
            <w:vAlign w:val="center"/>
          </w:tcPr>
          <w:p w14:paraId="04ACAC6A">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w:t>
            </w:r>
          </w:p>
        </w:tc>
        <w:tc>
          <w:tcPr>
            <w:tcW w:w="357" w:type="pct"/>
            <w:tcBorders>
              <w:tl2br w:val="nil"/>
              <w:tr2bl w:val="nil"/>
            </w:tcBorders>
            <w:noWrap w:val="0"/>
            <w:vAlign w:val="center"/>
          </w:tcPr>
          <w:p w14:paraId="07519A1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460</w:t>
            </w:r>
          </w:p>
        </w:tc>
        <w:tc>
          <w:tcPr>
            <w:tcW w:w="350" w:type="pct"/>
            <w:tcBorders>
              <w:tl2br w:val="nil"/>
              <w:tr2bl w:val="nil"/>
            </w:tcBorders>
            <w:noWrap w:val="0"/>
            <w:vAlign w:val="center"/>
          </w:tcPr>
          <w:p w14:paraId="1C64D79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-177</w:t>
            </w:r>
          </w:p>
        </w:tc>
        <w:tc>
          <w:tcPr>
            <w:tcW w:w="281" w:type="pct"/>
            <w:tcBorders>
              <w:tl2br w:val="nil"/>
              <w:tr2bl w:val="nil"/>
            </w:tcBorders>
            <w:noWrap w:val="0"/>
            <w:vAlign w:val="center"/>
          </w:tcPr>
          <w:p w14:paraId="0279576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北侧</w:t>
            </w:r>
          </w:p>
        </w:tc>
        <w:tc>
          <w:tcPr>
            <w:tcW w:w="407" w:type="pct"/>
            <w:tcBorders>
              <w:tl2br w:val="nil"/>
              <w:tr2bl w:val="nil"/>
            </w:tcBorders>
            <w:noWrap w:val="0"/>
            <w:vAlign w:val="center"/>
          </w:tcPr>
          <w:p w14:paraId="42271A0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Cs/>
                <w:color w:val="auto"/>
                <w:spacing w:val="2"/>
                <w:sz w:val="20"/>
                <w:szCs w:val="20"/>
                <w:highlight w:val="none"/>
                <w:lang w:val="en-US" w:eastAsia="zh-CN"/>
              </w:rPr>
            </w:pPr>
            <w:r>
              <w:rPr>
                <w:rFonts w:hint="default" w:ascii="Times New Roman" w:hAnsi="Times New Roman" w:eastAsia="宋体" w:cs="Times New Roman"/>
                <w:bCs/>
                <w:color w:val="auto"/>
                <w:spacing w:val="2"/>
                <w:sz w:val="20"/>
                <w:szCs w:val="20"/>
                <w:highlight w:val="none"/>
                <w:lang w:val="en-US" w:eastAsia="zh-CN"/>
              </w:rPr>
              <w:t>834m</w:t>
            </w:r>
          </w:p>
        </w:tc>
        <w:tc>
          <w:tcPr>
            <w:tcW w:w="770" w:type="pct"/>
            <w:tcBorders>
              <w:tl2br w:val="nil"/>
              <w:tr2bl w:val="nil"/>
            </w:tcBorders>
            <w:noWrap w:val="0"/>
            <w:vAlign w:val="center"/>
          </w:tcPr>
          <w:p w14:paraId="4310A495">
            <w:pPr>
              <w:pStyle w:val="114"/>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cs="Times New Roman"/>
                <w:color w:val="auto"/>
                <w:sz w:val="20"/>
                <w:szCs w:val="20"/>
                <w:highlight w:val="none"/>
              </w:rPr>
              <w:t>项目周边水体</w:t>
            </w:r>
            <w:r>
              <w:rPr>
                <w:rFonts w:hint="default"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lang w:val="en-US" w:eastAsia="zh-CN"/>
              </w:rPr>
              <w:t>水体功能为灌溉、泄洪、工农业用水</w:t>
            </w:r>
          </w:p>
        </w:tc>
        <w:tc>
          <w:tcPr>
            <w:tcW w:w="825" w:type="pct"/>
            <w:vMerge w:val="continue"/>
            <w:tcBorders>
              <w:tl2br w:val="nil"/>
              <w:tr2bl w:val="nil"/>
            </w:tcBorders>
            <w:noWrap w:val="0"/>
            <w:vAlign w:val="center"/>
          </w:tcPr>
          <w:p w14:paraId="654547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r>
      <w:tr w14:paraId="6070F49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vMerge w:val="continue"/>
            <w:tcBorders>
              <w:tl2br w:val="nil"/>
              <w:tr2bl w:val="nil"/>
            </w:tcBorders>
            <w:noWrap w:val="0"/>
            <w:vAlign w:val="center"/>
          </w:tcPr>
          <w:p w14:paraId="09D8C72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c>
          <w:tcPr>
            <w:tcW w:w="434" w:type="pct"/>
            <w:tcBorders>
              <w:tl2br w:val="nil"/>
              <w:tr2bl w:val="nil"/>
            </w:tcBorders>
            <w:noWrap w:val="0"/>
            <w:vAlign w:val="center"/>
          </w:tcPr>
          <w:p w14:paraId="119C0BA1">
            <w:pPr>
              <w:pStyle w:val="108"/>
              <w:keepLines w:val="0"/>
              <w:pageBreakBefore w:val="0"/>
              <w:widowControl w:val="0"/>
              <w:suppressLineNumbers w:val="0"/>
              <w:kinsoku/>
              <w:wordWrap/>
              <w:overflowPunct/>
              <w:topLinePunct w:val="0"/>
              <w:autoSpaceDE/>
              <w:autoSpaceDN/>
              <w:bidi w:val="0"/>
              <w:adjustRightInd/>
              <w:snapToGrid/>
              <w:spacing w:before="0" w:beforeLines="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光荣水库</w:t>
            </w:r>
          </w:p>
        </w:tc>
        <w:tc>
          <w:tcPr>
            <w:tcW w:w="609" w:type="pct"/>
            <w:tcBorders>
              <w:tl2br w:val="nil"/>
              <w:tr2bl w:val="nil"/>
            </w:tcBorders>
            <w:noWrap w:val="0"/>
            <w:vAlign w:val="center"/>
          </w:tcPr>
          <w:p w14:paraId="646DF50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105.477864097</w:t>
            </w:r>
          </w:p>
        </w:tc>
        <w:tc>
          <w:tcPr>
            <w:tcW w:w="593" w:type="pct"/>
            <w:tcBorders>
              <w:tl2br w:val="nil"/>
              <w:tr2bl w:val="nil"/>
            </w:tcBorders>
            <w:noWrap w:val="0"/>
            <w:vAlign w:val="center"/>
          </w:tcPr>
          <w:p w14:paraId="449CD0DC">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32.010433959</w:t>
            </w:r>
          </w:p>
        </w:tc>
        <w:tc>
          <w:tcPr>
            <w:tcW w:w="357" w:type="pct"/>
            <w:tcBorders>
              <w:tl2br w:val="nil"/>
              <w:tr2bl w:val="nil"/>
            </w:tcBorders>
            <w:noWrap w:val="0"/>
            <w:vAlign w:val="center"/>
          </w:tcPr>
          <w:p w14:paraId="7744D5F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639</w:t>
            </w:r>
          </w:p>
        </w:tc>
        <w:tc>
          <w:tcPr>
            <w:tcW w:w="350" w:type="pct"/>
            <w:tcBorders>
              <w:tl2br w:val="nil"/>
              <w:tr2bl w:val="nil"/>
            </w:tcBorders>
            <w:noWrap w:val="0"/>
            <w:vAlign w:val="center"/>
          </w:tcPr>
          <w:p w14:paraId="3DE10C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lang w:val="en-US" w:eastAsia="zh-CN"/>
              </w:rPr>
            </w:pPr>
            <w:r>
              <w:rPr>
                <w:rFonts w:hint="default" w:ascii="Times New Roman" w:hAnsi="Times New Roman" w:eastAsia="宋体" w:cs="Times New Roman"/>
                <w:b w:val="0"/>
                <w:bCs w:val="0"/>
                <w:color w:val="auto"/>
                <w:sz w:val="20"/>
                <w:szCs w:val="20"/>
                <w:highlight w:val="none"/>
                <w:vertAlign w:val="baseline"/>
                <w:lang w:val="en-US" w:eastAsia="zh-CN"/>
              </w:rPr>
              <w:t>2</w:t>
            </w:r>
          </w:p>
        </w:tc>
        <w:tc>
          <w:tcPr>
            <w:tcW w:w="281" w:type="pct"/>
            <w:tcBorders>
              <w:tl2br w:val="nil"/>
              <w:tr2bl w:val="nil"/>
            </w:tcBorders>
            <w:noWrap w:val="0"/>
            <w:vAlign w:val="center"/>
          </w:tcPr>
          <w:p w14:paraId="17E95C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南侧</w:t>
            </w:r>
          </w:p>
        </w:tc>
        <w:tc>
          <w:tcPr>
            <w:tcW w:w="407" w:type="pct"/>
            <w:tcBorders>
              <w:tl2br w:val="nil"/>
              <w:tr2bl w:val="nil"/>
            </w:tcBorders>
            <w:noWrap w:val="0"/>
            <w:vAlign w:val="center"/>
          </w:tcPr>
          <w:p w14:paraId="62A83A4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Cs/>
                <w:color w:val="auto"/>
                <w:spacing w:val="2"/>
                <w:sz w:val="20"/>
                <w:szCs w:val="20"/>
                <w:highlight w:val="none"/>
                <w:lang w:val="en-US" w:eastAsia="zh-CN"/>
              </w:rPr>
            </w:pPr>
            <w:r>
              <w:rPr>
                <w:rFonts w:hint="default" w:ascii="Times New Roman" w:hAnsi="Times New Roman" w:eastAsia="宋体" w:cs="Times New Roman"/>
                <w:bCs/>
                <w:color w:val="auto"/>
                <w:spacing w:val="2"/>
                <w:sz w:val="20"/>
                <w:szCs w:val="20"/>
                <w:highlight w:val="none"/>
                <w:lang w:val="en-US" w:eastAsia="zh-CN"/>
              </w:rPr>
              <w:t>844m</w:t>
            </w:r>
          </w:p>
        </w:tc>
        <w:tc>
          <w:tcPr>
            <w:tcW w:w="770" w:type="pct"/>
            <w:tcBorders>
              <w:tl2br w:val="nil"/>
              <w:tr2bl w:val="nil"/>
            </w:tcBorders>
            <w:noWrap w:val="0"/>
            <w:vAlign w:val="center"/>
          </w:tcPr>
          <w:p w14:paraId="02E9EA08">
            <w:pPr>
              <w:pStyle w:val="114"/>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项目周边水体</w:t>
            </w:r>
            <w:r>
              <w:rPr>
                <w:rFonts w:hint="default"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lang w:val="en-US" w:eastAsia="zh-CN"/>
              </w:rPr>
              <w:t>水体功能为</w:t>
            </w:r>
            <w:r>
              <w:rPr>
                <w:rFonts w:hint="default" w:ascii="Times New Roman" w:hAnsi="Times New Roman" w:eastAsia="宋体" w:cs="Times New Roman"/>
                <w:color w:val="auto"/>
                <w:sz w:val="20"/>
                <w:szCs w:val="20"/>
                <w:highlight w:val="none"/>
                <w:lang w:val="en-US" w:eastAsia="zh-CN"/>
              </w:rPr>
              <w:t>灌溉、泄洪</w:t>
            </w:r>
          </w:p>
        </w:tc>
        <w:tc>
          <w:tcPr>
            <w:tcW w:w="825" w:type="pct"/>
            <w:vMerge w:val="continue"/>
            <w:tcBorders>
              <w:tl2br w:val="nil"/>
              <w:tr2bl w:val="nil"/>
            </w:tcBorders>
            <w:noWrap w:val="0"/>
            <w:vAlign w:val="center"/>
          </w:tcPr>
          <w:p w14:paraId="567502A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outlineLvl w:val="9"/>
              <w:rPr>
                <w:rFonts w:hint="default" w:ascii="Times New Roman" w:hAnsi="Times New Roman" w:eastAsia="宋体" w:cs="Times New Roman"/>
                <w:b w:val="0"/>
                <w:bCs w:val="0"/>
                <w:color w:val="auto"/>
                <w:sz w:val="20"/>
                <w:szCs w:val="20"/>
                <w:highlight w:val="none"/>
                <w:vertAlign w:val="baseline"/>
              </w:rPr>
            </w:pPr>
          </w:p>
        </w:tc>
      </w:tr>
      <w:tr w14:paraId="618664D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70" w:type="pct"/>
            <w:tcBorders>
              <w:tl2br w:val="nil"/>
              <w:tr2bl w:val="nil"/>
            </w:tcBorders>
            <w:noWrap w:val="0"/>
            <w:vAlign w:val="center"/>
          </w:tcPr>
          <w:p w14:paraId="7FD8212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cs="Times New Roman"/>
                <w:color w:val="auto"/>
                <w:sz w:val="20"/>
                <w:szCs w:val="20"/>
                <w:highlight w:val="none"/>
                <w:lang w:eastAsia="zh-CN"/>
              </w:rPr>
              <w:t>地下水环境</w:t>
            </w:r>
          </w:p>
        </w:tc>
        <w:tc>
          <w:tcPr>
            <w:tcW w:w="3803" w:type="pct"/>
            <w:gridSpan w:val="8"/>
            <w:tcBorders>
              <w:tl2br w:val="nil"/>
              <w:tr2bl w:val="nil"/>
            </w:tcBorders>
            <w:noWrap w:val="0"/>
            <w:vAlign w:val="center"/>
          </w:tcPr>
          <w:p w14:paraId="11783FC4">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b w:val="0"/>
                <w:bCs w:val="0"/>
                <w:color w:val="auto"/>
                <w:sz w:val="20"/>
                <w:szCs w:val="20"/>
                <w:highlight w:val="none"/>
                <w:vertAlign w:val="baseline"/>
                <w:lang w:val="en-US"/>
              </w:rPr>
            </w:pPr>
            <w:r>
              <w:rPr>
                <w:rFonts w:hint="default" w:ascii="Times New Roman" w:hAnsi="Times New Roman" w:eastAsia="宋体" w:cs="Times New Roman"/>
                <w:color w:val="auto"/>
                <w:kern w:val="0"/>
                <w:sz w:val="20"/>
                <w:szCs w:val="20"/>
                <w:highlight w:val="none"/>
                <w:lang w:val="en-US" w:eastAsia="zh-CN" w:bidi="ar"/>
              </w:rPr>
              <w:t>项目周边2.83km</w:t>
            </w:r>
            <w:r>
              <w:rPr>
                <w:rFonts w:hint="default" w:ascii="Times New Roman" w:hAnsi="Times New Roman" w:eastAsia="宋体" w:cs="Times New Roman"/>
                <w:color w:val="auto"/>
                <w:kern w:val="0"/>
                <w:sz w:val="20"/>
                <w:szCs w:val="20"/>
                <w:highlight w:val="none"/>
                <w:vertAlign w:val="superscript"/>
                <w:lang w:val="en-US" w:eastAsia="zh-CN" w:bidi="ar"/>
              </w:rPr>
              <w:t>2</w:t>
            </w:r>
            <w:r>
              <w:rPr>
                <w:rFonts w:hint="default" w:ascii="Times New Roman" w:hAnsi="Times New Roman" w:eastAsia="宋体" w:cs="Times New Roman"/>
                <w:color w:val="auto"/>
                <w:kern w:val="0"/>
                <w:sz w:val="20"/>
                <w:szCs w:val="20"/>
                <w:highlight w:val="none"/>
                <w:lang w:val="en-US" w:eastAsia="zh-CN" w:bidi="ar"/>
              </w:rPr>
              <w:t>内的浅层地下水，周边无集中式地下水取水点</w:t>
            </w:r>
          </w:p>
        </w:tc>
        <w:tc>
          <w:tcPr>
            <w:tcW w:w="825" w:type="pct"/>
            <w:tcBorders>
              <w:tl2br w:val="nil"/>
              <w:tr2bl w:val="nil"/>
            </w:tcBorders>
            <w:noWrap w:val="0"/>
            <w:vAlign w:val="center"/>
          </w:tcPr>
          <w:p w14:paraId="3736D7E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default" w:ascii="Times New Roman" w:hAnsi="Times New Roman" w:eastAsia="宋体" w:cs="Times New Roman"/>
                <w:b w:val="0"/>
                <w:bCs w:val="0"/>
                <w:color w:val="auto"/>
                <w:sz w:val="20"/>
                <w:szCs w:val="20"/>
                <w:highlight w:val="none"/>
                <w:vertAlign w:val="baseline"/>
              </w:rPr>
            </w:pPr>
            <w:r>
              <w:rPr>
                <w:rFonts w:hint="default" w:ascii="Times New Roman" w:hAnsi="Times New Roman" w:cs="Times New Roman"/>
                <w:color w:val="auto"/>
                <w:sz w:val="20"/>
                <w:szCs w:val="20"/>
                <w:highlight w:val="none"/>
                <w:lang w:val="en-US" w:eastAsia="zh-CN"/>
              </w:rPr>
              <w:t>《地下水质量标准》（GB/T 14848-2017）Ⅲ类标准</w:t>
            </w:r>
          </w:p>
        </w:tc>
      </w:tr>
    </w:tbl>
    <w:p w14:paraId="075FDF5B">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outlineLvl w:val="9"/>
        <w:rPr>
          <w:rFonts w:hint="default" w:ascii="Times New Roman" w:hAnsi="Times New Roman" w:cs="Times New Roman"/>
          <w:b/>
          <w:color w:val="auto"/>
          <w:sz w:val="21"/>
          <w:szCs w:val="21"/>
          <w:highlight w:val="none"/>
          <w:lang w:val="en-US" w:eastAsia="zh-CN"/>
        </w:rPr>
      </w:pPr>
    </w:p>
    <w:p w14:paraId="06471A2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cs="Times New Roman"/>
          <w:b/>
          <w:color w:val="auto"/>
          <w:sz w:val="21"/>
          <w:szCs w:val="21"/>
          <w:highlight w:val="none"/>
          <w:lang w:val="en-US" w:eastAsia="zh-CN"/>
        </w:rPr>
      </w:pPr>
    </w:p>
    <w:p w14:paraId="30F7F7AD">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outlineLvl w:val="9"/>
        <w:rPr>
          <w:rFonts w:hint="default" w:ascii="Times New Roman" w:hAnsi="Times New Roman" w:cs="Times New Roman"/>
          <w:b/>
          <w:color w:val="auto"/>
          <w:sz w:val="21"/>
          <w:szCs w:val="21"/>
          <w:highlight w:val="none"/>
          <w:lang w:val="en-US" w:eastAsia="zh-CN"/>
        </w:rPr>
      </w:pPr>
    </w:p>
    <w:p w14:paraId="77C7017B">
      <w:pPr>
        <w:pStyle w:val="2"/>
        <w:numPr>
          <w:ilvl w:val="0"/>
          <w:numId w:val="0"/>
        </w:numPr>
        <w:spacing w:before="624" w:after="312"/>
        <w:ind w:leftChars="0"/>
        <w:jc w:val="both"/>
        <w:outlineLvl w:val="9"/>
        <w:rPr>
          <w:rFonts w:hint="default" w:ascii="Times New Roman" w:hAnsi="Times New Roman" w:cs="Times New Roman"/>
          <w:color w:val="auto"/>
          <w:highlight w:val="none"/>
        </w:rPr>
        <w:sectPr>
          <w:headerReference r:id="rId18" w:type="default"/>
          <w:pgSz w:w="16838" w:h="11906" w:orient="landscape"/>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11F0C462">
      <w:pPr>
        <w:pStyle w:val="2"/>
        <w:spacing w:before="624" w:after="312"/>
        <w:rPr>
          <w:rFonts w:hint="default" w:ascii="Times New Roman" w:hAnsi="Times New Roman" w:cs="Times New Roman"/>
          <w:color w:val="auto"/>
          <w:highlight w:val="none"/>
        </w:rPr>
      </w:pPr>
      <w:bookmarkStart w:id="58" w:name="bookmark0"/>
      <w:bookmarkEnd w:id="58"/>
      <w:bookmarkStart w:id="59" w:name="bookmark1"/>
      <w:bookmarkEnd w:id="59"/>
      <w:r>
        <w:rPr>
          <w:rFonts w:hint="default" w:ascii="Times New Roman" w:hAnsi="Times New Roman" w:cs="Times New Roman"/>
          <w:color w:val="auto"/>
          <w:highlight w:val="none"/>
        </w:rPr>
        <w:t xml:space="preserve">  </w:t>
      </w:r>
      <w:bookmarkStart w:id="60" w:name="_Toc18160"/>
      <w:bookmarkStart w:id="61" w:name="_Toc11928"/>
      <w:bookmarkStart w:id="62" w:name="_Toc30020"/>
      <w:r>
        <w:rPr>
          <w:rFonts w:hint="default" w:ascii="Times New Roman" w:hAnsi="Times New Roman" w:cs="Times New Roman"/>
          <w:color w:val="auto"/>
          <w:highlight w:val="none"/>
        </w:rPr>
        <w:t>建设项目工程分析</w:t>
      </w:r>
      <w:bookmarkEnd w:id="60"/>
      <w:bookmarkEnd w:id="61"/>
      <w:bookmarkEnd w:id="62"/>
    </w:p>
    <w:p w14:paraId="08AE8101">
      <w:pPr>
        <w:pStyle w:val="3"/>
        <w:spacing w:before="156" w:after="156"/>
        <w:rPr>
          <w:rFonts w:hint="default" w:ascii="Times New Roman" w:hAnsi="Times New Roman" w:cs="Times New Roman"/>
          <w:color w:val="auto"/>
          <w:highlight w:val="none"/>
        </w:rPr>
      </w:pPr>
      <w:bookmarkStart w:id="63" w:name="_Toc13950"/>
      <w:bookmarkStart w:id="64" w:name="_Toc27749"/>
      <w:bookmarkStart w:id="65" w:name="_Toc20174"/>
      <w:r>
        <w:rPr>
          <w:rFonts w:hint="default" w:ascii="Times New Roman" w:hAnsi="Times New Roman" w:cs="Times New Roman"/>
          <w:color w:val="auto"/>
          <w:highlight w:val="none"/>
        </w:rPr>
        <w:t>工程概况</w:t>
      </w:r>
      <w:bookmarkEnd w:id="63"/>
      <w:bookmarkEnd w:id="64"/>
      <w:bookmarkEnd w:id="65"/>
    </w:p>
    <w:p w14:paraId="07C23916">
      <w:pPr>
        <w:pStyle w:val="14"/>
        <w:pageBreakBefore w:val="0"/>
        <w:widowControl w:val="0"/>
        <w:kinsoku/>
        <w:wordWrap/>
        <w:overflowPunct/>
        <w:topLinePunct w:val="0"/>
        <w:autoSpaceDE/>
        <w:autoSpaceDN/>
        <w:bidi w:val="0"/>
        <w:snapToGrid w:val="0"/>
        <w:ind w:firstLine="482"/>
        <w:textAlignment w:val="auto"/>
        <w:rPr>
          <w:rFonts w:hint="default" w:ascii="Times New Roman" w:hAnsi="Times New Roman" w:cs="Times New Roman" w:eastAsiaTheme="minorEastAsia"/>
          <w:color w:val="auto"/>
          <w:highlight w:val="none"/>
          <w:lang w:eastAsia="zh-CN"/>
        </w:rPr>
      </w:pPr>
      <w:r>
        <w:rPr>
          <w:rFonts w:hint="default" w:ascii="Times New Roman" w:hAnsi="Times New Roman" w:cs="Times New Roman"/>
          <w:b/>
          <w:color w:val="auto"/>
          <w:highlight w:val="none"/>
        </w:rPr>
        <w:t>项目名称</w:t>
      </w:r>
      <w:r>
        <w:rPr>
          <w:rFonts w:hint="default" w:ascii="Times New Roman" w:hAnsi="Times New Roman" w:cs="Times New Roman"/>
          <w:color w:val="auto"/>
          <w:highlight w:val="none"/>
        </w:rPr>
        <w:t>：</w:t>
      </w:r>
      <w:r>
        <w:rPr>
          <w:rFonts w:hint="default" w:ascii="Times New Roman" w:hAnsi="Times New Roman" w:eastAsia="宋体" w:cs="Times New Roman"/>
          <w:color w:val="auto"/>
          <w:kern w:val="0"/>
          <w:highlight w:val="none"/>
          <w:lang w:eastAsia="zh-CN"/>
        </w:rPr>
        <w:t>剑阁县城乡生活垃圾无害化处理设施建设项目</w:t>
      </w:r>
    </w:p>
    <w:p w14:paraId="21E510DA">
      <w:pPr>
        <w:pStyle w:val="14"/>
        <w:pageBreakBefore w:val="0"/>
        <w:widowControl w:val="0"/>
        <w:kinsoku/>
        <w:wordWrap/>
        <w:overflowPunct/>
        <w:topLinePunct w:val="0"/>
        <w:autoSpaceDE/>
        <w:autoSpaceDN/>
        <w:bidi w:val="0"/>
        <w:snapToGrid w:val="0"/>
        <w:ind w:firstLine="482"/>
        <w:textAlignment w:val="auto"/>
        <w:rPr>
          <w:rFonts w:hint="default" w:ascii="Times New Roman" w:hAnsi="Times New Roman" w:cs="Times New Roman"/>
          <w:color w:val="auto"/>
          <w:highlight w:val="none"/>
        </w:rPr>
      </w:pPr>
      <w:r>
        <w:rPr>
          <w:rFonts w:hint="default" w:ascii="Times New Roman" w:hAnsi="Times New Roman" w:cs="Times New Roman"/>
          <w:b/>
          <w:color w:val="auto"/>
          <w:highlight w:val="none"/>
        </w:rPr>
        <w:t>建设单位</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四川胜宏环保科技有限公司</w:t>
      </w:r>
    </w:p>
    <w:p w14:paraId="4726C74F">
      <w:pPr>
        <w:pStyle w:val="14"/>
        <w:pageBreakBefore w:val="0"/>
        <w:widowControl w:val="0"/>
        <w:kinsoku/>
        <w:wordWrap/>
        <w:overflowPunct/>
        <w:topLinePunct w:val="0"/>
        <w:autoSpaceDE/>
        <w:autoSpaceDN/>
        <w:bidi w:val="0"/>
        <w:snapToGrid w:val="0"/>
        <w:ind w:firstLine="482"/>
        <w:textAlignment w:val="auto"/>
        <w:rPr>
          <w:rFonts w:hint="default" w:ascii="Times New Roman" w:hAnsi="Times New Roman" w:cs="Times New Roman" w:eastAsiaTheme="minorEastAsia"/>
          <w:color w:val="auto"/>
          <w:highlight w:val="none"/>
          <w:lang w:val="en-US" w:eastAsia="zh-CN"/>
        </w:rPr>
      </w:pPr>
      <w:r>
        <w:rPr>
          <w:rFonts w:hint="default" w:ascii="Times New Roman" w:hAnsi="Times New Roman" w:cs="Times New Roman"/>
          <w:b/>
          <w:color w:val="auto"/>
          <w:highlight w:val="none"/>
        </w:rPr>
        <w:t>建设地点</w:t>
      </w:r>
      <w:r>
        <w:rPr>
          <w:rFonts w:hint="default" w:ascii="Times New Roman" w:hAnsi="Times New Roman" w:cs="Times New Roman"/>
          <w:color w:val="auto"/>
          <w:highlight w:val="none"/>
        </w:rPr>
        <w:t>：</w:t>
      </w:r>
      <w:r>
        <w:rPr>
          <w:rFonts w:hint="default" w:ascii="Times New Roman" w:hAnsi="Times New Roman" w:cs="Times New Roman"/>
          <w:color w:val="auto"/>
          <w:sz w:val="24"/>
          <w:szCs w:val="24"/>
          <w:highlight w:val="none"/>
          <w:lang w:val="en-US" w:eastAsia="zh-CN"/>
        </w:rPr>
        <w:t>剑阁县普安镇剑坪村一组</w:t>
      </w:r>
    </w:p>
    <w:p w14:paraId="0C2E6098">
      <w:pPr>
        <w:pStyle w:val="14"/>
        <w:pageBreakBefore w:val="0"/>
        <w:widowControl w:val="0"/>
        <w:kinsoku/>
        <w:wordWrap/>
        <w:overflowPunct/>
        <w:topLinePunct w:val="0"/>
        <w:autoSpaceDE/>
        <w:autoSpaceDN/>
        <w:bidi w:val="0"/>
        <w:snapToGrid w:val="0"/>
        <w:ind w:firstLine="482"/>
        <w:textAlignment w:val="auto"/>
        <w:rPr>
          <w:rFonts w:hint="default" w:ascii="Times New Roman" w:hAnsi="Times New Roman" w:cs="Times New Roman"/>
          <w:color w:val="auto"/>
          <w:highlight w:val="none"/>
        </w:rPr>
      </w:pPr>
      <w:r>
        <w:rPr>
          <w:rFonts w:hint="default" w:ascii="Times New Roman" w:hAnsi="Times New Roman" w:cs="Times New Roman"/>
          <w:b/>
          <w:color w:val="auto"/>
          <w:highlight w:val="none"/>
        </w:rPr>
        <w:t>建设性质</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eastAsia="zh-CN"/>
        </w:rPr>
        <w:t>新</w:t>
      </w:r>
      <w:r>
        <w:rPr>
          <w:rFonts w:hint="default" w:ascii="Times New Roman" w:hAnsi="Times New Roman" w:cs="Times New Roman"/>
          <w:color w:val="auto"/>
          <w:highlight w:val="none"/>
          <w:lang w:val="en-US" w:eastAsia="zh-CN"/>
        </w:rPr>
        <w:t>建</w:t>
      </w:r>
    </w:p>
    <w:p w14:paraId="671583E9">
      <w:pPr>
        <w:pStyle w:val="14"/>
        <w:pageBreakBefore w:val="0"/>
        <w:widowControl w:val="0"/>
        <w:kinsoku/>
        <w:wordWrap/>
        <w:overflowPunct/>
        <w:topLinePunct w:val="0"/>
        <w:autoSpaceDE/>
        <w:autoSpaceDN/>
        <w:bidi w:val="0"/>
        <w:snapToGrid w:val="0"/>
        <w:ind w:firstLine="482"/>
        <w:textAlignment w:val="auto"/>
        <w:rPr>
          <w:rFonts w:hint="default" w:ascii="Times New Roman" w:hAnsi="Times New Roman" w:cs="Times New Roman"/>
          <w:b/>
          <w:color w:val="auto"/>
          <w:highlight w:val="none"/>
          <w:vertAlign w:val="superscript"/>
          <w:lang w:val="en-US" w:eastAsia="zh-CN"/>
        </w:rPr>
      </w:pPr>
      <w:r>
        <w:rPr>
          <w:rFonts w:hint="default" w:ascii="Times New Roman" w:hAnsi="Times New Roman" w:cs="Times New Roman"/>
          <w:b/>
          <w:color w:val="auto"/>
          <w:highlight w:val="none"/>
          <w:lang w:val="en-US" w:eastAsia="zh-CN"/>
        </w:rPr>
        <w:t>占地面积：</w:t>
      </w:r>
      <w:r>
        <w:rPr>
          <w:rFonts w:hint="default" w:ascii="Times New Roman" w:hAnsi="Times New Roman" w:cs="Times New Roman"/>
          <w:b w:val="0"/>
          <w:bCs/>
          <w:color w:val="auto"/>
          <w:highlight w:val="none"/>
          <w:lang w:val="en-US" w:eastAsia="zh-CN"/>
        </w:rPr>
        <w:t>9958.17m</w:t>
      </w:r>
      <w:r>
        <w:rPr>
          <w:rFonts w:hint="default" w:ascii="Times New Roman" w:hAnsi="Times New Roman" w:cs="Times New Roman"/>
          <w:b w:val="0"/>
          <w:bCs/>
          <w:color w:val="auto"/>
          <w:highlight w:val="none"/>
          <w:vertAlign w:val="superscript"/>
          <w:lang w:val="en-US" w:eastAsia="zh-CN"/>
        </w:rPr>
        <w:t>2</w:t>
      </w:r>
      <w:r>
        <w:rPr>
          <w:rFonts w:hint="default" w:ascii="Times New Roman" w:hAnsi="Times New Roman" w:eastAsia="宋体" w:cs="Times New Roman"/>
          <w:b w:val="0"/>
          <w:bCs w:val="0"/>
          <w:color w:val="auto"/>
          <w:kern w:val="0"/>
          <w:sz w:val="24"/>
          <w:szCs w:val="24"/>
          <w:highlight w:val="none"/>
          <w:lang w:val="en-US" w:eastAsia="zh-CN"/>
        </w:rPr>
        <w:t>（14.94亩）</w:t>
      </w:r>
    </w:p>
    <w:p w14:paraId="0CA12AFC">
      <w:pPr>
        <w:pStyle w:val="14"/>
        <w:pageBreakBefore w:val="0"/>
        <w:widowControl w:val="0"/>
        <w:kinsoku/>
        <w:wordWrap/>
        <w:overflowPunct/>
        <w:topLinePunct w:val="0"/>
        <w:autoSpaceDE/>
        <w:autoSpaceDN/>
        <w:bidi w:val="0"/>
        <w:snapToGrid w:val="0"/>
        <w:ind w:firstLine="482"/>
        <w:textAlignment w:val="auto"/>
        <w:rPr>
          <w:rFonts w:hint="default" w:ascii="Times New Roman" w:hAnsi="Times New Roman" w:cs="Times New Roman"/>
          <w:b/>
          <w:color w:val="auto"/>
          <w:highlight w:val="none"/>
          <w:lang w:val="en-US" w:eastAsia="zh-CN"/>
        </w:rPr>
      </w:pPr>
      <w:r>
        <w:rPr>
          <w:rFonts w:hint="default" w:ascii="Times New Roman" w:hAnsi="Times New Roman" w:cs="Times New Roman"/>
          <w:b/>
          <w:color w:val="auto"/>
          <w:highlight w:val="none"/>
          <w:lang w:val="en-US" w:eastAsia="zh-CN"/>
        </w:rPr>
        <w:t>工程</w:t>
      </w:r>
      <w:r>
        <w:rPr>
          <w:rFonts w:hint="default" w:ascii="Times New Roman" w:hAnsi="Times New Roman" w:cs="Times New Roman"/>
          <w:b/>
          <w:color w:val="auto"/>
          <w:highlight w:val="none"/>
        </w:rPr>
        <w:t>投资：</w:t>
      </w:r>
      <w:r>
        <w:rPr>
          <w:rFonts w:hint="default" w:ascii="Times New Roman" w:hAnsi="Times New Roman" w:cs="Times New Roman"/>
          <w:b w:val="0"/>
          <w:bCs/>
          <w:color w:val="auto"/>
          <w:highlight w:val="none"/>
          <w:lang w:val="en-US" w:eastAsia="zh-CN"/>
        </w:rPr>
        <w:t>总投资6800万元</w:t>
      </w:r>
    </w:p>
    <w:p w14:paraId="2E8D9E89">
      <w:pPr>
        <w:pStyle w:val="4"/>
        <w:keepNext/>
        <w:keepLines/>
        <w:pageBreakBefore w:val="0"/>
        <w:widowControl w:val="0"/>
        <w:kinsoku/>
        <w:wordWrap/>
        <w:overflowPunct/>
        <w:topLinePunct w:val="0"/>
        <w:autoSpaceDE/>
        <w:autoSpaceDN/>
        <w:bidi w:val="0"/>
        <w:adjustRightInd/>
        <w:snapToGrid w:val="0"/>
        <w:spacing w:before="0" w:beforeLines="0" w:after="0" w:line="360" w:lineRule="auto"/>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建设内容及规模</w:t>
      </w:r>
    </w:p>
    <w:p w14:paraId="32ADA5D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cs="Times New Roman" w:eastAsiaTheme="minorEastAsia"/>
          <w:b/>
          <w:bCs/>
          <w:color w:val="auto"/>
          <w:sz w:val="24"/>
          <w:szCs w:val="24"/>
          <w:highlight w:val="none"/>
          <w:lang w:val="en-US" w:eastAsia="zh-CN"/>
        </w:rPr>
        <w:t>处理对象</w:t>
      </w:r>
      <w:r>
        <w:rPr>
          <w:rFonts w:hint="default" w:ascii="Times New Roman" w:hAnsi="Times New Roman" w:cs="Times New Roman"/>
          <w:b/>
          <w:bCs/>
          <w:color w:val="auto"/>
          <w:sz w:val="24"/>
          <w:szCs w:val="24"/>
          <w:highlight w:val="none"/>
          <w:lang w:val="en-US" w:eastAsia="zh-CN"/>
        </w:rPr>
        <w:t>及规模</w:t>
      </w:r>
      <w:r>
        <w:rPr>
          <w:rFonts w:hint="default" w:ascii="Times New Roman" w:hAnsi="Times New Roman" w:cs="Times New Roman" w:eastAsiaTheme="minorEastAsia"/>
          <w:b/>
          <w:bCs/>
          <w:color w:val="auto"/>
          <w:sz w:val="24"/>
          <w:szCs w:val="24"/>
          <w:highlight w:val="none"/>
          <w:lang w:val="en-US" w:eastAsia="zh-CN"/>
        </w:rPr>
        <w:t>：</w:t>
      </w:r>
      <w:r>
        <w:rPr>
          <w:rFonts w:hint="default" w:ascii="Times New Roman" w:hAnsi="Times New Roman" w:cs="Times New Roman" w:eastAsiaTheme="minorEastAsia"/>
          <w:color w:val="auto"/>
          <w:sz w:val="24"/>
          <w:szCs w:val="24"/>
          <w:highlight w:val="none"/>
          <w:lang w:val="en-US" w:eastAsia="zh-CN"/>
        </w:rPr>
        <w:t>剑阁县全部生活垃圾，处理规模为180t/d。</w:t>
      </w:r>
    </w:p>
    <w:p w14:paraId="0295059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eastAsiaTheme="minorEastAsia"/>
          <w:color w:val="auto"/>
          <w:sz w:val="24"/>
          <w:szCs w:val="24"/>
          <w:highlight w:val="none"/>
          <w:lang w:eastAsia="zh-CN"/>
        </w:rPr>
      </w:pPr>
      <w:r>
        <w:rPr>
          <w:rFonts w:hint="default" w:ascii="Times New Roman" w:hAnsi="Times New Roman" w:cs="Times New Roman" w:eastAsiaTheme="minorEastAsia"/>
          <w:b/>
          <w:bCs/>
          <w:color w:val="auto"/>
          <w:sz w:val="24"/>
          <w:szCs w:val="24"/>
          <w:highlight w:val="none"/>
          <w:lang w:val="en-US" w:eastAsia="zh-CN"/>
        </w:rPr>
        <w:t>处理工艺：</w:t>
      </w:r>
      <w:r>
        <w:rPr>
          <w:rFonts w:hint="default" w:ascii="Times New Roman" w:hAnsi="Times New Roman" w:cs="Times New Roman" w:eastAsiaTheme="minorEastAsia"/>
          <w:color w:val="auto"/>
          <w:sz w:val="24"/>
          <w:szCs w:val="24"/>
          <w:highlight w:val="none"/>
          <w:lang w:val="en-US" w:eastAsia="zh-CN"/>
        </w:rPr>
        <w:t>采用</w:t>
      </w:r>
      <w:r>
        <w:rPr>
          <w:rFonts w:hint="default" w:ascii="Times New Roman" w:hAnsi="Times New Roman" w:cs="Times New Roman" w:eastAsiaTheme="minorEastAsia"/>
          <w:color w:val="auto"/>
          <w:sz w:val="24"/>
          <w:szCs w:val="24"/>
          <w:highlight w:val="none"/>
          <w:lang w:eastAsia="zh-CN"/>
        </w:rPr>
        <w:t>绝氧热分解焚烧工艺。</w:t>
      </w:r>
    </w:p>
    <w:p w14:paraId="37605554">
      <w:pPr>
        <w:pStyle w:val="14"/>
        <w:keepNext w:val="0"/>
        <w:keepLines w:val="0"/>
        <w:pageBreakBefore w:val="0"/>
        <w:widowControl w:val="0"/>
        <w:kinsoku/>
        <w:wordWrap/>
        <w:overflowPunct/>
        <w:topLinePunct w:val="0"/>
        <w:autoSpaceDE/>
        <w:autoSpaceDN/>
        <w:bidi w:val="0"/>
        <w:snapToGrid w:val="0"/>
        <w:spacing w:line="360" w:lineRule="auto"/>
        <w:ind w:firstLine="482"/>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eastAsiaTheme="minorEastAsia"/>
          <w:b/>
          <w:bCs/>
          <w:color w:val="auto"/>
          <w:sz w:val="24"/>
          <w:szCs w:val="24"/>
          <w:highlight w:val="none"/>
          <w:lang w:val="en-US" w:eastAsia="zh-CN"/>
        </w:rPr>
        <w:t>建设内容：</w:t>
      </w:r>
      <w:r>
        <w:rPr>
          <w:rFonts w:hint="default" w:ascii="Times New Roman" w:hAnsi="Times New Roman" w:cs="Times New Roman"/>
          <w:color w:val="auto"/>
          <w:highlight w:val="none"/>
          <w:lang w:val="en-US" w:eastAsia="zh-CN"/>
        </w:rPr>
        <w:t>新建垃圾预处理线、垃圾烘干系统、垃圾热分解焚烧系统、再生可燃气体净化系统、烟气净化处理系统、烟气实时在线监测系统、渗滤液处理系统、各条生产线的厂房及办公室、生活区、电力配电室、数字化控制室、炭基肥和碳棒生产系统和再生气发电系统。</w:t>
      </w:r>
    </w:p>
    <w:p w14:paraId="586F6949">
      <w:pPr>
        <w:pStyle w:val="14"/>
        <w:keepNext w:val="0"/>
        <w:keepLines w:val="0"/>
        <w:pageBreakBefore w:val="0"/>
        <w:widowControl w:val="0"/>
        <w:kinsoku/>
        <w:wordWrap/>
        <w:overflowPunct/>
        <w:topLinePunct w:val="0"/>
        <w:autoSpaceDE/>
        <w:autoSpaceDN/>
        <w:bidi w:val="0"/>
        <w:snapToGrid w:val="0"/>
        <w:spacing w:line="360" w:lineRule="auto"/>
        <w:ind w:firstLine="482"/>
        <w:textAlignment w:val="auto"/>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本项目租赁周边厂房作为办公室、生活区，炭基肥生产系统由建设单位后期建设，不在本报告评价范围中。</w:t>
      </w:r>
    </w:p>
    <w:p w14:paraId="0386EDE6">
      <w:pPr>
        <w:pStyle w:val="4"/>
        <w:keepNext/>
        <w:keepLines/>
        <w:pageBreakBefore w:val="0"/>
        <w:widowControl w:val="0"/>
        <w:kinsoku/>
        <w:wordWrap/>
        <w:overflowPunct/>
        <w:topLinePunct w:val="0"/>
        <w:autoSpaceDE/>
        <w:autoSpaceDN/>
        <w:bidi w:val="0"/>
        <w:adjustRightInd/>
        <w:snapToGrid w:val="0"/>
        <w:spacing w:before="0" w:beforeLines="0" w:after="0" w:line="360" w:lineRule="auto"/>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产品方案</w:t>
      </w:r>
    </w:p>
    <w:p w14:paraId="48C925A4">
      <w:pPr>
        <w:pStyle w:val="148"/>
        <w:pageBreakBefore w:val="0"/>
        <w:widowControl w:val="0"/>
        <w:kinsoku/>
        <w:wordWrap/>
        <w:overflowPunct/>
        <w:topLinePunct w:val="0"/>
        <w:autoSpaceDE/>
        <w:autoSpaceDN/>
        <w:bidi w:val="0"/>
        <w:snapToGrid w:val="0"/>
        <w:spacing w:line="360" w:lineRule="auto"/>
        <w:ind w:firstLine="560"/>
        <w:jc w:val="both"/>
        <w:textAlignment w:val="auto"/>
        <w:rPr>
          <w:rFonts w:hint="default" w:ascii="Times New Roman" w:hAnsi="Times New Roman" w:cs="Times New Roman"/>
          <w:color w:val="auto"/>
          <w:sz w:val="24"/>
          <w:szCs w:val="24"/>
          <w:highlight w:val="none"/>
        </w:rPr>
      </w:pPr>
      <w:r>
        <w:rPr>
          <w:rFonts w:hint="default" w:ascii="Times New Roman" w:hAnsi="Times New Roman" w:eastAsia="宋体" w:cs="Times New Roman"/>
          <w:color w:val="auto"/>
          <w:sz w:val="24"/>
          <w:szCs w:val="24"/>
          <w:highlight w:val="none"/>
        </w:rPr>
        <w:t>本项目建成后，主要产品为热解气、焦油、炭黑，</w:t>
      </w:r>
      <w:r>
        <w:rPr>
          <w:rFonts w:hint="default" w:ascii="Times New Roman" w:hAnsi="Times New Roman" w:cs="Times New Roman"/>
          <w:color w:val="auto"/>
          <w:sz w:val="24"/>
          <w:szCs w:val="24"/>
          <w:highlight w:val="none"/>
        </w:rPr>
        <w:t>见</w:t>
      </w:r>
      <w:r>
        <w:rPr>
          <w:rFonts w:hint="default" w:ascii="Times New Roman" w:hAnsi="Times New Roman" w:eastAsia="宋体" w:cs="Times New Roman"/>
          <w:color w:val="auto"/>
          <w:sz w:val="24"/>
          <w:szCs w:val="24"/>
          <w:highlight w:val="none"/>
          <w:lang w:val="en-US" w:eastAsia="zh-CN"/>
        </w:rPr>
        <w:t>下</w:t>
      </w:r>
      <w:r>
        <w:rPr>
          <w:rFonts w:hint="default" w:ascii="Times New Roman" w:hAnsi="Times New Roman" w:cs="Times New Roman"/>
          <w:color w:val="auto"/>
          <w:sz w:val="24"/>
          <w:szCs w:val="24"/>
          <w:highlight w:val="none"/>
        </w:rPr>
        <w:t>表。</w:t>
      </w:r>
    </w:p>
    <w:p w14:paraId="7ADDF299">
      <w:pPr>
        <w:keepNext w:val="0"/>
        <w:keepLines w:val="0"/>
        <w:widowControl/>
        <w:numPr>
          <w:ilvl w:val="0"/>
          <w:numId w:val="0"/>
        </w:numPr>
        <w:suppressLineNumbers w:val="0"/>
        <w:spacing w:line="240" w:lineRule="auto"/>
        <w:jc w:val="center"/>
        <w:rPr>
          <w:rFonts w:hint="default" w:ascii="Times New Roman" w:hAnsi="Times New Roman" w:eastAsia="宋体" w:cs="Times New Roman"/>
          <w:b/>
          <w:color w:val="auto"/>
          <w:kern w:val="2"/>
          <w:sz w:val="21"/>
          <w:szCs w:val="20"/>
          <w:highlight w:val="none"/>
          <w:lang w:val="en-US" w:eastAsia="zh-CN" w:bidi="ar-SA"/>
        </w:rPr>
      </w:pPr>
      <w:r>
        <w:rPr>
          <w:rFonts w:hint="default" w:ascii="Times New Roman" w:hAnsi="Times New Roman" w:eastAsia="宋体" w:cs="Times New Roman"/>
          <w:b/>
          <w:color w:val="auto"/>
          <w:kern w:val="2"/>
          <w:sz w:val="21"/>
          <w:szCs w:val="20"/>
          <w:highlight w:val="none"/>
          <w:lang w:val="en-US" w:eastAsia="zh-CN" w:bidi="ar-SA"/>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eastAsia="宋体" w:cs="Times New Roman"/>
          <w:b/>
          <w:color w:val="auto"/>
          <w:kern w:val="2"/>
          <w:sz w:val="21"/>
          <w:szCs w:val="20"/>
          <w:highlight w:val="none"/>
          <w:lang w:val="en-US" w:eastAsia="zh-CN" w:bidi="ar-SA"/>
        </w:rPr>
        <w:t xml:space="preserve"> 产品及中间产品一览表</w:t>
      </w:r>
    </w:p>
    <w:tbl>
      <w:tblPr>
        <w:tblStyle w:val="35"/>
        <w:tblW w:w="4994"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108" w:type="dxa"/>
          <w:bottom w:w="0" w:type="dxa"/>
          <w:right w:w="108" w:type="dxa"/>
        </w:tblCellMar>
      </w:tblPr>
      <w:tblGrid>
        <w:gridCol w:w="618"/>
        <w:gridCol w:w="1020"/>
        <w:gridCol w:w="826"/>
        <w:gridCol w:w="1613"/>
        <w:gridCol w:w="1783"/>
        <w:gridCol w:w="3417"/>
      </w:tblGrid>
      <w:tr w14:paraId="5CBF0A6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390" w:type="pct"/>
            <w:tcBorders>
              <w:tl2br w:val="nil"/>
              <w:tr2bl w:val="nil"/>
            </w:tcBorders>
            <w:noWrap/>
            <w:vAlign w:val="center"/>
          </w:tcPr>
          <w:p w14:paraId="1A33E163">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b/>
                <w:color w:val="auto"/>
                <w:sz w:val="20"/>
                <w:szCs w:val="20"/>
                <w:highlight w:val="none"/>
              </w:rPr>
            </w:pPr>
            <w:r>
              <w:rPr>
                <w:rFonts w:hint="default" w:ascii="Times New Roman" w:hAnsi="Times New Roman" w:eastAsia="宋体" w:cs="Times New Roman"/>
                <w:b/>
                <w:color w:val="auto"/>
                <w:sz w:val="20"/>
                <w:szCs w:val="20"/>
                <w:highlight w:val="none"/>
              </w:rPr>
              <w:t>序号</w:t>
            </w:r>
          </w:p>
        </w:tc>
        <w:tc>
          <w:tcPr>
            <w:tcW w:w="707" w:type="pct"/>
            <w:tcBorders>
              <w:tl2br w:val="nil"/>
              <w:tr2bl w:val="nil"/>
            </w:tcBorders>
            <w:noWrap/>
            <w:vAlign w:val="center"/>
          </w:tcPr>
          <w:p w14:paraId="79350B9E">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b/>
                <w:color w:val="auto"/>
                <w:sz w:val="20"/>
                <w:szCs w:val="20"/>
                <w:highlight w:val="none"/>
              </w:rPr>
            </w:pPr>
            <w:r>
              <w:rPr>
                <w:rFonts w:hint="default" w:ascii="Times New Roman" w:hAnsi="Times New Roman" w:eastAsia="宋体" w:cs="Times New Roman"/>
                <w:b/>
                <w:color w:val="auto"/>
                <w:sz w:val="20"/>
                <w:szCs w:val="20"/>
                <w:highlight w:val="none"/>
              </w:rPr>
              <w:t>能源种类</w:t>
            </w:r>
          </w:p>
        </w:tc>
        <w:tc>
          <w:tcPr>
            <w:tcW w:w="528" w:type="pct"/>
            <w:tcBorders>
              <w:tl2br w:val="nil"/>
              <w:tr2bl w:val="nil"/>
            </w:tcBorders>
            <w:noWrap/>
            <w:vAlign w:val="center"/>
          </w:tcPr>
          <w:p w14:paraId="6E094C8D">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b/>
                <w:color w:val="auto"/>
                <w:sz w:val="20"/>
                <w:szCs w:val="20"/>
                <w:highlight w:val="none"/>
              </w:rPr>
            </w:pPr>
            <w:r>
              <w:rPr>
                <w:rFonts w:hint="default" w:ascii="Times New Roman" w:hAnsi="Times New Roman" w:eastAsia="宋体" w:cs="Times New Roman"/>
                <w:b/>
                <w:color w:val="auto"/>
                <w:sz w:val="20"/>
                <w:szCs w:val="20"/>
                <w:highlight w:val="none"/>
              </w:rPr>
              <w:t>单位</w:t>
            </w:r>
          </w:p>
        </w:tc>
        <w:tc>
          <w:tcPr>
            <w:tcW w:w="1089" w:type="pct"/>
            <w:tcBorders>
              <w:tl2br w:val="nil"/>
              <w:tr2bl w:val="nil"/>
            </w:tcBorders>
            <w:noWrap/>
            <w:vAlign w:val="center"/>
          </w:tcPr>
          <w:p w14:paraId="79569C26">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b/>
                <w:color w:val="auto"/>
                <w:sz w:val="20"/>
                <w:szCs w:val="20"/>
                <w:highlight w:val="none"/>
              </w:rPr>
            </w:pPr>
            <w:r>
              <w:rPr>
                <w:rFonts w:hint="default" w:ascii="Times New Roman" w:hAnsi="Times New Roman" w:eastAsia="宋体" w:cs="Times New Roman"/>
                <w:b/>
                <w:color w:val="auto"/>
                <w:sz w:val="20"/>
                <w:szCs w:val="20"/>
                <w:highlight w:val="none"/>
              </w:rPr>
              <w:t>年产量</w:t>
            </w:r>
          </w:p>
        </w:tc>
        <w:tc>
          <w:tcPr>
            <w:tcW w:w="1090" w:type="pct"/>
            <w:tcBorders>
              <w:tl2br w:val="nil"/>
              <w:tr2bl w:val="nil"/>
            </w:tcBorders>
            <w:noWrap/>
            <w:vAlign w:val="center"/>
          </w:tcPr>
          <w:p w14:paraId="4BFA6108">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b/>
                <w:color w:val="auto"/>
                <w:sz w:val="20"/>
                <w:szCs w:val="20"/>
                <w:highlight w:val="none"/>
              </w:rPr>
            </w:pPr>
            <w:r>
              <w:rPr>
                <w:rFonts w:hint="default" w:ascii="Times New Roman" w:hAnsi="Times New Roman" w:eastAsia="宋体" w:cs="Times New Roman"/>
                <w:b/>
                <w:color w:val="auto"/>
                <w:sz w:val="20"/>
                <w:szCs w:val="20"/>
                <w:highlight w:val="none"/>
              </w:rPr>
              <w:t>来源</w:t>
            </w:r>
          </w:p>
        </w:tc>
        <w:tc>
          <w:tcPr>
            <w:tcW w:w="1194" w:type="pct"/>
            <w:tcBorders>
              <w:tl2br w:val="nil"/>
              <w:tr2bl w:val="nil"/>
            </w:tcBorders>
            <w:noWrap/>
            <w:vAlign w:val="center"/>
          </w:tcPr>
          <w:p w14:paraId="11DFF53F">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b/>
                <w:color w:val="auto"/>
                <w:sz w:val="20"/>
                <w:szCs w:val="20"/>
                <w:highlight w:val="none"/>
              </w:rPr>
            </w:pPr>
            <w:r>
              <w:rPr>
                <w:rFonts w:hint="default" w:ascii="Times New Roman" w:hAnsi="Times New Roman" w:eastAsia="宋体" w:cs="Times New Roman"/>
                <w:b/>
                <w:color w:val="auto"/>
                <w:sz w:val="20"/>
                <w:szCs w:val="20"/>
                <w:highlight w:val="none"/>
              </w:rPr>
              <w:t>备注</w:t>
            </w:r>
          </w:p>
        </w:tc>
      </w:tr>
      <w:tr w14:paraId="43E8247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390" w:type="pct"/>
            <w:tcBorders>
              <w:tl2br w:val="nil"/>
              <w:tr2bl w:val="nil"/>
            </w:tcBorders>
            <w:noWrap/>
            <w:vAlign w:val="center"/>
          </w:tcPr>
          <w:p w14:paraId="5DF4DAF7">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1</w:t>
            </w:r>
          </w:p>
        </w:tc>
        <w:tc>
          <w:tcPr>
            <w:tcW w:w="707" w:type="pct"/>
            <w:tcBorders>
              <w:tl2br w:val="nil"/>
              <w:tr2bl w:val="nil"/>
            </w:tcBorders>
            <w:noWrap/>
            <w:vAlign w:val="center"/>
          </w:tcPr>
          <w:p w14:paraId="54AD8E51">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热解气</w:t>
            </w:r>
          </w:p>
        </w:tc>
        <w:tc>
          <w:tcPr>
            <w:tcW w:w="528" w:type="pct"/>
            <w:tcBorders>
              <w:tl2br w:val="nil"/>
              <w:tr2bl w:val="nil"/>
            </w:tcBorders>
            <w:noWrap/>
            <w:vAlign w:val="center"/>
          </w:tcPr>
          <w:p w14:paraId="7A3E4B5A">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万m³/a</w:t>
            </w:r>
          </w:p>
        </w:tc>
        <w:tc>
          <w:tcPr>
            <w:tcW w:w="1089" w:type="pct"/>
            <w:tcBorders>
              <w:tl2br w:val="nil"/>
              <w:tr2bl w:val="nil"/>
            </w:tcBorders>
            <w:noWrap/>
            <w:vAlign w:val="center"/>
          </w:tcPr>
          <w:p w14:paraId="48B7AC68">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1100</w:t>
            </w:r>
          </w:p>
        </w:tc>
        <w:tc>
          <w:tcPr>
            <w:tcW w:w="1090" w:type="pct"/>
            <w:tcBorders>
              <w:tl2br w:val="nil"/>
              <w:tr2bl w:val="nil"/>
            </w:tcBorders>
            <w:noWrap/>
            <w:vAlign w:val="center"/>
          </w:tcPr>
          <w:p w14:paraId="15497402">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热分解燃烧</w:t>
            </w:r>
          </w:p>
        </w:tc>
        <w:tc>
          <w:tcPr>
            <w:tcW w:w="1194" w:type="pct"/>
            <w:vMerge w:val="restart"/>
            <w:tcBorders>
              <w:tl2br w:val="nil"/>
              <w:tr2bl w:val="nil"/>
            </w:tcBorders>
            <w:noWrap/>
            <w:vAlign w:val="center"/>
          </w:tcPr>
          <w:p w14:paraId="529A6DF9">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回用，用于热分解燃烧</w:t>
            </w:r>
          </w:p>
        </w:tc>
      </w:tr>
      <w:tr w14:paraId="24298CC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390" w:type="pct"/>
            <w:tcBorders>
              <w:tl2br w:val="nil"/>
              <w:tr2bl w:val="nil"/>
            </w:tcBorders>
            <w:noWrap/>
            <w:vAlign w:val="center"/>
          </w:tcPr>
          <w:p w14:paraId="1B5E61BD">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2</w:t>
            </w:r>
          </w:p>
        </w:tc>
        <w:tc>
          <w:tcPr>
            <w:tcW w:w="707" w:type="pct"/>
            <w:tcBorders>
              <w:tl2br w:val="nil"/>
              <w:tr2bl w:val="nil"/>
            </w:tcBorders>
            <w:noWrap/>
            <w:vAlign w:val="center"/>
          </w:tcPr>
          <w:p w14:paraId="0490D792">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焦油</w:t>
            </w:r>
          </w:p>
        </w:tc>
        <w:tc>
          <w:tcPr>
            <w:tcW w:w="528" w:type="pct"/>
            <w:tcBorders>
              <w:tl2br w:val="nil"/>
              <w:tr2bl w:val="nil"/>
            </w:tcBorders>
            <w:noWrap/>
            <w:vAlign w:val="center"/>
          </w:tcPr>
          <w:p w14:paraId="03DA602E">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吨</w:t>
            </w:r>
          </w:p>
        </w:tc>
        <w:tc>
          <w:tcPr>
            <w:tcW w:w="1089" w:type="pct"/>
            <w:tcBorders>
              <w:tl2br w:val="nil"/>
              <w:tr2bl w:val="nil"/>
            </w:tcBorders>
            <w:noWrap/>
            <w:vAlign w:val="center"/>
          </w:tcPr>
          <w:p w14:paraId="59ED25F6">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w:t>
            </w:r>
          </w:p>
        </w:tc>
        <w:tc>
          <w:tcPr>
            <w:tcW w:w="1090" w:type="pct"/>
            <w:tcBorders>
              <w:tl2br w:val="nil"/>
              <w:tr2bl w:val="nil"/>
            </w:tcBorders>
            <w:noWrap/>
            <w:vAlign w:val="center"/>
          </w:tcPr>
          <w:p w14:paraId="218BCF3A">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热分解燃烧</w:t>
            </w:r>
          </w:p>
        </w:tc>
        <w:tc>
          <w:tcPr>
            <w:tcW w:w="1194" w:type="pct"/>
            <w:vMerge w:val="continue"/>
            <w:tcBorders>
              <w:tl2br w:val="nil"/>
              <w:tr2bl w:val="nil"/>
            </w:tcBorders>
            <w:noWrap/>
            <w:vAlign w:val="center"/>
          </w:tcPr>
          <w:p w14:paraId="1FE47FA2">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p>
        </w:tc>
      </w:tr>
      <w:tr w14:paraId="197AF29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390" w:type="pct"/>
            <w:tcBorders>
              <w:tl2br w:val="nil"/>
              <w:tr2bl w:val="nil"/>
            </w:tcBorders>
            <w:noWrap/>
            <w:vAlign w:val="center"/>
          </w:tcPr>
          <w:p w14:paraId="79FDB79F">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3</w:t>
            </w:r>
          </w:p>
        </w:tc>
        <w:tc>
          <w:tcPr>
            <w:tcW w:w="707" w:type="pct"/>
            <w:tcBorders>
              <w:tl2br w:val="nil"/>
              <w:tr2bl w:val="nil"/>
            </w:tcBorders>
            <w:noWrap/>
            <w:vAlign w:val="center"/>
          </w:tcPr>
          <w:p w14:paraId="55380E67">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炭黑</w:t>
            </w:r>
          </w:p>
        </w:tc>
        <w:tc>
          <w:tcPr>
            <w:tcW w:w="528" w:type="pct"/>
            <w:tcBorders>
              <w:tl2br w:val="nil"/>
              <w:tr2bl w:val="nil"/>
            </w:tcBorders>
            <w:noWrap/>
            <w:vAlign w:val="center"/>
          </w:tcPr>
          <w:p w14:paraId="7B66545C">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吨</w:t>
            </w:r>
          </w:p>
        </w:tc>
        <w:tc>
          <w:tcPr>
            <w:tcW w:w="1089" w:type="pct"/>
            <w:tcBorders>
              <w:tl2br w:val="nil"/>
              <w:tr2bl w:val="nil"/>
            </w:tcBorders>
            <w:noWrap/>
            <w:vAlign w:val="center"/>
          </w:tcPr>
          <w:p w14:paraId="0FE9D325">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5475</w:t>
            </w:r>
          </w:p>
        </w:tc>
        <w:tc>
          <w:tcPr>
            <w:tcW w:w="1090" w:type="pct"/>
            <w:tcBorders>
              <w:tl2br w:val="nil"/>
              <w:tr2bl w:val="nil"/>
            </w:tcBorders>
            <w:noWrap/>
            <w:vAlign w:val="center"/>
          </w:tcPr>
          <w:p w14:paraId="177DE23D">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热分解燃烧</w:t>
            </w:r>
          </w:p>
        </w:tc>
        <w:tc>
          <w:tcPr>
            <w:tcW w:w="1194" w:type="pct"/>
            <w:tcBorders>
              <w:tl2br w:val="nil"/>
              <w:tr2bl w:val="nil"/>
            </w:tcBorders>
            <w:noWrap/>
            <w:vAlign w:val="center"/>
          </w:tcPr>
          <w:p w14:paraId="00DDEFE6">
            <w:pPr>
              <w:keepNext w:val="0"/>
              <w:keepLines w:val="0"/>
              <w:suppressLineNumbers w:val="0"/>
              <w:spacing w:before="0" w:beforeAutospacing="0" w:after="0" w:afterAutospacing="0" w:line="280" w:lineRule="exact"/>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作为原材料</w:t>
            </w:r>
            <w:r>
              <w:rPr>
                <w:rFonts w:hint="default" w:ascii="Times New Roman" w:hAnsi="Times New Roman" w:eastAsia="宋体" w:cs="Times New Roman"/>
                <w:color w:val="auto"/>
                <w:sz w:val="20"/>
                <w:szCs w:val="20"/>
                <w:highlight w:val="none"/>
                <w:lang w:eastAsia="zh-CN"/>
              </w:rPr>
              <w:t>加工成炭基有机肥和碳棒</w:t>
            </w:r>
          </w:p>
        </w:tc>
      </w:tr>
    </w:tbl>
    <w:p w14:paraId="6F1A6945">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项目组成及主要环境问题</w:t>
      </w:r>
    </w:p>
    <w:p w14:paraId="0BDDEF74">
      <w:pPr>
        <w:pStyle w:val="14"/>
        <w:ind w:firstLine="480"/>
        <w:rPr>
          <w:rFonts w:hint="default" w:ascii="Times New Roman" w:hAnsi="Times New Roman" w:cs="Times New Roman"/>
          <w:color w:val="auto"/>
          <w:sz w:val="24"/>
          <w:szCs w:val="24"/>
          <w:highlight w:val="none"/>
          <w:lang w:val="en-US" w:eastAsia="zh-CN"/>
        </w:rPr>
        <w:sectPr>
          <w:headerReference r:id="rId19" w:type="default"/>
          <w:footerReference r:id="rId20"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4D0BC4E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sz w:val="24"/>
          <w:szCs w:val="24"/>
          <w:highlight w:val="none"/>
          <w:lang w:val="en-US" w:eastAsia="zh-CN"/>
        </w:rPr>
        <w:t>本</w:t>
      </w:r>
      <w:r>
        <w:rPr>
          <w:rFonts w:hint="default" w:ascii="Times New Roman" w:hAnsi="Times New Roman" w:cs="Times New Roman"/>
          <w:color w:val="auto"/>
          <w:highlight w:val="none"/>
        </w:rPr>
        <w:t>项目组成</w:t>
      </w:r>
      <w:r>
        <w:rPr>
          <w:rFonts w:hint="default" w:ascii="Times New Roman" w:hAnsi="Times New Roman" w:cs="Times New Roman"/>
          <w:color w:val="auto"/>
          <w:highlight w:val="none"/>
          <w:lang w:eastAsia="zh-CN"/>
        </w:rPr>
        <w:t>及主要环境问题</w:t>
      </w:r>
      <w:r>
        <w:rPr>
          <w:rFonts w:hint="default" w:ascii="Times New Roman" w:hAnsi="Times New Roman" w:cs="Times New Roman"/>
          <w:color w:val="auto"/>
          <w:highlight w:val="none"/>
        </w:rPr>
        <w:t>见下表。</w:t>
      </w:r>
    </w:p>
    <w:p w14:paraId="6C74652F">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3.1</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2</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项目组成及主要环境问题一览表</w:t>
      </w:r>
    </w:p>
    <w:tbl>
      <w:tblPr>
        <w:tblStyle w:val="35"/>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Layout w:type="autofit"/>
        <w:tblCellMar>
          <w:top w:w="0" w:type="dxa"/>
          <w:left w:w="10" w:type="dxa"/>
          <w:bottom w:w="0" w:type="dxa"/>
          <w:right w:w="10" w:type="dxa"/>
        </w:tblCellMar>
      </w:tblPr>
      <w:tblGrid>
        <w:gridCol w:w="1181"/>
        <w:gridCol w:w="1904"/>
        <w:gridCol w:w="1113"/>
        <w:gridCol w:w="7081"/>
        <w:gridCol w:w="1234"/>
        <w:gridCol w:w="1503"/>
      </w:tblGrid>
      <w:tr w14:paraId="1A59D7C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tblHeader/>
          <w:jc w:val="center"/>
        </w:trPr>
        <w:tc>
          <w:tcPr>
            <w:tcW w:w="1100" w:type="pct"/>
            <w:gridSpan w:val="2"/>
            <w:vMerge w:val="restart"/>
            <w:tcBorders>
              <w:tl2br w:val="nil"/>
              <w:tr2bl w:val="nil"/>
            </w:tcBorders>
            <w:shd w:val="clear" w:color="FFFFFF" w:themeColor="background1" w:fill="auto"/>
            <w:vAlign w:val="center"/>
          </w:tcPr>
          <w:p w14:paraId="697F0D1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kern w:val="2"/>
                <w:sz w:val="20"/>
                <w:szCs w:val="20"/>
                <w:highlight w:val="none"/>
                <w:lang w:val="zh-CN" w:eastAsia="zh-CN" w:bidi="ar-SA"/>
              </w:rPr>
            </w:pPr>
            <w:r>
              <w:rPr>
                <w:rFonts w:hint="default" w:ascii="Times New Roman" w:hAnsi="Times New Roman" w:cs="Times New Roman"/>
                <w:b/>
                <w:bCs/>
                <w:color w:val="auto"/>
                <w:kern w:val="2"/>
                <w:sz w:val="20"/>
                <w:szCs w:val="20"/>
                <w:highlight w:val="none"/>
                <w:lang w:val="zh-CN" w:eastAsia="zh-CN" w:bidi="ar-SA"/>
              </w:rPr>
              <w:t>项目组成</w:t>
            </w:r>
          </w:p>
        </w:tc>
        <w:tc>
          <w:tcPr>
            <w:tcW w:w="2922" w:type="pct"/>
            <w:gridSpan w:val="2"/>
            <w:vMerge w:val="restart"/>
            <w:tcBorders>
              <w:tl2br w:val="nil"/>
              <w:tr2bl w:val="nil"/>
            </w:tcBorders>
            <w:shd w:val="clear" w:color="FFFFFF" w:themeColor="background1" w:fill="auto"/>
            <w:vAlign w:val="center"/>
          </w:tcPr>
          <w:p w14:paraId="5421464C">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kern w:val="2"/>
                <w:sz w:val="20"/>
                <w:szCs w:val="20"/>
                <w:highlight w:val="none"/>
                <w:lang w:val="zh-CN" w:eastAsia="zh-CN" w:bidi="ar-SA"/>
              </w:rPr>
            </w:pPr>
            <w:r>
              <w:rPr>
                <w:rFonts w:hint="default" w:ascii="Times New Roman" w:hAnsi="Times New Roman" w:cs="Times New Roman"/>
                <w:b/>
                <w:bCs/>
                <w:color w:val="auto"/>
                <w:kern w:val="2"/>
                <w:sz w:val="20"/>
                <w:szCs w:val="20"/>
                <w:highlight w:val="none"/>
                <w:lang w:val="zh-CN" w:eastAsia="zh-CN" w:bidi="ar-SA"/>
              </w:rPr>
              <w:t>主要建设内容</w:t>
            </w:r>
          </w:p>
        </w:tc>
        <w:tc>
          <w:tcPr>
            <w:tcW w:w="976" w:type="pct"/>
            <w:gridSpan w:val="2"/>
            <w:tcBorders>
              <w:tl2br w:val="nil"/>
              <w:tr2bl w:val="nil"/>
            </w:tcBorders>
            <w:shd w:val="clear" w:color="FFFFFF" w:themeColor="background1" w:fill="auto"/>
            <w:vAlign w:val="center"/>
          </w:tcPr>
          <w:p w14:paraId="5CCFC55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kern w:val="2"/>
                <w:sz w:val="20"/>
                <w:szCs w:val="20"/>
                <w:highlight w:val="none"/>
                <w:lang w:val="zh-CN" w:eastAsia="zh-CN" w:bidi="ar-SA"/>
              </w:rPr>
            </w:pPr>
            <w:r>
              <w:rPr>
                <w:rFonts w:hint="default" w:ascii="Times New Roman" w:hAnsi="Times New Roman" w:cs="Times New Roman"/>
                <w:b/>
                <w:bCs/>
                <w:color w:val="auto"/>
                <w:kern w:val="2"/>
                <w:sz w:val="20"/>
                <w:szCs w:val="20"/>
                <w:highlight w:val="none"/>
                <w:lang w:val="zh-CN" w:eastAsia="zh-CN" w:bidi="ar-SA"/>
              </w:rPr>
              <w:t>主要环境问题</w:t>
            </w:r>
          </w:p>
        </w:tc>
      </w:tr>
      <w:tr w14:paraId="72A3AB5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tblHeader/>
          <w:jc w:val="center"/>
        </w:trPr>
        <w:tc>
          <w:tcPr>
            <w:tcW w:w="1100" w:type="pct"/>
            <w:gridSpan w:val="2"/>
            <w:vMerge w:val="continue"/>
            <w:tcBorders>
              <w:tl2br w:val="nil"/>
              <w:tr2bl w:val="nil"/>
            </w:tcBorders>
            <w:shd w:val="clear" w:color="FFFFFF" w:themeColor="background1" w:fill="auto"/>
            <w:vAlign w:val="center"/>
          </w:tcPr>
          <w:p w14:paraId="451C6D3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2922" w:type="pct"/>
            <w:gridSpan w:val="2"/>
            <w:vMerge w:val="continue"/>
            <w:tcBorders>
              <w:tl2br w:val="nil"/>
              <w:tr2bl w:val="nil"/>
            </w:tcBorders>
            <w:shd w:val="clear" w:color="FFFFFF" w:themeColor="background1" w:fill="auto"/>
            <w:vAlign w:val="center"/>
          </w:tcPr>
          <w:p w14:paraId="5715C7E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440" w:type="pct"/>
            <w:tcBorders>
              <w:tl2br w:val="nil"/>
              <w:tr2bl w:val="nil"/>
            </w:tcBorders>
            <w:shd w:val="clear" w:color="FFFFFF" w:themeColor="background1" w:fill="auto"/>
            <w:vAlign w:val="center"/>
          </w:tcPr>
          <w:p w14:paraId="5061618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kern w:val="2"/>
                <w:sz w:val="20"/>
                <w:szCs w:val="20"/>
                <w:highlight w:val="none"/>
                <w:lang w:val="zh-CN" w:eastAsia="zh-CN" w:bidi="ar-SA"/>
              </w:rPr>
            </w:pPr>
            <w:r>
              <w:rPr>
                <w:rFonts w:hint="default" w:ascii="Times New Roman" w:hAnsi="Times New Roman" w:cs="Times New Roman"/>
                <w:b/>
                <w:bCs/>
                <w:color w:val="auto"/>
                <w:kern w:val="2"/>
                <w:sz w:val="20"/>
                <w:szCs w:val="20"/>
                <w:highlight w:val="none"/>
                <w:lang w:val="zh-CN" w:eastAsia="zh-CN" w:bidi="ar-SA"/>
              </w:rPr>
              <w:t>施工期</w:t>
            </w:r>
          </w:p>
        </w:tc>
        <w:tc>
          <w:tcPr>
            <w:tcW w:w="536" w:type="pct"/>
            <w:tcBorders>
              <w:tl2br w:val="nil"/>
              <w:tr2bl w:val="nil"/>
            </w:tcBorders>
            <w:shd w:val="clear" w:color="FFFFFF" w:themeColor="background1" w:fill="auto"/>
            <w:vAlign w:val="center"/>
          </w:tcPr>
          <w:p w14:paraId="309F29E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kern w:val="2"/>
                <w:sz w:val="20"/>
                <w:szCs w:val="20"/>
                <w:highlight w:val="none"/>
                <w:lang w:val="zh-CN" w:eastAsia="zh-CN" w:bidi="ar-SA"/>
              </w:rPr>
            </w:pPr>
            <w:r>
              <w:rPr>
                <w:rFonts w:hint="default" w:ascii="Times New Roman" w:hAnsi="Times New Roman" w:cs="Times New Roman"/>
                <w:b/>
                <w:bCs/>
                <w:color w:val="auto"/>
                <w:kern w:val="2"/>
                <w:sz w:val="20"/>
                <w:szCs w:val="20"/>
                <w:highlight w:val="none"/>
                <w:lang w:val="zh-CN" w:eastAsia="zh-CN" w:bidi="ar-SA"/>
              </w:rPr>
              <w:t>运营期</w:t>
            </w:r>
          </w:p>
        </w:tc>
      </w:tr>
      <w:tr w14:paraId="39D4311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restart"/>
            <w:tcBorders>
              <w:tl2br w:val="nil"/>
              <w:tr2bl w:val="nil"/>
            </w:tcBorders>
            <w:shd w:val="clear" w:color="FFFFFF" w:themeColor="background1" w:fill="auto"/>
            <w:vAlign w:val="center"/>
          </w:tcPr>
          <w:p w14:paraId="1C6A09F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主体</w:t>
            </w:r>
          </w:p>
          <w:p w14:paraId="63BA8DF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工程</w:t>
            </w:r>
          </w:p>
        </w:tc>
        <w:tc>
          <w:tcPr>
            <w:tcW w:w="679" w:type="pct"/>
            <w:vMerge w:val="restart"/>
            <w:tcBorders>
              <w:tl2br w:val="nil"/>
              <w:tr2bl w:val="nil"/>
            </w:tcBorders>
            <w:shd w:val="clear" w:color="FFFFFF" w:themeColor="background1" w:fill="auto"/>
            <w:vAlign w:val="center"/>
          </w:tcPr>
          <w:p w14:paraId="676A424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主厂房</w:t>
            </w:r>
          </w:p>
        </w:tc>
        <w:tc>
          <w:tcPr>
            <w:tcW w:w="2922" w:type="pct"/>
            <w:gridSpan w:val="2"/>
            <w:tcBorders>
              <w:tl2br w:val="nil"/>
              <w:tr2bl w:val="nil"/>
            </w:tcBorders>
            <w:shd w:val="clear" w:color="FFFFFF" w:themeColor="background1" w:fill="auto"/>
            <w:vAlign w:val="center"/>
          </w:tcPr>
          <w:p w14:paraId="66DDD42A">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本项目采用绝氧热分解焚烧工艺处理剑阁县生活垃圾，处理规模为180t/d。</w:t>
            </w:r>
          </w:p>
          <w:p w14:paraId="5D0C2B70">
            <w:pPr>
              <w:keepNext w:val="0"/>
              <w:keepLines w:val="0"/>
              <w:suppressLineNumbers w:val="0"/>
              <w:spacing w:before="0" w:beforeAutospacing="0" w:after="0" w:afterAutospacing="0" w:line="240" w:lineRule="auto"/>
              <w:ind w:left="0" w:right="0"/>
              <w:jc w:val="left"/>
              <w:rPr>
                <w:rFonts w:hint="default" w:ascii="Times New Roman" w:hAnsi="Times New Roman" w:eastAsia="宋体"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新建主厂房1栋，位于厂区西侧，</w:t>
            </w:r>
            <w:r>
              <w:rPr>
                <w:rFonts w:hint="default" w:ascii="Times New Roman" w:hAnsi="Times New Roman" w:cs="Times New Roman"/>
                <w:snapToGrid w:val="0"/>
                <w:color w:val="auto"/>
                <w:sz w:val="20"/>
                <w:szCs w:val="20"/>
                <w:highlight w:val="none"/>
              </w:rPr>
              <w:t>占地面积4084.36m</w:t>
            </w:r>
            <w:r>
              <w:rPr>
                <w:rFonts w:hint="default" w:ascii="Times New Roman" w:hAnsi="Times New Roman" w:cs="Times New Roman"/>
                <w:snapToGrid w:val="0"/>
                <w:color w:val="auto"/>
                <w:sz w:val="20"/>
                <w:szCs w:val="20"/>
                <w:highlight w:val="none"/>
                <w:vertAlign w:val="superscript"/>
              </w:rPr>
              <w:t>2</w:t>
            </w:r>
            <w:r>
              <w:rPr>
                <w:rFonts w:hint="default" w:ascii="Times New Roman" w:hAnsi="Times New Roman" w:cs="Times New Roman"/>
                <w:snapToGrid w:val="0"/>
                <w:color w:val="auto"/>
                <w:sz w:val="20"/>
                <w:szCs w:val="20"/>
                <w:highlight w:val="none"/>
              </w:rPr>
              <w:t>，建筑面积6127.77m</w:t>
            </w:r>
            <w:r>
              <w:rPr>
                <w:rFonts w:hint="default" w:ascii="Times New Roman" w:hAnsi="Times New Roman" w:cs="Times New Roman"/>
                <w:snapToGrid w:val="0"/>
                <w:color w:val="auto"/>
                <w:sz w:val="20"/>
                <w:szCs w:val="20"/>
                <w:highlight w:val="none"/>
                <w:vertAlign w:val="superscript"/>
              </w:rPr>
              <w:t>2</w:t>
            </w:r>
            <w:r>
              <w:rPr>
                <w:rFonts w:hint="default" w:ascii="Times New Roman" w:hAnsi="Times New Roman" w:eastAsia="宋体" w:cs="Times New Roman"/>
                <w:color w:val="auto"/>
                <w:sz w:val="20"/>
                <w:szCs w:val="20"/>
                <w:highlight w:val="none"/>
              </w:rPr>
              <w:t>，为局部两层建筑</w:t>
            </w:r>
            <w:r>
              <w:rPr>
                <w:rFonts w:hint="default" w:ascii="Times New Roman" w:hAnsi="Times New Roman" w:cs="Times New Roman"/>
                <w:color w:val="auto"/>
                <w:sz w:val="20"/>
                <w:szCs w:val="20"/>
                <w:highlight w:val="none"/>
                <w:lang w:val="en-US" w:eastAsia="zh-CN"/>
              </w:rPr>
              <w:t>，建筑高度为16.5m，设计高程为647m，厂房全封闭。建筑分为东西两部分，</w:t>
            </w:r>
            <w:r>
              <w:rPr>
                <w:rFonts w:hint="default" w:ascii="Times New Roman" w:hAnsi="Times New Roman" w:eastAsia="宋体" w:cs="Times New Roman"/>
                <w:color w:val="auto"/>
                <w:sz w:val="20"/>
                <w:szCs w:val="20"/>
                <w:highlight w:val="none"/>
              </w:rPr>
              <w:t>西部为钢筋混凝土框架结构，一层采用砌块填</w:t>
            </w:r>
            <w:r>
              <w:rPr>
                <w:rFonts w:hint="default" w:ascii="Times New Roman" w:hAnsi="Times New Roman" w:cs="Times New Roman"/>
                <w:color w:val="auto"/>
                <w:sz w:val="20"/>
                <w:szCs w:val="20"/>
                <w:highlight w:val="none"/>
                <w:lang w:val="en-US" w:eastAsia="zh-CN"/>
              </w:rPr>
              <w:t>充墙，二层采用压型钢板墙面，楼面为现浇混凝土楼板，轻钢屋面；东部一层地下用做储存垃圾，上部采用钢筋混凝土柱子，轻钢屋面。其中缓存仓位于主厂房东部，为两层通高，并下挖9m；气体净化室位于主厂房西部，为两层通高；主厂房一层层高8.0 m，功能包括气闸间、预处理区、筛下物区、碳渣加工区、消防控制室、排烟机房；二层层高8.5 m，功能包括大厅</w:t>
            </w:r>
            <w:r>
              <w:rPr>
                <w:rFonts w:hint="default" w:ascii="Times New Roman" w:hAnsi="Times New Roman" w:eastAsia="宋体" w:cs="Times New Roman"/>
                <w:color w:val="auto"/>
                <w:sz w:val="20"/>
                <w:szCs w:val="20"/>
                <w:highlight w:val="none"/>
              </w:rPr>
              <w:t>、疏散厅、设备间、除臭设备间、检修间、操作设备间、主机车间；地下一层功能包括循环水池、消防水池、消防水泵房、渗沥液收集池。</w:t>
            </w:r>
          </w:p>
        </w:tc>
        <w:tc>
          <w:tcPr>
            <w:tcW w:w="440" w:type="pct"/>
            <w:vMerge w:val="restart"/>
            <w:tcBorders>
              <w:tl2br w:val="nil"/>
              <w:tr2bl w:val="nil"/>
            </w:tcBorders>
            <w:shd w:val="clear" w:color="FFFFFF" w:themeColor="background1" w:fill="auto"/>
            <w:vAlign w:val="center"/>
          </w:tcPr>
          <w:p w14:paraId="7EEB372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扬尘</w:t>
            </w:r>
          </w:p>
          <w:p w14:paraId="066AAD0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噪声</w:t>
            </w:r>
          </w:p>
          <w:p w14:paraId="3EBD5DB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废水</w:t>
            </w:r>
          </w:p>
          <w:p w14:paraId="617A356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固废</w:t>
            </w:r>
          </w:p>
        </w:tc>
        <w:tc>
          <w:tcPr>
            <w:tcW w:w="536" w:type="pct"/>
            <w:tcBorders>
              <w:tl2br w:val="nil"/>
              <w:tr2bl w:val="nil"/>
            </w:tcBorders>
            <w:shd w:val="clear" w:color="FFFFFF" w:themeColor="background1" w:fill="auto"/>
            <w:vAlign w:val="center"/>
          </w:tcPr>
          <w:p w14:paraId="3E66A76C">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噪声</w:t>
            </w:r>
          </w:p>
          <w:p w14:paraId="58F105A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废气</w:t>
            </w:r>
          </w:p>
          <w:p w14:paraId="369E3F7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废水</w:t>
            </w:r>
          </w:p>
          <w:p w14:paraId="2B9F7A4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固废</w:t>
            </w:r>
          </w:p>
        </w:tc>
      </w:tr>
      <w:tr w14:paraId="701FBE9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23B872C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679" w:type="pct"/>
            <w:vMerge w:val="continue"/>
            <w:tcBorders>
              <w:tl2br w:val="nil"/>
              <w:tr2bl w:val="nil"/>
            </w:tcBorders>
            <w:shd w:val="clear" w:color="FFFFFF" w:themeColor="background1" w:fill="auto"/>
            <w:vAlign w:val="center"/>
          </w:tcPr>
          <w:p w14:paraId="62CF16C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2922" w:type="pct"/>
            <w:gridSpan w:val="2"/>
            <w:tcBorders>
              <w:tl2br w:val="nil"/>
              <w:tr2bl w:val="nil"/>
            </w:tcBorders>
            <w:shd w:val="clear" w:color="FFFFFF" w:themeColor="background1" w:fill="auto"/>
            <w:vAlign w:val="center"/>
          </w:tcPr>
          <w:p w14:paraId="59703875">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b/>
                <w:bCs/>
                <w:color w:val="auto"/>
                <w:kern w:val="2"/>
                <w:sz w:val="20"/>
                <w:szCs w:val="20"/>
                <w:highlight w:val="none"/>
                <w:lang w:val="en-US" w:eastAsia="zh-CN" w:bidi="ar-SA"/>
              </w:rPr>
              <w:t>垃圾预处理系统（进料、破碎、烘干）</w:t>
            </w:r>
            <w:r>
              <w:rPr>
                <w:rFonts w:hint="default" w:ascii="Times New Roman" w:hAnsi="Times New Roman" w:cs="Times New Roman"/>
                <w:b/>
                <w:bCs/>
                <w:color w:val="auto"/>
                <w:sz w:val="20"/>
                <w:szCs w:val="20"/>
                <w:highlight w:val="none"/>
                <w:lang w:val="en-US" w:eastAsia="zh-CN"/>
              </w:rPr>
              <w:t>：</w:t>
            </w:r>
            <w:r>
              <w:rPr>
                <w:rFonts w:hint="default" w:ascii="Times New Roman" w:hAnsi="Times New Roman" w:cs="Times New Roman"/>
                <w:color w:val="auto"/>
                <w:sz w:val="20"/>
                <w:szCs w:val="20"/>
                <w:highlight w:val="none"/>
                <w:lang w:val="en-US" w:eastAsia="zh-CN"/>
              </w:rPr>
              <w:t>位于预处理车间，对生活垃圾进行破碎、筛分、烘干等预处理。涉及主要设备有磁选机、破碎机、皮带输送机、提升机、缓存仓热风系统、挤压机等。</w:t>
            </w:r>
          </w:p>
        </w:tc>
        <w:tc>
          <w:tcPr>
            <w:tcW w:w="440" w:type="pct"/>
            <w:vMerge w:val="continue"/>
            <w:tcBorders>
              <w:tl2br w:val="nil"/>
              <w:tr2bl w:val="nil"/>
            </w:tcBorders>
            <w:shd w:val="clear" w:color="FFFFFF" w:themeColor="background1" w:fill="auto"/>
            <w:vAlign w:val="center"/>
          </w:tcPr>
          <w:p w14:paraId="3A2E3A3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483DD1D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76A4EF9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5CF7378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679" w:type="pct"/>
            <w:vMerge w:val="continue"/>
            <w:tcBorders>
              <w:tl2br w:val="nil"/>
              <w:tr2bl w:val="nil"/>
            </w:tcBorders>
            <w:shd w:val="clear" w:color="FFFFFF" w:themeColor="background1" w:fill="auto"/>
            <w:vAlign w:val="center"/>
          </w:tcPr>
          <w:p w14:paraId="5DF695B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397" w:type="pct"/>
            <w:vMerge w:val="restart"/>
            <w:tcBorders>
              <w:right w:val="single" w:color="000000" w:sz="4" w:space="0"/>
              <w:tl2br w:val="nil"/>
              <w:tr2bl w:val="nil"/>
            </w:tcBorders>
            <w:shd w:val="clear" w:color="FFFFFF" w:themeColor="background1" w:fill="auto"/>
            <w:vAlign w:val="center"/>
          </w:tcPr>
          <w:p w14:paraId="5FA88EAC">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热分解焚烧系统</w:t>
            </w:r>
          </w:p>
        </w:tc>
        <w:tc>
          <w:tcPr>
            <w:tcW w:w="2525" w:type="pct"/>
            <w:tcBorders>
              <w:left w:val="single" w:color="000000" w:sz="4" w:space="0"/>
              <w:tl2br w:val="nil"/>
              <w:tr2bl w:val="nil"/>
            </w:tcBorders>
            <w:shd w:val="clear" w:color="FFFFFF" w:themeColor="background1" w:fill="auto"/>
            <w:vAlign w:val="center"/>
          </w:tcPr>
          <w:p w14:paraId="778EBCC3">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b/>
                <w:bCs/>
                <w:color w:val="auto"/>
                <w:kern w:val="2"/>
                <w:sz w:val="20"/>
                <w:szCs w:val="20"/>
                <w:highlight w:val="none"/>
                <w:lang w:val="en-US" w:eastAsia="zh-CN" w:bidi="ar-SA"/>
              </w:rPr>
              <w:t>垃圾热分解焚烧：</w:t>
            </w:r>
            <w:r>
              <w:rPr>
                <w:rFonts w:hint="default" w:ascii="Times New Roman" w:hAnsi="Times New Roman" w:cs="Times New Roman"/>
                <w:color w:val="auto"/>
                <w:sz w:val="20"/>
                <w:szCs w:val="20"/>
                <w:highlight w:val="none"/>
                <w:lang w:val="en-US" w:eastAsia="zh-CN"/>
              </w:rPr>
              <w:t>位于主机车间，预处理后的垃圾经过螺旋进料器输送至热分解主机反应釜内进行热分解，反应釜内温度约8</w:t>
            </w:r>
            <w:r>
              <w:rPr>
                <w:rFonts w:hint="eastAsia" w:ascii="Times New Roman" w:hAnsi="Times New Roman" w:cs="Times New Roman"/>
                <w:color w:val="auto"/>
                <w:sz w:val="20"/>
                <w:szCs w:val="20"/>
                <w:highlight w:val="none"/>
                <w:lang w:val="en-US" w:eastAsia="zh-CN"/>
              </w:rPr>
              <w:t>5</w:t>
            </w:r>
            <w:r>
              <w:rPr>
                <w:rFonts w:hint="default" w:ascii="Times New Roman" w:hAnsi="Times New Roman" w:cs="Times New Roman"/>
                <w:color w:val="auto"/>
                <w:sz w:val="20"/>
                <w:szCs w:val="20"/>
                <w:highlight w:val="none"/>
                <w:lang w:val="en-US" w:eastAsia="zh-CN"/>
              </w:rPr>
              <w:t>0-9</w:t>
            </w:r>
            <w:r>
              <w:rPr>
                <w:rFonts w:hint="eastAsia" w:ascii="Times New Roman" w:hAnsi="Times New Roman" w:cs="Times New Roman"/>
                <w:color w:val="auto"/>
                <w:sz w:val="20"/>
                <w:szCs w:val="20"/>
                <w:highlight w:val="none"/>
                <w:lang w:val="en-US" w:eastAsia="zh-CN"/>
              </w:rPr>
              <w:t>5</w:t>
            </w:r>
            <w:r>
              <w:rPr>
                <w:rFonts w:hint="default" w:ascii="Times New Roman" w:hAnsi="Times New Roman" w:cs="Times New Roman"/>
                <w:color w:val="auto"/>
                <w:sz w:val="20"/>
                <w:szCs w:val="20"/>
                <w:highlight w:val="none"/>
                <w:lang w:val="en-US" w:eastAsia="zh-CN"/>
              </w:rPr>
              <w:t>0℃。</w:t>
            </w:r>
          </w:p>
          <w:p w14:paraId="214D8958">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热解车间设置1套热解设备—间接加热式回转窑，燃烧产生的高温气体通过筒壁间接加热垃圾，燃料为净化后热解气。</w:t>
            </w:r>
          </w:p>
          <w:p w14:paraId="78646846">
            <w:pPr>
              <w:keepNext w:val="0"/>
              <w:keepLines w:val="0"/>
              <w:suppressLineNumbers w:val="0"/>
              <w:spacing w:before="0" w:beforeAutospacing="0" w:after="0" w:afterAutospacing="0" w:line="240" w:lineRule="auto"/>
              <w:ind w:left="0" w:right="0"/>
              <w:jc w:val="left"/>
              <w:rPr>
                <w:rFonts w:hint="default" w:ascii="Times New Roman" w:hAnsi="Times New Roman" w:cs="Times New Roman"/>
                <w:b/>
                <w:bCs/>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涉及主要设备有螺旋进料器、热分解焚烧主机、主机密封、燃烧室密封、主机机架、主机传动等。</w:t>
            </w:r>
          </w:p>
        </w:tc>
        <w:tc>
          <w:tcPr>
            <w:tcW w:w="440" w:type="pct"/>
            <w:vMerge w:val="continue"/>
            <w:tcBorders>
              <w:tl2br w:val="nil"/>
              <w:tr2bl w:val="nil"/>
            </w:tcBorders>
            <w:shd w:val="clear" w:color="FFFFFF" w:themeColor="background1" w:fill="auto"/>
            <w:vAlign w:val="center"/>
          </w:tcPr>
          <w:p w14:paraId="00FAB4D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01F9FDF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7DA0F78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90" w:hRule="atLeast"/>
          <w:jc w:val="center"/>
        </w:trPr>
        <w:tc>
          <w:tcPr>
            <w:tcW w:w="421" w:type="pct"/>
            <w:vMerge w:val="continue"/>
            <w:tcBorders>
              <w:tl2br w:val="nil"/>
              <w:tr2bl w:val="nil"/>
            </w:tcBorders>
            <w:shd w:val="clear" w:color="FFFFFF" w:themeColor="background1" w:fill="auto"/>
            <w:vAlign w:val="center"/>
          </w:tcPr>
          <w:p w14:paraId="551742E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679" w:type="pct"/>
            <w:vMerge w:val="continue"/>
            <w:tcBorders>
              <w:tl2br w:val="nil"/>
              <w:tr2bl w:val="nil"/>
            </w:tcBorders>
            <w:shd w:val="clear" w:color="FFFFFF" w:themeColor="background1" w:fill="auto"/>
            <w:vAlign w:val="center"/>
          </w:tcPr>
          <w:p w14:paraId="16DDD18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397" w:type="pct"/>
            <w:vMerge w:val="continue"/>
            <w:tcBorders>
              <w:right w:val="single" w:color="000000" w:sz="4" w:space="0"/>
              <w:tl2br w:val="nil"/>
              <w:tr2bl w:val="nil"/>
            </w:tcBorders>
            <w:shd w:val="clear" w:color="FFFFFF" w:themeColor="background1" w:fill="auto"/>
            <w:vAlign w:val="center"/>
          </w:tcPr>
          <w:p w14:paraId="34CA500E">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p>
        </w:tc>
        <w:tc>
          <w:tcPr>
            <w:tcW w:w="2525" w:type="pct"/>
            <w:tcBorders>
              <w:left w:val="single" w:color="000000" w:sz="4" w:space="0"/>
              <w:tl2br w:val="nil"/>
              <w:tr2bl w:val="nil"/>
            </w:tcBorders>
            <w:shd w:val="clear" w:color="FFFFFF" w:themeColor="background1" w:fill="auto"/>
            <w:vAlign w:val="center"/>
          </w:tcPr>
          <w:p w14:paraId="2901B001">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再生可燃气体净化</w:t>
            </w:r>
            <w:r>
              <w:rPr>
                <w:rFonts w:hint="default" w:ascii="Times New Roman" w:hAnsi="Times New Roman" w:cs="Times New Roman"/>
                <w:color w:val="auto"/>
                <w:sz w:val="20"/>
                <w:szCs w:val="20"/>
                <w:highlight w:val="none"/>
                <w:lang w:val="en-US" w:eastAsia="zh-CN"/>
              </w:rPr>
              <w:t>：位于气体净化室，采用“喷淋脱酸除雾+电捕焦油”的组合热解气净化工艺。</w:t>
            </w:r>
            <w:r>
              <w:rPr>
                <w:rFonts w:hint="default" w:ascii="Times New Roman" w:hAnsi="Times New Roman" w:cs="Times New Roman"/>
                <w:color w:val="auto"/>
                <w:sz w:val="20"/>
                <w:szCs w:val="20"/>
                <w:highlight w:val="none"/>
              </w:rPr>
              <w:t>热解气通入气体净化间的</w:t>
            </w:r>
            <w:r>
              <w:rPr>
                <w:rFonts w:hint="default" w:ascii="Times New Roman" w:hAnsi="Times New Roman" w:cs="Times New Roman"/>
                <w:color w:val="auto"/>
                <w:sz w:val="20"/>
                <w:szCs w:val="20"/>
                <w:highlight w:val="none"/>
                <w:lang w:val="en-US" w:eastAsia="zh-CN"/>
              </w:rPr>
              <w:t>热分解气</w:t>
            </w:r>
            <w:r>
              <w:rPr>
                <w:rFonts w:hint="default" w:ascii="Times New Roman" w:hAnsi="Times New Roman" w:cs="Times New Roman"/>
                <w:color w:val="auto"/>
                <w:sz w:val="20"/>
                <w:szCs w:val="20"/>
                <w:highlight w:val="none"/>
              </w:rPr>
              <w:t>净化系统净化后储存于厂区东北侧气柜</w:t>
            </w:r>
            <w:r>
              <w:rPr>
                <w:rFonts w:hint="default"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lang w:val="en-US" w:eastAsia="zh-CN"/>
              </w:rPr>
              <w:t>2</w:t>
            </w:r>
            <w:r>
              <w:rPr>
                <w:rFonts w:hint="default" w:ascii="Times New Roman" w:hAnsi="Times New Roman" w:cs="Times New Roman"/>
                <w:color w:val="auto"/>
                <w:kern w:val="0"/>
                <w:sz w:val="20"/>
                <w:szCs w:val="20"/>
                <w:highlight w:val="none"/>
              </w:rPr>
              <w:t>000m</w:t>
            </w:r>
            <w:r>
              <w:rPr>
                <w:rFonts w:hint="default" w:ascii="Times New Roman" w:hAnsi="Times New Roman" w:cs="Times New Roman"/>
                <w:color w:val="auto"/>
                <w:kern w:val="0"/>
                <w:sz w:val="20"/>
                <w:szCs w:val="20"/>
                <w:highlight w:val="none"/>
                <w:vertAlign w:val="superscript"/>
              </w:rPr>
              <w:t>3</w:t>
            </w:r>
            <w:r>
              <w:rPr>
                <w:rFonts w:hint="default"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rPr>
              <w:t>中，通过管道全部返回热解燃烧系统作为燃料供热</w:t>
            </w:r>
            <w:r>
              <w:rPr>
                <w:rFonts w:hint="default" w:ascii="Times New Roman" w:hAnsi="Times New Roman" w:cs="Times New Roman"/>
                <w:color w:val="auto"/>
                <w:sz w:val="20"/>
                <w:szCs w:val="20"/>
                <w:highlight w:val="none"/>
                <w:lang w:val="en-US" w:eastAsia="zh-CN"/>
              </w:rPr>
              <w:t>。</w:t>
            </w:r>
          </w:p>
        </w:tc>
        <w:tc>
          <w:tcPr>
            <w:tcW w:w="440" w:type="pct"/>
            <w:vMerge w:val="continue"/>
            <w:tcBorders>
              <w:tl2br w:val="nil"/>
              <w:tr2bl w:val="nil"/>
            </w:tcBorders>
            <w:shd w:val="clear" w:color="FFFFFF" w:themeColor="background1" w:fill="auto"/>
            <w:vAlign w:val="center"/>
          </w:tcPr>
          <w:p w14:paraId="76AB67F2">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72B467D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废气、噪声</w:t>
            </w:r>
          </w:p>
        </w:tc>
      </w:tr>
      <w:tr w14:paraId="1BFB031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233935B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679" w:type="pct"/>
            <w:vMerge w:val="continue"/>
            <w:tcBorders>
              <w:tl2br w:val="nil"/>
              <w:tr2bl w:val="nil"/>
            </w:tcBorders>
            <w:shd w:val="clear" w:color="FFFFFF" w:themeColor="background1" w:fill="auto"/>
            <w:vAlign w:val="center"/>
          </w:tcPr>
          <w:p w14:paraId="586F4EC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p>
        </w:tc>
        <w:tc>
          <w:tcPr>
            <w:tcW w:w="2922" w:type="pct"/>
            <w:gridSpan w:val="2"/>
            <w:tcBorders>
              <w:tl2br w:val="nil"/>
              <w:tr2bl w:val="nil"/>
            </w:tcBorders>
            <w:shd w:val="clear" w:color="FFFFFF" w:themeColor="background1" w:fill="auto"/>
            <w:vAlign w:val="center"/>
          </w:tcPr>
          <w:p w14:paraId="4FF53416">
            <w:pPr>
              <w:keepNext w:val="0"/>
              <w:keepLines w:val="0"/>
              <w:suppressLineNumbers w:val="0"/>
              <w:spacing w:before="0" w:beforeAutospacing="0" w:after="0" w:afterAutospacing="0" w:line="240" w:lineRule="auto"/>
              <w:ind w:left="0" w:leftChars="0" w:right="0" w:rightChars="0"/>
              <w:jc w:val="both"/>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b/>
                <w:bCs/>
                <w:color w:val="auto"/>
                <w:sz w:val="20"/>
                <w:szCs w:val="20"/>
                <w:highlight w:val="none"/>
                <w:lang w:val="en-US" w:eastAsia="zh-CN"/>
              </w:rPr>
              <w:t>炭渣加工：</w:t>
            </w:r>
            <w:r>
              <w:rPr>
                <w:rFonts w:hint="default" w:ascii="Times New Roman" w:hAnsi="Times New Roman" w:cs="Times New Roman"/>
                <w:color w:val="auto"/>
                <w:sz w:val="20"/>
                <w:szCs w:val="20"/>
                <w:highlight w:val="none"/>
                <w:lang w:val="en-US" w:eastAsia="zh-CN"/>
              </w:rPr>
              <w:t>位于炭渣加工区，炭黑经粉碎、筛分、搅拌后制成碳棒出售。</w:t>
            </w:r>
          </w:p>
        </w:tc>
        <w:tc>
          <w:tcPr>
            <w:tcW w:w="440" w:type="pct"/>
            <w:vMerge w:val="continue"/>
            <w:tcBorders>
              <w:tl2br w:val="nil"/>
              <w:tr2bl w:val="nil"/>
            </w:tcBorders>
            <w:shd w:val="clear" w:color="FFFFFF" w:themeColor="background1" w:fill="auto"/>
            <w:vAlign w:val="center"/>
          </w:tcPr>
          <w:p w14:paraId="4899EEB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6EE6D18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r>
      <w:tr w14:paraId="40A4AD3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restart"/>
            <w:tcBorders>
              <w:tl2br w:val="nil"/>
              <w:tr2bl w:val="nil"/>
            </w:tcBorders>
            <w:shd w:val="clear" w:color="FFFFFF" w:themeColor="background1" w:fill="auto"/>
            <w:vAlign w:val="center"/>
          </w:tcPr>
          <w:p w14:paraId="5EB10B1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公用</w:t>
            </w:r>
          </w:p>
          <w:p w14:paraId="107035F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工程</w:t>
            </w:r>
          </w:p>
        </w:tc>
        <w:tc>
          <w:tcPr>
            <w:tcW w:w="679" w:type="pct"/>
            <w:tcBorders>
              <w:tl2br w:val="nil"/>
              <w:tr2bl w:val="nil"/>
            </w:tcBorders>
            <w:shd w:val="clear" w:color="FFFFFF" w:themeColor="background1" w:fill="auto"/>
            <w:vAlign w:val="center"/>
          </w:tcPr>
          <w:p w14:paraId="656211F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给水</w:t>
            </w:r>
          </w:p>
        </w:tc>
        <w:tc>
          <w:tcPr>
            <w:tcW w:w="2922" w:type="pct"/>
            <w:gridSpan w:val="2"/>
            <w:tcBorders>
              <w:tl2br w:val="nil"/>
              <w:tr2bl w:val="nil"/>
            </w:tcBorders>
            <w:shd w:val="clear" w:color="FFFFFF" w:themeColor="background1" w:fill="auto"/>
            <w:vAlign w:val="center"/>
          </w:tcPr>
          <w:p w14:paraId="1E4442CE">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由市政供水。</w:t>
            </w:r>
          </w:p>
        </w:tc>
        <w:tc>
          <w:tcPr>
            <w:tcW w:w="440" w:type="pct"/>
            <w:vMerge w:val="continue"/>
            <w:tcBorders>
              <w:tl2br w:val="nil"/>
              <w:tr2bl w:val="nil"/>
            </w:tcBorders>
            <w:shd w:val="clear" w:color="FFFFFF" w:themeColor="background1" w:fill="auto"/>
            <w:vAlign w:val="center"/>
          </w:tcPr>
          <w:p w14:paraId="1A04F9F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042CD55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w:t>
            </w:r>
          </w:p>
        </w:tc>
      </w:tr>
      <w:tr w14:paraId="388BBF7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5639BFC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01910F9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排水</w:t>
            </w:r>
          </w:p>
        </w:tc>
        <w:tc>
          <w:tcPr>
            <w:tcW w:w="2922" w:type="pct"/>
            <w:gridSpan w:val="2"/>
            <w:tcBorders>
              <w:tl2br w:val="nil"/>
              <w:tr2bl w:val="nil"/>
            </w:tcBorders>
            <w:shd w:val="clear" w:color="FFFFFF" w:themeColor="background1" w:fill="auto"/>
            <w:vAlign w:val="center"/>
          </w:tcPr>
          <w:p w14:paraId="5E4318DC">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采用雨污分流。生产废水（垃圾渗滤液和垃圾暂存仓冲洗废水）经厂区渗滤液收集池（44m</w:t>
            </w:r>
            <w:r>
              <w:rPr>
                <w:rFonts w:hint="default" w:ascii="Times New Roman" w:hAnsi="Times New Roman" w:cs="Times New Roman"/>
                <w:color w:val="auto"/>
                <w:sz w:val="20"/>
                <w:szCs w:val="20"/>
                <w:highlight w:val="none"/>
                <w:vertAlign w:val="superscript"/>
                <w:lang w:val="en-US" w:eastAsia="zh-CN"/>
              </w:rPr>
              <w:t>3</w:t>
            </w:r>
            <w:r>
              <w:rPr>
                <w:rFonts w:hint="default" w:ascii="Times New Roman" w:hAnsi="Times New Roman" w:cs="Times New Roman"/>
                <w:color w:val="auto"/>
                <w:sz w:val="20"/>
                <w:szCs w:val="20"/>
                <w:highlight w:val="none"/>
                <w:lang w:val="en-US" w:eastAsia="zh-CN"/>
              </w:rPr>
              <w:t>）收集后送入提升至污水池</w:t>
            </w:r>
            <w:r>
              <w:rPr>
                <w:rFonts w:hint="eastAsia" w:ascii="Times New Roman" w:hAnsi="Times New Roman" w:cs="Times New Roman"/>
                <w:color w:val="auto"/>
                <w:sz w:val="20"/>
                <w:szCs w:val="20"/>
                <w:highlight w:val="none"/>
                <w:lang w:val="en-US" w:eastAsia="zh-CN"/>
              </w:rPr>
              <w:t>（50m</w:t>
            </w:r>
            <w:r>
              <w:rPr>
                <w:rFonts w:hint="eastAsia" w:ascii="Times New Roman" w:hAnsi="Times New Roman" w:cs="Times New Roman"/>
                <w:color w:val="auto"/>
                <w:sz w:val="20"/>
                <w:szCs w:val="20"/>
                <w:highlight w:val="none"/>
                <w:vertAlign w:val="superscript"/>
                <w:lang w:val="en-US" w:eastAsia="zh-CN"/>
              </w:rPr>
              <w:t>3</w:t>
            </w:r>
            <w:r>
              <w:rPr>
                <w:rFonts w:hint="eastAsia" w:ascii="Times New Roman" w:hAnsi="Times New Roman" w:cs="Times New Roman"/>
                <w:color w:val="auto"/>
                <w:sz w:val="20"/>
                <w:szCs w:val="20"/>
                <w:highlight w:val="none"/>
                <w:lang w:val="en-US" w:eastAsia="zh-CN"/>
              </w:rPr>
              <w:t>）</w:t>
            </w:r>
            <w:r>
              <w:rPr>
                <w:rFonts w:hint="default" w:ascii="Times New Roman" w:hAnsi="Times New Roman" w:cs="Times New Roman"/>
                <w:color w:val="auto"/>
                <w:sz w:val="20"/>
                <w:szCs w:val="20"/>
                <w:highlight w:val="none"/>
                <w:lang w:val="en-US" w:eastAsia="zh-CN"/>
              </w:rPr>
              <w:t xml:space="preserve">渗滤液处理系统进行处理。 </w:t>
            </w:r>
          </w:p>
        </w:tc>
        <w:tc>
          <w:tcPr>
            <w:tcW w:w="440" w:type="pct"/>
            <w:vMerge w:val="continue"/>
            <w:tcBorders>
              <w:tl2br w:val="nil"/>
              <w:tr2bl w:val="nil"/>
            </w:tcBorders>
            <w:shd w:val="clear" w:color="FFFFFF" w:themeColor="background1" w:fill="auto"/>
            <w:vAlign w:val="center"/>
          </w:tcPr>
          <w:p w14:paraId="3DFBD41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64D75D0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w:t>
            </w:r>
          </w:p>
        </w:tc>
      </w:tr>
      <w:tr w14:paraId="633689E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71B745B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1DAD7A7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供电</w:t>
            </w:r>
          </w:p>
        </w:tc>
        <w:tc>
          <w:tcPr>
            <w:tcW w:w="2922" w:type="pct"/>
            <w:gridSpan w:val="2"/>
            <w:tcBorders>
              <w:tl2br w:val="nil"/>
              <w:tr2bl w:val="nil"/>
            </w:tcBorders>
            <w:shd w:val="clear" w:color="FFFFFF" w:themeColor="background1" w:fill="auto"/>
            <w:vAlign w:val="center"/>
          </w:tcPr>
          <w:p w14:paraId="6D3D2184">
            <w:pPr>
              <w:keepNext w:val="0"/>
              <w:keepLines w:val="0"/>
              <w:suppressLineNumbers w:val="0"/>
              <w:spacing w:before="0" w:beforeAutospacing="0" w:after="0" w:afterAutospacing="0" w:line="240" w:lineRule="auto"/>
              <w:ind w:left="0" w:right="0"/>
              <w:jc w:val="left"/>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由市政供电。厂区设置配电房，主厂房设备间内设置备用柴油发电机组1套，</w:t>
            </w:r>
            <w:r>
              <w:rPr>
                <w:rFonts w:hint="default" w:ascii="Times New Roman" w:hAnsi="Times New Roman" w:cs="Times New Roman"/>
                <w:color w:val="auto"/>
                <w:kern w:val="0"/>
                <w:sz w:val="20"/>
                <w:szCs w:val="20"/>
                <w:highlight w:val="none"/>
              </w:rPr>
              <w:t>100kW</w:t>
            </w:r>
            <w:r>
              <w:rPr>
                <w:rFonts w:hint="default" w:ascii="Times New Roman" w:hAnsi="Times New Roman" w:cs="Times New Roman"/>
                <w:color w:val="auto"/>
                <w:kern w:val="0"/>
                <w:sz w:val="20"/>
                <w:szCs w:val="20"/>
                <w:highlight w:val="none"/>
                <w:lang w:eastAsia="zh-CN"/>
              </w:rPr>
              <w:t>。</w:t>
            </w:r>
          </w:p>
        </w:tc>
        <w:tc>
          <w:tcPr>
            <w:tcW w:w="440" w:type="pct"/>
            <w:vMerge w:val="continue"/>
            <w:tcBorders>
              <w:tl2br w:val="nil"/>
              <w:tr2bl w:val="nil"/>
            </w:tcBorders>
            <w:shd w:val="clear" w:color="FFFFFF" w:themeColor="background1" w:fill="auto"/>
            <w:vAlign w:val="center"/>
          </w:tcPr>
          <w:p w14:paraId="7DFFD9A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70B48BC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w:t>
            </w:r>
          </w:p>
        </w:tc>
      </w:tr>
      <w:tr w14:paraId="0157AC9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4D05A75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5FC5403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供气</w:t>
            </w:r>
          </w:p>
        </w:tc>
        <w:tc>
          <w:tcPr>
            <w:tcW w:w="2922" w:type="pct"/>
            <w:gridSpan w:val="2"/>
            <w:tcBorders>
              <w:tl2br w:val="nil"/>
              <w:tr2bl w:val="nil"/>
            </w:tcBorders>
            <w:shd w:val="clear" w:color="FFFFFF" w:themeColor="background1" w:fill="auto"/>
            <w:vAlign w:val="center"/>
          </w:tcPr>
          <w:p w14:paraId="7F85B412">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由市政供气。</w:t>
            </w:r>
            <w:r>
              <w:rPr>
                <w:rFonts w:hint="default" w:ascii="Times New Roman" w:hAnsi="Times New Roman" w:eastAsia="宋体" w:cs="Times New Roman"/>
                <w:color w:val="auto"/>
                <w:sz w:val="20"/>
                <w:szCs w:val="20"/>
                <w:highlight w:val="none"/>
              </w:rPr>
              <w:t>新建室内外架空燃气管道（燃气管道设计压力40KPa、设计发热值8600Kcal/Nm</w:t>
            </w:r>
            <w:r>
              <w:rPr>
                <w:rFonts w:hint="default" w:ascii="Times New Roman" w:hAnsi="Times New Roman" w:eastAsia="宋体" w:cs="Times New Roman"/>
                <w:color w:val="auto"/>
                <w:sz w:val="20"/>
                <w:szCs w:val="20"/>
                <w:highlight w:val="none"/>
                <w:vertAlign w:val="superscript"/>
              </w:rPr>
              <w:t>3</w:t>
            </w:r>
            <w:r>
              <w:rPr>
                <w:rFonts w:hint="default" w:ascii="Times New Roman" w:hAnsi="Times New Roman" w:eastAsia="宋体" w:cs="Times New Roman"/>
                <w:color w:val="auto"/>
                <w:sz w:val="20"/>
                <w:szCs w:val="20"/>
                <w:highlight w:val="none"/>
              </w:rPr>
              <w:t>、设计流量260Nm</w:t>
            </w:r>
            <w:r>
              <w:rPr>
                <w:rFonts w:hint="default" w:ascii="Times New Roman" w:hAnsi="Times New Roman" w:eastAsia="宋体" w:cs="Times New Roman"/>
                <w:color w:val="auto"/>
                <w:sz w:val="20"/>
                <w:szCs w:val="20"/>
                <w:highlight w:val="none"/>
                <w:vertAlign w:val="superscript"/>
              </w:rPr>
              <w:t>3</w:t>
            </w:r>
            <w:r>
              <w:rPr>
                <w:rFonts w:hint="default" w:ascii="Times New Roman" w:hAnsi="Times New Roman" w:eastAsia="宋体" w:cs="Times New Roman"/>
                <w:color w:val="auto"/>
                <w:sz w:val="20"/>
                <w:szCs w:val="20"/>
                <w:highlight w:val="none"/>
              </w:rPr>
              <w:t>/h）。</w:t>
            </w:r>
          </w:p>
        </w:tc>
        <w:tc>
          <w:tcPr>
            <w:tcW w:w="440" w:type="pct"/>
            <w:vMerge w:val="continue"/>
            <w:tcBorders>
              <w:tl2br w:val="nil"/>
              <w:tr2bl w:val="nil"/>
            </w:tcBorders>
            <w:shd w:val="clear" w:color="FFFFFF" w:themeColor="background1" w:fill="auto"/>
            <w:vAlign w:val="center"/>
          </w:tcPr>
          <w:p w14:paraId="5125BD0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3467C70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65FACAB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2D3D577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0BED176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消防</w:t>
            </w:r>
          </w:p>
        </w:tc>
        <w:tc>
          <w:tcPr>
            <w:tcW w:w="2922" w:type="pct"/>
            <w:gridSpan w:val="2"/>
            <w:tcBorders>
              <w:tl2br w:val="nil"/>
              <w:tr2bl w:val="nil"/>
            </w:tcBorders>
            <w:shd w:val="clear" w:color="FFFFFF" w:themeColor="background1" w:fill="auto"/>
            <w:vAlign w:val="center"/>
          </w:tcPr>
          <w:p w14:paraId="199B4037">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地下一层设置水泵房和2个消防水池（总有效容积864m</w:t>
            </w:r>
            <w:r>
              <w:rPr>
                <w:rFonts w:hint="default" w:ascii="Times New Roman" w:hAnsi="Times New Roman" w:cs="Times New Roman"/>
                <w:color w:val="auto"/>
                <w:sz w:val="20"/>
                <w:szCs w:val="20"/>
                <w:highlight w:val="none"/>
                <w:vertAlign w:val="superscript"/>
                <w:lang w:val="en-US" w:eastAsia="zh-CN"/>
              </w:rPr>
              <w:t>3</w:t>
            </w:r>
            <w:r>
              <w:rPr>
                <w:rFonts w:hint="default" w:ascii="Times New Roman" w:hAnsi="Times New Roman" w:cs="Times New Roman"/>
                <w:color w:val="auto"/>
                <w:sz w:val="20"/>
                <w:szCs w:val="20"/>
                <w:highlight w:val="none"/>
                <w:lang w:val="en-US" w:eastAsia="zh-CN"/>
              </w:rPr>
              <w:t>）；设有消防车道、室内外消火栓、火灾自动报警系统、室内灭火器、自动消防水炮灭火系统等。</w:t>
            </w:r>
          </w:p>
        </w:tc>
        <w:tc>
          <w:tcPr>
            <w:tcW w:w="440" w:type="pct"/>
            <w:vMerge w:val="continue"/>
            <w:tcBorders>
              <w:tl2br w:val="nil"/>
              <w:tr2bl w:val="nil"/>
            </w:tcBorders>
            <w:shd w:val="clear" w:color="FFFFFF" w:themeColor="background1" w:fill="auto"/>
            <w:vAlign w:val="center"/>
          </w:tcPr>
          <w:p w14:paraId="07BFB55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3F06912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w:t>
            </w:r>
          </w:p>
        </w:tc>
      </w:tr>
      <w:tr w14:paraId="055BE87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102D65F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281FF63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冷却循环系统</w:t>
            </w:r>
          </w:p>
        </w:tc>
        <w:tc>
          <w:tcPr>
            <w:tcW w:w="2922" w:type="pct"/>
            <w:gridSpan w:val="2"/>
            <w:tcBorders>
              <w:tl2br w:val="nil"/>
              <w:tr2bl w:val="nil"/>
            </w:tcBorders>
            <w:shd w:val="clear" w:color="FFFFFF" w:themeColor="background1" w:fill="auto"/>
            <w:vAlign w:val="center"/>
          </w:tcPr>
          <w:p w14:paraId="284209EC">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设2台玻璃钢冷却塔，6台冷却水泵，Q=15m</w:t>
            </w:r>
            <w:r>
              <w:rPr>
                <w:rFonts w:hint="default" w:ascii="Times New Roman" w:hAnsi="Times New Roman" w:cs="Times New Roman"/>
                <w:color w:val="auto"/>
                <w:sz w:val="20"/>
                <w:szCs w:val="20"/>
                <w:highlight w:val="none"/>
                <w:vertAlign w:val="superscript"/>
                <w:lang w:val="en-US" w:eastAsia="zh-CN"/>
              </w:rPr>
              <w:t>3</w:t>
            </w:r>
            <w:r>
              <w:rPr>
                <w:rFonts w:hint="default" w:ascii="Times New Roman" w:hAnsi="Times New Roman" w:cs="Times New Roman"/>
                <w:color w:val="auto"/>
                <w:sz w:val="20"/>
                <w:szCs w:val="20"/>
                <w:highlight w:val="none"/>
                <w:lang w:val="en-US" w:eastAsia="zh-CN"/>
              </w:rPr>
              <w:t>/h，H=10m。</w:t>
            </w:r>
          </w:p>
        </w:tc>
        <w:tc>
          <w:tcPr>
            <w:tcW w:w="440" w:type="pct"/>
            <w:vMerge w:val="continue"/>
            <w:tcBorders>
              <w:tl2br w:val="nil"/>
              <w:tr2bl w:val="nil"/>
            </w:tcBorders>
            <w:shd w:val="clear" w:color="FFFFFF" w:themeColor="background1" w:fill="auto"/>
            <w:vAlign w:val="center"/>
          </w:tcPr>
          <w:p w14:paraId="72993A8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1866394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661E753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restart"/>
            <w:tcBorders>
              <w:tl2br w:val="nil"/>
              <w:tr2bl w:val="nil"/>
            </w:tcBorders>
            <w:shd w:val="clear" w:color="FFFFFF" w:themeColor="background1" w:fill="auto"/>
            <w:vAlign w:val="center"/>
          </w:tcPr>
          <w:p w14:paraId="06D2632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辅助工程</w:t>
            </w:r>
          </w:p>
        </w:tc>
        <w:tc>
          <w:tcPr>
            <w:tcW w:w="679" w:type="pct"/>
            <w:tcBorders>
              <w:tl2br w:val="nil"/>
              <w:tr2bl w:val="nil"/>
            </w:tcBorders>
            <w:shd w:val="clear" w:color="FFFFFF" w:themeColor="background1" w:fill="auto"/>
            <w:vAlign w:val="center"/>
          </w:tcPr>
          <w:p w14:paraId="5BCE1F9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自动控制系统</w:t>
            </w:r>
          </w:p>
        </w:tc>
        <w:tc>
          <w:tcPr>
            <w:tcW w:w="2922" w:type="pct"/>
            <w:gridSpan w:val="2"/>
            <w:tcBorders>
              <w:tl2br w:val="nil"/>
              <w:tr2bl w:val="nil"/>
            </w:tcBorders>
            <w:shd w:val="clear" w:color="FFFFFF" w:themeColor="background1" w:fill="auto"/>
            <w:vAlign w:val="center"/>
          </w:tcPr>
          <w:p w14:paraId="54627ED6">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位于主厂房，设有全厂工业监视系统1套、热分解系统成套控制1套、废气排放监测1套、预处理控制1套。由计算机自动控制，设有在线监测的烟气取样探测器、SO</w:t>
            </w:r>
            <w:r>
              <w:rPr>
                <w:rFonts w:hint="default" w:ascii="Times New Roman" w:hAnsi="Times New Roman" w:cs="Times New Roman"/>
                <w:color w:val="auto"/>
                <w:sz w:val="20"/>
                <w:szCs w:val="20"/>
                <w:highlight w:val="none"/>
                <w:vertAlign w:val="subscript"/>
                <w:lang w:val="en-US" w:eastAsia="zh-CN"/>
              </w:rPr>
              <w:t>2</w:t>
            </w:r>
            <w:r>
              <w:rPr>
                <w:rFonts w:hint="default" w:ascii="Times New Roman" w:hAnsi="Times New Roman" w:cs="Times New Roman"/>
                <w:color w:val="auto"/>
                <w:sz w:val="20"/>
                <w:szCs w:val="20"/>
                <w:highlight w:val="none"/>
                <w:lang w:val="en-US" w:eastAsia="zh-CN"/>
              </w:rPr>
              <w:t>、NOx、HCl、CO、粉尘等分析仪、烟气流量计以及其它监测信息均通过传感器传送至中央控制室。</w:t>
            </w:r>
          </w:p>
        </w:tc>
        <w:tc>
          <w:tcPr>
            <w:tcW w:w="440" w:type="pct"/>
            <w:tcBorders>
              <w:tl2br w:val="nil"/>
              <w:tr2bl w:val="nil"/>
            </w:tcBorders>
            <w:shd w:val="clear" w:color="FFFFFF" w:themeColor="background1" w:fill="auto"/>
            <w:vAlign w:val="center"/>
          </w:tcPr>
          <w:p w14:paraId="28B9B9A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2C7B8C5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3E604E0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44542F4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134DE48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垃圾收运系统</w:t>
            </w:r>
          </w:p>
        </w:tc>
        <w:tc>
          <w:tcPr>
            <w:tcW w:w="2922" w:type="pct"/>
            <w:gridSpan w:val="2"/>
            <w:tcBorders>
              <w:tl2br w:val="nil"/>
              <w:tr2bl w:val="nil"/>
            </w:tcBorders>
            <w:shd w:val="clear" w:color="FFFFFF" w:themeColor="background1" w:fill="auto"/>
            <w:vAlign w:val="center"/>
          </w:tcPr>
          <w:p w14:paraId="26186452">
            <w:pPr>
              <w:keepNext w:val="0"/>
              <w:keepLines w:val="0"/>
              <w:suppressLineNumbers w:val="0"/>
              <w:spacing w:before="0" w:beforeAutospacing="0" w:after="0" w:afterAutospacing="0" w:line="240" w:lineRule="auto"/>
              <w:ind w:left="0" w:right="0"/>
              <w:jc w:val="left"/>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cs="Times New Roman"/>
                <w:color w:val="auto"/>
                <w:sz w:val="20"/>
                <w:szCs w:val="20"/>
                <w:highlight w:val="none"/>
              </w:rPr>
              <w:t>由服务范围的各乡镇政府环卫</w:t>
            </w:r>
            <w:r>
              <w:rPr>
                <w:rFonts w:hint="eastAsia" w:ascii="Times New Roman" w:hAnsi="Times New Roman" w:cs="Times New Roman"/>
                <w:color w:val="auto"/>
                <w:sz w:val="20"/>
                <w:szCs w:val="20"/>
                <w:highlight w:val="none"/>
                <w:lang w:val="en-US" w:eastAsia="zh-CN"/>
              </w:rPr>
              <w:t>部门</w:t>
            </w:r>
            <w:r>
              <w:rPr>
                <w:rFonts w:hint="default" w:ascii="Times New Roman" w:hAnsi="Times New Roman" w:cs="Times New Roman"/>
                <w:color w:val="auto"/>
                <w:sz w:val="20"/>
                <w:szCs w:val="20"/>
                <w:highlight w:val="none"/>
              </w:rPr>
              <w:t>负责收运，不属于本次工程内容。采用密闭垃圾车运输进入厂区，厂区设置垃圾暂存仓</w:t>
            </w:r>
            <w:r>
              <w:rPr>
                <w:rFonts w:hint="default" w:ascii="Times New Roman" w:hAnsi="Times New Roman" w:cs="Times New Roman"/>
                <w:color w:val="auto"/>
                <w:sz w:val="20"/>
                <w:szCs w:val="20"/>
                <w:highlight w:val="none"/>
                <w:lang w:eastAsia="zh-CN"/>
              </w:rPr>
              <w:t>。</w:t>
            </w:r>
          </w:p>
        </w:tc>
        <w:tc>
          <w:tcPr>
            <w:tcW w:w="440" w:type="pct"/>
            <w:vMerge w:val="restart"/>
            <w:tcBorders>
              <w:tl2br w:val="nil"/>
              <w:tr2bl w:val="nil"/>
            </w:tcBorders>
            <w:shd w:val="clear" w:color="FFFFFF" w:themeColor="background1" w:fill="auto"/>
            <w:vAlign w:val="center"/>
          </w:tcPr>
          <w:p w14:paraId="22EF770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扬尘</w:t>
            </w:r>
          </w:p>
          <w:p w14:paraId="065B8C2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噪声</w:t>
            </w:r>
          </w:p>
          <w:p w14:paraId="1072725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固废</w:t>
            </w:r>
          </w:p>
          <w:p w14:paraId="7F229EA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废水</w:t>
            </w:r>
          </w:p>
        </w:tc>
        <w:tc>
          <w:tcPr>
            <w:tcW w:w="536" w:type="pct"/>
            <w:vMerge w:val="restart"/>
            <w:tcBorders>
              <w:tl2br w:val="nil"/>
              <w:tr2bl w:val="nil"/>
            </w:tcBorders>
            <w:shd w:val="clear" w:color="FFFFFF" w:themeColor="background1" w:fill="auto"/>
            <w:vAlign w:val="center"/>
          </w:tcPr>
          <w:p w14:paraId="4CEE73F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恶臭</w:t>
            </w:r>
          </w:p>
          <w:p w14:paraId="66D34AB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噪声</w:t>
            </w:r>
          </w:p>
          <w:p w14:paraId="6065A47C">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废水</w:t>
            </w:r>
          </w:p>
          <w:p w14:paraId="6B2B5F9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zh-CN" w:eastAsia="zh-CN" w:bidi="ar-SA"/>
              </w:rPr>
              <w:t>固废</w:t>
            </w:r>
          </w:p>
        </w:tc>
      </w:tr>
      <w:tr w14:paraId="376A741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26523AD2">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53B36388">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污水池</w:t>
            </w:r>
          </w:p>
        </w:tc>
        <w:tc>
          <w:tcPr>
            <w:tcW w:w="2922" w:type="pct"/>
            <w:gridSpan w:val="2"/>
            <w:tcBorders>
              <w:tl2br w:val="nil"/>
              <w:tr2bl w:val="nil"/>
            </w:tcBorders>
            <w:shd w:val="clear" w:color="FFFFFF" w:themeColor="background1" w:fill="auto"/>
            <w:vAlign w:val="center"/>
          </w:tcPr>
          <w:p w14:paraId="41860DF3">
            <w:pPr>
              <w:keepNext w:val="0"/>
              <w:keepLines w:val="0"/>
              <w:suppressLineNumbers w:val="0"/>
              <w:spacing w:before="0" w:beforeAutospacing="0" w:after="0" w:afterAutospacing="0" w:line="240" w:lineRule="auto"/>
              <w:ind w:left="0" w:leftChars="0" w:right="0" w:rightChars="0"/>
              <w:jc w:val="left"/>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位于厂区北侧，面积91.16 m</w:t>
            </w:r>
            <w:r>
              <w:rPr>
                <w:rFonts w:hint="default" w:ascii="Times New Roman" w:hAnsi="Times New Roman" w:cs="Times New Roman"/>
                <w:color w:val="auto"/>
                <w:sz w:val="20"/>
                <w:szCs w:val="20"/>
                <w:highlight w:val="none"/>
                <w:vertAlign w:val="superscript"/>
                <w:lang w:val="en-US" w:eastAsia="zh-CN"/>
              </w:rPr>
              <w:t>2</w:t>
            </w:r>
            <w:r>
              <w:rPr>
                <w:rFonts w:hint="default" w:ascii="Times New Roman" w:hAnsi="Times New Roman" w:cs="Times New Roman"/>
                <w:color w:val="auto"/>
                <w:sz w:val="20"/>
                <w:szCs w:val="20"/>
                <w:highlight w:val="none"/>
                <w:lang w:val="en-US" w:eastAsia="zh-CN"/>
              </w:rPr>
              <w:t>。</w:t>
            </w:r>
          </w:p>
        </w:tc>
        <w:tc>
          <w:tcPr>
            <w:tcW w:w="440" w:type="pct"/>
            <w:vMerge w:val="continue"/>
            <w:tcBorders>
              <w:tl2br w:val="nil"/>
              <w:tr2bl w:val="nil"/>
            </w:tcBorders>
            <w:shd w:val="clear" w:color="FFFFFF" w:themeColor="background1" w:fill="auto"/>
            <w:vAlign w:val="center"/>
          </w:tcPr>
          <w:p w14:paraId="44B9645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5AE4C69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r>
      <w:tr w14:paraId="5F31D2C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2147607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040CB1B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设备用房</w:t>
            </w:r>
          </w:p>
        </w:tc>
        <w:tc>
          <w:tcPr>
            <w:tcW w:w="2922" w:type="pct"/>
            <w:gridSpan w:val="2"/>
            <w:tcBorders>
              <w:tl2br w:val="nil"/>
              <w:tr2bl w:val="nil"/>
            </w:tcBorders>
            <w:shd w:val="clear" w:color="FFFFFF" w:themeColor="background1" w:fill="auto"/>
            <w:vAlign w:val="center"/>
          </w:tcPr>
          <w:p w14:paraId="299455EE">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位于主厂房，包括配电室、地下水泵房和消防水池。</w:t>
            </w:r>
          </w:p>
        </w:tc>
        <w:tc>
          <w:tcPr>
            <w:tcW w:w="440" w:type="pct"/>
            <w:vMerge w:val="continue"/>
            <w:tcBorders>
              <w:tl2br w:val="nil"/>
              <w:tr2bl w:val="nil"/>
            </w:tcBorders>
            <w:shd w:val="clear" w:color="FFFFFF" w:themeColor="background1" w:fill="auto"/>
            <w:vAlign w:val="center"/>
          </w:tcPr>
          <w:p w14:paraId="7808B3E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639F532E">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r>
      <w:tr w14:paraId="7E67F67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0BE8694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6AF97B7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en-US" w:eastAsia="zh-CN" w:bidi="ar-SA"/>
              </w:rPr>
              <w:t>地磅</w:t>
            </w:r>
          </w:p>
        </w:tc>
        <w:tc>
          <w:tcPr>
            <w:tcW w:w="2922" w:type="pct"/>
            <w:gridSpan w:val="2"/>
            <w:tcBorders>
              <w:tl2br w:val="nil"/>
              <w:tr2bl w:val="nil"/>
            </w:tcBorders>
            <w:shd w:val="clear" w:color="FFFFFF" w:themeColor="background1" w:fill="auto"/>
            <w:vAlign w:val="center"/>
          </w:tcPr>
          <w:p w14:paraId="5B81333C">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位于厂区东侧物流入口处，露天设置。</w:t>
            </w:r>
          </w:p>
        </w:tc>
        <w:tc>
          <w:tcPr>
            <w:tcW w:w="440" w:type="pct"/>
            <w:vMerge w:val="continue"/>
            <w:tcBorders>
              <w:tl2br w:val="nil"/>
              <w:tr2bl w:val="nil"/>
            </w:tcBorders>
            <w:shd w:val="clear" w:color="FFFFFF" w:themeColor="background1" w:fill="auto"/>
            <w:vAlign w:val="center"/>
          </w:tcPr>
          <w:p w14:paraId="721CDA3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536" w:type="pct"/>
            <w:vMerge w:val="continue"/>
            <w:tcBorders>
              <w:tl2br w:val="nil"/>
              <w:tr2bl w:val="nil"/>
            </w:tcBorders>
            <w:shd w:val="clear" w:color="FFFFFF" w:themeColor="background1" w:fill="auto"/>
            <w:vAlign w:val="center"/>
          </w:tcPr>
          <w:p w14:paraId="7256D19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2863098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61743E2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7F3E6F5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停车位</w:t>
            </w:r>
          </w:p>
        </w:tc>
        <w:tc>
          <w:tcPr>
            <w:tcW w:w="2922" w:type="pct"/>
            <w:gridSpan w:val="2"/>
            <w:tcBorders>
              <w:tl2br w:val="nil"/>
              <w:tr2bl w:val="nil"/>
            </w:tcBorders>
            <w:shd w:val="clear" w:color="FFFFFF" w:themeColor="background1" w:fill="auto"/>
            <w:vAlign w:val="center"/>
          </w:tcPr>
          <w:p w14:paraId="28A9C0D8">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主厂房东侧平台设置货车停车位3个和小汽车停车位4个。</w:t>
            </w:r>
          </w:p>
        </w:tc>
        <w:tc>
          <w:tcPr>
            <w:tcW w:w="440" w:type="pct"/>
            <w:vMerge w:val="continue"/>
            <w:tcBorders>
              <w:tl2br w:val="nil"/>
              <w:tr2bl w:val="nil"/>
            </w:tcBorders>
            <w:shd w:val="clear" w:color="FFFFFF" w:themeColor="background1" w:fill="auto"/>
            <w:vAlign w:val="center"/>
          </w:tcPr>
          <w:p w14:paraId="520847F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519C4D6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693CEBC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restart"/>
            <w:tcBorders>
              <w:tl2br w:val="nil"/>
              <w:tr2bl w:val="nil"/>
            </w:tcBorders>
            <w:shd w:val="clear" w:color="FFFFFF" w:themeColor="background1" w:fill="auto"/>
            <w:vAlign w:val="center"/>
          </w:tcPr>
          <w:p w14:paraId="7AFC06B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储运工程</w:t>
            </w:r>
          </w:p>
        </w:tc>
        <w:tc>
          <w:tcPr>
            <w:tcW w:w="679" w:type="pct"/>
            <w:tcBorders>
              <w:tl2br w:val="nil"/>
              <w:tr2bl w:val="nil"/>
            </w:tcBorders>
            <w:shd w:val="clear" w:color="FFFFFF" w:themeColor="background1" w:fill="auto"/>
            <w:vAlign w:val="center"/>
          </w:tcPr>
          <w:p w14:paraId="3E45946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气柜</w:t>
            </w:r>
          </w:p>
        </w:tc>
        <w:tc>
          <w:tcPr>
            <w:tcW w:w="2922" w:type="pct"/>
            <w:gridSpan w:val="2"/>
            <w:tcBorders>
              <w:tl2br w:val="nil"/>
              <w:tr2bl w:val="nil"/>
            </w:tcBorders>
            <w:shd w:val="clear" w:color="FFFFFF" w:themeColor="background1" w:fill="auto"/>
            <w:vAlign w:val="center"/>
          </w:tcPr>
          <w:p w14:paraId="18D8CB1C">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在厂区东北侧设置1座气罐（容积2000m</w:t>
            </w:r>
            <w:r>
              <w:rPr>
                <w:rFonts w:hint="default" w:ascii="Times New Roman" w:hAnsi="Times New Roman" w:cs="Times New Roman"/>
                <w:color w:val="auto"/>
                <w:sz w:val="20"/>
                <w:szCs w:val="20"/>
                <w:highlight w:val="none"/>
                <w:vertAlign w:val="superscript"/>
                <w:lang w:val="en-US" w:eastAsia="zh-CN"/>
              </w:rPr>
              <w:t>3</w:t>
            </w:r>
            <w:r>
              <w:rPr>
                <w:rFonts w:hint="default" w:ascii="Times New Roman" w:hAnsi="Times New Roman" w:cs="Times New Roman"/>
                <w:color w:val="auto"/>
                <w:kern w:val="2"/>
                <w:sz w:val="20"/>
                <w:szCs w:val="20"/>
                <w:highlight w:val="none"/>
                <w:lang w:val="en-US" w:eastAsia="zh-CN" w:bidi="ar-SA"/>
              </w:rPr>
              <w:t>）。</w:t>
            </w:r>
          </w:p>
        </w:tc>
        <w:tc>
          <w:tcPr>
            <w:tcW w:w="440" w:type="pct"/>
            <w:vMerge w:val="restart"/>
            <w:tcBorders>
              <w:tl2br w:val="nil"/>
              <w:tr2bl w:val="nil"/>
            </w:tcBorders>
            <w:shd w:val="clear" w:color="FFFFFF" w:themeColor="background1" w:fill="auto"/>
            <w:vAlign w:val="center"/>
          </w:tcPr>
          <w:p w14:paraId="24F34CB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扬尘</w:t>
            </w:r>
          </w:p>
          <w:p w14:paraId="2BD3AF2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噪声</w:t>
            </w:r>
          </w:p>
          <w:p w14:paraId="6499470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固废</w:t>
            </w:r>
          </w:p>
          <w:p w14:paraId="4ED5323C">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废水</w:t>
            </w:r>
          </w:p>
        </w:tc>
        <w:tc>
          <w:tcPr>
            <w:tcW w:w="536" w:type="pct"/>
            <w:vMerge w:val="restart"/>
            <w:tcBorders>
              <w:tl2br w:val="nil"/>
              <w:tr2bl w:val="nil"/>
            </w:tcBorders>
            <w:shd w:val="clear" w:color="FFFFFF" w:themeColor="background1" w:fill="auto"/>
            <w:vAlign w:val="center"/>
          </w:tcPr>
          <w:p w14:paraId="7313095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环境风险、废气</w:t>
            </w:r>
          </w:p>
        </w:tc>
      </w:tr>
      <w:tr w14:paraId="220F115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039EC75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2E2D9D4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废品库（危废暂存间）</w:t>
            </w:r>
          </w:p>
        </w:tc>
        <w:tc>
          <w:tcPr>
            <w:tcW w:w="2922" w:type="pct"/>
            <w:gridSpan w:val="2"/>
            <w:tcBorders>
              <w:tl2br w:val="nil"/>
              <w:tr2bl w:val="nil"/>
            </w:tcBorders>
            <w:shd w:val="clear" w:color="FFFFFF" w:themeColor="background1" w:fill="auto"/>
            <w:vAlign w:val="center"/>
          </w:tcPr>
          <w:p w14:paraId="73EBC09D">
            <w:pPr>
              <w:keepNext w:val="0"/>
              <w:keepLines w:val="0"/>
              <w:suppressLineNumbers w:val="0"/>
              <w:spacing w:before="0" w:beforeAutospacing="0" w:after="0" w:afterAutospacing="0" w:line="240" w:lineRule="auto"/>
              <w:ind w:left="0" w:leftChars="0" w:right="0" w:rightChars="0"/>
              <w:jc w:val="left"/>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位于厂区北侧（</w:t>
            </w:r>
            <w:r>
              <w:rPr>
                <w:rFonts w:hint="default" w:ascii="Times New Roman" w:hAnsi="Times New Roman" w:cs="Times New Roman"/>
                <w:color w:val="auto"/>
                <w:sz w:val="20"/>
                <w:szCs w:val="20"/>
                <w:highlight w:val="none"/>
              </w:rPr>
              <w:t>建筑面积</w:t>
            </w:r>
            <w:r>
              <w:rPr>
                <w:rFonts w:hint="default" w:ascii="Times New Roman" w:hAnsi="Times New Roman" w:eastAsia="宋体" w:cs="Times New Roman"/>
                <w:color w:val="auto"/>
                <w:sz w:val="20"/>
                <w:szCs w:val="20"/>
                <w:highlight w:val="none"/>
              </w:rPr>
              <w:t>91.16m</w:t>
            </w:r>
            <w:r>
              <w:rPr>
                <w:rFonts w:hint="default" w:ascii="Times New Roman" w:hAnsi="Times New Roman" w:eastAsia="宋体" w:cs="Times New Roman"/>
                <w:color w:val="auto"/>
                <w:sz w:val="20"/>
                <w:szCs w:val="20"/>
                <w:highlight w:val="none"/>
                <w:vertAlign w:val="superscript"/>
              </w:rPr>
              <w:t>2</w:t>
            </w:r>
            <w:r>
              <w:rPr>
                <w:rFonts w:hint="default" w:ascii="Times New Roman" w:hAnsi="Times New Roman" w:eastAsia="宋体" w:cs="Times New Roman"/>
                <w:color w:val="auto"/>
                <w:sz w:val="20"/>
                <w:szCs w:val="20"/>
                <w:highlight w:val="none"/>
                <w:lang w:eastAsia="zh-CN"/>
              </w:rPr>
              <w:t>，</w:t>
            </w:r>
            <w:r>
              <w:rPr>
                <w:rFonts w:hint="default" w:ascii="Times New Roman" w:hAnsi="Times New Roman" w:eastAsia="宋体" w:cs="Times New Roman"/>
                <w:color w:val="auto"/>
                <w:sz w:val="20"/>
                <w:szCs w:val="20"/>
                <w:highlight w:val="none"/>
              </w:rPr>
              <w:t>高4.5m</w:t>
            </w:r>
            <w:r>
              <w:rPr>
                <w:rFonts w:hint="default" w:ascii="Times New Roman" w:hAnsi="Times New Roman" w:cs="Times New Roman"/>
                <w:color w:val="auto"/>
                <w:sz w:val="20"/>
                <w:szCs w:val="20"/>
                <w:highlight w:val="none"/>
                <w:lang w:val="en-US" w:eastAsia="zh-CN"/>
              </w:rPr>
              <w:t>）。</w:t>
            </w:r>
          </w:p>
        </w:tc>
        <w:tc>
          <w:tcPr>
            <w:tcW w:w="440" w:type="pct"/>
            <w:vMerge w:val="continue"/>
            <w:tcBorders>
              <w:tl2br w:val="nil"/>
              <w:tr2bl w:val="nil"/>
            </w:tcBorders>
            <w:shd w:val="clear" w:color="FFFFFF" w:themeColor="background1" w:fill="auto"/>
            <w:vAlign w:val="center"/>
          </w:tcPr>
          <w:p w14:paraId="2BD97BB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16AA828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4B6C088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3D35204E">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2C0AC69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rPr>
              <w:t>垃圾暂存仓</w:t>
            </w:r>
          </w:p>
        </w:tc>
        <w:tc>
          <w:tcPr>
            <w:tcW w:w="2922" w:type="pct"/>
            <w:gridSpan w:val="2"/>
            <w:tcBorders>
              <w:tl2br w:val="nil"/>
              <w:tr2bl w:val="nil"/>
            </w:tcBorders>
            <w:shd w:val="clear" w:color="FFFFFF" w:themeColor="background1" w:fill="auto"/>
            <w:vAlign w:val="center"/>
          </w:tcPr>
          <w:p w14:paraId="701D24D7">
            <w:pPr>
              <w:keepNext w:val="0"/>
              <w:keepLines w:val="0"/>
              <w:suppressLineNumbers w:val="0"/>
              <w:spacing w:before="0" w:beforeAutospacing="0" w:after="0" w:afterAutospacing="0" w:line="240" w:lineRule="auto"/>
              <w:ind w:left="0" w:leftChars="0" w:right="0" w:rightChars="0"/>
              <w:jc w:val="left"/>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厂房东部，</w:t>
            </w:r>
            <w:r>
              <w:rPr>
                <w:rFonts w:hint="default" w:ascii="Times New Roman" w:hAnsi="Times New Roman" w:eastAsia="宋体" w:cs="Times New Roman"/>
                <w:color w:val="auto"/>
                <w:sz w:val="20"/>
                <w:szCs w:val="20"/>
                <w:highlight w:val="none"/>
              </w:rPr>
              <w:t>垃圾暂存仓（长47.05m×宽20m×高</w:t>
            </w:r>
            <w:r>
              <w:rPr>
                <w:rFonts w:hint="eastAsia" w:ascii="Times New Roman" w:hAnsi="Times New Roman" w:eastAsia="宋体" w:cs="Times New Roman"/>
                <w:color w:val="auto"/>
                <w:sz w:val="20"/>
                <w:szCs w:val="20"/>
                <w:highlight w:val="none"/>
                <w:lang w:val="en-US" w:eastAsia="zh-CN"/>
              </w:rPr>
              <w:t>27</w:t>
            </w:r>
            <w:r>
              <w:rPr>
                <w:rFonts w:hint="default" w:ascii="Times New Roman" w:hAnsi="Times New Roman" w:eastAsia="宋体" w:cs="Times New Roman"/>
                <w:color w:val="auto"/>
                <w:sz w:val="20"/>
                <w:szCs w:val="20"/>
                <w:highlight w:val="none"/>
              </w:rPr>
              <w:t>m）</w:t>
            </w:r>
          </w:p>
        </w:tc>
        <w:tc>
          <w:tcPr>
            <w:tcW w:w="440" w:type="pct"/>
            <w:vMerge w:val="continue"/>
            <w:tcBorders>
              <w:tl2br w:val="nil"/>
              <w:tr2bl w:val="nil"/>
            </w:tcBorders>
            <w:shd w:val="clear" w:color="FFFFFF" w:themeColor="background1" w:fill="auto"/>
            <w:vAlign w:val="center"/>
          </w:tcPr>
          <w:p w14:paraId="1479AD6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0E70B35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3CB6AE6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3855BD3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396AC02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垃圾</w:t>
            </w:r>
            <w:r>
              <w:rPr>
                <w:rFonts w:hint="default" w:ascii="Times New Roman" w:hAnsi="Times New Roman" w:eastAsia="宋体" w:cs="Times New Roman"/>
                <w:color w:val="auto"/>
                <w:sz w:val="20"/>
                <w:szCs w:val="20"/>
                <w:highlight w:val="none"/>
                <w:lang w:val="en-US" w:eastAsia="zh-CN"/>
              </w:rPr>
              <w:t>缓存</w:t>
            </w:r>
            <w:r>
              <w:rPr>
                <w:rFonts w:hint="default" w:ascii="Times New Roman" w:hAnsi="Times New Roman" w:eastAsia="宋体" w:cs="Times New Roman"/>
                <w:color w:val="auto"/>
                <w:sz w:val="20"/>
                <w:szCs w:val="20"/>
                <w:highlight w:val="none"/>
              </w:rPr>
              <w:t>仓</w:t>
            </w:r>
          </w:p>
        </w:tc>
        <w:tc>
          <w:tcPr>
            <w:tcW w:w="2922" w:type="pct"/>
            <w:gridSpan w:val="2"/>
            <w:tcBorders>
              <w:tl2br w:val="nil"/>
              <w:tr2bl w:val="nil"/>
            </w:tcBorders>
            <w:shd w:val="clear" w:color="FFFFFF" w:themeColor="background1" w:fill="auto"/>
            <w:vAlign w:val="center"/>
          </w:tcPr>
          <w:p w14:paraId="487029DF">
            <w:pPr>
              <w:keepNext w:val="0"/>
              <w:keepLines w:val="0"/>
              <w:suppressLineNumbers w:val="0"/>
              <w:spacing w:before="0" w:beforeAutospacing="0" w:after="0" w:afterAutospacing="0" w:line="240" w:lineRule="auto"/>
              <w:ind w:left="0" w:leftChars="0" w:right="0" w:rightChars="0"/>
              <w:jc w:val="left"/>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厂房东部，垃圾</w:t>
            </w:r>
            <w:r>
              <w:rPr>
                <w:rFonts w:hint="default" w:ascii="Times New Roman" w:hAnsi="Times New Roman" w:eastAsia="宋体" w:cs="Times New Roman"/>
                <w:color w:val="auto"/>
                <w:sz w:val="20"/>
                <w:szCs w:val="20"/>
                <w:highlight w:val="none"/>
              </w:rPr>
              <w:t>缓存仓（长47.05m×宽20m×高</w:t>
            </w:r>
            <w:r>
              <w:rPr>
                <w:rFonts w:hint="eastAsia" w:ascii="Times New Roman" w:hAnsi="Times New Roman" w:eastAsia="宋体" w:cs="Times New Roman"/>
                <w:color w:val="auto"/>
                <w:sz w:val="20"/>
                <w:szCs w:val="20"/>
                <w:highlight w:val="none"/>
                <w:lang w:val="en-US" w:eastAsia="zh-CN"/>
              </w:rPr>
              <w:t>27</w:t>
            </w:r>
            <w:r>
              <w:rPr>
                <w:rFonts w:hint="default" w:ascii="Times New Roman" w:hAnsi="Times New Roman" w:eastAsia="宋体" w:cs="Times New Roman"/>
                <w:color w:val="auto"/>
                <w:sz w:val="20"/>
                <w:szCs w:val="20"/>
                <w:highlight w:val="none"/>
              </w:rPr>
              <w:t>m）</w:t>
            </w:r>
          </w:p>
        </w:tc>
        <w:tc>
          <w:tcPr>
            <w:tcW w:w="440" w:type="pct"/>
            <w:vMerge w:val="continue"/>
            <w:tcBorders>
              <w:tl2br w:val="nil"/>
              <w:tr2bl w:val="nil"/>
            </w:tcBorders>
            <w:shd w:val="clear" w:color="FFFFFF" w:themeColor="background1" w:fill="auto"/>
            <w:vAlign w:val="center"/>
          </w:tcPr>
          <w:p w14:paraId="3B49B61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7B02EF7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18AA216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90" w:hRule="atLeast"/>
          <w:jc w:val="center"/>
        </w:trPr>
        <w:tc>
          <w:tcPr>
            <w:tcW w:w="421" w:type="pct"/>
            <w:vMerge w:val="continue"/>
            <w:tcBorders>
              <w:tl2br w:val="nil"/>
              <w:tr2bl w:val="nil"/>
            </w:tcBorders>
            <w:shd w:val="clear" w:color="FFFFFF" w:themeColor="background1" w:fill="auto"/>
            <w:vAlign w:val="center"/>
          </w:tcPr>
          <w:p w14:paraId="2220C79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25D24F8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焦油罐</w:t>
            </w:r>
          </w:p>
        </w:tc>
        <w:tc>
          <w:tcPr>
            <w:tcW w:w="2922" w:type="pct"/>
            <w:gridSpan w:val="2"/>
            <w:tcBorders>
              <w:tl2br w:val="nil"/>
              <w:tr2bl w:val="nil"/>
            </w:tcBorders>
            <w:shd w:val="clear" w:color="FFFFFF" w:themeColor="background1" w:fill="auto"/>
            <w:vAlign w:val="center"/>
          </w:tcPr>
          <w:p w14:paraId="4F48AD4F">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sz w:val="20"/>
                <w:szCs w:val="20"/>
                <w:highlight w:val="none"/>
                <w:lang w:val="en-US" w:eastAsia="zh-CN"/>
              </w:rPr>
              <w:t>位于主厂房</w:t>
            </w:r>
            <w:r>
              <w:rPr>
                <w:rFonts w:hint="default" w:ascii="Times New Roman" w:hAnsi="Times New Roman" w:eastAsia="宋体" w:cs="Times New Roman"/>
                <w:color w:val="auto"/>
                <w:sz w:val="20"/>
                <w:szCs w:val="20"/>
                <w:highlight w:val="none"/>
                <w:lang w:val="en-US" w:eastAsia="zh-CN"/>
              </w:rPr>
              <w:t>净化车间内，焦油罐1个（6m</w:t>
            </w:r>
            <w:r>
              <w:rPr>
                <w:rFonts w:hint="default" w:ascii="Times New Roman" w:hAnsi="Times New Roman" w:eastAsia="宋体" w:cs="Times New Roman"/>
                <w:color w:val="auto"/>
                <w:sz w:val="20"/>
                <w:szCs w:val="20"/>
                <w:highlight w:val="none"/>
                <w:vertAlign w:val="superscript"/>
                <w:lang w:val="en-US" w:eastAsia="zh-CN"/>
              </w:rPr>
              <w:t>3</w:t>
            </w:r>
            <w:r>
              <w:rPr>
                <w:rFonts w:hint="default" w:ascii="Times New Roman" w:hAnsi="Times New Roman" w:eastAsia="宋体" w:cs="Times New Roman"/>
                <w:color w:val="auto"/>
                <w:sz w:val="20"/>
                <w:szCs w:val="20"/>
                <w:highlight w:val="none"/>
                <w:lang w:val="en-US" w:eastAsia="zh-CN"/>
              </w:rPr>
              <w:t>），用于收集焦油。</w:t>
            </w:r>
          </w:p>
        </w:tc>
        <w:tc>
          <w:tcPr>
            <w:tcW w:w="440" w:type="pct"/>
            <w:vMerge w:val="continue"/>
            <w:tcBorders>
              <w:tl2br w:val="nil"/>
              <w:tr2bl w:val="nil"/>
            </w:tcBorders>
            <w:shd w:val="clear" w:color="FFFFFF" w:themeColor="background1" w:fill="auto"/>
            <w:vAlign w:val="center"/>
          </w:tcPr>
          <w:p w14:paraId="15AA45E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6273576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r>
      <w:tr w14:paraId="1E71F3F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90" w:hRule="atLeast"/>
          <w:jc w:val="center"/>
        </w:trPr>
        <w:tc>
          <w:tcPr>
            <w:tcW w:w="421" w:type="pct"/>
            <w:vMerge w:val="restart"/>
            <w:tcBorders>
              <w:tl2br w:val="nil"/>
              <w:tr2bl w:val="nil"/>
            </w:tcBorders>
            <w:shd w:val="clear" w:color="FFFFFF" w:themeColor="background1" w:fill="auto"/>
            <w:vAlign w:val="center"/>
          </w:tcPr>
          <w:p w14:paraId="2C99CF6C">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办公及</w:t>
            </w:r>
          </w:p>
          <w:p w14:paraId="7724444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生活设</w:t>
            </w:r>
          </w:p>
          <w:p w14:paraId="7EFE554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施</w:t>
            </w:r>
          </w:p>
        </w:tc>
        <w:tc>
          <w:tcPr>
            <w:tcW w:w="679" w:type="pct"/>
            <w:tcBorders>
              <w:tl2br w:val="nil"/>
              <w:tr2bl w:val="nil"/>
            </w:tcBorders>
            <w:shd w:val="clear" w:color="FFFFFF" w:themeColor="background1" w:fill="auto"/>
            <w:vAlign w:val="center"/>
          </w:tcPr>
          <w:p w14:paraId="75B42FD2">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办公生活</w:t>
            </w:r>
          </w:p>
        </w:tc>
        <w:tc>
          <w:tcPr>
            <w:tcW w:w="2922" w:type="pct"/>
            <w:gridSpan w:val="2"/>
            <w:tcBorders>
              <w:tl2br w:val="nil"/>
              <w:tr2bl w:val="nil"/>
            </w:tcBorders>
            <w:shd w:val="clear" w:color="FFFFFF" w:themeColor="background1" w:fill="auto"/>
            <w:vAlign w:val="center"/>
          </w:tcPr>
          <w:p w14:paraId="06BC8276">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eastAsiaTheme="minorEastAsia"/>
                <w:color w:val="auto"/>
                <w:kern w:val="2"/>
                <w:sz w:val="20"/>
                <w:szCs w:val="20"/>
                <w:highlight w:val="none"/>
                <w:lang w:val="en-US" w:eastAsia="zh-CN" w:bidi="ar-SA"/>
              </w:rPr>
              <w:t>租赁周边厂房作为办公室、生活区</w:t>
            </w:r>
            <w:r>
              <w:rPr>
                <w:rFonts w:hint="default" w:ascii="Times New Roman" w:hAnsi="Times New Roman" w:cs="Times New Roman"/>
                <w:color w:val="auto"/>
                <w:kern w:val="2"/>
                <w:sz w:val="20"/>
                <w:szCs w:val="20"/>
                <w:highlight w:val="none"/>
                <w:lang w:val="en-US" w:eastAsia="zh-CN" w:bidi="ar-SA"/>
              </w:rPr>
              <w:t>，厂区内不设置</w:t>
            </w:r>
            <w:r>
              <w:rPr>
                <w:rFonts w:hint="default" w:ascii="Times New Roman" w:hAnsi="Times New Roman" w:cs="Times New Roman" w:eastAsiaTheme="minorEastAsia"/>
                <w:color w:val="auto"/>
                <w:kern w:val="2"/>
                <w:sz w:val="20"/>
                <w:szCs w:val="20"/>
                <w:highlight w:val="none"/>
                <w:lang w:val="en-US" w:eastAsia="zh-CN" w:bidi="ar-SA"/>
              </w:rPr>
              <w:t>。</w:t>
            </w:r>
          </w:p>
        </w:tc>
        <w:tc>
          <w:tcPr>
            <w:tcW w:w="440" w:type="pct"/>
            <w:vMerge w:val="restart"/>
            <w:tcBorders>
              <w:tl2br w:val="nil"/>
              <w:tr2bl w:val="nil"/>
            </w:tcBorders>
            <w:shd w:val="clear" w:color="FFFFFF" w:themeColor="background1" w:fill="auto"/>
            <w:vAlign w:val="center"/>
          </w:tcPr>
          <w:p w14:paraId="1C78B94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扬尘</w:t>
            </w:r>
          </w:p>
          <w:p w14:paraId="68D6F6A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噪声</w:t>
            </w:r>
          </w:p>
          <w:p w14:paraId="4811F9E2">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固废</w:t>
            </w:r>
          </w:p>
          <w:p w14:paraId="0849918A">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废水</w:t>
            </w:r>
          </w:p>
        </w:tc>
        <w:tc>
          <w:tcPr>
            <w:tcW w:w="536" w:type="pct"/>
            <w:vMerge w:val="restart"/>
            <w:tcBorders>
              <w:tl2br w:val="nil"/>
              <w:tr2bl w:val="nil"/>
            </w:tcBorders>
            <w:shd w:val="clear" w:color="FFFFFF" w:themeColor="background1" w:fill="auto"/>
            <w:vAlign w:val="center"/>
          </w:tcPr>
          <w:p w14:paraId="5CD14F8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生活垃圾、生活污水</w:t>
            </w:r>
          </w:p>
        </w:tc>
      </w:tr>
      <w:tr w14:paraId="0D2333E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5D64CFC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679" w:type="pct"/>
            <w:tcBorders>
              <w:tl2br w:val="nil"/>
              <w:tr2bl w:val="nil"/>
            </w:tcBorders>
            <w:shd w:val="clear" w:color="FFFFFF" w:themeColor="background1" w:fill="auto"/>
            <w:vAlign w:val="center"/>
          </w:tcPr>
          <w:p w14:paraId="3E4A910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绿地</w:t>
            </w:r>
          </w:p>
        </w:tc>
        <w:tc>
          <w:tcPr>
            <w:tcW w:w="2922" w:type="pct"/>
            <w:gridSpan w:val="2"/>
            <w:tcBorders>
              <w:tl2br w:val="nil"/>
              <w:tr2bl w:val="nil"/>
            </w:tcBorders>
            <w:shd w:val="clear" w:color="FFFFFF" w:themeColor="background1" w:fill="auto"/>
            <w:vAlign w:val="center"/>
          </w:tcPr>
          <w:p w14:paraId="29A74701">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绿化率9.5%，绿地面积约946m</w:t>
            </w:r>
            <w:r>
              <w:rPr>
                <w:rFonts w:hint="default" w:ascii="Times New Roman" w:hAnsi="Times New Roman" w:cs="Times New Roman"/>
                <w:color w:val="auto"/>
                <w:kern w:val="2"/>
                <w:sz w:val="20"/>
                <w:szCs w:val="20"/>
                <w:highlight w:val="none"/>
                <w:vertAlign w:val="superscript"/>
                <w:lang w:val="en-US" w:eastAsia="zh-CN" w:bidi="ar-SA"/>
              </w:rPr>
              <w:t>2</w:t>
            </w:r>
            <w:r>
              <w:rPr>
                <w:rFonts w:hint="default" w:ascii="Times New Roman" w:hAnsi="Times New Roman" w:cs="Times New Roman"/>
                <w:color w:val="auto"/>
                <w:kern w:val="2"/>
                <w:sz w:val="20"/>
                <w:szCs w:val="20"/>
                <w:highlight w:val="none"/>
                <w:lang w:val="en-US" w:eastAsia="zh-CN" w:bidi="ar-SA"/>
              </w:rPr>
              <w:t>。</w:t>
            </w:r>
          </w:p>
        </w:tc>
        <w:tc>
          <w:tcPr>
            <w:tcW w:w="440" w:type="pct"/>
            <w:vMerge w:val="continue"/>
            <w:tcBorders>
              <w:tl2br w:val="nil"/>
              <w:tr2bl w:val="nil"/>
            </w:tcBorders>
            <w:shd w:val="clear" w:color="FFFFFF" w:themeColor="background1" w:fill="auto"/>
            <w:vAlign w:val="center"/>
          </w:tcPr>
          <w:p w14:paraId="354BC1E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17DA5D6B">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r>
      <w:tr w14:paraId="3D34C63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90" w:hRule="atLeast"/>
          <w:jc w:val="center"/>
        </w:trPr>
        <w:tc>
          <w:tcPr>
            <w:tcW w:w="421" w:type="pct"/>
            <w:vMerge w:val="restart"/>
            <w:tcBorders>
              <w:tl2br w:val="nil"/>
              <w:tr2bl w:val="nil"/>
            </w:tcBorders>
            <w:shd w:val="clear" w:color="FFFFFF" w:themeColor="background1" w:fill="auto"/>
            <w:vAlign w:val="center"/>
          </w:tcPr>
          <w:p w14:paraId="2BB34FD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环保</w:t>
            </w:r>
          </w:p>
          <w:p w14:paraId="3FF0365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工程</w:t>
            </w:r>
          </w:p>
        </w:tc>
        <w:tc>
          <w:tcPr>
            <w:tcW w:w="679" w:type="pct"/>
            <w:tcBorders>
              <w:tl2br w:val="nil"/>
              <w:tr2bl w:val="nil"/>
            </w:tcBorders>
            <w:shd w:val="clear" w:color="FFFFFF" w:themeColor="background1" w:fill="auto"/>
            <w:vAlign w:val="center"/>
          </w:tcPr>
          <w:p w14:paraId="444A161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废水治理</w:t>
            </w:r>
          </w:p>
        </w:tc>
        <w:tc>
          <w:tcPr>
            <w:tcW w:w="2922" w:type="pct"/>
            <w:gridSpan w:val="2"/>
            <w:tcBorders>
              <w:tl2br w:val="nil"/>
              <w:tr2bl w:val="nil"/>
            </w:tcBorders>
            <w:shd w:val="clear" w:color="FFFFFF" w:themeColor="background1" w:fill="auto"/>
            <w:vAlign w:val="center"/>
          </w:tcPr>
          <w:p w14:paraId="2751A202">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渗滤液收集系统：</w:t>
            </w:r>
            <w:r>
              <w:rPr>
                <w:rFonts w:hint="default" w:ascii="Times New Roman" w:hAnsi="Times New Roman" w:cs="Times New Roman"/>
                <w:color w:val="auto"/>
                <w:sz w:val="20"/>
                <w:szCs w:val="20"/>
                <w:highlight w:val="none"/>
                <w:lang w:val="en-US" w:eastAsia="zh-CN"/>
              </w:rPr>
              <w:t>在垃圾</w:t>
            </w:r>
            <w:r>
              <w:rPr>
                <w:rFonts w:hint="eastAsia" w:ascii="Times New Roman" w:hAnsi="Times New Roman" w:cs="Times New Roman"/>
                <w:color w:val="auto"/>
                <w:sz w:val="20"/>
                <w:szCs w:val="20"/>
                <w:highlight w:val="none"/>
                <w:lang w:val="en-US" w:eastAsia="zh-CN"/>
              </w:rPr>
              <w:t>暂存仓</w:t>
            </w:r>
            <w:r>
              <w:rPr>
                <w:rFonts w:hint="default" w:ascii="Times New Roman" w:hAnsi="Times New Roman" w:cs="Times New Roman"/>
                <w:color w:val="auto"/>
                <w:sz w:val="20"/>
                <w:szCs w:val="20"/>
                <w:highlight w:val="none"/>
                <w:lang w:val="en-US" w:eastAsia="zh-CN"/>
              </w:rPr>
              <w:t>西侧底部设置垃圾渗滤液收集池，平面尺寸为40m×2.2m，池底标高-9.5m，有效水深0.5m，有效容积为44m</w:t>
            </w:r>
            <w:r>
              <w:rPr>
                <w:rFonts w:hint="default" w:ascii="Times New Roman" w:hAnsi="Times New Roman" w:cs="Times New Roman"/>
                <w:color w:val="auto"/>
                <w:sz w:val="20"/>
                <w:szCs w:val="20"/>
                <w:highlight w:val="none"/>
                <w:vertAlign w:val="superscript"/>
                <w:lang w:val="en-US" w:eastAsia="zh-CN"/>
              </w:rPr>
              <w:t>3</w:t>
            </w:r>
            <w:r>
              <w:rPr>
                <w:rFonts w:hint="default" w:ascii="Times New Roman" w:hAnsi="Times New Roman" w:cs="Times New Roman"/>
                <w:color w:val="auto"/>
                <w:sz w:val="20"/>
                <w:szCs w:val="20"/>
                <w:highlight w:val="none"/>
                <w:lang w:val="en-US" w:eastAsia="zh-CN"/>
              </w:rPr>
              <w:t>，池内设有无堵塞潜污泵，将渗滤液提升至污水池渗滤液处理系统进行处理。</w:t>
            </w:r>
          </w:p>
          <w:p w14:paraId="0628C862">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渗滤液处理系统：</w:t>
            </w:r>
            <w:r>
              <w:rPr>
                <w:rFonts w:hint="default" w:ascii="Times New Roman" w:hAnsi="Times New Roman" w:cs="Times New Roman"/>
                <w:color w:val="auto"/>
                <w:sz w:val="20"/>
                <w:szCs w:val="20"/>
                <w:highlight w:val="none"/>
                <w:lang w:val="en-US" w:eastAsia="zh-CN"/>
              </w:rPr>
              <w:t>设计规模为4</w:t>
            </w:r>
            <w:r>
              <w:rPr>
                <w:rFonts w:hint="eastAsia" w:ascii="Times New Roman" w:hAnsi="Times New Roman" w:cs="Times New Roman"/>
                <w:color w:val="auto"/>
                <w:sz w:val="20"/>
                <w:szCs w:val="20"/>
                <w:highlight w:val="none"/>
                <w:lang w:val="en-US" w:eastAsia="zh-CN"/>
              </w:rPr>
              <w:t>5</w:t>
            </w:r>
            <w:r>
              <w:rPr>
                <w:rFonts w:hint="default" w:ascii="Times New Roman" w:hAnsi="Times New Roman" w:cs="Times New Roman"/>
                <w:color w:val="auto"/>
                <w:sz w:val="20"/>
                <w:szCs w:val="20"/>
                <w:highlight w:val="none"/>
                <w:lang w:val="en-US" w:eastAsia="zh-CN"/>
              </w:rPr>
              <w:t>t/d，生产废水（垃圾渗滤液和垃圾暂存仓冲洗废水）经渗滤液处理系统</w:t>
            </w:r>
            <w:r>
              <w:rPr>
                <w:rFonts w:hint="eastAsia" w:ascii="Times New Roman" w:hAnsi="Times New Roman" w:cs="Times New Roman"/>
                <w:color w:val="auto"/>
                <w:sz w:val="20"/>
                <w:szCs w:val="20"/>
                <w:highlight w:val="none"/>
                <w:lang w:val="en-US" w:eastAsia="zh-CN"/>
              </w:rPr>
              <w:t>预</w:t>
            </w:r>
            <w:r>
              <w:rPr>
                <w:rFonts w:hint="default" w:ascii="Times New Roman" w:hAnsi="Times New Roman" w:cs="Times New Roman"/>
                <w:color w:val="auto"/>
                <w:sz w:val="20"/>
                <w:szCs w:val="20"/>
                <w:highlight w:val="none"/>
                <w:lang w:val="en-US" w:eastAsia="zh-CN"/>
              </w:rPr>
              <w:t>处理后</w:t>
            </w:r>
            <w:r>
              <w:rPr>
                <w:rFonts w:hint="eastAsia" w:ascii="Times New Roman" w:hAnsi="Times New Roman" w:cs="Times New Roman"/>
                <w:color w:val="auto"/>
                <w:sz w:val="20"/>
                <w:szCs w:val="20"/>
                <w:highlight w:val="none"/>
                <w:lang w:val="en-US" w:eastAsia="zh-CN"/>
              </w:rPr>
              <w:t>和生活污水经化粪池预处理后由罐车运往普安镇污水处理厂处置；待渗滤液处理站提标改造完成后经管道进入渗滤液处理站处置</w:t>
            </w:r>
            <w:r>
              <w:rPr>
                <w:rFonts w:hint="default" w:ascii="Times New Roman" w:hAnsi="Times New Roman" w:cs="Times New Roman"/>
                <w:color w:val="auto"/>
                <w:sz w:val="20"/>
                <w:szCs w:val="20"/>
                <w:highlight w:val="none"/>
                <w:lang w:val="en-US" w:eastAsia="zh-CN"/>
              </w:rPr>
              <w:t>。</w:t>
            </w:r>
          </w:p>
        </w:tc>
        <w:tc>
          <w:tcPr>
            <w:tcW w:w="440" w:type="pct"/>
            <w:vMerge w:val="continue"/>
            <w:tcBorders>
              <w:tl2br w:val="nil"/>
              <w:tr2bl w:val="nil"/>
            </w:tcBorders>
            <w:shd w:val="clear" w:color="FFFFFF" w:themeColor="background1" w:fill="auto"/>
            <w:vAlign w:val="center"/>
          </w:tcPr>
          <w:p w14:paraId="2A23D5C2">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restart"/>
            <w:tcBorders>
              <w:tl2br w:val="nil"/>
              <w:tr2bl w:val="nil"/>
            </w:tcBorders>
            <w:shd w:val="clear" w:color="FFFFFF" w:themeColor="background1" w:fill="auto"/>
            <w:vAlign w:val="center"/>
          </w:tcPr>
          <w:p w14:paraId="6F9211E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zh-CN" w:eastAsia="zh-CN" w:bidi="ar-SA"/>
              </w:rPr>
              <w:t>噪声</w:t>
            </w:r>
          </w:p>
          <w:p w14:paraId="6E10928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废气</w:t>
            </w:r>
          </w:p>
          <w:p w14:paraId="4ED1839E">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废水</w:t>
            </w:r>
          </w:p>
          <w:p w14:paraId="016337FE">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r>
              <w:rPr>
                <w:rFonts w:hint="default" w:ascii="Times New Roman" w:hAnsi="Times New Roman" w:cs="Times New Roman"/>
                <w:color w:val="auto"/>
                <w:kern w:val="2"/>
                <w:sz w:val="20"/>
                <w:szCs w:val="20"/>
                <w:highlight w:val="none"/>
                <w:lang w:val="en-US" w:eastAsia="zh-CN" w:bidi="ar-SA"/>
              </w:rPr>
              <w:t>固废</w:t>
            </w:r>
          </w:p>
        </w:tc>
      </w:tr>
      <w:tr w14:paraId="26AE23B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660" w:hRule="atLeast"/>
          <w:jc w:val="center"/>
        </w:trPr>
        <w:tc>
          <w:tcPr>
            <w:tcW w:w="421" w:type="pct"/>
            <w:vMerge w:val="continue"/>
            <w:tcBorders>
              <w:tl2br w:val="nil"/>
              <w:tr2bl w:val="nil"/>
            </w:tcBorders>
            <w:shd w:val="clear" w:color="FFFFFF" w:themeColor="background1" w:fill="auto"/>
            <w:vAlign w:val="center"/>
          </w:tcPr>
          <w:p w14:paraId="162E94A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vMerge w:val="restart"/>
            <w:tcBorders>
              <w:tl2br w:val="nil"/>
              <w:tr2bl w:val="nil"/>
            </w:tcBorders>
            <w:shd w:val="clear" w:color="FFFFFF" w:themeColor="background1" w:fill="auto"/>
            <w:vAlign w:val="center"/>
          </w:tcPr>
          <w:p w14:paraId="33B9BD4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废气治理</w:t>
            </w:r>
          </w:p>
        </w:tc>
        <w:tc>
          <w:tcPr>
            <w:tcW w:w="2922" w:type="pct"/>
            <w:gridSpan w:val="2"/>
            <w:tcBorders>
              <w:tl2br w:val="nil"/>
              <w:tr2bl w:val="nil"/>
            </w:tcBorders>
            <w:shd w:val="clear" w:color="FFFFFF" w:themeColor="background1" w:fill="auto"/>
            <w:vAlign w:val="center"/>
          </w:tcPr>
          <w:p w14:paraId="6C9B2F6D">
            <w:pPr>
              <w:keepNext w:val="0"/>
              <w:keepLines w:val="0"/>
              <w:suppressLineNumbers w:val="0"/>
              <w:spacing w:before="0" w:beforeAutospacing="0" w:after="0" w:afterAutospacing="0" w:line="240" w:lineRule="auto"/>
              <w:ind w:left="0" w:leftChars="0" w:right="0" w:rightChars="0"/>
              <w:jc w:val="both"/>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b/>
                <w:bCs/>
                <w:color w:val="auto"/>
                <w:kern w:val="2"/>
                <w:sz w:val="20"/>
                <w:szCs w:val="20"/>
                <w:highlight w:val="none"/>
                <w:lang w:val="en-US" w:eastAsia="zh-CN" w:bidi="ar-SA"/>
              </w:rPr>
              <w:t>除臭系统：</w:t>
            </w:r>
            <w:r>
              <w:rPr>
                <w:rFonts w:hint="eastAsia" w:ascii="Times New Roman" w:hAnsi="Times New Roman" w:cs="Times New Roman"/>
                <w:color w:val="auto"/>
                <w:sz w:val="20"/>
                <w:szCs w:val="20"/>
                <w:highlight w:val="none"/>
                <w:lang w:val="en-US" w:eastAsia="zh-CN"/>
              </w:rPr>
              <w:t>正常工况下，</w:t>
            </w:r>
            <w:r>
              <w:rPr>
                <w:rFonts w:hint="default" w:ascii="Times New Roman" w:hAnsi="Times New Roman" w:cs="Times New Roman"/>
                <w:color w:val="auto"/>
                <w:sz w:val="20"/>
                <w:szCs w:val="20"/>
                <w:highlight w:val="none"/>
                <w:lang w:val="en-US" w:eastAsia="zh-CN"/>
              </w:rPr>
              <w:t>抽回分解气燃烧系统作为助燃用一次空气</w:t>
            </w:r>
            <w:r>
              <w:rPr>
                <w:rFonts w:hint="eastAsia" w:ascii="Times New Roman" w:hAnsi="Times New Roman" w:cs="Times New Roman"/>
                <w:color w:val="auto"/>
                <w:sz w:val="20"/>
                <w:szCs w:val="20"/>
                <w:highlight w:val="none"/>
                <w:lang w:val="en-US" w:eastAsia="zh-CN"/>
              </w:rPr>
              <w:t>；</w:t>
            </w:r>
            <w:r>
              <w:rPr>
                <w:rFonts w:hint="default" w:ascii="Times New Roman" w:hAnsi="Times New Roman" w:cs="Times New Roman"/>
                <w:color w:val="auto"/>
                <w:sz w:val="20"/>
                <w:szCs w:val="20"/>
                <w:highlight w:val="none"/>
                <w:lang w:val="en-US" w:eastAsia="zh-CN"/>
              </w:rPr>
              <w:t>在停工检修状态下，恶臭气体全部收集进入臭气处理系统，采用“活性炭吸附+光氧催化”工艺处理后由15m高排气筒</w:t>
            </w:r>
            <w:r>
              <w:rPr>
                <w:rFonts w:hint="eastAsia" w:ascii="Times New Roman" w:hAnsi="Times New Roman" w:cs="Times New Roman"/>
                <w:color w:val="auto"/>
                <w:sz w:val="20"/>
                <w:szCs w:val="20"/>
                <w:highlight w:val="none"/>
                <w:lang w:val="en-US" w:eastAsia="zh-CN"/>
              </w:rPr>
              <w:t>（DA001）</w:t>
            </w:r>
            <w:r>
              <w:rPr>
                <w:rFonts w:hint="default" w:ascii="Times New Roman" w:hAnsi="Times New Roman" w:cs="Times New Roman"/>
                <w:color w:val="auto"/>
                <w:sz w:val="20"/>
                <w:szCs w:val="20"/>
                <w:highlight w:val="none"/>
                <w:lang w:val="en-US" w:eastAsia="zh-CN"/>
              </w:rPr>
              <w:t>排放。</w:t>
            </w:r>
          </w:p>
        </w:tc>
        <w:tc>
          <w:tcPr>
            <w:tcW w:w="440" w:type="pct"/>
            <w:vMerge w:val="continue"/>
            <w:tcBorders>
              <w:tl2br w:val="nil"/>
              <w:tr2bl w:val="nil"/>
            </w:tcBorders>
            <w:shd w:val="clear" w:color="FFFFFF" w:themeColor="background1" w:fill="auto"/>
            <w:vAlign w:val="center"/>
          </w:tcPr>
          <w:p w14:paraId="62B32AA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23650D9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r>
      <w:tr w14:paraId="659B39E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18C59F0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vMerge w:val="continue"/>
            <w:tcBorders>
              <w:tl2br w:val="nil"/>
              <w:tr2bl w:val="nil"/>
            </w:tcBorders>
            <w:shd w:val="clear" w:color="FFFFFF" w:themeColor="background1" w:fill="auto"/>
            <w:vAlign w:val="center"/>
          </w:tcPr>
          <w:p w14:paraId="678CF5C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2922" w:type="pct"/>
            <w:gridSpan w:val="2"/>
            <w:tcBorders>
              <w:tl2br w:val="nil"/>
              <w:tr2bl w:val="nil"/>
            </w:tcBorders>
            <w:shd w:val="clear" w:color="FFFFFF" w:themeColor="background1" w:fill="auto"/>
            <w:vAlign w:val="center"/>
          </w:tcPr>
          <w:p w14:paraId="6C3DA726">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b/>
                <w:bCs/>
                <w:color w:val="auto"/>
                <w:sz w:val="20"/>
                <w:szCs w:val="20"/>
                <w:highlight w:val="none"/>
                <w:lang w:val="en-US" w:eastAsia="zh-CN"/>
              </w:rPr>
              <w:t>烟气净化系统：</w:t>
            </w:r>
            <w:r>
              <w:rPr>
                <w:rFonts w:hint="default" w:ascii="Times New Roman" w:hAnsi="Times New Roman" w:cs="Times New Roman"/>
                <w:color w:val="auto"/>
                <w:sz w:val="20"/>
                <w:szCs w:val="20"/>
                <w:highlight w:val="none"/>
                <w:lang w:val="en-US" w:eastAsia="zh-CN"/>
              </w:rPr>
              <w:t>净化热解气燃烧烟气</w:t>
            </w:r>
            <w:r>
              <w:rPr>
                <w:rFonts w:hint="eastAsia" w:ascii="Times New Roman" w:hAnsi="Times New Roman" w:cs="Times New Roman"/>
                <w:color w:val="auto"/>
                <w:sz w:val="20"/>
                <w:szCs w:val="20"/>
                <w:highlight w:val="none"/>
                <w:lang w:val="en-US" w:eastAsia="zh-CN"/>
              </w:rPr>
              <w:t>进入烟气净化系统，</w:t>
            </w:r>
            <w:r>
              <w:rPr>
                <w:rFonts w:hint="default" w:ascii="Times New Roman" w:hAnsi="Times New Roman" w:cs="Times New Roman"/>
                <w:color w:val="auto"/>
                <w:sz w:val="20"/>
                <w:szCs w:val="20"/>
                <w:highlight w:val="none"/>
                <w:lang w:val="en-US" w:eastAsia="zh-CN"/>
              </w:rPr>
              <w:t>经“</w:t>
            </w:r>
            <w:r>
              <w:rPr>
                <w:rFonts w:hint="eastAsia" w:ascii="Times New Roman" w:hAnsi="Times New Roman" w:cs="Times New Roman"/>
                <w:color w:val="auto"/>
                <w:sz w:val="20"/>
                <w:szCs w:val="20"/>
                <w:highlight w:val="none"/>
                <w:lang w:val="en-US" w:eastAsia="zh-CN"/>
              </w:rPr>
              <w:t>SNCR+湿式喷淋脱酸除雾+活性炭吸附+布袋除尘</w:t>
            </w:r>
            <w:r>
              <w:rPr>
                <w:rFonts w:hint="default" w:ascii="Times New Roman" w:hAnsi="Times New Roman" w:cs="Times New Roman"/>
                <w:color w:val="auto"/>
                <w:sz w:val="20"/>
                <w:szCs w:val="20"/>
                <w:highlight w:val="none"/>
                <w:lang w:val="en-US" w:eastAsia="zh-CN"/>
              </w:rPr>
              <w:t>”</w:t>
            </w:r>
            <w:r>
              <w:rPr>
                <w:rFonts w:hint="eastAsia" w:ascii="Times New Roman" w:hAnsi="Times New Roman" w:cs="Times New Roman"/>
                <w:color w:val="auto"/>
                <w:sz w:val="20"/>
                <w:szCs w:val="20"/>
                <w:highlight w:val="none"/>
                <w:lang w:val="en-US" w:eastAsia="zh-CN"/>
              </w:rPr>
              <w:t>处理</w:t>
            </w:r>
            <w:r>
              <w:rPr>
                <w:rFonts w:hint="default" w:ascii="Times New Roman" w:hAnsi="Times New Roman" w:cs="Times New Roman"/>
                <w:color w:val="auto"/>
                <w:sz w:val="20"/>
                <w:szCs w:val="20"/>
                <w:highlight w:val="none"/>
                <w:lang w:val="en-US" w:eastAsia="zh-CN"/>
              </w:rPr>
              <w:t>后通过1根45m高烟囱</w:t>
            </w:r>
            <w:r>
              <w:rPr>
                <w:rFonts w:hint="eastAsia" w:ascii="Times New Roman" w:hAnsi="Times New Roman" w:cs="Times New Roman"/>
                <w:color w:val="auto"/>
                <w:sz w:val="20"/>
                <w:szCs w:val="20"/>
                <w:highlight w:val="none"/>
                <w:lang w:val="en-US" w:eastAsia="zh-CN"/>
              </w:rPr>
              <w:t>（DA002）</w:t>
            </w:r>
            <w:r>
              <w:rPr>
                <w:rFonts w:hint="default" w:ascii="Times New Roman" w:hAnsi="Times New Roman" w:cs="Times New Roman"/>
                <w:color w:val="auto"/>
                <w:sz w:val="20"/>
                <w:szCs w:val="20"/>
                <w:highlight w:val="none"/>
                <w:lang w:val="en-US" w:eastAsia="zh-CN"/>
              </w:rPr>
              <w:t>排放。</w:t>
            </w:r>
          </w:p>
        </w:tc>
        <w:tc>
          <w:tcPr>
            <w:tcW w:w="440" w:type="pct"/>
            <w:vMerge w:val="continue"/>
            <w:tcBorders>
              <w:tl2br w:val="nil"/>
              <w:tr2bl w:val="nil"/>
            </w:tcBorders>
            <w:shd w:val="clear" w:color="FFFFFF" w:themeColor="background1" w:fill="auto"/>
            <w:vAlign w:val="center"/>
          </w:tcPr>
          <w:p w14:paraId="468470A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15838AF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r>
      <w:tr w14:paraId="4A5B57D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4847D9C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vMerge w:val="continue"/>
            <w:tcBorders>
              <w:tl2br w:val="nil"/>
              <w:tr2bl w:val="nil"/>
            </w:tcBorders>
            <w:shd w:val="clear" w:color="FFFFFF" w:themeColor="background1" w:fill="auto"/>
            <w:vAlign w:val="center"/>
          </w:tcPr>
          <w:p w14:paraId="7C5C7C1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2922" w:type="pct"/>
            <w:gridSpan w:val="2"/>
            <w:tcBorders>
              <w:tl2br w:val="nil"/>
              <w:tr2bl w:val="nil"/>
            </w:tcBorders>
            <w:shd w:val="clear" w:color="FFFFFF" w:themeColor="background1" w:fill="auto"/>
            <w:vAlign w:val="center"/>
          </w:tcPr>
          <w:p w14:paraId="69B5029E">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b/>
                <w:bCs/>
                <w:color w:val="auto"/>
                <w:kern w:val="2"/>
                <w:sz w:val="20"/>
                <w:szCs w:val="20"/>
                <w:highlight w:val="none"/>
                <w:lang w:val="en-US" w:eastAsia="zh-CN" w:bidi="ar-SA"/>
              </w:rPr>
              <w:t>无组织恶臭：</w:t>
            </w:r>
            <w:r>
              <w:rPr>
                <w:rFonts w:hint="default" w:ascii="Times New Roman" w:hAnsi="Times New Roman" w:cs="Times New Roman"/>
                <w:color w:val="auto"/>
                <w:kern w:val="2"/>
                <w:sz w:val="20"/>
                <w:szCs w:val="20"/>
                <w:highlight w:val="none"/>
                <w:lang w:val="en-US" w:eastAsia="zh-CN" w:bidi="ar-SA"/>
              </w:rPr>
              <w:t>通过喷洒灭菌、灭臭药剂，加强绿化等措施减少无组织恶臭排放。</w:t>
            </w:r>
          </w:p>
        </w:tc>
        <w:tc>
          <w:tcPr>
            <w:tcW w:w="440" w:type="pct"/>
            <w:vMerge w:val="continue"/>
            <w:tcBorders>
              <w:tl2br w:val="nil"/>
              <w:tr2bl w:val="nil"/>
            </w:tcBorders>
            <w:shd w:val="clear" w:color="FFFFFF" w:themeColor="background1" w:fill="auto"/>
            <w:vAlign w:val="center"/>
          </w:tcPr>
          <w:p w14:paraId="0BBF6D4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35ADB7C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r>
      <w:tr w14:paraId="3B80444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22934BD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1EC7C376">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噪声治理</w:t>
            </w:r>
          </w:p>
        </w:tc>
        <w:tc>
          <w:tcPr>
            <w:tcW w:w="2922" w:type="pct"/>
            <w:gridSpan w:val="2"/>
            <w:tcBorders>
              <w:tl2br w:val="nil"/>
              <w:tr2bl w:val="nil"/>
            </w:tcBorders>
            <w:shd w:val="clear" w:color="FFFFFF" w:themeColor="background1" w:fill="auto"/>
            <w:vAlign w:val="center"/>
          </w:tcPr>
          <w:p w14:paraId="42F4A3E6">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选用低噪声设备，采取基础减振、</w:t>
            </w:r>
            <w:r>
              <w:rPr>
                <w:rFonts w:hint="default" w:ascii="Times New Roman" w:hAnsi="Times New Roman" w:cs="Times New Roman"/>
                <w:color w:val="auto"/>
                <w:sz w:val="20"/>
                <w:szCs w:val="20"/>
                <w:highlight w:val="none"/>
                <w:lang w:val="en-US" w:eastAsia="zh-CN"/>
              </w:rPr>
              <w:t>加装隔声罩、软性连接、厂房隔声</w:t>
            </w:r>
            <w:r>
              <w:rPr>
                <w:rFonts w:hint="default" w:ascii="Times New Roman" w:hAnsi="Times New Roman" w:cs="Times New Roman"/>
                <w:color w:val="auto"/>
                <w:kern w:val="2"/>
                <w:sz w:val="20"/>
                <w:szCs w:val="20"/>
                <w:highlight w:val="none"/>
                <w:lang w:val="en-US" w:eastAsia="zh-CN" w:bidi="ar-SA"/>
              </w:rPr>
              <w:t>等措施。</w:t>
            </w:r>
          </w:p>
        </w:tc>
        <w:tc>
          <w:tcPr>
            <w:tcW w:w="440" w:type="pct"/>
            <w:vMerge w:val="continue"/>
            <w:tcBorders>
              <w:tl2br w:val="nil"/>
              <w:tr2bl w:val="nil"/>
            </w:tcBorders>
            <w:shd w:val="clear" w:color="FFFFFF" w:themeColor="background1" w:fill="auto"/>
            <w:vAlign w:val="center"/>
          </w:tcPr>
          <w:p w14:paraId="4D01BEA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7A56904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r>
      <w:tr w14:paraId="46D8596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5790E4D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vMerge w:val="restart"/>
            <w:tcBorders>
              <w:tl2br w:val="nil"/>
              <w:tr2bl w:val="nil"/>
            </w:tcBorders>
            <w:shd w:val="clear" w:color="FFFFFF" w:themeColor="background1" w:fill="auto"/>
            <w:vAlign w:val="center"/>
          </w:tcPr>
          <w:p w14:paraId="5540C5FE">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固废处置</w:t>
            </w:r>
          </w:p>
        </w:tc>
        <w:tc>
          <w:tcPr>
            <w:tcW w:w="2922" w:type="pct"/>
            <w:gridSpan w:val="2"/>
            <w:tcBorders>
              <w:tl2br w:val="nil"/>
              <w:tr2bl w:val="nil"/>
            </w:tcBorders>
            <w:shd w:val="clear" w:color="FFFFFF" w:themeColor="background1" w:fill="auto"/>
            <w:vAlign w:val="center"/>
          </w:tcPr>
          <w:p w14:paraId="46ED6020">
            <w:pPr>
              <w:keepNext w:val="0"/>
              <w:keepLines w:val="0"/>
              <w:suppressLineNumbers w:val="0"/>
              <w:spacing w:before="0" w:beforeAutospacing="0" w:after="0" w:afterAutospacing="0" w:line="240" w:lineRule="auto"/>
              <w:ind w:left="0" w:leftChars="0" w:right="0" w:rightChars="0"/>
              <w:jc w:val="left"/>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b/>
                <w:bCs/>
                <w:color w:val="auto"/>
                <w:kern w:val="2"/>
                <w:sz w:val="20"/>
                <w:szCs w:val="20"/>
                <w:highlight w:val="none"/>
                <w:lang w:val="en-US" w:eastAsia="zh-CN" w:bidi="ar-SA"/>
              </w:rPr>
              <w:t>一般固废：</w:t>
            </w:r>
            <w:r>
              <w:rPr>
                <w:rFonts w:hint="default" w:ascii="Times New Roman" w:hAnsi="Times New Roman" w:eastAsia="宋体" w:cs="Times New Roman"/>
                <w:color w:val="auto"/>
                <w:sz w:val="20"/>
                <w:szCs w:val="20"/>
                <w:highlight w:val="none"/>
                <w:lang w:val="en-US" w:eastAsia="zh-CN"/>
              </w:rPr>
              <w:t>废金属回收后外售</w:t>
            </w:r>
            <w:r>
              <w:rPr>
                <w:rFonts w:hint="eastAsia" w:ascii="Times New Roman" w:hAnsi="Times New Roman" w:eastAsia="宋体"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炭黑渣</w:t>
            </w:r>
            <w:r>
              <w:rPr>
                <w:rFonts w:hint="eastAsia" w:ascii="Times New Roman" w:hAnsi="Times New Roman" w:eastAsia="宋体" w:cs="Times New Roman"/>
                <w:color w:val="auto"/>
                <w:sz w:val="20"/>
                <w:szCs w:val="20"/>
                <w:highlight w:val="none"/>
                <w:lang w:val="en-US" w:eastAsia="zh-CN"/>
              </w:rPr>
              <w:t>在炭渣加工区</w:t>
            </w:r>
            <w:r>
              <w:rPr>
                <w:rFonts w:hint="default" w:ascii="Times New Roman" w:hAnsi="Times New Roman" w:eastAsia="宋体" w:cs="Times New Roman"/>
                <w:color w:val="auto"/>
                <w:sz w:val="20"/>
                <w:szCs w:val="20"/>
                <w:highlight w:val="none"/>
                <w:lang w:val="en-US" w:eastAsia="zh-CN"/>
              </w:rPr>
              <w:t>经破碎、筛分、冲压成型成碳棒外售</w:t>
            </w:r>
            <w:r>
              <w:rPr>
                <w:rFonts w:hint="eastAsia" w:ascii="Times New Roman" w:hAnsi="Times New Roman" w:eastAsia="宋体" w:cs="Times New Roman"/>
                <w:color w:val="auto"/>
                <w:sz w:val="20"/>
                <w:szCs w:val="20"/>
                <w:highlight w:val="none"/>
                <w:lang w:val="en-US" w:eastAsia="zh-CN"/>
              </w:rPr>
              <w:t>；</w:t>
            </w:r>
            <w:r>
              <w:rPr>
                <w:rFonts w:hint="default" w:ascii="Times New Roman" w:hAnsi="Times New Roman" w:eastAsia="宋体" w:cs="Times New Roman"/>
                <w:color w:val="auto"/>
                <w:sz w:val="20"/>
                <w:szCs w:val="20"/>
                <w:highlight w:val="none"/>
                <w:lang w:val="en-US" w:eastAsia="zh-CN"/>
              </w:rPr>
              <w:t>碱液喷淋塔沉渣送至一般固废填埋场填埋处置。</w:t>
            </w:r>
          </w:p>
        </w:tc>
        <w:tc>
          <w:tcPr>
            <w:tcW w:w="440" w:type="pct"/>
            <w:vMerge w:val="continue"/>
            <w:tcBorders>
              <w:tl2br w:val="nil"/>
              <w:tr2bl w:val="nil"/>
            </w:tcBorders>
            <w:shd w:val="clear" w:color="FFFFFF" w:themeColor="background1" w:fill="auto"/>
            <w:vAlign w:val="center"/>
          </w:tcPr>
          <w:p w14:paraId="29C3E8F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10CD15C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zh-CN" w:eastAsia="zh-CN" w:bidi="ar-SA"/>
              </w:rPr>
            </w:pPr>
          </w:p>
        </w:tc>
      </w:tr>
      <w:tr w14:paraId="1692000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72952C8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vMerge w:val="continue"/>
            <w:tcBorders>
              <w:tl2br w:val="nil"/>
              <w:tr2bl w:val="nil"/>
            </w:tcBorders>
            <w:shd w:val="clear" w:color="FFFFFF" w:themeColor="background1" w:fill="auto"/>
            <w:vAlign w:val="center"/>
          </w:tcPr>
          <w:p w14:paraId="71717E9E">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p>
        </w:tc>
        <w:tc>
          <w:tcPr>
            <w:tcW w:w="2922" w:type="pct"/>
            <w:gridSpan w:val="2"/>
            <w:tcBorders>
              <w:tl2br w:val="nil"/>
              <w:tr2bl w:val="nil"/>
            </w:tcBorders>
            <w:shd w:val="clear" w:color="FFFFFF" w:themeColor="background1" w:fill="auto"/>
            <w:vAlign w:val="center"/>
          </w:tcPr>
          <w:p w14:paraId="09A65E19">
            <w:pPr>
              <w:keepNext w:val="0"/>
              <w:keepLines w:val="0"/>
              <w:suppressLineNumbers w:val="0"/>
              <w:spacing w:before="0" w:beforeAutospacing="0" w:after="0" w:afterAutospacing="0" w:line="240" w:lineRule="auto"/>
              <w:ind w:left="0" w:leftChars="0" w:right="0" w:rightChars="0"/>
              <w:jc w:val="left"/>
              <w:rPr>
                <w:rFonts w:hint="default" w:ascii="Times New Roman" w:hAnsi="Times New Roman" w:cs="Times New Roman" w:eastAsiaTheme="minorEastAsia"/>
                <w:color w:val="auto"/>
                <w:kern w:val="2"/>
                <w:sz w:val="20"/>
                <w:szCs w:val="20"/>
                <w:highlight w:val="none"/>
                <w:lang w:val="en-US" w:eastAsia="zh-CN" w:bidi="ar-SA"/>
              </w:rPr>
            </w:pPr>
            <w:r>
              <w:rPr>
                <w:rFonts w:hint="default" w:ascii="Times New Roman" w:hAnsi="Times New Roman" w:cs="Times New Roman"/>
                <w:b/>
                <w:bCs/>
                <w:color w:val="auto"/>
                <w:kern w:val="2"/>
                <w:sz w:val="20"/>
                <w:szCs w:val="20"/>
                <w:highlight w:val="none"/>
                <w:lang w:val="en-US" w:eastAsia="zh-CN" w:bidi="ar-SA"/>
              </w:rPr>
              <w:t>危险废物：</w:t>
            </w:r>
            <w:r>
              <w:rPr>
                <w:rFonts w:hint="eastAsia" w:ascii="Times New Roman" w:hAnsi="Times New Roman" w:cs="Times New Roman"/>
                <w:color w:val="auto"/>
                <w:sz w:val="20"/>
                <w:szCs w:val="20"/>
                <w:highlight w:val="none"/>
                <w:lang w:val="en-US" w:eastAsia="zh-CN"/>
              </w:rPr>
              <w:t>烟气净化飞灰</w:t>
            </w:r>
            <w:r>
              <w:rPr>
                <w:rFonts w:hint="default" w:ascii="Times New Roman" w:hAnsi="Times New Roman" w:cs="Times New Roman"/>
                <w:color w:val="auto"/>
                <w:sz w:val="20"/>
                <w:szCs w:val="20"/>
                <w:highlight w:val="none"/>
                <w:lang w:val="en-US" w:eastAsia="zh-CN"/>
              </w:rPr>
              <w:t>经鉴别满足入场要求垃圾填埋场填埋，否则纳入危险废物管理范畴，危废暂存间暂存后定期交由危废资质单位处置</w:t>
            </w:r>
            <w:r>
              <w:rPr>
                <w:rFonts w:hint="eastAsia" w:ascii="Times New Roman" w:hAnsi="Times New Roman" w:cs="Times New Roman"/>
                <w:color w:val="auto"/>
                <w:sz w:val="20"/>
                <w:szCs w:val="20"/>
                <w:highlight w:val="none"/>
                <w:lang w:val="en-US" w:eastAsia="zh-CN"/>
              </w:rPr>
              <w:t>；</w:t>
            </w:r>
            <w:r>
              <w:rPr>
                <w:rFonts w:hint="default" w:ascii="Times New Roman" w:hAnsi="Times New Roman" w:cs="Times New Roman"/>
                <w:color w:val="auto"/>
                <w:sz w:val="20"/>
                <w:szCs w:val="20"/>
                <w:highlight w:val="none"/>
                <w:lang w:val="en-US" w:eastAsia="zh-CN"/>
              </w:rPr>
              <w:t>焦油</w:t>
            </w:r>
            <w:r>
              <w:rPr>
                <w:rFonts w:hint="eastAsia" w:ascii="Times New Roman" w:hAnsi="Times New Roman" w:cs="Times New Roman"/>
                <w:color w:val="auto"/>
                <w:sz w:val="20"/>
                <w:szCs w:val="20"/>
                <w:highlight w:val="none"/>
                <w:lang w:val="en-US" w:eastAsia="zh-CN"/>
              </w:rPr>
              <w:t>、废活性炭、废布袋、废机油、废含油棉纱手套</w:t>
            </w:r>
            <w:r>
              <w:rPr>
                <w:rFonts w:hint="default" w:ascii="Times New Roman" w:hAnsi="Times New Roman" w:cs="Times New Roman"/>
                <w:color w:val="auto"/>
                <w:kern w:val="2"/>
                <w:sz w:val="20"/>
                <w:szCs w:val="20"/>
                <w:highlight w:val="none"/>
                <w:lang w:val="en-US" w:eastAsia="zh-CN" w:bidi="ar-SA"/>
              </w:rPr>
              <w:t>等暂存至危废间（</w:t>
            </w:r>
            <w:r>
              <w:rPr>
                <w:rFonts w:hint="eastAsia" w:ascii="Times New Roman" w:hAnsi="Times New Roman" w:cs="Times New Roman"/>
                <w:color w:val="auto"/>
                <w:kern w:val="2"/>
                <w:sz w:val="20"/>
                <w:szCs w:val="20"/>
                <w:highlight w:val="none"/>
                <w:lang w:val="en-US" w:eastAsia="zh-CN" w:bidi="ar-SA"/>
              </w:rPr>
              <w:t>91.16</w:t>
            </w:r>
            <w:r>
              <w:rPr>
                <w:rFonts w:hint="default" w:ascii="Times New Roman" w:hAnsi="Times New Roman" w:cs="Times New Roman"/>
                <w:color w:val="auto"/>
                <w:kern w:val="2"/>
                <w:sz w:val="20"/>
                <w:szCs w:val="20"/>
                <w:highlight w:val="none"/>
                <w:lang w:val="en-US" w:eastAsia="zh-CN" w:bidi="ar-SA"/>
              </w:rPr>
              <w:t>m</w:t>
            </w:r>
            <w:r>
              <w:rPr>
                <w:rFonts w:hint="default" w:ascii="Times New Roman" w:hAnsi="Times New Roman" w:cs="Times New Roman"/>
                <w:color w:val="auto"/>
                <w:kern w:val="2"/>
                <w:sz w:val="20"/>
                <w:szCs w:val="20"/>
                <w:highlight w:val="none"/>
                <w:vertAlign w:val="superscript"/>
                <w:lang w:val="en-US" w:eastAsia="zh-CN" w:bidi="ar-SA"/>
              </w:rPr>
              <w:t>2</w:t>
            </w:r>
            <w:r>
              <w:rPr>
                <w:rFonts w:hint="default" w:ascii="Times New Roman" w:hAnsi="Times New Roman" w:cs="Times New Roman"/>
                <w:color w:val="auto"/>
                <w:kern w:val="2"/>
                <w:sz w:val="20"/>
                <w:szCs w:val="20"/>
                <w:highlight w:val="none"/>
                <w:lang w:val="en-US" w:eastAsia="zh-CN" w:bidi="ar-SA"/>
              </w:rPr>
              <w:t xml:space="preserve">），交由危废资质单位处置。  </w:t>
            </w:r>
          </w:p>
        </w:tc>
        <w:tc>
          <w:tcPr>
            <w:tcW w:w="440" w:type="pct"/>
            <w:vMerge w:val="continue"/>
            <w:tcBorders>
              <w:tl2br w:val="nil"/>
              <w:tr2bl w:val="nil"/>
            </w:tcBorders>
            <w:shd w:val="clear" w:color="FFFFFF" w:themeColor="background1" w:fill="auto"/>
            <w:vAlign w:val="center"/>
          </w:tcPr>
          <w:p w14:paraId="4CE9639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zh-CN" w:eastAsia="zh-CN" w:bidi="ar-SA"/>
              </w:rPr>
            </w:pPr>
          </w:p>
        </w:tc>
        <w:tc>
          <w:tcPr>
            <w:tcW w:w="536" w:type="pct"/>
            <w:vMerge w:val="continue"/>
            <w:tcBorders>
              <w:tl2br w:val="nil"/>
              <w:tr2bl w:val="nil"/>
            </w:tcBorders>
            <w:shd w:val="clear" w:color="FFFFFF" w:themeColor="background1" w:fill="auto"/>
            <w:vAlign w:val="center"/>
          </w:tcPr>
          <w:p w14:paraId="2A2E2FA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eastAsiaTheme="minorEastAsia"/>
                <w:color w:val="auto"/>
                <w:kern w:val="2"/>
                <w:sz w:val="20"/>
                <w:szCs w:val="20"/>
                <w:highlight w:val="none"/>
                <w:lang w:val="zh-CN" w:eastAsia="zh-CN" w:bidi="ar-SA"/>
              </w:rPr>
            </w:pPr>
          </w:p>
        </w:tc>
      </w:tr>
      <w:tr w14:paraId="29D7A41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340" w:hRule="atLeast"/>
          <w:jc w:val="center"/>
        </w:trPr>
        <w:tc>
          <w:tcPr>
            <w:tcW w:w="421" w:type="pct"/>
            <w:vMerge w:val="continue"/>
            <w:tcBorders>
              <w:tl2br w:val="nil"/>
              <w:tr2bl w:val="nil"/>
            </w:tcBorders>
            <w:shd w:val="clear" w:color="FFFFFF" w:themeColor="background1" w:fill="auto"/>
            <w:vAlign w:val="center"/>
          </w:tcPr>
          <w:p w14:paraId="0BDE765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282BEEF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地下水及土壤污染防控</w:t>
            </w:r>
          </w:p>
        </w:tc>
        <w:tc>
          <w:tcPr>
            <w:tcW w:w="2922" w:type="pct"/>
            <w:gridSpan w:val="2"/>
            <w:tcBorders>
              <w:tl2br w:val="nil"/>
              <w:tr2bl w:val="nil"/>
            </w:tcBorders>
            <w:shd w:val="clear" w:color="FFFFFF" w:themeColor="background1" w:fill="auto"/>
            <w:vAlign w:val="center"/>
          </w:tcPr>
          <w:p w14:paraId="322AA003">
            <w:pPr>
              <w:keepNext w:val="0"/>
              <w:keepLines w:val="0"/>
              <w:suppressLineNumbers w:val="0"/>
              <w:spacing w:before="0" w:beforeAutospacing="0" w:after="0" w:afterAutospacing="0" w:line="240" w:lineRule="auto"/>
              <w:ind w:left="0" w:right="0"/>
              <w:jc w:val="both"/>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采取分区防渗措施：</w:t>
            </w:r>
          </w:p>
          <w:p w14:paraId="58877F9E">
            <w:pPr>
              <w:keepNext w:val="0"/>
              <w:keepLines w:val="0"/>
              <w:suppressLineNumbers w:val="0"/>
              <w:spacing w:before="0" w:beforeAutospacing="0" w:after="0" w:afterAutospacing="0" w:line="240" w:lineRule="auto"/>
              <w:ind w:left="0" w:right="0"/>
              <w:jc w:val="both"/>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b/>
                <w:bCs/>
                <w:color w:val="auto"/>
                <w:kern w:val="2"/>
                <w:sz w:val="20"/>
                <w:szCs w:val="20"/>
                <w:highlight w:val="none"/>
                <w:lang w:val="en-US" w:eastAsia="zh-CN" w:bidi="ar-SA"/>
              </w:rPr>
              <w:t>重点防渗区：</w:t>
            </w:r>
            <w:r>
              <w:rPr>
                <w:rFonts w:hint="default" w:ascii="Times New Roman" w:hAnsi="Times New Roman" w:eastAsia="宋体" w:cs="Times New Roman"/>
                <w:color w:val="auto"/>
                <w:kern w:val="0"/>
                <w:sz w:val="20"/>
                <w:szCs w:val="20"/>
                <w:highlight w:val="none"/>
                <w:lang w:val="en-US" w:eastAsia="zh-CN" w:bidi="ar"/>
              </w:rPr>
              <w:t>包括</w:t>
            </w:r>
            <w:r>
              <w:rPr>
                <w:rFonts w:hint="default" w:ascii="Times New Roman" w:hAnsi="Times New Roman" w:cs="Times New Roman"/>
                <w:color w:val="auto"/>
                <w:sz w:val="20"/>
                <w:szCs w:val="20"/>
                <w:highlight w:val="none"/>
                <w:lang w:val="en-US" w:eastAsia="zh-CN"/>
              </w:rPr>
              <w:t>主厂房（热解车间、预处理车间、炭渣加工车间、废气处理区、垃圾暂存仓、气闸间、渗滤液收集池）、污水池、废品库（危废暂存间）、初期雨水收集池、事故水池</w:t>
            </w:r>
            <w:r>
              <w:rPr>
                <w:rFonts w:hint="default" w:ascii="Times New Roman" w:hAnsi="Times New Roman" w:eastAsia="宋体" w:cs="Times New Roman"/>
                <w:color w:val="auto"/>
                <w:kern w:val="0"/>
                <w:sz w:val="20"/>
                <w:szCs w:val="20"/>
                <w:highlight w:val="none"/>
                <w:lang w:val="en-US" w:eastAsia="zh-CN" w:bidi="ar"/>
              </w:rPr>
              <w:t>等</w:t>
            </w:r>
            <w:r>
              <w:rPr>
                <w:rFonts w:hint="default" w:ascii="Times New Roman" w:hAnsi="Times New Roman" w:cs="Times New Roman"/>
                <w:color w:val="auto"/>
                <w:kern w:val="2"/>
                <w:sz w:val="20"/>
                <w:szCs w:val="20"/>
                <w:highlight w:val="none"/>
                <w:lang w:val="en-US" w:eastAsia="zh-CN" w:bidi="ar-SA"/>
              </w:rPr>
              <w:t>，</w:t>
            </w:r>
            <w:r>
              <w:rPr>
                <w:rFonts w:hint="default" w:ascii="Times New Roman" w:hAnsi="Times New Roman" w:eastAsia="宋体" w:cs="Times New Roman"/>
                <w:color w:val="auto"/>
                <w:kern w:val="0"/>
                <w:sz w:val="20"/>
                <w:szCs w:val="20"/>
                <w:highlight w:val="none"/>
                <w:lang w:val="en-US" w:eastAsia="zh-CN" w:bidi="ar"/>
              </w:rPr>
              <w:t>采用“防渗混凝土+环氧树脂地坪/HDPE防渗膜”措施进行防渗处理，防渗技术要求为等效黏土防渗层 Mb≥6.0m、渗透系数 K≤1.0×10</w:t>
            </w:r>
            <w:r>
              <w:rPr>
                <w:rFonts w:hint="default" w:ascii="Times New Roman" w:hAnsi="Times New Roman" w:eastAsia="宋体" w:cs="Times New Roman"/>
                <w:color w:val="auto"/>
                <w:kern w:val="0"/>
                <w:sz w:val="20"/>
                <w:szCs w:val="20"/>
                <w:highlight w:val="none"/>
                <w:vertAlign w:val="superscript"/>
                <w:lang w:val="en-US" w:eastAsia="zh-CN" w:bidi="ar"/>
              </w:rPr>
              <w:t>-7</w:t>
            </w:r>
            <w:r>
              <w:rPr>
                <w:rFonts w:hint="default" w:ascii="Times New Roman" w:hAnsi="Times New Roman" w:eastAsia="宋体" w:cs="Times New Roman"/>
                <w:color w:val="auto"/>
                <w:kern w:val="0"/>
                <w:sz w:val="20"/>
                <w:szCs w:val="20"/>
                <w:highlight w:val="none"/>
                <w:lang w:val="en-US" w:eastAsia="zh-CN" w:bidi="ar"/>
              </w:rPr>
              <w:t>cm/s；危废暂存间应满足《危险废物贮存污染控制标准》</w:t>
            </w:r>
            <w:r>
              <w:rPr>
                <w:rFonts w:hint="default" w:ascii="Times New Roman" w:hAnsi="Times New Roman" w:cs="Times New Roman"/>
                <w:color w:val="auto"/>
                <w:sz w:val="20"/>
                <w:szCs w:val="20"/>
                <w:highlight w:val="none"/>
              </w:rPr>
              <w:t>（</w:t>
            </w:r>
            <w:r>
              <w:rPr>
                <w:rFonts w:hint="default" w:ascii="Times New Roman" w:hAnsi="Times New Roman" w:eastAsia="宋体" w:cs="Times New Roman"/>
                <w:color w:val="auto"/>
                <w:kern w:val="0"/>
                <w:sz w:val="20"/>
                <w:szCs w:val="20"/>
                <w:highlight w:val="none"/>
                <w:lang w:val="en-US" w:eastAsia="zh-CN" w:bidi="ar"/>
              </w:rPr>
              <w:t>GB18597-2023</w:t>
            </w:r>
            <w:r>
              <w:rPr>
                <w:rFonts w:hint="default" w:ascii="Times New Roman" w:hAnsi="Times New Roman" w:cs="Times New Roman"/>
                <w:color w:val="auto"/>
                <w:sz w:val="20"/>
                <w:szCs w:val="20"/>
                <w:highlight w:val="none"/>
              </w:rPr>
              <w:t>）</w:t>
            </w:r>
            <w:r>
              <w:rPr>
                <w:rFonts w:hint="default" w:ascii="Times New Roman" w:hAnsi="Times New Roman" w:eastAsia="宋体" w:cs="Times New Roman"/>
                <w:color w:val="auto"/>
                <w:kern w:val="0"/>
                <w:sz w:val="20"/>
                <w:szCs w:val="20"/>
                <w:highlight w:val="none"/>
                <w:lang w:val="en-US" w:eastAsia="zh-CN" w:bidi="ar"/>
              </w:rPr>
              <w:t>要求（即渗透系数≤10</w:t>
            </w:r>
            <w:r>
              <w:rPr>
                <w:rFonts w:hint="default" w:ascii="Times New Roman" w:hAnsi="Times New Roman" w:eastAsia="宋体" w:cs="Times New Roman"/>
                <w:color w:val="auto"/>
                <w:kern w:val="0"/>
                <w:sz w:val="20"/>
                <w:szCs w:val="20"/>
                <w:highlight w:val="none"/>
                <w:vertAlign w:val="superscript"/>
                <w:lang w:val="en-US" w:eastAsia="zh-CN" w:bidi="ar"/>
              </w:rPr>
              <w:t>-10</w:t>
            </w:r>
            <w:r>
              <w:rPr>
                <w:rFonts w:hint="default" w:ascii="Times New Roman" w:hAnsi="Times New Roman" w:eastAsia="宋体" w:cs="Times New Roman"/>
                <w:color w:val="auto"/>
                <w:kern w:val="0"/>
                <w:sz w:val="20"/>
                <w:szCs w:val="20"/>
                <w:highlight w:val="none"/>
                <w:lang w:val="en-US" w:eastAsia="zh-CN" w:bidi="ar"/>
              </w:rPr>
              <w:t>cm/s）</w:t>
            </w:r>
            <w:r>
              <w:rPr>
                <w:rFonts w:hint="default" w:ascii="Times New Roman" w:hAnsi="Times New Roman" w:cs="Times New Roman"/>
                <w:color w:val="auto"/>
                <w:kern w:val="2"/>
                <w:sz w:val="20"/>
                <w:szCs w:val="20"/>
                <w:highlight w:val="none"/>
                <w:lang w:val="en-US" w:eastAsia="zh-CN" w:bidi="ar-SA"/>
              </w:rPr>
              <w:t>。</w:t>
            </w:r>
          </w:p>
          <w:p w14:paraId="22EDF790">
            <w:pPr>
              <w:keepNext w:val="0"/>
              <w:keepLines w:val="0"/>
              <w:suppressLineNumbers w:val="0"/>
              <w:spacing w:before="0" w:beforeAutospacing="0" w:after="0" w:afterAutospacing="0" w:line="240" w:lineRule="auto"/>
              <w:ind w:left="0" w:right="0"/>
              <w:jc w:val="both"/>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b/>
                <w:bCs/>
                <w:color w:val="auto"/>
                <w:kern w:val="2"/>
                <w:sz w:val="20"/>
                <w:szCs w:val="20"/>
                <w:highlight w:val="none"/>
                <w:lang w:val="en-US" w:eastAsia="zh-CN" w:bidi="ar-SA"/>
              </w:rPr>
              <w:t>一般防渗区：</w:t>
            </w:r>
            <w:r>
              <w:rPr>
                <w:rFonts w:hint="default" w:ascii="Times New Roman" w:hAnsi="Times New Roman" w:eastAsia="宋体" w:cs="Times New Roman"/>
                <w:color w:val="auto"/>
                <w:kern w:val="0"/>
                <w:sz w:val="20"/>
                <w:szCs w:val="20"/>
                <w:highlight w:val="none"/>
                <w:lang w:val="en-US" w:eastAsia="zh-CN" w:bidi="ar"/>
              </w:rPr>
              <w:t>包括除重点防渗区外的主厂房（</w:t>
            </w:r>
            <w:r>
              <w:rPr>
                <w:rFonts w:hint="default" w:ascii="Times New Roman" w:hAnsi="Times New Roman" w:eastAsia="宋体" w:cs="Times New Roman"/>
                <w:b w:val="0"/>
                <w:bCs w:val="0"/>
                <w:color w:val="auto"/>
                <w:kern w:val="0"/>
                <w:sz w:val="20"/>
                <w:szCs w:val="20"/>
                <w:highlight w:val="none"/>
                <w:lang w:val="en-US" w:eastAsia="zh-CN" w:bidi="ar"/>
              </w:rPr>
              <w:t>大厅、</w:t>
            </w:r>
            <w:r>
              <w:rPr>
                <w:rFonts w:hint="default" w:ascii="Times New Roman" w:hAnsi="Times New Roman" w:eastAsia="宋体" w:cs="Times New Roman"/>
                <w:color w:val="auto"/>
                <w:kern w:val="0"/>
                <w:sz w:val="20"/>
                <w:szCs w:val="20"/>
                <w:highlight w:val="none"/>
                <w:lang w:val="en-US" w:eastAsia="zh-CN" w:bidi="ar"/>
              </w:rPr>
              <w:t>冷却水循环水池、水泵房、消防水池等）、气柜、地磅区、收运车停车场、化粪池等。采用防渗混凝土进行防渗处理，防渗技术要求为等效粘土防渗层Mb≥1.5m，K≤10</w:t>
            </w:r>
            <w:r>
              <w:rPr>
                <w:rFonts w:hint="default" w:ascii="Times New Roman" w:hAnsi="Times New Roman" w:eastAsia="宋体" w:cs="Times New Roman"/>
                <w:color w:val="auto"/>
                <w:kern w:val="0"/>
                <w:sz w:val="20"/>
                <w:szCs w:val="20"/>
                <w:highlight w:val="none"/>
                <w:vertAlign w:val="superscript"/>
                <w:lang w:val="en-US" w:eastAsia="zh-CN" w:bidi="ar"/>
              </w:rPr>
              <w:t>-7</w:t>
            </w:r>
            <w:r>
              <w:rPr>
                <w:rFonts w:hint="default" w:ascii="Times New Roman" w:hAnsi="Times New Roman" w:eastAsia="宋体" w:cs="Times New Roman"/>
                <w:color w:val="auto"/>
                <w:kern w:val="0"/>
                <w:sz w:val="20"/>
                <w:szCs w:val="20"/>
                <w:highlight w:val="none"/>
                <w:lang w:val="en-US" w:eastAsia="zh-CN" w:bidi="ar"/>
              </w:rPr>
              <w:t>cm/s</w:t>
            </w:r>
            <w:r>
              <w:rPr>
                <w:rFonts w:hint="default" w:ascii="Times New Roman" w:hAnsi="Times New Roman" w:cs="Times New Roman"/>
                <w:color w:val="auto"/>
                <w:kern w:val="2"/>
                <w:sz w:val="20"/>
                <w:szCs w:val="20"/>
                <w:highlight w:val="none"/>
                <w:lang w:val="en-US" w:eastAsia="zh-CN" w:bidi="ar-SA"/>
              </w:rPr>
              <w:t>。</w:t>
            </w:r>
          </w:p>
          <w:p w14:paraId="1A298470">
            <w:pPr>
              <w:keepNext w:val="0"/>
              <w:keepLines w:val="0"/>
              <w:suppressLineNumbers w:val="0"/>
              <w:spacing w:before="0" w:beforeAutospacing="0" w:after="0" w:afterAutospacing="0" w:line="240" w:lineRule="auto"/>
              <w:ind w:left="0" w:right="0"/>
              <w:jc w:val="both"/>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b/>
                <w:bCs/>
                <w:color w:val="auto"/>
                <w:kern w:val="2"/>
                <w:sz w:val="20"/>
                <w:szCs w:val="20"/>
                <w:highlight w:val="none"/>
                <w:lang w:val="en-US" w:eastAsia="zh-CN" w:bidi="ar-SA"/>
              </w:rPr>
              <w:t>简单防渗区：</w:t>
            </w:r>
            <w:r>
              <w:rPr>
                <w:rFonts w:hint="default" w:ascii="Times New Roman" w:hAnsi="Times New Roman" w:eastAsia="宋体" w:cs="Times New Roman"/>
                <w:color w:val="auto"/>
                <w:kern w:val="0"/>
                <w:sz w:val="20"/>
                <w:szCs w:val="20"/>
                <w:highlight w:val="none"/>
                <w:lang w:val="en-US" w:eastAsia="zh-CN" w:bidi="ar"/>
              </w:rPr>
              <w:t>门卫、厂区道路。防渗技术要求为一般地面硬化</w:t>
            </w:r>
            <w:r>
              <w:rPr>
                <w:rFonts w:hint="default" w:ascii="Times New Roman" w:hAnsi="Times New Roman" w:cs="Times New Roman"/>
                <w:color w:val="auto"/>
                <w:kern w:val="2"/>
                <w:sz w:val="20"/>
                <w:szCs w:val="20"/>
                <w:highlight w:val="none"/>
                <w:lang w:val="en-US" w:eastAsia="zh-CN" w:bidi="ar-SA"/>
              </w:rPr>
              <w:t>。</w:t>
            </w:r>
          </w:p>
        </w:tc>
        <w:tc>
          <w:tcPr>
            <w:tcW w:w="440" w:type="pct"/>
            <w:vMerge w:val="continue"/>
            <w:tcBorders>
              <w:tl2br w:val="nil"/>
              <w:tr2bl w:val="nil"/>
            </w:tcBorders>
            <w:shd w:val="clear" w:color="FFFFFF" w:themeColor="background1" w:fill="auto"/>
            <w:vAlign w:val="center"/>
          </w:tcPr>
          <w:p w14:paraId="48443D83">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63F4511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地下水污染</w:t>
            </w:r>
          </w:p>
        </w:tc>
      </w:tr>
      <w:tr w14:paraId="504F75F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FFFFFF" w:themeColor="background1" w:fill="auto"/>
          <w:tblCellMar>
            <w:top w:w="0" w:type="dxa"/>
            <w:left w:w="10" w:type="dxa"/>
            <w:bottom w:w="0" w:type="dxa"/>
            <w:right w:w="10" w:type="dxa"/>
          </w:tblCellMar>
        </w:tblPrEx>
        <w:trPr>
          <w:trHeight w:val="90" w:hRule="atLeast"/>
          <w:jc w:val="center"/>
        </w:trPr>
        <w:tc>
          <w:tcPr>
            <w:tcW w:w="421" w:type="pct"/>
            <w:vMerge w:val="continue"/>
            <w:tcBorders>
              <w:tl2br w:val="nil"/>
              <w:tr2bl w:val="nil"/>
            </w:tcBorders>
            <w:shd w:val="clear" w:color="FFFFFF" w:themeColor="background1" w:fill="auto"/>
            <w:vAlign w:val="center"/>
          </w:tcPr>
          <w:p w14:paraId="0F30307C">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679" w:type="pct"/>
            <w:tcBorders>
              <w:tl2br w:val="nil"/>
              <w:tr2bl w:val="nil"/>
            </w:tcBorders>
            <w:shd w:val="clear" w:color="FFFFFF" w:themeColor="background1" w:fill="auto"/>
            <w:vAlign w:val="center"/>
          </w:tcPr>
          <w:p w14:paraId="225C87E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环境风险防范措施</w:t>
            </w:r>
          </w:p>
        </w:tc>
        <w:tc>
          <w:tcPr>
            <w:tcW w:w="2922" w:type="pct"/>
            <w:gridSpan w:val="2"/>
            <w:tcBorders>
              <w:tl2br w:val="nil"/>
              <w:tr2bl w:val="nil"/>
            </w:tcBorders>
            <w:shd w:val="clear" w:color="FFFFFF" w:themeColor="background1" w:fill="auto"/>
            <w:vAlign w:val="center"/>
          </w:tcPr>
          <w:p w14:paraId="55913759">
            <w:pPr>
              <w:keepNext w:val="0"/>
              <w:keepLines w:val="0"/>
              <w:numPr>
                <w:ilvl w:val="0"/>
                <w:numId w:val="10"/>
              </w:numPr>
              <w:suppressLineNumbers w:val="0"/>
              <w:spacing w:before="0" w:beforeAutospacing="0" w:after="0" w:afterAutospacing="0" w:line="240" w:lineRule="auto"/>
              <w:ind w:left="0" w:right="0"/>
              <w:jc w:val="both"/>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rPr>
              <w:t>设置严禁烟火标识标牌、配置灭火器等消防器材、制定安全管理制度、制定应急预案等</w:t>
            </w:r>
            <w:r>
              <w:rPr>
                <w:rFonts w:hint="default" w:ascii="Times New Roman" w:hAnsi="Times New Roman" w:cs="Times New Roman"/>
                <w:bCs/>
                <w:color w:val="auto"/>
                <w:sz w:val="20"/>
                <w:szCs w:val="20"/>
                <w:highlight w:val="none"/>
                <w:lang w:eastAsia="zh-CN"/>
              </w:rPr>
              <w:t>。</w:t>
            </w:r>
          </w:p>
          <w:p w14:paraId="160203FB">
            <w:pPr>
              <w:keepNext w:val="0"/>
              <w:keepLines w:val="0"/>
              <w:numPr>
                <w:ilvl w:val="0"/>
                <w:numId w:val="0"/>
              </w:numPr>
              <w:suppressLineNumbers w:val="0"/>
              <w:spacing w:before="0" w:beforeAutospacing="0" w:after="0" w:afterAutospacing="0" w:line="240" w:lineRule="auto"/>
              <w:ind w:left="0" w:right="0" w:rightChars="0"/>
              <w:jc w:val="both"/>
              <w:rPr>
                <w:rFonts w:hint="default" w:ascii="Times New Roman" w:hAnsi="Times New Roman" w:cs="Times New Roman"/>
                <w:b/>
                <w:bCs/>
                <w:color w:val="auto"/>
                <w:kern w:val="2"/>
                <w:sz w:val="20"/>
                <w:szCs w:val="20"/>
                <w:highlight w:val="none"/>
                <w:lang w:val="en-US" w:eastAsia="zh-CN" w:bidi="ar-SA"/>
              </w:rPr>
            </w:pPr>
            <w:r>
              <w:rPr>
                <w:rFonts w:hint="eastAsia" w:ascii="Times New Roman" w:hAnsi="Times New Roman" w:cs="Times New Roman"/>
                <w:bCs/>
                <w:color w:val="auto"/>
                <w:sz w:val="20"/>
                <w:szCs w:val="20"/>
                <w:highlight w:val="none"/>
                <w:lang w:val="en-US" w:eastAsia="zh-CN"/>
              </w:rPr>
              <w:t>2、气柜</w:t>
            </w:r>
            <w:r>
              <w:rPr>
                <w:rFonts w:hint="default" w:ascii="Times New Roman" w:hAnsi="Times New Roman" w:cs="Times New Roman"/>
                <w:bCs/>
                <w:color w:val="auto"/>
                <w:sz w:val="20"/>
                <w:szCs w:val="20"/>
                <w:highlight w:val="none"/>
                <w:lang w:eastAsia="zh-CN"/>
              </w:rPr>
              <w:t>区设置</w:t>
            </w:r>
            <w:r>
              <w:rPr>
                <w:rFonts w:hint="eastAsia" w:ascii="Times New Roman" w:hAnsi="Times New Roman" w:cs="Times New Roman"/>
                <w:bCs/>
                <w:color w:val="auto"/>
                <w:sz w:val="20"/>
                <w:szCs w:val="20"/>
                <w:highlight w:val="none"/>
                <w:lang w:val="en-US" w:eastAsia="zh-CN"/>
              </w:rPr>
              <w:t>可燃气体</w:t>
            </w:r>
            <w:r>
              <w:rPr>
                <w:rFonts w:hint="default" w:ascii="Times New Roman" w:hAnsi="Times New Roman" w:eastAsia="宋体" w:cs="Times New Roman"/>
                <w:color w:val="auto"/>
                <w:kern w:val="0"/>
                <w:sz w:val="20"/>
                <w:szCs w:val="20"/>
                <w:highlight w:val="none"/>
                <w:lang w:val="en-US" w:eastAsia="zh-CN" w:bidi="ar"/>
              </w:rPr>
              <w:t>检测装置、火灾报警装置</w:t>
            </w:r>
            <w:r>
              <w:rPr>
                <w:rFonts w:hint="default" w:ascii="Times New Roman" w:hAnsi="Times New Roman" w:cs="Times New Roman"/>
                <w:color w:val="auto"/>
                <w:sz w:val="20"/>
                <w:szCs w:val="20"/>
                <w:highlight w:val="none"/>
                <w:lang w:val="en-US" w:eastAsia="zh-CN"/>
              </w:rPr>
              <w:t>等。</w:t>
            </w:r>
          </w:p>
          <w:p w14:paraId="057F5626">
            <w:pPr>
              <w:keepNext w:val="0"/>
              <w:keepLines w:val="0"/>
              <w:numPr>
                <w:ilvl w:val="0"/>
                <w:numId w:val="0"/>
              </w:numPr>
              <w:suppressLineNumbers w:val="0"/>
              <w:spacing w:before="0" w:beforeAutospacing="0" w:after="0" w:afterAutospacing="0" w:line="240" w:lineRule="auto"/>
              <w:ind w:left="0" w:right="0" w:rightChars="0"/>
              <w:jc w:val="both"/>
              <w:rPr>
                <w:rFonts w:hint="default" w:ascii="Times New Roman" w:hAnsi="Times New Roman" w:cs="Times New Roman"/>
                <w:b/>
                <w:bCs/>
                <w:color w:val="auto"/>
                <w:kern w:val="2"/>
                <w:sz w:val="20"/>
                <w:szCs w:val="20"/>
                <w:highlight w:val="none"/>
                <w:lang w:val="en-US" w:eastAsia="zh-CN" w:bidi="ar-SA"/>
              </w:rPr>
            </w:pPr>
            <w:r>
              <w:rPr>
                <w:rFonts w:hint="eastAsia" w:ascii="Times New Roman" w:hAnsi="Times New Roman" w:eastAsia="宋体" w:cs="Times New Roman"/>
                <w:color w:val="auto"/>
                <w:kern w:val="0"/>
                <w:sz w:val="20"/>
                <w:szCs w:val="20"/>
                <w:highlight w:val="none"/>
                <w:lang w:val="en-US" w:eastAsia="zh-CN" w:bidi="ar"/>
              </w:rPr>
              <w:t>3、</w:t>
            </w:r>
            <w:r>
              <w:rPr>
                <w:rFonts w:hint="default" w:ascii="Times New Roman" w:hAnsi="Times New Roman" w:eastAsia="宋体" w:cs="Times New Roman"/>
                <w:color w:val="auto"/>
                <w:kern w:val="0"/>
                <w:sz w:val="20"/>
                <w:szCs w:val="20"/>
                <w:highlight w:val="none"/>
                <w:lang w:val="en-US" w:eastAsia="zh-CN" w:bidi="ar"/>
              </w:rPr>
              <w:t>设置1个事故应急池（100m</w:t>
            </w:r>
            <w:r>
              <w:rPr>
                <w:rFonts w:hint="default" w:ascii="Times New Roman" w:hAnsi="Times New Roman" w:eastAsia="宋体" w:cs="Times New Roman"/>
                <w:color w:val="auto"/>
                <w:kern w:val="0"/>
                <w:sz w:val="20"/>
                <w:szCs w:val="20"/>
                <w:highlight w:val="none"/>
                <w:vertAlign w:val="superscript"/>
                <w:lang w:val="en-US" w:eastAsia="zh-CN" w:bidi="ar"/>
              </w:rPr>
              <w:t>3</w:t>
            </w:r>
            <w:r>
              <w:rPr>
                <w:rFonts w:hint="default" w:ascii="Times New Roman" w:hAnsi="Times New Roman" w:eastAsia="宋体" w:cs="Times New Roman"/>
                <w:color w:val="auto"/>
                <w:kern w:val="0"/>
                <w:sz w:val="20"/>
                <w:szCs w:val="20"/>
                <w:highlight w:val="none"/>
                <w:lang w:val="en-US" w:eastAsia="zh-CN" w:bidi="ar"/>
              </w:rPr>
              <w:t>）和1个初期雨水池（1</w:t>
            </w:r>
            <w:r>
              <w:rPr>
                <w:rFonts w:hint="eastAsia" w:ascii="Times New Roman" w:hAnsi="Times New Roman" w:eastAsia="宋体" w:cs="Times New Roman"/>
                <w:color w:val="auto"/>
                <w:kern w:val="0"/>
                <w:sz w:val="20"/>
                <w:szCs w:val="20"/>
                <w:highlight w:val="none"/>
                <w:lang w:val="en-US" w:eastAsia="zh-CN" w:bidi="ar"/>
              </w:rPr>
              <w:t>0</w:t>
            </w:r>
            <w:r>
              <w:rPr>
                <w:rFonts w:hint="default" w:ascii="Times New Roman" w:hAnsi="Times New Roman" w:eastAsia="宋体" w:cs="Times New Roman"/>
                <w:color w:val="auto"/>
                <w:kern w:val="0"/>
                <w:sz w:val="20"/>
                <w:szCs w:val="20"/>
                <w:highlight w:val="none"/>
                <w:lang w:val="en-US" w:eastAsia="zh-CN" w:bidi="ar"/>
              </w:rPr>
              <w:t>0m</w:t>
            </w:r>
            <w:r>
              <w:rPr>
                <w:rFonts w:hint="default" w:ascii="Times New Roman" w:hAnsi="Times New Roman" w:eastAsia="宋体" w:cs="Times New Roman"/>
                <w:color w:val="auto"/>
                <w:kern w:val="0"/>
                <w:sz w:val="20"/>
                <w:szCs w:val="20"/>
                <w:highlight w:val="none"/>
                <w:vertAlign w:val="superscript"/>
                <w:lang w:val="en-US" w:eastAsia="zh-CN" w:bidi="ar"/>
              </w:rPr>
              <w:t>3</w:t>
            </w:r>
            <w:r>
              <w:rPr>
                <w:rFonts w:hint="default" w:ascii="Times New Roman" w:hAnsi="Times New Roman" w:eastAsia="宋体" w:cs="Times New Roman"/>
                <w:color w:val="auto"/>
                <w:kern w:val="0"/>
                <w:sz w:val="20"/>
                <w:szCs w:val="20"/>
                <w:highlight w:val="none"/>
                <w:lang w:val="en-US" w:eastAsia="zh-CN" w:bidi="ar"/>
              </w:rPr>
              <w:t>）</w:t>
            </w:r>
            <w:r>
              <w:rPr>
                <w:rFonts w:hint="default" w:ascii="Times New Roman" w:hAnsi="Times New Roman" w:cs="Times New Roman"/>
                <w:bCs/>
                <w:color w:val="auto"/>
                <w:sz w:val="20"/>
                <w:szCs w:val="20"/>
                <w:highlight w:val="none"/>
              </w:rPr>
              <w:t>，</w:t>
            </w:r>
            <w:r>
              <w:rPr>
                <w:rFonts w:hint="default" w:ascii="Times New Roman" w:hAnsi="Times New Roman" w:eastAsia="宋体" w:cs="Times New Roman"/>
                <w:color w:val="auto"/>
                <w:kern w:val="0"/>
                <w:sz w:val="20"/>
                <w:szCs w:val="20"/>
                <w:highlight w:val="none"/>
                <w:lang w:val="en-US" w:eastAsia="zh-CN" w:bidi="ar"/>
              </w:rPr>
              <w:t>罐区四周设置围堰，并设置导流沟，综合处理车间四周设置导流沟，</w:t>
            </w:r>
            <w:r>
              <w:rPr>
                <w:rFonts w:hint="default" w:ascii="Times New Roman" w:hAnsi="Times New Roman" w:cs="Times New Roman"/>
                <w:bCs/>
                <w:color w:val="auto"/>
                <w:sz w:val="20"/>
                <w:szCs w:val="20"/>
                <w:highlight w:val="none"/>
                <w:lang w:eastAsia="zh-CN"/>
              </w:rPr>
              <w:t>导流沟与事故水池连接</w:t>
            </w:r>
            <w:r>
              <w:rPr>
                <w:rFonts w:hint="default" w:ascii="Times New Roman" w:hAnsi="Times New Roman" w:eastAsia="宋体" w:cs="Times New Roman"/>
                <w:color w:val="auto"/>
                <w:kern w:val="0"/>
                <w:sz w:val="20"/>
                <w:szCs w:val="20"/>
                <w:highlight w:val="none"/>
                <w:lang w:val="en-US" w:eastAsia="zh-CN" w:bidi="ar"/>
              </w:rPr>
              <w:t>。</w:t>
            </w:r>
            <w:r>
              <w:rPr>
                <w:rFonts w:hint="default" w:ascii="Times New Roman" w:hAnsi="Times New Roman" w:cs="Times New Roman"/>
                <w:bCs/>
                <w:color w:val="auto"/>
                <w:sz w:val="20"/>
                <w:szCs w:val="20"/>
                <w:highlight w:val="none"/>
                <w:lang w:val="en-US" w:eastAsia="zh-CN"/>
              </w:rPr>
              <w:t>厂区雨水出口设置阀门</w:t>
            </w:r>
            <w:r>
              <w:rPr>
                <w:rFonts w:hint="default" w:ascii="Times New Roman" w:hAnsi="Times New Roman" w:cs="Times New Roman"/>
                <w:bCs/>
                <w:color w:val="auto"/>
                <w:sz w:val="20"/>
                <w:szCs w:val="20"/>
                <w:highlight w:val="none"/>
                <w:lang w:eastAsia="zh-CN"/>
              </w:rPr>
              <w:t>。</w:t>
            </w:r>
          </w:p>
        </w:tc>
        <w:tc>
          <w:tcPr>
            <w:tcW w:w="440" w:type="pct"/>
            <w:vMerge w:val="continue"/>
            <w:tcBorders>
              <w:tl2br w:val="nil"/>
              <w:tr2bl w:val="nil"/>
            </w:tcBorders>
            <w:shd w:val="clear" w:color="FFFFFF" w:themeColor="background1" w:fill="auto"/>
            <w:vAlign w:val="center"/>
          </w:tcPr>
          <w:p w14:paraId="3CF5911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zh-CN" w:eastAsia="zh-CN" w:bidi="ar-SA"/>
              </w:rPr>
            </w:pPr>
          </w:p>
        </w:tc>
        <w:tc>
          <w:tcPr>
            <w:tcW w:w="536" w:type="pct"/>
            <w:tcBorders>
              <w:tl2br w:val="nil"/>
              <w:tr2bl w:val="nil"/>
            </w:tcBorders>
            <w:shd w:val="clear" w:color="FFFFFF" w:themeColor="background1" w:fill="auto"/>
            <w:vAlign w:val="center"/>
          </w:tcPr>
          <w:p w14:paraId="2B246DA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2"/>
                <w:sz w:val="20"/>
                <w:szCs w:val="20"/>
                <w:highlight w:val="none"/>
                <w:lang w:val="en-US" w:eastAsia="zh-CN" w:bidi="ar-SA"/>
              </w:rPr>
            </w:pPr>
            <w:r>
              <w:rPr>
                <w:rFonts w:hint="default" w:ascii="Times New Roman" w:hAnsi="Times New Roman" w:cs="Times New Roman"/>
                <w:color w:val="auto"/>
                <w:kern w:val="2"/>
                <w:sz w:val="20"/>
                <w:szCs w:val="20"/>
                <w:highlight w:val="none"/>
                <w:lang w:val="en-US" w:eastAsia="zh-CN" w:bidi="ar-SA"/>
              </w:rPr>
              <w:t>环境风险</w:t>
            </w:r>
          </w:p>
        </w:tc>
      </w:tr>
    </w:tbl>
    <w:p w14:paraId="2DA9BC3F">
      <w:pPr>
        <w:keepNext/>
        <w:keepLines/>
        <w:pageBreakBefore w:val="0"/>
        <w:widowControl w:val="0"/>
        <w:kinsoku/>
        <w:wordWrap/>
        <w:overflowPunct/>
        <w:topLinePunct w:val="0"/>
        <w:autoSpaceDE/>
        <w:autoSpaceDN/>
        <w:bidi w:val="0"/>
        <w:adjustRightInd/>
        <w:snapToGrid/>
        <w:spacing w:before="93"/>
        <w:ind w:left="0" w:leftChars="0" w:firstLineChars="0"/>
        <w:textAlignment w:val="auto"/>
        <w:outlineLvl w:val="9"/>
        <w:rPr>
          <w:rFonts w:hint="default" w:ascii="Times New Roman" w:hAnsi="Times New Roman" w:cs="Times New Roman"/>
          <w:color w:val="auto"/>
          <w:highlight w:val="none"/>
          <w:lang w:val="en-US" w:eastAsia="zh-CN"/>
        </w:rPr>
        <w:sectPr>
          <w:pgSz w:w="16838" w:h="11906" w:orient="landscape"/>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673B8B81">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工程设计方案</w:t>
      </w:r>
    </w:p>
    <w:p w14:paraId="4451DF19">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服务范围</w:t>
      </w:r>
    </w:p>
    <w:p w14:paraId="0C8ADA20">
      <w:pPr>
        <w:keepNext w:val="0"/>
        <w:keepLines w:val="0"/>
        <w:widowControl/>
        <w:suppressLineNumbers w:val="0"/>
        <w:ind w:firstLine="480" w:firstLineChars="200"/>
        <w:jc w:val="left"/>
        <w:rPr>
          <w:rFonts w:hint="default" w:ascii="Times New Roman" w:hAnsi="Times New Roman" w:eastAsia="宋体" w:cs="Times New Roman"/>
          <w:color w:val="auto"/>
          <w:kern w:val="2"/>
          <w:sz w:val="24"/>
          <w:szCs w:val="24"/>
          <w:highlight w:val="none"/>
        </w:rPr>
      </w:pPr>
      <w:r>
        <w:rPr>
          <w:rFonts w:hint="default" w:ascii="Times New Roman" w:hAnsi="Times New Roman" w:eastAsia="宋体" w:cs="Times New Roman"/>
          <w:color w:val="auto"/>
          <w:kern w:val="2"/>
          <w:sz w:val="24"/>
          <w:szCs w:val="24"/>
          <w:highlight w:val="none"/>
          <w:lang w:val="en-US" w:eastAsia="zh-CN"/>
        </w:rPr>
        <w:t>本项目服务范围为剑阁县全境行政区域。处理对象为服务范围内的居民生活垃圾、商业垃圾、集市贸易市场垃圾、街道清扫垃圾、公共场所垃圾和机关、学校、厂矿等单位的生活垃圾。</w:t>
      </w:r>
      <w:r>
        <w:rPr>
          <w:rFonts w:hint="default" w:ascii="Times New Roman" w:hAnsi="Times New Roman" w:eastAsia="宋体" w:cs="Times New Roman"/>
          <w:b/>
          <w:bCs/>
          <w:color w:val="auto"/>
          <w:kern w:val="2"/>
          <w:sz w:val="24"/>
          <w:szCs w:val="24"/>
          <w:highlight w:val="none"/>
          <w:lang w:val="en-US" w:eastAsia="zh-CN"/>
        </w:rPr>
        <w:t>其它建筑垃圾、餐厨垃圾、危险废物、电子废物、工业固废、医疗垃圾和放射性废料及其处理残余物等均禁止进入本项目处理</w:t>
      </w:r>
      <w:r>
        <w:rPr>
          <w:rFonts w:hint="default" w:ascii="Times New Roman" w:hAnsi="Times New Roman" w:eastAsia="宋体" w:cs="Times New Roman"/>
          <w:b/>
          <w:bCs/>
          <w:color w:val="auto"/>
          <w:kern w:val="0"/>
          <w:sz w:val="24"/>
          <w:szCs w:val="24"/>
          <w:highlight w:val="none"/>
          <w:lang w:val="en-US" w:eastAsia="zh-CN" w:bidi="ar"/>
        </w:rPr>
        <w:t>。</w:t>
      </w:r>
    </w:p>
    <w:p w14:paraId="20350CAB">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生活垃圾处理设施规模论证</w:t>
      </w:r>
    </w:p>
    <w:p w14:paraId="699351E5">
      <w:pPr>
        <w:pStyle w:val="119"/>
        <w:keepNext w:val="0"/>
        <w:keepLines w:val="0"/>
        <w:widowControl/>
        <w:suppressLineNumbers w:val="0"/>
        <w:rPr>
          <w:rFonts w:hint="default" w:ascii="Times New Roman" w:hAnsi="Times New Roman" w:eastAsia="宋体" w:cs="Times New Roman"/>
          <w:b/>
          <w:bCs/>
          <w:color w:val="auto"/>
          <w:kern w:val="2"/>
          <w:sz w:val="24"/>
          <w:szCs w:val="24"/>
          <w:highlight w:val="none"/>
          <w:lang w:val="en-US" w:eastAsia="zh-CN"/>
        </w:rPr>
      </w:pPr>
      <w:r>
        <w:rPr>
          <w:rFonts w:hint="default" w:ascii="Times New Roman" w:hAnsi="Times New Roman" w:eastAsia="宋体" w:cs="Times New Roman"/>
          <w:b/>
          <w:bCs/>
          <w:color w:val="auto"/>
          <w:kern w:val="2"/>
          <w:sz w:val="24"/>
          <w:szCs w:val="24"/>
          <w:highlight w:val="none"/>
          <w:lang w:val="en-US" w:eastAsia="zh-CN"/>
        </w:rPr>
        <w:t>1、生活垃圾处置现状</w:t>
      </w:r>
    </w:p>
    <w:p w14:paraId="355AEAAC">
      <w:pPr>
        <w:pStyle w:val="119"/>
        <w:keepNext w:val="0"/>
        <w:keepLines w:val="0"/>
        <w:widowControl/>
        <w:suppressLineNumbers w:val="0"/>
        <w:rPr>
          <w:rFonts w:hint="default" w:ascii="Times New Roman" w:hAnsi="Times New Roman" w:eastAsia="宋体" w:cs="Times New Roman"/>
          <w:color w:val="auto"/>
          <w:kern w:val="2"/>
          <w:sz w:val="24"/>
          <w:szCs w:val="24"/>
          <w:highlight w:val="none"/>
          <w:lang w:val="en-US" w:eastAsia="zh-CN"/>
        </w:rPr>
      </w:pPr>
      <w:r>
        <w:rPr>
          <w:rFonts w:hint="default" w:ascii="Times New Roman" w:hAnsi="Times New Roman" w:eastAsia="宋体" w:cs="Times New Roman"/>
          <w:color w:val="auto"/>
          <w:kern w:val="2"/>
          <w:sz w:val="24"/>
          <w:szCs w:val="24"/>
          <w:highlight w:val="none"/>
        </w:rPr>
        <w:t>根据</w:t>
      </w:r>
      <w:r>
        <w:rPr>
          <w:rFonts w:hint="default" w:ascii="Times New Roman" w:hAnsi="Times New Roman" w:eastAsia="宋体" w:cs="Times New Roman"/>
          <w:color w:val="auto"/>
          <w:kern w:val="2"/>
          <w:sz w:val="24"/>
          <w:szCs w:val="24"/>
          <w:highlight w:val="none"/>
          <w:lang w:val="en-US" w:eastAsia="zh-CN"/>
        </w:rPr>
        <w:t>2020年10月16日发布的</w:t>
      </w:r>
      <w:r>
        <w:rPr>
          <w:rFonts w:hint="default" w:ascii="Times New Roman" w:hAnsi="Times New Roman" w:eastAsia="宋体" w:cs="Times New Roman"/>
          <w:color w:val="auto"/>
          <w:kern w:val="2"/>
          <w:sz w:val="24"/>
          <w:szCs w:val="24"/>
          <w:highlight w:val="none"/>
          <w:lang w:eastAsia="zh-CN"/>
        </w:rPr>
        <w:t>《剑阁县人民政府关于全县非正规垃圾填埋场停止使用的公告》</w:t>
      </w:r>
      <w:r>
        <w:rPr>
          <w:rFonts w:hint="default" w:ascii="Times New Roman" w:hAnsi="Times New Roman" w:eastAsia="宋体" w:cs="Times New Roman"/>
          <w:color w:val="auto"/>
          <w:kern w:val="2"/>
          <w:sz w:val="24"/>
          <w:szCs w:val="24"/>
          <w:highlight w:val="none"/>
          <w:lang w:val="en-US" w:eastAsia="zh-CN"/>
        </w:rPr>
        <w:t>可知</w:t>
      </w:r>
      <w:r>
        <w:rPr>
          <w:rFonts w:hint="default" w:ascii="Times New Roman" w:hAnsi="Times New Roman" w:eastAsia="宋体" w:cs="Times New Roman"/>
          <w:color w:val="auto"/>
          <w:kern w:val="2"/>
          <w:sz w:val="24"/>
          <w:szCs w:val="24"/>
          <w:highlight w:val="none"/>
          <w:lang w:eastAsia="zh-CN"/>
        </w:rPr>
        <w:t>：“</w:t>
      </w:r>
      <w:r>
        <w:rPr>
          <w:rFonts w:hint="default" w:ascii="Times New Roman" w:hAnsi="Times New Roman" w:eastAsia="宋体" w:cs="Times New Roman"/>
          <w:color w:val="auto"/>
          <w:kern w:val="2"/>
          <w:sz w:val="24"/>
          <w:szCs w:val="24"/>
          <w:highlight w:val="none"/>
          <w:lang w:val="en-US" w:eastAsia="zh-CN"/>
        </w:rPr>
        <w:t>一、2020年6月9日起，已永久关停全县48个非正规垃圾填埋场（名单附后），任何单位和个人不得再向非正规垃圾填埋场内倾倒垃圾；下寺镇、汉阳镇、剑门关镇人民政府负责将本辖区生活垃圾转运至县城生活垃圾压缩转运站（下寺镇拐枣坝污水处理厂旁）；其余26个乡镇人民政府负责将本辖区生活垃圾转运至普安镇生活垃圾压缩转运站（普安镇原生活垃圾处理场内），县环境卫生管理局负责将两个生活垃圾压缩转运站的生活垃圾统一转运至广元市生活垃圾焚烧发电厂处理。</w:t>
      </w:r>
      <w:r>
        <w:rPr>
          <w:rFonts w:hint="default" w:ascii="Times New Roman" w:hAnsi="Times New Roman" w:eastAsia="宋体" w:cs="Times New Roman"/>
          <w:color w:val="auto"/>
          <w:kern w:val="2"/>
          <w:sz w:val="24"/>
          <w:szCs w:val="24"/>
          <w:highlight w:val="none"/>
          <w:lang w:eastAsia="zh-CN"/>
        </w:rPr>
        <w:t>”</w:t>
      </w:r>
    </w:p>
    <w:p w14:paraId="30DF18EB">
      <w:pPr>
        <w:pStyle w:val="119"/>
        <w:keepNext w:val="0"/>
        <w:keepLines w:val="0"/>
        <w:widowControl/>
        <w:suppressLineNumbers w:val="0"/>
        <w:rPr>
          <w:rFonts w:hint="default" w:ascii="Times New Roman" w:hAnsi="Times New Roman" w:eastAsia="宋体" w:cs="Times New Roman"/>
          <w:color w:val="auto"/>
          <w:kern w:val="2"/>
          <w:sz w:val="24"/>
          <w:szCs w:val="24"/>
          <w:highlight w:val="none"/>
          <w:lang w:val="en-US" w:eastAsia="zh-CN"/>
        </w:rPr>
      </w:pPr>
      <w:r>
        <w:rPr>
          <w:rFonts w:hint="default" w:ascii="Times New Roman" w:hAnsi="Times New Roman" w:eastAsia="宋体" w:cs="Times New Roman"/>
          <w:color w:val="auto"/>
          <w:kern w:val="2"/>
          <w:sz w:val="24"/>
          <w:szCs w:val="24"/>
          <w:highlight w:val="none"/>
          <w:lang w:val="en-US" w:eastAsia="zh-CN"/>
        </w:rPr>
        <w:t>目前剑阁县各乡镇非正规垃圾填埋场均已停止使用，剑阁县原有县城和普安镇两个正规生活垃圾填埋场服务年期限已满，均已封场。全县生活垃圾收集转运至生活垃圾压缩转运站后统一转运至广元市生活垃圾焚烧发电厂</w:t>
      </w:r>
      <w:r>
        <w:rPr>
          <w:rFonts w:hint="eastAsia" w:eastAsia="宋体" w:cs="Times New Roman"/>
          <w:color w:val="auto"/>
          <w:kern w:val="2"/>
          <w:sz w:val="24"/>
          <w:szCs w:val="24"/>
          <w:highlight w:val="none"/>
          <w:lang w:val="en-US" w:eastAsia="zh-CN"/>
        </w:rPr>
        <w:t>及周边县市垃圾处置场所进行</w:t>
      </w:r>
      <w:r>
        <w:rPr>
          <w:rFonts w:hint="default" w:ascii="Times New Roman" w:hAnsi="Times New Roman" w:eastAsia="宋体" w:cs="Times New Roman"/>
          <w:color w:val="auto"/>
          <w:kern w:val="2"/>
          <w:sz w:val="24"/>
          <w:szCs w:val="24"/>
          <w:highlight w:val="none"/>
          <w:lang w:val="en-US" w:eastAsia="zh-CN"/>
        </w:rPr>
        <w:t>处理。由于运输距离较远，收集转运存在一定困难，使得部分生活垃圾未得到有效收集和处置</w:t>
      </w:r>
      <w:r>
        <w:rPr>
          <w:rFonts w:hint="default" w:ascii="Times New Roman" w:hAnsi="Times New Roman" w:eastAsia="宋体" w:cs="Times New Roman"/>
          <w:color w:val="auto"/>
          <w:kern w:val="2"/>
          <w:sz w:val="24"/>
          <w:szCs w:val="24"/>
          <w:highlight w:val="none"/>
        </w:rPr>
        <w:t>，对周边环境威胁较大</w:t>
      </w:r>
      <w:r>
        <w:rPr>
          <w:rFonts w:hint="default" w:ascii="Times New Roman" w:hAnsi="Times New Roman" w:eastAsia="宋体" w:cs="Times New Roman"/>
          <w:color w:val="auto"/>
          <w:kern w:val="2"/>
          <w:sz w:val="24"/>
          <w:szCs w:val="24"/>
          <w:highlight w:val="none"/>
          <w:lang w:eastAsia="zh-CN"/>
        </w:rPr>
        <w:t>。</w:t>
      </w:r>
    </w:p>
    <w:p w14:paraId="04ED9E90">
      <w:pPr>
        <w:pStyle w:val="119"/>
        <w:keepNext w:val="0"/>
        <w:keepLines w:val="0"/>
        <w:widowControl/>
        <w:suppressLineNumbers w:val="0"/>
        <w:rPr>
          <w:rFonts w:hint="default" w:ascii="Times New Roman" w:hAnsi="Times New Roman" w:eastAsia="宋体" w:cs="Times New Roman"/>
          <w:color w:val="auto"/>
          <w:kern w:val="2"/>
          <w:sz w:val="24"/>
          <w:szCs w:val="24"/>
          <w:highlight w:val="none"/>
        </w:rPr>
      </w:pPr>
      <w:r>
        <w:rPr>
          <w:rFonts w:hint="default" w:ascii="Times New Roman" w:hAnsi="Times New Roman" w:eastAsia="宋体" w:cs="Times New Roman"/>
          <w:color w:val="auto"/>
          <w:kern w:val="2"/>
          <w:sz w:val="24"/>
          <w:szCs w:val="24"/>
          <w:highlight w:val="none"/>
        </w:rPr>
        <w:t>根据《广元市城乡生活垃圾处理设施建设三年实施方案（2021~2023年）的通知》（广府办发[2021]7号）乡镇的生活垃圾收集设施和运输设施完善正在进一步完善中，各乡镇的生活垃圾收集率将大幅度提高，届时各乡镇的的生活垃圾处置量将会大幅增加。生活垃圾日清运量不足300吨的地区，建设高温热解等小型生活垃圾焚烧设施，原则上不再新建原生生活垃圾填埋场，现有生活垃圾填埋场主要作为应急保障。</w:t>
      </w:r>
      <w:r>
        <w:rPr>
          <w:rFonts w:hint="default" w:ascii="Times New Roman" w:hAnsi="Times New Roman" w:eastAsia="宋体" w:cs="Times New Roman"/>
          <w:b/>
          <w:bCs/>
          <w:color w:val="auto"/>
          <w:kern w:val="2"/>
          <w:sz w:val="24"/>
          <w:szCs w:val="24"/>
          <w:highlight w:val="none"/>
        </w:rPr>
        <w:t>因此，急需新建生活垃圾无害化处理设施。</w:t>
      </w:r>
    </w:p>
    <w:p w14:paraId="562CB674">
      <w:pPr>
        <w:pStyle w:val="119"/>
        <w:keepNext w:val="0"/>
        <w:keepLines w:val="0"/>
        <w:widowControl/>
        <w:suppressLineNumbers w:val="0"/>
        <w:rPr>
          <w:rFonts w:hint="default" w:ascii="Times New Roman" w:hAnsi="Times New Roman" w:eastAsia="宋体" w:cs="Times New Roman"/>
          <w:b/>
          <w:bCs/>
          <w:color w:val="auto"/>
          <w:kern w:val="2"/>
          <w:sz w:val="24"/>
          <w:szCs w:val="24"/>
          <w:highlight w:val="none"/>
          <w:lang w:val="en-US" w:eastAsia="zh-CN"/>
        </w:rPr>
      </w:pPr>
      <w:r>
        <w:rPr>
          <w:rFonts w:hint="default" w:ascii="Times New Roman" w:hAnsi="Times New Roman" w:eastAsia="宋体" w:cs="Times New Roman"/>
          <w:b/>
          <w:bCs/>
          <w:color w:val="auto"/>
          <w:kern w:val="2"/>
          <w:sz w:val="24"/>
          <w:szCs w:val="24"/>
          <w:highlight w:val="none"/>
          <w:lang w:val="en-US" w:eastAsia="zh-CN"/>
        </w:rPr>
        <w:t>2、</w:t>
      </w:r>
      <w:r>
        <w:rPr>
          <w:rFonts w:hint="default" w:ascii="Times New Roman" w:hAnsi="Times New Roman" w:eastAsia="宋体" w:cs="Times New Roman"/>
          <w:b/>
          <w:bCs/>
          <w:color w:val="auto"/>
          <w:kern w:val="2"/>
          <w:sz w:val="24"/>
          <w:szCs w:val="24"/>
          <w:highlight w:val="none"/>
          <w:lang w:eastAsia="zh-CN"/>
        </w:rPr>
        <w:t>服务范围内垃圾产生量估算</w:t>
      </w:r>
    </w:p>
    <w:p w14:paraId="368D7FA8">
      <w:pPr>
        <w:pStyle w:val="119"/>
        <w:keepNext w:val="0"/>
        <w:keepLines w:val="0"/>
        <w:widowControl/>
        <w:suppressLineNumbers w:val="0"/>
        <w:rPr>
          <w:rFonts w:hint="default" w:ascii="Times New Roman" w:hAnsi="Times New Roman" w:eastAsia="宋体" w:cs="Times New Roman"/>
          <w:color w:val="auto"/>
          <w:kern w:val="2"/>
          <w:sz w:val="24"/>
          <w:szCs w:val="24"/>
          <w:highlight w:val="none"/>
        </w:rPr>
      </w:pPr>
      <w:r>
        <w:rPr>
          <w:rFonts w:hint="default" w:ascii="Times New Roman" w:hAnsi="Times New Roman" w:eastAsia="宋体" w:cs="Times New Roman"/>
          <w:color w:val="auto"/>
          <w:kern w:val="2"/>
          <w:sz w:val="24"/>
          <w:szCs w:val="24"/>
          <w:highlight w:val="none"/>
        </w:rPr>
        <w:t>本项目主要接收来自</w:t>
      </w:r>
      <w:r>
        <w:rPr>
          <w:rFonts w:hint="default" w:ascii="Times New Roman" w:hAnsi="Times New Roman" w:eastAsia="宋体" w:cs="Times New Roman"/>
          <w:color w:val="auto"/>
          <w:kern w:val="2"/>
          <w:sz w:val="24"/>
          <w:szCs w:val="24"/>
          <w:highlight w:val="none"/>
          <w:lang w:val="en-US" w:eastAsia="zh-CN"/>
        </w:rPr>
        <w:t>剑阁县全境</w:t>
      </w:r>
      <w:r>
        <w:rPr>
          <w:rFonts w:hint="default" w:ascii="Times New Roman" w:hAnsi="Times New Roman" w:eastAsia="宋体" w:cs="Times New Roman"/>
          <w:color w:val="auto"/>
          <w:kern w:val="2"/>
          <w:sz w:val="24"/>
          <w:szCs w:val="24"/>
          <w:highlight w:val="none"/>
        </w:rPr>
        <w:t>内的生活垃圾。由于</w:t>
      </w:r>
      <w:r>
        <w:rPr>
          <w:rFonts w:hint="default" w:ascii="Times New Roman" w:hAnsi="Times New Roman" w:eastAsia="宋体" w:cs="Times New Roman"/>
          <w:color w:val="auto"/>
          <w:kern w:val="2"/>
          <w:sz w:val="24"/>
          <w:szCs w:val="24"/>
          <w:highlight w:val="none"/>
          <w:lang w:val="en-US" w:eastAsia="zh-CN"/>
        </w:rPr>
        <w:t>剑阁</w:t>
      </w:r>
      <w:r>
        <w:rPr>
          <w:rFonts w:hint="default" w:ascii="Times New Roman" w:hAnsi="Times New Roman" w:eastAsia="宋体" w:cs="Times New Roman"/>
          <w:color w:val="auto"/>
          <w:kern w:val="2"/>
          <w:sz w:val="24"/>
          <w:szCs w:val="24"/>
          <w:highlight w:val="none"/>
        </w:rPr>
        <w:t>县环卫部门统计的全县生活垃圾清运量有效数据样本较少，根据每年清运量数据相关性进行预测的方法基础条件不足，难以使用一元线性回归法和年增长率法进行生活垃圾产生量预测。因此，本项目采用人均垃圾产生量法对服务区域 202</w:t>
      </w:r>
      <w:r>
        <w:rPr>
          <w:rFonts w:hint="default" w:ascii="Times New Roman" w:hAnsi="Times New Roman" w:eastAsia="宋体" w:cs="Times New Roman"/>
          <w:color w:val="auto"/>
          <w:kern w:val="2"/>
          <w:sz w:val="24"/>
          <w:szCs w:val="24"/>
          <w:highlight w:val="none"/>
          <w:lang w:val="en-US" w:eastAsia="zh-CN"/>
        </w:rPr>
        <w:t>5</w:t>
      </w:r>
      <w:r>
        <w:rPr>
          <w:rFonts w:hint="default" w:ascii="Times New Roman" w:hAnsi="Times New Roman" w:eastAsia="宋体" w:cs="Times New Roman"/>
          <w:color w:val="auto"/>
          <w:kern w:val="2"/>
          <w:sz w:val="24"/>
          <w:szCs w:val="24"/>
          <w:highlight w:val="none"/>
        </w:rPr>
        <w:t>～20</w:t>
      </w:r>
      <w:r>
        <w:rPr>
          <w:rFonts w:hint="default" w:ascii="Times New Roman" w:hAnsi="Times New Roman" w:eastAsia="宋体" w:cs="Times New Roman"/>
          <w:color w:val="auto"/>
          <w:kern w:val="2"/>
          <w:sz w:val="24"/>
          <w:szCs w:val="24"/>
          <w:highlight w:val="none"/>
          <w:lang w:val="en-US" w:eastAsia="zh-CN"/>
        </w:rPr>
        <w:t>35</w:t>
      </w:r>
      <w:r>
        <w:rPr>
          <w:rFonts w:hint="default" w:ascii="Times New Roman" w:hAnsi="Times New Roman" w:eastAsia="宋体" w:cs="Times New Roman"/>
          <w:color w:val="auto"/>
          <w:kern w:val="2"/>
          <w:sz w:val="24"/>
          <w:szCs w:val="24"/>
          <w:highlight w:val="none"/>
        </w:rPr>
        <w:t>年之间的生活垃圾产生量进行预测。</w:t>
      </w:r>
    </w:p>
    <w:p w14:paraId="3C3F7791">
      <w:pPr>
        <w:pStyle w:val="119"/>
        <w:keepNext w:val="0"/>
        <w:keepLines w:val="0"/>
        <w:widowControl/>
        <w:suppressLineNumbers w:val="0"/>
        <w:rPr>
          <w:rFonts w:hint="default" w:ascii="Times New Roman" w:hAnsi="Times New Roman" w:eastAsia="宋体" w:cs="Times New Roman"/>
          <w:color w:val="auto"/>
          <w:kern w:val="2"/>
          <w:sz w:val="24"/>
          <w:szCs w:val="24"/>
          <w:highlight w:val="none"/>
        </w:rPr>
      </w:pPr>
      <w:r>
        <w:rPr>
          <w:rFonts w:hint="default" w:ascii="Times New Roman" w:hAnsi="Times New Roman" w:eastAsia="宋体" w:cs="Times New Roman"/>
          <w:color w:val="auto"/>
          <w:kern w:val="2"/>
          <w:sz w:val="24"/>
          <w:szCs w:val="24"/>
          <w:highlight w:val="none"/>
        </w:rPr>
        <w:t>根据</w:t>
      </w:r>
      <w:r>
        <w:rPr>
          <w:rFonts w:hint="default" w:ascii="Times New Roman" w:hAnsi="Times New Roman" w:eastAsia="宋体" w:cs="Times New Roman"/>
          <w:color w:val="auto"/>
          <w:kern w:val="2"/>
          <w:sz w:val="24"/>
          <w:szCs w:val="24"/>
          <w:highlight w:val="none"/>
          <w:lang w:eastAsia="zh-CN"/>
        </w:rPr>
        <w:t>《</w:t>
      </w:r>
      <w:r>
        <w:rPr>
          <w:rFonts w:hint="default" w:ascii="Times New Roman" w:hAnsi="Times New Roman" w:eastAsia="宋体" w:cs="Times New Roman"/>
          <w:color w:val="auto"/>
          <w:kern w:val="2"/>
          <w:sz w:val="24"/>
          <w:szCs w:val="24"/>
          <w:highlight w:val="none"/>
        </w:rPr>
        <w:t>剑阁县2023年国民经济和社会发展</w:t>
      </w:r>
      <w:r>
        <w:rPr>
          <w:rFonts w:hint="default" w:ascii="Times New Roman" w:hAnsi="Times New Roman" w:eastAsia="宋体" w:cs="Times New Roman"/>
          <w:color w:val="auto"/>
          <w:kern w:val="2"/>
          <w:sz w:val="24"/>
          <w:szCs w:val="24"/>
          <w:highlight w:val="none"/>
          <w:lang w:val="en-US" w:eastAsia="zh-CN"/>
        </w:rPr>
        <w:t>统计公报</w:t>
      </w:r>
      <w:r>
        <w:rPr>
          <w:rFonts w:hint="default" w:ascii="Times New Roman" w:hAnsi="Times New Roman" w:eastAsia="宋体" w:cs="Times New Roman"/>
          <w:color w:val="auto"/>
          <w:kern w:val="2"/>
          <w:sz w:val="24"/>
          <w:szCs w:val="24"/>
          <w:highlight w:val="none"/>
          <w:lang w:eastAsia="zh-CN"/>
        </w:rPr>
        <w:t>》</w:t>
      </w:r>
      <w:r>
        <w:rPr>
          <w:rFonts w:hint="default" w:ascii="Times New Roman" w:hAnsi="Times New Roman" w:eastAsia="宋体" w:cs="Times New Roman"/>
          <w:color w:val="auto"/>
          <w:kern w:val="2"/>
          <w:sz w:val="24"/>
          <w:szCs w:val="24"/>
          <w:highlight w:val="none"/>
        </w:rPr>
        <w:t>，202</w:t>
      </w:r>
      <w:r>
        <w:rPr>
          <w:rFonts w:hint="default" w:ascii="Times New Roman" w:hAnsi="Times New Roman" w:eastAsia="宋体" w:cs="Times New Roman"/>
          <w:color w:val="auto"/>
          <w:kern w:val="2"/>
          <w:sz w:val="24"/>
          <w:szCs w:val="24"/>
          <w:highlight w:val="none"/>
          <w:lang w:val="en-US" w:eastAsia="zh-CN"/>
        </w:rPr>
        <w:t>3</w:t>
      </w:r>
      <w:r>
        <w:rPr>
          <w:rFonts w:hint="default" w:ascii="Times New Roman" w:hAnsi="Times New Roman" w:eastAsia="宋体" w:cs="Times New Roman"/>
          <w:color w:val="auto"/>
          <w:kern w:val="2"/>
          <w:sz w:val="24"/>
          <w:szCs w:val="24"/>
          <w:highlight w:val="none"/>
        </w:rPr>
        <w:t>年，</w:t>
      </w:r>
      <w:r>
        <w:rPr>
          <w:rFonts w:hint="default" w:ascii="Times New Roman" w:hAnsi="Times New Roman" w:eastAsia="宋体" w:cs="Times New Roman"/>
          <w:color w:val="auto"/>
          <w:kern w:val="2"/>
          <w:sz w:val="24"/>
          <w:szCs w:val="24"/>
          <w:highlight w:val="none"/>
          <w:lang w:val="en-US" w:eastAsia="zh-CN"/>
        </w:rPr>
        <w:t>剑阁</w:t>
      </w:r>
      <w:r>
        <w:rPr>
          <w:rFonts w:hint="default" w:ascii="Times New Roman" w:hAnsi="Times New Roman" w:eastAsia="宋体" w:cs="Times New Roman"/>
          <w:color w:val="auto"/>
          <w:kern w:val="2"/>
          <w:sz w:val="24"/>
          <w:szCs w:val="24"/>
          <w:highlight w:val="none"/>
        </w:rPr>
        <w:t>县</w:t>
      </w:r>
      <w:r>
        <w:rPr>
          <w:rFonts w:hint="default" w:ascii="Times New Roman" w:hAnsi="Times New Roman" w:eastAsia="宋体" w:cs="Times New Roman"/>
          <w:color w:val="auto"/>
          <w:kern w:val="2"/>
          <w:sz w:val="24"/>
          <w:szCs w:val="24"/>
          <w:highlight w:val="none"/>
          <w:lang w:val="en-US" w:eastAsia="zh-CN"/>
        </w:rPr>
        <w:t>常驻人口39.55万人，城镇化率39.70%；全县年末户籍总人口62.63万人。其中乡村人口54.67万人，城镇人口7.97万人。全县人口出生率5.22‰，人口死亡率10.24‰，人口自然增长率-5.01‰。根据</w:t>
      </w:r>
      <w:r>
        <w:rPr>
          <w:rFonts w:hint="default" w:ascii="Times New Roman" w:hAnsi="Times New Roman" w:eastAsia="宋体" w:cs="Times New Roman"/>
          <w:color w:val="auto"/>
          <w:kern w:val="2"/>
          <w:sz w:val="24"/>
          <w:szCs w:val="24"/>
          <w:highlight w:val="none"/>
        </w:rPr>
        <w:t>对比</w:t>
      </w:r>
      <w:r>
        <w:rPr>
          <w:rFonts w:hint="default" w:ascii="Times New Roman" w:hAnsi="Times New Roman" w:eastAsia="宋体" w:cs="Times New Roman"/>
          <w:color w:val="auto"/>
          <w:kern w:val="2"/>
          <w:sz w:val="24"/>
          <w:szCs w:val="24"/>
          <w:highlight w:val="none"/>
          <w:lang w:val="en-US" w:eastAsia="zh-CN"/>
        </w:rPr>
        <w:t>广元市第七次</w:t>
      </w:r>
      <w:r>
        <w:rPr>
          <w:rFonts w:hint="default" w:ascii="Times New Roman" w:hAnsi="Times New Roman" w:eastAsia="宋体" w:cs="Times New Roman"/>
          <w:color w:val="auto"/>
          <w:kern w:val="2"/>
          <w:sz w:val="24"/>
          <w:szCs w:val="24"/>
          <w:highlight w:val="none"/>
        </w:rPr>
        <w:t>人口普查数据，</w:t>
      </w:r>
      <w:r>
        <w:rPr>
          <w:rFonts w:hint="default" w:ascii="Times New Roman" w:hAnsi="Times New Roman" w:eastAsia="宋体" w:cs="Times New Roman"/>
          <w:color w:val="auto"/>
          <w:kern w:val="2"/>
          <w:sz w:val="24"/>
          <w:szCs w:val="24"/>
          <w:highlight w:val="none"/>
          <w:lang w:val="en-US" w:eastAsia="zh-CN"/>
        </w:rPr>
        <w:t>剑阁</w:t>
      </w:r>
      <w:r>
        <w:rPr>
          <w:rFonts w:hint="default" w:ascii="Times New Roman" w:hAnsi="Times New Roman" w:eastAsia="宋体" w:cs="Times New Roman"/>
          <w:color w:val="auto"/>
          <w:kern w:val="2"/>
          <w:sz w:val="24"/>
          <w:szCs w:val="24"/>
          <w:highlight w:val="none"/>
        </w:rPr>
        <w:t>县常住人口数呈逐年递减的态势，而城镇人口呈增长趋势，结合城镇居民与乡村居民之间生活习惯的差异、县域内交通运输条件、生活垃圾分类推进等影响生活垃圾产量等因素，可以认为：今后相当一段时间内，</w:t>
      </w:r>
      <w:r>
        <w:rPr>
          <w:rFonts w:hint="default" w:ascii="Times New Roman" w:hAnsi="Times New Roman" w:eastAsia="宋体" w:cs="Times New Roman"/>
          <w:color w:val="auto"/>
          <w:kern w:val="2"/>
          <w:sz w:val="24"/>
          <w:szCs w:val="24"/>
          <w:highlight w:val="none"/>
          <w:lang w:val="en-US" w:eastAsia="zh-CN"/>
        </w:rPr>
        <w:t>剑阁</w:t>
      </w:r>
      <w:r>
        <w:rPr>
          <w:rFonts w:hint="default" w:ascii="Times New Roman" w:hAnsi="Times New Roman" w:eastAsia="宋体" w:cs="Times New Roman"/>
          <w:color w:val="auto"/>
          <w:kern w:val="2"/>
          <w:sz w:val="24"/>
          <w:szCs w:val="24"/>
          <w:highlight w:val="none"/>
        </w:rPr>
        <w:t>县生活垃圾产量不会出现大的波动。根据《202</w:t>
      </w:r>
      <w:r>
        <w:rPr>
          <w:rFonts w:hint="default" w:ascii="Times New Roman" w:hAnsi="Times New Roman" w:eastAsia="宋体" w:cs="Times New Roman"/>
          <w:color w:val="auto"/>
          <w:kern w:val="2"/>
          <w:sz w:val="24"/>
          <w:szCs w:val="24"/>
          <w:highlight w:val="none"/>
          <w:lang w:val="en-US" w:eastAsia="zh-CN"/>
        </w:rPr>
        <w:t>1</w:t>
      </w:r>
      <w:r>
        <w:rPr>
          <w:rFonts w:hint="default" w:ascii="Times New Roman" w:hAnsi="Times New Roman" w:eastAsia="宋体" w:cs="Times New Roman"/>
          <w:color w:val="auto"/>
          <w:kern w:val="2"/>
          <w:sz w:val="24"/>
          <w:szCs w:val="24"/>
          <w:highlight w:val="none"/>
        </w:rPr>
        <w:t xml:space="preserve"> 年广元市国民经济和社会发展统计公报》数据，人口自然增长率为0.12‰，按人口增长率 0.12‰计算中期人口数量和远期人口数量。</w:t>
      </w:r>
    </w:p>
    <w:p w14:paraId="6C544839">
      <w:pPr>
        <w:ind w:firstLine="480"/>
        <w:rPr>
          <w:rFonts w:hint="default" w:ascii="Times New Roman" w:hAnsi="Times New Roman" w:eastAsia="宋体" w:cs="Times New Roman"/>
          <w:snapToGrid/>
          <w:color w:val="auto"/>
          <w:kern w:val="2"/>
          <w:sz w:val="24"/>
          <w:szCs w:val="24"/>
          <w:highlight w:val="none"/>
          <w:lang w:val="en-US" w:eastAsia="zh-CN" w:bidi="ar"/>
        </w:rPr>
      </w:pPr>
      <w:r>
        <w:rPr>
          <w:rFonts w:hint="default" w:ascii="Times New Roman" w:hAnsi="Times New Roman" w:eastAsia="宋体" w:cs="Times New Roman"/>
          <w:snapToGrid/>
          <w:color w:val="auto"/>
          <w:kern w:val="2"/>
          <w:sz w:val="24"/>
          <w:szCs w:val="24"/>
          <w:highlight w:val="none"/>
          <w:lang w:val="en-US" w:eastAsia="zh-CN" w:bidi="ar"/>
        </w:rPr>
        <w:t>根据中国环境科学研究院对我国五百多个城市生活垃圾产量的统计分析，中小城市人均生活垃圾产生量约在0.9~1.4kg/人•d左右，大众城市约在0.8~1.1kg/人•d左右。乡镇镇区人均生活垃圾产生量参照我省省内同类项目，取0.6kg/人•d，农村人均生活垃圾产生量取0.2kg/人•d。</w:t>
      </w:r>
    </w:p>
    <w:p w14:paraId="7863A066">
      <w:pPr>
        <w:pStyle w:val="11"/>
        <w:rPr>
          <w:rFonts w:hint="default" w:ascii="Times New Roman" w:hAnsi="Times New Roman" w:cs="Times New Roman"/>
          <w:color w:val="auto"/>
          <w:szCs w:val="21"/>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cs="Times New Roman"/>
          <w:color w:val="auto"/>
          <w:szCs w:val="21"/>
          <w:highlight w:val="none"/>
        </w:rPr>
        <w:t>城镇生活垃圾产生量预测表</w:t>
      </w:r>
    </w:p>
    <w:tbl>
      <w:tblPr>
        <w:tblStyle w:val="35"/>
        <w:tblW w:w="4997"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220"/>
        <w:gridCol w:w="2020"/>
        <w:gridCol w:w="1849"/>
        <w:gridCol w:w="1508"/>
        <w:gridCol w:w="1904"/>
      </w:tblGrid>
      <w:tr w14:paraId="5785B72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441" w:type="pct"/>
            <w:tcBorders>
              <w:tl2br w:val="nil"/>
              <w:tr2bl w:val="nil"/>
            </w:tcBorders>
            <w:noWrap/>
            <w:vAlign w:val="center"/>
          </w:tcPr>
          <w:p w14:paraId="210D6643">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年份</w:t>
            </w:r>
          </w:p>
        </w:tc>
        <w:tc>
          <w:tcPr>
            <w:tcW w:w="556" w:type="pct"/>
            <w:tcBorders>
              <w:tl2br w:val="nil"/>
              <w:tr2bl w:val="nil"/>
            </w:tcBorders>
            <w:noWrap/>
            <w:vAlign w:val="center"/>
          </w:tcPr>
          <w:p w14:paraId="1A18DFE6">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人口（人）</w:t>
            </w:r>
          </w:p>
        </w:tc>
        <w:tc>
          <w:tcPr>
            <w:tcW w:w="1108" w:type="pct"/>
            <w:tcBorders>
              <w:tl2br w:val="nil"/>
              <w:tr2bl w:val="nil"/>
            </w:tcBorders>
            <w:noWrap/>
            <w:vAlign w:val="center"/>
          </w:tcPr>
          <w:p w14:paraId="47523FF0">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人均垃圾产系数</w:t>
            </w:r>
          </w:p>
          <w:p w14:paraId="396BBBAC">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（kg/人·d）</w:t>
            </w:r>
          </w:p>
        </w:tc>
        <w:tc>
          <w:tcPr>
            <w:tcW w:w="1016" w:type="pct"/>
            <w:tcBorders>
              <w:tl2br w:val="nil"/>
              <w:tr2bl w:val="nil"/>
            </w:tcBorders>
            <w:noWrap/>
            <w:vAlign w:val="center"/>
          </w:tcPr>
          <w:p w14:paraId="750B7505">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垃圾日产生量</w:t>
            </w:r>
          </w:p>
          <w:p w14:paraId="53954237">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（t/d）</w:t>
            </w:r>
          </w:p>
        </w:tc>
        <w:tc>
          <w:tcPr>
            <w:tcW w:w="832" w:type="pct"/>
            <w:tcBorders>
              <w:tl2br w:val="nil"/>
              <w:tr2bl w:val="nil"/>
            </w:tcBorders>
            <w:vAlign w:val="center"/>
          </w:tcPr>
          <w:p w14:paraId="201A2C7F">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收集效率</w:t>
            </w:r>
          </w:p>
          <w:p w14:paraId="2729C8EC">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sz w:val="20"/>
                <w:szCs w:val="20"/>
                <w:highlight w:val="none"/>
              </w:rPr>
              <w:t>（%）</w:t>
            </w:r>
          </w:p>
        </w:tc>
        <w:tc>
          <w:tcPr>
            <w:tcW w:w="1045" w:type="pct"/>
            <w:tcBorders>
              <w:tl2br w:val="nil"/>
              <w:tr2bl w:val="nil"/>
            </w:tcBorders>
            <w:vAlign w:val="center"/>
          </w:tcPr>
          <w:p w14:paraId="090DD5D6">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垃圾日收集量</w:t>
            </w:r>
          </w:p>
          <w:p w14:paraId="72D12CE2">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（t/d）</w:t>
            </w:r>
          </w:p>
        </w:tc>
      </w:tr>
      <w:tr w14:paraId="710473E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493958E2">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2023</w:t>
            </w:r>
          </w:p>
        </w:tc>
        <w:tc>
          <w:tcPr>
            <w:tcW w:w="556" w:type="pct"/>
            <w:tcBorders>
              <w:tl2br w:val="nil"/>
              <w:tr2bl w:val="nil"/>
            </w:tcBorders>
            <w:noWrap/>
            <w:vAlign w:val="center"/>
          </w:tcPr>
          <w:p w14:paraId="3813A6CD">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eastAsiaTheme="minorEastAsia"/>
                <w:color w:val="auto"/>
                <w:kern w:val="0"/>
                <w:sz w:val="20"/>
                <w:szCs w:val="20"/>
                <w:highlight w:val="none"/>
                <w:lang w:val="en-US" w:eastAsia="zh-CN"/>
              </w:rPr>
            </w:pPr>
            <w:r>
              <w:rPr>
                <w:rFonts w:hint="default" w:ascii="Times New Roman" w:hAnsi="Times New Roman" w:eastAsia="宋体" w:cs="Times New Roman"/>
                <w:i w:val="0"/>
                <w:iCs w:val="0"/>
                <w:color w:val="auto"/>
                <w:kern w:val="0"/>
                <w:sz w:val="20"/>
                <w:szCs w:val="20"/>
                <w:highlight w:val="none"/>
                <w:u w:val="none"/>
                <w:lang w:val="en-US" w:eastAsia="zh-CN" w:bidi="ar"/>
              </w:rPr>
              <w:t>128200</w:t>
            </w:r>
          </w:p>
        </w:tc>
        <w:tc>
          <w:tcPr>
            <w:tcW w:w="1108" w:type="pct"/>
            <w:tcBorders>
              <w:tl2br w:val="nil"/>
              <w:tr2bl w:val="nil"/>
            </w:tcBorders>
            <w:noWrap/>
            <w:vAlign w:val="top"/>
          </w:tcPr>
          <w:p w14:paraId="64F2D20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526F276F">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76.92 </w:t>
            </w:r>
          </w:p>
        </w:tc>
        <w:tc>
          <w:tcPr>
            <w:tcW w:w="832" w:type="pct"/>
            <w:tcBorders>
              <w:tl2br w:val="nil"/>
              <w:tr2bl w:val="nil"/>
            </w:tcBorders>
            <w:vAlign w:val="top"/>
          </w:tcPr>
          <w:p w14:paraId="0D48BA9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3A2A466F">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73.07 </w:t>
            </w:r>
          </w:p>
        </w:tc>
      </w:tr>
      <w:tr w14:paraId="4545AF2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52E0928F">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2024</w:t>
            </w:r>
          </w:p>
        </w:tc>
        <w:tc>
          <w:tcPr>
            <w:tcW w:w="556" w:type="pct"/>
            <w:tcBorders>
              <w:tl2br w:val="nil"/>
              <w:tr2bl w:val="nil"/>
            </w:tcBorders>
            <w:noWrap/>
            <w:vAlign w:val="center"/>
          </w:tcPr>
          <w:p w14:paraId="0C6356BD">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128215 </w:t>
            </w:r>
          </w:p>
        </w:tc>
        <w:tc>
          <w:tcPr>
            <w:tcW w:w="1108" w:type="pct"/>
            <w:tcBorders>
              <w:tl2br w:val="nil"/>
              <w:tr2bl w:val="nil"/>
            </w:tcBorders>
            <w:noWrap/>
            <w:vAlign w:val="top"/>
          </w:tcPr>
          <w:p w14:paraId="5A033B8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490F3342">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76.93 </w:t>
            </w:r>
          </w:p>
        </w:tc>
        <w:tc>
          <w:tcPr>
            <w:tcW w:w="832" w:type="pct"/>
            <w:tcBorders>
              <w:tl2br w:val="nil"/>
              <w:tr2bl w:val="nil"/>
            </w:tcBorders>
            <w:vAlign w:val="top"/>
          </w:tcPr>
          <w:p w14:paraId="672E51E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7709E0F6">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73.08 </w:t>
            </w:r>
          </w:p>
        </w:tc>
      </w:tr>
      <w:tr w14:paraId="0EC18F1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1D5DCDE7">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2025</w:t>
            </w:r>
          </w:p>
        </w:tc>
        <w:tc>
          <w:tcPr>
            <w:tcW w:w="556" w:type="pct"/>
            <w:tcBorders>
              <w:tl2br w:val="nil"/>
              <w:tr2bl w:val="nil"/>
            </w:tcBorders>
            <w:noWrap/>
            <w:vAlign w:val="center"/>
          </w:tcPr>
          <w:p w14:paraId="32B0E31F">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128231 </w:t>
            </w:r>
          </w:p>
        </w:tc>
        <w:tc>
          <w:tcPr>
            <w:tcW w:w="1108" w:type="pct"/>
            <w:tcBorders>
              <w:tl2br w:val="nil"/>
              <w:tr2bl w:val="nil"/>
            </w:tcBorders>
            <w:noWrap/>
            <w:vAlign w:val="top"/>
          </w:tcPr>
          <w:p w14:paraId="4705EBB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492F8718">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76.94 </w:t>
            </w:r>
          </w:p>
        </w:tc>
        <w:tc>
          <w:tcPr>
            <w:tcW w:w="832" w:type="pct"/>
            <w:tcBorders>
              <w:tl2br w:val="nil"/>
              <w:tr2bl w:val="nil"/>
            </w:tcBorders>
            <w:vAlign w:val="top"/>
          </w:tcPr>
          <w:p w14:paraId="3F5E7A7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268DCDED">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73.09 </w:t>
            </w:r>
          </w:p>
        </w:tc>
      </w:tr>
      <w:tr w14:paraId="2B8D600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329ADB51">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2026</w:t>
            </w:r>
          </w:p>
        </w:tc>
        <w:tc>
          <w:tcPr>
            <w:tcW w:w="556" w:type="pct"/>
            <w:tcBorders>
              <w:tl2br w:val="nil"/>
              <w:tr2bl w:val="nil"/>
            </w:tcBorders>
            <w:noWrap/>
            <w:vAlign w:val="center"/>
          </w:tcPr>
          <w:p w14:paraId="79DC7F39">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128246 </w:t>
            </w:r>
          </w:p>
        </w:tc>
        <w:tc>
          <w:tcPr>
            <w:tcW w:w="1108" w:type="pct"/>
            <w:tcBorders>
              <w:tl2br w:val="nil"/>
              <w:tr2bl w:val="nil"/>
            </w:tcBorders>
            <w:noWrap/>
            <w:vAlign w:val="top"/>
          </w:tcPr>
          <w:p w14:paraId="1B09B4E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5E6CE94A">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76.95 </w:t>
            </w:r>
          </w:p>
        </w:tc>
        <w:tc>
          <w:tcPr>
            <w:tcW w:w="832" w:type="pct"/>
            <w:tcBorders>
              <w:tl2br w:val="nil"/>
              <w:tr2bl w:val="nil"/>
            </w:tcBorders>
            <w:vAlign w:val="top"/>
          </w:tcPr>
          <w:p w14:paraId="133E95A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62FFCC02">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73.10 </w:t>
            </w:r>
          </w:p>
        </w:tc>
      </w:tr>
      <w:tr w14:paraId="5398E48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69A9225D">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2027</w:t>
            </w:r>
          </w:p>
        </w:tc>
        <w:tc>
          <w:tcPr>
            <w:tcW w:w="556" w:type="pct"/>
            <w:tcBorders>
              <w:tl2br w:val="nil"/>
              <w:tr2bl w:val="nil"/>
            </w:tcBorders>
            <w:noWrap/>
            <w:vAlign w:val="center"/>
          </w:tcPr>
          <w:p w14:paraId="18982A5F">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128262 </w:t>
            </w:r>
          </w:p>
        </w:tc>
        <w:tc>
          <w:tcPr>
            <w:tcW w:w="1108" w:type="pct"/>
            <w:tcBorders>
              <w:tl2br w:val="nil"/>
              <w:tr2bl w:val="nil"/>
            </w:tcBorders>
            <w:noWrap/>
            <w:vAlign w:val="top"/>
          </w:tcPr>
          <w:p w14:paraId="209E372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70B6DFA8">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76.96 </w:t>
            </w:r>
          </w:p>
        </w:tc>
        <w:tc>
          <w:tcPr>
            <w:tcW w:w="832" w:type="pct"/>
            <w:tcBorders>
              <w:tl2br w:val="nil"/>
              <w:tr2bl w:val="nil"/>
            </w:tcBorders>
            <w:vAlign w:val="top"/>
          </w:tcPr>
          <w:p w14:paraId="32AF1FF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036A7BB0">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73.11 </w:t>
            </w:r>
          </w:p>
        </w:tc>
      </w:tr>
      <w:tr w14:paraId="68AC042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2B84E504">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2028</w:t>
            </w:r>
          </w:p>
        </w:tc>
        <w:tc>
          <w:tcPr>
            <w:tcW w:w="556" w:type="pct"/>
            <w:tcBorders>
              <w:tl2br w:val="nil"/>
              <w:tr2bl w:val="nil"/>
            </w:tcBorders>
            <w:noWrap/>
            <w:vAlign w:val="center"/>
          </w:tcPr>
          <w:p w14:paraId="2452A498">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128277 </w:t>
            </w:r>
          </w:p>
        </w:tc>
        <w:tc>
          <w:tcPr>
            <w:tcW w:w="1108" w:type="pct"/>
            <w:tcBorders>
              <w:tl2br w:val="nil"/>
              <w:tr2bl w:val="nil"/>
            </w:tcBorders>
            <w:noWrap/>
            <w:vAlign w:val="top"/>
          </w:tcPr>
          <w:p w14:paraId="1181226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22119253">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76.97 </w:t>
            </w:r>
          </w:p>
        </w:tc>
        <w:tc>
          <w:tcPr>
            <w:tcW w:w="832" w:type="pct"/>
            <w:tcBorders>
              <w:tl2br w:val="nil"/>
              <w:tr2bl w:val="nil"/>
            </w:tcBorders>
            <w:vAlign w:val="top"/>
          </w:tcPr>
          <w:p w14:paraId="172749E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5949FA67">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73.12 </w:t>
            </w:r>
          </w:p>
        </w:tc>
      </w:tr>
      <w:tr w14:paraId="6FEA4F3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2A298041">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2029</w:t>
            </w:r>
          </w:p>
        </w:tc>
        <w:tc>
          <w:tcPr>
            <w:tcW w:w="556" w:type="pct"/>
            <w:tcBorders>
              <w:tl2br w:val="nil"/>
              <w:tr2bl w:val="nil"/>
            </w:tcBorders>
            <w:noWrap/>
            <w:vAlign w:val="center"/>
          </w:tcPr>
          <w:p w14:paraId="1529F6C9">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128292 </w:t>
            </w:r>
          </w:p>
        </w:tc>
        <w:tc>
          <w:tcPr>
            <w:tcW w:w="1108" w:type="pct"/>
            <w:tcBorders>
              <w:tl2br w:val="nil"/>
              <w:tr2bl w:val="nil"/>
            </w:tcBorders>
            <w:noWrap/>
            <w:vAlign w:val="top"/>
          </w:tcPr>
          <w:p w14:paraId="05ED473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7AD1429F">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76.98 </w:t>
            </w:r>
          </w:p>
        </w:tc>
        <w:tc>
          <w:tcPr>
            <w:tcW w:w="832" w:type="pct"/>
            <w:tcBorders>
              <w:tl2br w:val="nil"/>
              <w:tr2bl w:val="nil"/>
            </w:tcBorders>
            <w:vAlign w:val="top"/>
          </w:tcPr>
          <w:p w14:paraId="48F5B87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15B25386">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73.13 </w:t>
            </w:r>
          </w:p>
        </w:tc>
      </w:tr>
      <w:tr w14:paraId="35EADFF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0AEE6387">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2030</w:t>
            </w:r>
          </w:p>
        </w:tc>
        <w:tc>
          <w:tcPr>
            <w:tcW w:w="556" w:type="pct"/>
            <w:tcBorders>
              <w:tl2br w:val="nil"/>
              <w:tr2bl w:val="nil"/>
            </w:tcBorders>
            <w:noWrap/>
            <w:vAlign w:val="center"/>
          </w:tcPr>
          <w:p w14:paraId="766CE477">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128308 </w:t>
            </w:r>
          </w:p>
        </w:tc>
        <w:tc>
          <w:tcPr>
            <w:tcW w:w="1108" w:type="pct"/>
            <w:tcBorders>
              <w:tl2br w:val="nil"/>
              <w:tr2bl w:val="nil"/>
            </w:tcBorders>
            <w:noWrap/>
            <w:vAlign w:val="top"/>
          </w:tcPr>
          <w:p w14:paraId="4A85B2C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062928D6">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76.98 </w:t>
            </w:r>
          </w:p>
        </w:tc>
        <w:tc>
          <w:tcPr>
            <w:tcW w:w="832" w:type="pct"/>
            <w:tcBorders>
              <w:tl2br w:val="nil"/>
              <w:tr2bl w:val="nil"/>
            </w:tcBorders>
            <w:vAlign w:val="top"/>
          </w:tcPr>
          <w:p w14:paraId="74103C5B">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2DE86C1E">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73.14 </w:t>
            </w:r>
          </w:p>
        </w:tc>
      </w:tr>
      <w:tr w14:paraId="7CCCB88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0E9E0149">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2031</w:t>
            </w:r>
          </w:p>
        </w:tc>
        <w:tc>
          <w:tcPr>
            <w:tcW w:w="556" w:type="pct"/>
            <w:tcBorders>
              <w:tl2br w:val="nil"/>
              <w:tr2bl w:val="nil"/>
            </w:tcBorders>
            <w:noWrap/>
            <w:vAlign w:val="center"/>
          </w:tcPr>
          <w:p w14:paraId="5EA4141A">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128323 </w:t>
            </w:r>
          </w:p>
        </w:tc>
        <w:tc>
          <w:tcPr>
            <w:tcW w:w="1108" w:type="pct"/>
            <w:tcBorders>
              <w:tl2br w:val="nil"/>
              <w:tr2bl w:val="nil"/>
            </w:tcBorders>
            <w:noWrap/>
            <w:vAlign w:val="top"/>
          </w:tcPr>
          <w:p w14:paraId="57A4075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4ABA1235">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76.99 </w:t>
            </w:r>
          </w:p>
        </w:tc>
        <w:tc>
          <w:tcPr>
            <w:tcW w:w="832" w:type="pct"/>
            <w:tcBorders>
              <w:tl2br w:val="nil"/>
              <w:tr2bl w:val="nil"/>
            </w:tcBorders>
            <w:vAlign w:val="top"/>
          </w:tcPr>
          <w:p w14:paraId="5F595C4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02363EFB">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73.14 </w:t>
            </w:r>
          </w:p>
        </w:tc>
      </w:tr>
      <w:tr w14:paraId="2B1AB2C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54D049CB">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2032</w:t>
            </w:r>
          </w:p>
        </w:tc>
        <w:tc>
          <w:tcPr>
            <w:tcW w:w="556" w:type="pct"/>
            <w:tcBorders>
              <w:tl2br w:val="nil"/>
              <w:tr2bl w:val="nil"/>
            </w:tcBorders>
            <w:noWrap/>
            <w:vAlign w:val="center"/>
          </w:tcPr>
          <w:p w14:paraId="55ABCB7C">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128339 </w:t>
            </w:r>
          </w:p>
        </w:tc>
        <w:tc>
          <w:tcPr>
            <w:tcW w:w="1108" w:type="pct"/>
            <w:tcBorders>
              <w:tl2br w:val="nil"/>
              <w:tr2bl w:val="nil"/>
            </w:tcBorders>
            <w:noWrap/>
            <w:vAlign w:val="top"/>
          </w:tcPr>
          <w:p w14:paraId="3AAA2C9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2D7E5156">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77.00 </w:t>
            </w:r>
          </w:p>
        </w:tc>
        <w:tc>
          <w:tcPr>
            <w:tcW w:w="832" w:type="pct"/>
            <w:tcBorders>
              <w:tl2br w:val="nil"/>
              <w:tr2bl w:val="nil"/>
            </w:tcBorders>
            <w:vAlign w:val="top"/>
          </w:tcPr>
          <w:p w14:paraId="620322F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2D612597">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73.15 </w:t>
            </w:r>
          </w:p>
        </w:tc>
      </w:tr>
      <w:tr w14:paraId="7E52810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3A4830CA">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2033</w:t>
            </w:r>
          </w:p>
        </w:tc>
        <w:tc>
          <w:tcPr>
            <w:tcW w:w="556" w:type="pct"/>
            <w:tcBorders>
              <w:tl2br w:val="nil"/>
              <w:tr2bl w:val="nil"/>
            </w:tcBorders>
            <w:noWrap/>
            <w:vAlign w:val="center"/>
          </w:tcPr>
          <w:p w14:paraId="7E849955">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128354 </w:t>
            </w:r>
          </w:p>
        </w:tc>
        <w:tc>
          <w:tcPr>
            <w:tcW w:w="1108" w:type="pct"/>
            <w:tcBorders>
              <w:tl2br w:val="nil"/>
              <w:tr2bl w:val="nil"/>
            </w:tcBorders>
            <w:noWrap/>
            <w:vAlign w:val="top"/>
          </w:tcPr>
          <w:p w14:paraId="3FFB5DE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294EECF2">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77.01 </w:t>
            </w:r>
          </w:p>
        </w:tc>
        <w:tc>
          <w:tcPr>
            <w:tcW w:w="832" w:type="pct"/>
            <w:tcBorders>
              <w:tl2br w:val="nil"/>
              <w:tr2bl w:val="nil"/>
            </w:tcBorders>
            <w:vAlign w:val="top"/>
          </w:tcPr>
          <w:p w14:paraId="53E4BAF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08E527F1">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73.16 </w:t>
            </w:r>
          </w:p>
        </w:tc>
      </w:tr>
      <w:tr w14:paraId="049541D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3E2CF79C">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2034</w:t>
            </w:r>
          </w:p>
        </w:tc>
        <w:tc>
          <w:tcPr>
            <w:tcW w:w="556" w:type="pct"/>
            <w:tcBorders>
              <w:tl2br w:val="nil"/>
              <w:tr2bl w:val="nil"/>
            </w:tcBorders>
            <w:noWrap/>
            <w:vAlign w:val="center"/>
          </w:tcPr>
          <w:p w14:paraId="5E23DE22">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128369 </w:t>
            </w:r>
          </w:p>
        </w:tc>
        <w:tc>
          <w:tcPr>
            <w:tcW w:w="1108" w:type="pct"/>
            <w:tcBorders>
              <w:tl2br w:val="nil"/>
              <w:tr2bl w:val="nil"/>
            </w:tcBorders>
            <w:noWrap/>
            <w:vAlign w:val="top"/>
          </w:tcPr>
          <w:p w14:paraId="210D9C9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223DF9D8">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77.02 </w:t>
            </w:r>
          </w:p>
        </w:tc>
        <w:tc>
          <w:tcPr>
            <w:tcW w:w="832" w:type="pct"/>
            <w:tcBorders>
              <w:tl2br w:val="nil"/>
              <w:tr2bl w:val="nil"/>
            </w:tcBorders>
            <w:vAlign w:val="top"/>
          </w:tcPr>
          <w:p w14:paraId="3EA69FE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1950F886">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73.17 </w:t>
            </w:r>
          </w:p>
        </w:tc>
      </w:tr>
      <w:tr w14:paraId="4F3D9AD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41" w:type="pct"/>
            <w:tcBorders>
              <w:tl2br w:val="nil"/>
              <w:tr2bl w:val="nil"/>
            </w:tcBorders>
            <w:noWrap/>
            <w:vAlign w:val="center"/>
          </w:tcPr>
          <w:p w14:paraId="6D0BFE24">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2035</w:t>
            </w:r>
          </w:p>
        </w:tc>
        <w:tc>
          <w:tcPr>
            <w:tcW w:w="556" w:type="pct"/>
            <w:tcBorders>
              <w:tl2br w:val="nil"/>
              <w:tr2bl w:val="nil"/>
            </w:tcBorders>
            <w:noWrap/>
            <w:vAlign w:val="center"/>
          </w:tcPr>
          <w:p w14:paraId="0021A2E5">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128385 </w:t>
            </w:r>
          </w:p>
        </w:tc>
        <w:tc>
          <w:tcPr>
            <w:tcW w:w="1108" w:type="pct"/>
            <w:tcBorders>
              <w:tl2br w:val="nil"/>
              <w:tr2bl w:val="nil"/>
            </w:tcBorders>
            <w:noWrap/>
            <w:vAlign w:val="top"/>
          </w:tcPr>
          <w:p w14:paraId="2572C96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w:t>
            </w:r>
          </w:p>
        </w:tc>
        <w:tc>
          <w:tcPr>
            <w:tcW w:w="1016" w:type="pct"/>
            <w:tcBorders>
              <w:tl2br w:val="nil"/>
              <w:tr2bl w:val="nil"/>
            </w:tcBorders>
            <w:noWrap/>
            <w:vAlign w:val="center"/>
          </w:tcPr>
          <w:p w14:paraId="3FA4BC86">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77.03 </w:t>
            </w:r>
          </w:p>
        </w:tc>
        <w:tc>
          <w:tcPr>
            <w:tcW w:w="832" w:type="pct"/>
            <w:tcBorders>
              <w:tl2br w:val="nil"/>
              <w:tr2bl w:val="nil"/>
            </w:tcBorders>
            <w:vAlign w:val="top"/>
          </w:tcPr>
          <w:p w14:paraId="2DE1359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95</w:t>
            </w:r>
          </w:p>
        </w:tc>
        <w:tc>
          <w:tcPr>
            <w:tcW w:w="1045" w:type="pct"/>
            <w:tcBorders>
              <w:tl2br w:val="nil"/>
              <w:tr2bl w:val="nil"/>
            </w:tcBorders>
            <w:vAlign w:val="center"/>
          </w:tcPr>
          <w:p w14:paraId="33D11A86">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73.18 </w:t>
            </w:r>
          </w:p>
        </w:tc>
      </w:tr>
    </w:tbl>
    <w:p w14:paraId="09691214">
      <w:pPr>
        <w:pStyle w:val="11"/>
        <w:spacing w:before="120" w:beforeLines="50"/>
        <w:rPr>
          <w:rFonts w:hint="default" w:ascii="Times New Roman" w:hAnsi="Times New Roman" w:cs="Times New Roman"/>
          <w:color w:val="auto"/>
          <w:szCs w:val="21"/>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4</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cs="Times New Roman"/>
          <w:color w:val="auto"/>
          <w:szCs w:val="21"/>
          <w:highlight w:val="none"/>
        </w:rPr>
        <w:t>农村生活垃圾产生量预测表</w:t>
      </w:r>
    </w:p>
    <w:tbl>
      <w:tblPr>
        <w:tblStyle w:val="35"/>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99"/>
        <w:gridCol w:w="1220"/>
        <w:gridCol w:w="2196"/>
        <w:gridCol w:w="1860"/>
        <w:gridCol w:w="1352"/>
        <w:gridCol w:w="1857"/>
      </w:tblGrid>
      <w:tr w14:paraId="68A6F51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1EE74E0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年份</w:t>
            </w:r>
          </w:p>
        </w:tc>
        <w:tc>
          <w:tcPr>
            <w:tcW w:w="639" w:type="pct"/>
            <w:tcBorders>
              <w:tl2br w:val="nil"/>
              <w:tr2bl w:val="nil"/>
            </w:tcBorders>
            <w:noWrap/>
            <w:vAlign w:val="center"/>
          </w:tcPr>
          <w:p w14:paraId="2AAA18D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人口（人）</w:t>
            </w:r>
          </w:p>
        </w:tc>
        <w:tc>
          <w:tcPr>
            <w:tcW w:w="1186" w:type="pct"/>
            <w:tcBorders>
              <w:tl2br w:val="nil"/>
              <w:tr2bl w:val="nil"/>
            </w:tcBorders>
            <w:noWrap/>
            <w:vAlign w:val="center"/>
          </w:tcPr>
          <w:p w14:paraId="5A8710C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人均垃圾产系数</w:t>
            </w:r>
          </w:p>
          <w:p w14:paraId="0A9C3A2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（kg/人·d）</w:t>
            </w:r>
          </w:p>
        </w:tc>
        <w:tc>
          <w:tcPr>
            <w:tcW w:w="1005" w:type="pct"/>
            <w:tcBorders>
              <w:tl2br w:val="nil"/>
              <w:tr2bl w:val="nil"/>
            </w:tcBorders>
            <w:noWrap/>
            <w:vAlign w:val="center"/>
          </w:tcPr>
          <w:p w14:paraId="266FAE0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垃圾日产生量</w:t>
            </w:r>
          </w:p>
          <w:p w14:paraId="2575184B">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（t/d）</w:t>
            </w:r>
          </w:p>
        </w:tc>
        <w:tc>
          <w:tcPr>
            <w:tcW w:w="731" w:type="pct"/>
            <w:tcBorders>
              <w:tl2br w:val="nil"/>
              <w:tr2bl w:val="nil"/>
            </w:tcBorders>
            <w:vAlign w:val="center"/>
          </w:tcPr>
          <w:p w14:paraId="1831BA7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收集效率</w:t>
            </w:r>
          </w:p>
          <w:p w14:paraId="46CBD43B">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w:t>
            </w:r>
          </w:p>
        </w:tc>
        <w:tc>
          <w:tcPr>
            <w:tcW w:w="1003" w:type="pct"/>
            <w:tcBorders>
              <w:tl2br w:val="nil"/>
              <w:tr2bl w:val="nil"/>
            </w:tcBorders>
            <w:vAlign w:val="center"/>
          </w:tcPr>
          <w:p w14:paraId="1499A33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垃圾日收集量</w:t>
            </w:r>
          </w:p>
          <w:p w14:paraId="65174F4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（t/d）</w:t>
            </w:r>
          </w:p>
        </w:tc>
      </w:tr>
      <w:tr w14:paraId="6BE9C35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4203CF5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2023</w:t>
            </w:r>
          </w:p>
        </w:tc>
        <w:tc>
          <w:tcPr>
            <w:tcW w:w="639" w:type="pct"/>
            <w:tcBorders>
              <w:tl2br w:val="nil"/>
              <w:tr2bl w:val="nil"/>
            </w:tcBorders>
            <w:noWrap/>
            <w:vAlign w:val="center"/>
          </w:tcPr>
          <w:p w14:paraId="2735327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504300</w:t>
            </w:r>
          </w:p>
        </w:tc>
        <w:tc>
          <w:tcPr>
            <w:tcW w:w="1186" w:type="pct"/>
            <w:tcBorders>
              <w:tl2br w:val="nil"/>
              <w:tr2bl w:val="nil"/>
            </w:tcBorders>
            <w:noWrap/>
            <w:vAlign w:val="top"/>
          </w:tcPr>
          <w:p w14:paraId="3EDCCEA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37EFA51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100.86 </w:t>
            </w:r>
          </w:p>
        </w:tc>
        <w:tc>
          <w:tcPr>
            <w:tcW w:w="731" w:type="pct"/>
            <w:tcBorders>
              <w:tl2br w:val="nil"/>
              <w:tr2bl w:val="nil"/>
            </w:tcBorders>
            <w:vAlign w:val="top"/>
          </w:tcPr>
          <w:p w14:paraId="7F9D62C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53E477E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80.69 </w:t>
            </w:r>
          </w:p>
        </w:tc>
      </w:tr>
      <w:tr w14:paraId="6041972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01F8B5E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2024</w:t>
            </w:r>
          </w:p>
        </w:tc>
        <w:tc>
          <w:tcPr>
            <w:tcW w:w="639" w:type="pct"/>
            <w:tcBorders>
              <w:tl2br w:val="nil"/>
              <w:tr2bl w:val="nil"/>
            </w:tcBorders>
            <w:noWrap/>
            <w:vAlign w:val="center"/>
          </w:tcPr>
          <w:p w14:paraId="3D67472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504361 </w:t>
            </w:r>
          </w:p>
        </w:tc>
        <w:tc>
          <w:tcPr>
            <w:tcW w:w="1186" w:type="pct"/>
            <w:tcBorders>
              <w:tl2br w:val="nil"/>
              <w:tr2bl w:val="nil"/>
            </w:tcBorders>
            <w:noWrap/>
            <w:vAlign w:val="top"/>
          </w:tcPr>
          <w:p w14:paraId="3E21235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1854D93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100.87 </w:t>
            </w:r>
          </w:p>
        </w:tc>
        <w:tc>
          <w:tcPr>
            <w:tcW w:w="731" w:type="pct"/>
            <w:tcBorders>
              <w:tl2br w:val="nil"/>
              <w:tr2bl w:val="nil"/>
            </w:tcBorders>
            <w:vAlign w:val="top"/>
          </w:tcPr>
          <w:p w14:paraId="0A1D869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29C2365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80.70 </w:t>
            </w:r>
          </w:p>
        </w:tc>
      </w:tr>
      <w:tr w14:paraId="5913FEB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4F4FA0D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2025</w:t>
            </w:r>
          </w:p>
        </w:tc>
        <w:tc>
          <w:tcPr>
            <w:tcW w:w="639" w:type="pct"/>
            <w:tcBorders>
              <w:tl2br w:val="nil"/>
              <w:tr2bl w:val="nil"/>
            </w:tcBorders>
            <w:noWrap/>
            <w:vAlign w:val="center"/>
          </w:tcPr>
          <w:p w14:paraId="3CD9EF0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504421 </w:t>
            </w:r>
          </w:p>
        </w:tc>
        <w:tc>
          <w:tcPr>
            <w:tcW w:w="1186" w:type="pct"/>
            <w:tcBorders>
              <w:tl2br w:val="nil"/>
              <w:tr2bl w:val="nil"/>
            </w:tcBorders>
            <w:noWrap/>
            <w:vAlign w:val="top"/>
          </w:tcPr>
          <w:p w14:paraId="0FB3F61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05F40D8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100.88 </w:t>
            </w:r>
          </w:p>
        </w:tc>
        <w:tc>
          <w:tcPr>
            <w:tcW w:w="731" w:type="pct"/>
            <w:tcBorders>
              <w:tl2br w:val="nil"/>
              <w:tr2bl w:val="nil"/>
            </w:tcBorders>
            <w:vAlign w:val="top"/>
          </w:tcPr>
          <w:p w14:paraId="7EB7804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60C02EC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80.71 </w:t>
            </w:r>
          </w:p>
        </w:tc>
      </w:tr>
      <w:tr w14:paraId="162CED8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6F1E93B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2026</w:t>
            </w:r>
          </w:p>
        </w:tc>
        <w:tc>
          <w:tcPr>
            <w:tcW w:w="639" w:type="pct"/>
            <w:tcBorders>
              <w:tl2br w:val="nil"/>
              <w:tr2bl w:val="nil"/>
            </w:tcBorders>
            <w:noWrap/>
            <w:vAlign w:val="center"/>
          </w:tcPr>
          <w:p w14:paraId="0315649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504482 </w:t>
            </w:r>
          </w:p>
        </w:tc>
        <w:tc>
          <w:tcPr>
            <w:tcW w:w="1186" w:type="pct"/>
            <w:tcBorders>
              <w:tl2br w:val="nil"/>
              <w:tr2bl w:val="nil"/>
            </w:tcBorders>
            <w:noWrap/>
            <w:vAlign w:val="top"/>
          </w:tcPr>
          <w:p w14:paraId="66BFD20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67E9886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100.90 </w:t>
            </w:r>
          </w:p>
        </w:tc>
        <w:tc>
          <w:tcPr>
            <w:tcW w:w="731" w:type="pct"/>
            <w:tcBorders>
              <w:tl2br w:val="nil"/>
              <w:tr2bl w:val="nil"/>
            </w:tcBorders>
            <w:vAlign w:val="top"/>
          </w:tcPr>
          <w:p w14:paraId="0523905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406461A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80.72 </w:t>
            </w:r>
          </w:p>
        </w:tc>
      </w:tr>
      <w:tr w14:paraId="1E0D196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54A1151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2027</w:t>
            </w:r>
          </w:p>
        </w:tc>
        <w:tc>
          <w:tcPr>
            <w:tcW w:w="639" w:type="pct"/>
            <w:tcBorders>
              <w:tl2br w:val="nil"/>
              <w:tr2bl w:val="nil"/>
            </w:tcBorders>
            <w:noWrap/>
            <w:vAlign w:val="center"/>
          </w:tcPr>
          <w:p w14:paraId="42B2939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504542 </w:t>
            </w:r>
          </w:p>
        </w:tc>
        <w:tc>
          <w:tcPr>
            <w:tcW w:w="1186" w:type="pct"/>
            <w:tcBorders>
              <w:tl2br w:val="nil"/>
              <w:tr2bl w:val="nil"/>
            </w:tcBorders>
            <w:noWrap/>
            <w:vAlign w:val="top"/>
          </w:tcPr>
          <w:p w14:paraId="57D4838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0EC5FDE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100.91 </w:t>
            </w:r>
          </w:p>
        </w:tc>
        <w:tc>
          <w:tcPr>
            <w:tcW w:w="731" w:type="pct"/>
            <w:tcBorders>
              <w:tl2br w:val="nil"/>
              <w:tr2bl w:val="nil"/>
            </w:tcBorders>
            <w:vAlign w:val="top"/>
          </w:tcPr>
          <w:p w14:paraId="5CAA3B1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09A8E53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80.73 </w:t>
            </w:r>
          </w:p>
        </w:tc>
      </w:tr>
      <w:tr w14:paraId="35753B9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7794307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2028</w:t>
            </w:r>
          </w:p>
        </w:tc>
        <w:tc>
          <w:tcPr>
            <w:tcW w:w="639" w:type="pct"/>
            <w:tcBorders>
              <w:tl2br w:val="nil"/>
              <w:tr2bl w:val="nil"/>
            </w:tcBorders>
            <w:noWrap/>
            <w:vAlign w:val="center"/>
          </w:tcPr>
          <w:p w14:paraId="0B148AA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504603 </w:t>
            </w:r>
          </w:p>
        </w:tc>
        <w:tc>
          <w:tcPr>
            <w:tcW w:w="1186" w:type="pct"/>
            <w:tcBorders>
              <w:tl2br w:val="nil"/>
              <w:tr2bl w:val="nil"/>
            </w:tcBorders>
            <w:noWrap/>
            <w:vAlign w:val="top"/>
          </w:tcPr>
          <w:p w14:paraId="2E188D9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7EFC16D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100.92 </w:t>
            </w:r>
          </w:p>
        </w:tc>
        <w:tc>
          <w:tcPr>
            <w:tcW w:w="731" w:type="pct"/>
            <w:tcBorders>
              <w:tl2br w:val="nil"/>
              <w:tr2bl w:val="nil"/>
            </w:tcBorders>
            <w:vAlign w:val="top"/>
          </w:tcPr>
          <w:p w14:paraId="2806340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1106508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80.74 </w:t>
            </w:r>
          </w:p>
        </w:tc>
      </w:tr>
      <w:tr w14:paraId="4EFA41F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6D7C55D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2029</w:t>
            </w:r>
          </w:p>
        </w:tc>
        <w:tc>
          <w:tcPr>
            <w:tcW w:w="639" w:type="pct"/>
            <w:tcBorders>
              <w:tl2br w:val="nil"/>
              <w:tr2bl w:val="nil"/>
            </w:tcBorders>
            <w:noWrap/>
            <w:vAlign w:val="center"/>
          </w:tcPr>
          <w:p w14:paraId="55F508B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504663 </w:t>
            </w:r>
          </w:p>
        </w:tc>
        <w:tc>
          <w:tcPr>
            <w:tcW w:w="1186" w:type="pct"/>
            <w:tcBorders>
              <w:tl2br w:val="nil"/>
              <w:tr2bl w:val="nil"/>
            </w:tcBorders>
            <w:noWrap/>
            <w:vAlign w:val="top"/>
          </w:tcPr>
          <w:p w14:paraId="345C53E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550CD08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100.93 </w:t>
            </w:r>
          </w:p>
        </w:tc>
        <w:tc>
          <w:tcPr>
            <w:tcW w:w="731" w:type="pct"/>
            <w:tcBorders>
              <w:tl2br w:val="nil"/>
              <w:tr2bl w:val="nil"/>
            </w:tcBorders>
            <w:vAlign w:val="top"/>
          </w:tcPr>
          <w:p w14:paraId="67A91A5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5D6578F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80.75 </w:t>
            </w:r>
          </w:p>
        </w:tc>
      </w:tr>
      <w:tr w14:paraId="0A6C85B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71C0FBC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2030</w:t>
            </w:r>
          </w:p>
        </w:tc>
        <w:tc>
          <w:tcPr>
            <w:tcW w:w="639" w:type="pct"/>
            <w:tcBorders>
              <w:tl2br w:val="nil"/>
              <w:tr2bl w:val="nil"/>
            </w:tcBorders>
            <w:noWrap/>
            <w:vAlign w:val="center"/>
          </w:tcPr>
          <w:p w14:paraId="13885F8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504724 </w:t>
            </w:r>
          </w:p>
        </w:tc>
        <w:tc>
          <w:tcPr>
            <w:tcW w:w="1186" w:type="pct"/>
            <w:tcBorders>
              <w:tl2br w:val="nil"/>
              <w:tr2bl w:val="nil"/>
            </w:tcBorders>
            <w:noWrap/>
            <w:vAlign w:val="top"/>
          </w:tcPr>
          <w:p w14:paraId="71C5B4A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48B0591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100.94 </w:t>
            </w:r>
          </w:p>
        </w:tc>
        <w:tc>
          <w:tcPr>
            <w:tcW w:w="731" w:type="pct"/>
            <w:tcBorders>
              <w:tl2br w:val="nil"/>
              <w:tr2bl w:val="nil"/>
            </w:tcBorders>
            <w:vAlign w:val="top"/>
          </w:tcPr>
          <w:p w14:paraId="30577D7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2775D09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80.76 </w:t>
            </w:r>
          </w:p>
        </w:tc>
      </w:tr>
      <w:tr w14:paraId="007AF49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0052675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2031</w:t>
            </w:r>
          </w:p>
        </w:tc>
        <w:tc>
          <w:tcPr>
            <w:tcW w:w="639" w:type="pct"/>
            <w:tcBorders>
              <w:tl2br w:val="nil"/>
              <w:tr2bl w:val="nil"/>
            </w:tcBorders>
            <w:noWrap/>
            <w:vAlign w:val="center"/>
          </w:tcPr>
          <w:p w14:paraId="7454493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504784 </w:t>
            </w:r>
          </w:p>
        </w:tc>
        <w:tc>
          <w:tcPr>
            <w:tcW w:w="1186" w:type="pct"/>
            <w:tcBorders>
              <w:tl2br w:val="nil"/>
              <w:tr2bl w:val="nil"/>
            </w:tcBorders>
            <w:noWrap/>
            <w:vAlign w:val="top"/>
          </w:tcPr>
          <w:p w14:paraId="608A2C3B">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2FCFCCE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100.96 </w:t>
            </w:r>
          </w:p>
        </w:tc>
        <w:tc>
          <w:tcPr>
            <w:tcW w:w="731" w:type="pct"/>
            <w:tcBorders>
              <w:tl2br w:val="nil"/>
              <w:tr2bl w:val="nil"/>
            </w:tcBorders>
            <w:vAlign w:val="top"/>
          </w:tcPr>
          <w:p w14:paraId="51F4318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201CD4B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80.77 </w:t>
            </w:r>
          </w:p>
        </w:tc>
      </w:tr>
      <w:tr w14:paraId="11C8F7E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0805115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2032</w:t>
            </w:r>
          </w:p>
        </w:tc>
        <w:tc>
          <w:tcPr>
            <w:tcW w:w="639" w:type="pct"/>
            <w:tcBorders>
              <w:tl2br w:val="nil"/>
              <w:tr2bl w:val="nil"/>
            </w:tcBorders>
            <w:noWrap/>
            <w:vAlign w:val="center"/>
          </w:tcPr>
          <w:p w14:paraId="4576954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504845 </w:t>
            </w:r>
          </w:p>
        </w:tc>
        <w:tc>
          <w:tcPr>
            <w:tcW w:w="1186" w:type="pct"/>
            <w:tcBorders>
              <w:tl2br w:val="nil"/>
              <w:tr2bl w:val="nil"/>
            </w:tcBorders>
            <w:noWrap/>
            <w:vAlign w:val="top"/>
          </w:tcPr>
          <w:p w14:paraId="7149173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1C0BD83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100.97 </w:t>
            </w:r>
          </w:p>
        </w:tc>
        <w:tc>
          <w:tcPr>
            <w:tcW w:w="731" w:type="pct"/>
            <w:tcBorders>
              <w:tl2br w:val="nil"/>
              <w:tr2bl w:val="nil"/>
            </w:tcBorders>
            <w:vAlign w:val="top"/>
          </w:tcPr>
          <w:p w14:paraId="0D739EC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279E695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80.78 </w:t>
            </w:r>
          </w:p>
        </w:tc>
      </w:tr>
      <w:tr w14:paraId="48441D5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65DB4D6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2033</w:t>
            </w:r>
          </w:p>
        </w:tc>
        <w:tc>
          <w:tcPr>
            <w:tcW w:w="639" w:type="pct"/>
            <w:tcBorders>
              <w:tl2br w:val="nil"/>
              <w:tr2bl w:val="nil"/>
            </w:tcBorders>
            <w:noWrap/>
            <w:vAlign w:val="center"/>
          </w:tcPr>
          <w:p w14:paraId="2936771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504905 </w:t>
            </w:r>
          </w:p>
        </w:tc>
        <w:tc>
          <w:tcPr>
            <w:tcW w:w="1186" w:type="pct"/>
            <w:tcBorders>
              <w:tl2br w:val="nil"/>
              <w:tr2bl w:val="nil"/>
            </w:tcBorders>
            <w:noWrap/>
            <w:vAlign w:val="top"/>
          </w:tcPr>
          <w:p w14:paraId="29845A9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55934E0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100.98 </w:t>
            </w:r>
          </w:p>
        </w:tc>
        <w:tc>
          <w:tcPr>
            <w:tcW w:w="731" w:type="pct"/>
            <w:tcBorders>
              <w:tl2br w:val="nil"/>
              <w:tr2bl w:val="nil"/>
            </w:tcBorders>
            <w:vAlign w:val="top"/>
          </w:tcPr>
          <w:p w14:paraId="0F247AB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0583BB9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80.78 </w:t>
            </w:r>
          </w:p>
        </w:tc>
      </w:tr>
      <w:tr w14:paraId="36CB994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78274FD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2034</w:t>
            </w:r>
          </w:p>
        </w:tc>
        <w:tc>
          <w:tcPr>
            <w:tcW w:w="639" w:type="pct"/>
            <w:tcBorders>
              <w:tl2br w:val="nil"/>
              <w:tr2bl w:val="nil"/>
            </w:tcBorders>
            <w:noWrap/>
            <w:vAlign w:val="center"/>
          </w:tcPr>
          <w:p w14:paraId="172F3A9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504966 </w:t>
            </w:r>
          </w:p>
        </w:tc>
        <w:tc>
          <w:tcPr>
            <w:tcW w:w="1186" w:type="pct"/>
            <w:tcBorders>
              <w:tl2br w:val="nil"/>
              <w:tr2bl w:val="nil"/>
            </w:tcBorders>
            <w:noWrap/>
            <w:vAlign w:val="top"/>
          </w:tcPr>
          <w:p w14:paraId="09E73E9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075A211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100.99 </w:t>
            </w:r>
          </w:p>
        </w:tc>
        <w:tc>
          <w:tcPr>
            <w:tcW w:w="731" w:type="pct"/>
            <w:tcBorders>
              <w:tl2br w:val="nil"/>
              <w:tr2bl w:val="nil"/>
            </w:tcBorders>
            <w:vAlign w:val="top"/>
          </w:tcPr>
          <w:p w14:paraId="27B46C9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4FB597CB">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80.79 </w:t>
            </w:r>
          </w:p>
        </w:tc>
      </w:tr>
      <w:tr w14:paraId="6950A29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34" w:type="pct"/>
            <w:tcBorders>
              <w:tl2br w:val="nil"/>
              <w:tr2bl w:val="nil"/>
            </w:tcBorders>
            <w:noWrap/>
            <w:vAlign w:val="center"/>
          </w:tcPr>
          <w:p w14:paraId="3BC444A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2035</w:t>
            </w:r>
          </w:p>
        </w:tc>
        <w:tc>
          <w:tcPr>
            <w:tcW w:w="639" w:type="pct"/>
            <w:tcBorders>
              <w:tl2br w:val="nil"/>
              <w:tr2bl w:val="nil"/>
            </w:tcBorders>
            <w:noWrap/>
            <w:vAlign w:val="center"/>
          </w:tcPr>
          <w:p w14:paraId="738BCC2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505027 </w:t>
            </w:r>
          </w:p>
        </w:tc>
        <w:tc>
          <w:tcPr>
            <w:tcW w:w="1186" w:type="pct"/>
            <w:tcBorders>
              <w:tl2br w:val="nil"/>
              <w:tr2bl w:val="nil"/>
            </w:tcBorders>
            <w:noWrap/>
            <w:vAlign w:val="top"/>
          </w:tcPr>
          <w:p w14:paraId="5523170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0.2</w:t>
            </w:r>
          </w:p>
        </w:tc>
        <w:tc>
          <w:tcPr>
            <w:tcW w:w="1005" w:type="pct"/>
            <w:tcBorders>
              <w:tl2br w:val="nil"/>
              <w:tr2bl w:val="nil"/>
            </w:tcBorders>
            <w:noWrap/>
            <w:vAlign w:val="center"/>
          </w:tcPr>
          <w:p w14:paraId="3E37704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101.01 </w:t>
            </w:r>
          </w:p>
        </w:tc>
        <w:tc>
          <w:tcPr>
            <w:tcW w:w="731" w:type="pct"/>
            <w:tcBorders>
              <w:tl2br w:val="nil"/>
              <w:tr2bl w:val="nil"/>
            </w:tcBorders>
            <w:vAlign w:val="top"/>
          </w:tcPr>
          <w:p w14:paraId="6FDB8D5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w:t>
            </w:r>
          </w:p>
        </w:tc>
        <w:tc>
          <w:tcPr>
            <w:tcW w:w="1003" w:type="pct"/>
            <w:tcBorders>
              <w:tl2br w:val="nil"/>
              <w:tr2bl w:val="nil"/>
            </w:tcBorders>
            <w:vAlign w:val="center"/>
          </w:tcPr>
          <w:p w14:paraId="54C92C6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 xml:space="preserve">80.80 </w:t>
            </w:r>
          </w:p>
        </w:tc>
      </w:tr>
    </w:tbl>
    <w:p w14:paraId="500260D4">
      <w:pPr>
        <w:pStyle w:val="11"/>
        <w:rPr>
          <w:rFonts w:hint="default" w:ascii="Times New Roman" w:hAnsi="Times New Roman" w:cs="Times New Roman"/>
          <w:color w:val="auto"/>
          <w:szCs w:val="21"/>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5</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cs="Times New Roman"/>
          <w:color w:val="auto"/>
          <w:szCs w:val="21"/>
          <w:highlight w:val="none"/>
        </w:rPr>
        <w:t>生活垃圾</w:t>
      </w:r>
      <w:r>
        <w:rPr>
          <w:rFonts w:hint="default" w:ascii="Times New Roman" w:hAnsi="Times New Roman" w:cs="Times New Roman"/>
          <w:color w:val="auto"/>
          <w:szCs w:val="21"/>
          <w:highlight w:val="none"/>
          <w:lang w:val="en-US" w:eastAsia="zh-CN"/>
        </w:rPr>
        <w:t>产生与收集处理量</w:t>
      </w:r>
      <w:r>
        <w:rPr>
          <w:rFonts w:hint="default" w:ascii="Times New Roman" w:hAnsi="Times New Roman" w:cs="Times New Roman"/>
          <w:color w:val="auto"/>
          <w:szCs w:val="21"/>
          <w:highlight w:val="none"/>
        </w:rPr>
        <w:t>预测表</w:t>
      </w:r>
    </w:p>
    <w:tbl>
      <w:tblPr>
        <w:tblStyle w:val="35"/>
        <w:tblW w:w="4996"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716"/>
        <w:gridCol w:w="1460"/>
        <w:gridCol w:w="1508"/>
        <w:gridCol w:w="1322"/>
        <w:gridCol w:w="1467"/>
        <w:gridCol w:w="7"/>
        <w:gridCol w:w="1302"/>
        <w:gridCol w:w="1499"/>
      </w:tblGrid>
      <w:tr w14:paraId="6786FCC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tblHeader/>
        </w:trPr>
        <w:tc>
          <w:tcPr>
            <w:tcW w:w="386" w:type="pct"/>
            <w:vMerge w:val="restart"/>
            <w:tcBorders>
              <w:tl2br w:val="nil"/>
              <w:tr2bl w:val="nil"/>
            </w:tcBorders>
            <w:noWrap/>
            <w:vAlign w:val="center"/>
          </w:tcPr>
          <w:p w14:paraId="79287C9D">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rPr>
              <w:t>年份</w:t>
            </w:r>
          </w:p>
        </w:tc>
        <w:tc>
          <w:tcPr>
            <w:tcW w:w="1598" w:type="pct"/>
            <w:gridSpan w:val="2"/>
            <w:tcBorders>
              <w:tl2br w:val="nil"/>
              <w:tr2bl w:val="nil"/>
            </w:tcBorders>
            <w:vAlign w:val="center"/>
          </w:tcPr>
          <w:p w14:paraId="282AAFD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cs="Times New Roman"/>
                <w:b/>
                <w:color w:val="auto"/>
                <w:kern w:val="0"/>
                <w:sz w:val="20"/>
                <w:szCs w:val="20"/>
                <w:highlight w:val="none"/>
                <w:lang w:val="en-US" w:eastAsia="zh-CN"/>
              </w:rPr>
              <w:t>城镇生活垃圾</w:t>
            </w:r>
          </w:p>
        </w:tc>
        <w:tc>
          <w:tcPr>
            <w:tcW w:w="1506" w:type="pct"/>
            <w:gridSpan w:val="3"/>
            <w:tcBorders>
              <w:tl2br w:val="nil"/>
              <w:tr2bl w:val="nil"/>
            </w:tcBorders>
            <w:noWrap/>
            <w:vAlign w:val="center"/>
          </w:tcPr>
          <w:p w14:paraId="60478EB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农村生活垃圾</w:t>
            </w:r>
          </w:p>
        </w:tc>
        <w:tc>
          <w:tcPr>
            <w:tcW w:w="1508" w:type="pct"/>
            <w:gridSpan w:val="2"/>
            <w:tcBorders>
              <w:tl2br w:val="nil"/>
              <w:tr2bl w:val="nil"/>
            </w:tcBorders>
            <w:noWrap/>
            <w:vAlign w:val="center"/>
          </w:tcPr>
          <w:p w14:paraId="5576324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合计</w:t>
            </w:r>
          </w:p>
        </w:tc>
      </w:tr>
      <w:tr w14:paraId="4FB7C8B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386" w:type="pct"/>
            <w:vMerge w:val="continue"/>
            <w:tcBorders>
              <w:tl2br w:val="nil"/>
              <w:tr2bl w:val="nil"/>
            </w:tcBorders>
            <w:noWrap/>
            <w:vAlign w:val="center"/>
          </w:tcPr>
          <w:p w14:paraId="69B1D2B0">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p>
        </w:tc>
        <w:tc>
          <w:tcPr>
            <w:tcW w:w="786" w:type="pct"/>
            <w:tcBorders>
              <w:tl2br w:val="nil"/>
              <w:tr2bl w:val="nil"/>
            </w:tcBorders>
            <w:vAlign w:val="center"/>
          </w:tcPr>
          <w:p w14:paraId="488A2518">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color w:val="auto"/>
                <w:kern w:val="0"/>
                <w:sz w:val="20"/>
                <w:szCs w:val="20"/>
                <w:highlight w:val="none"/>
              </w:rPr>
            </w:pPr>
            <w:r>
              <w:rPr>
                <w:rFonts w:hint="default" w:ascii="Times New Roman" w:hAnsi="Times New Roman" w:cs="Times New Roman"/>
                <w:b/>
                <w:color w:val="auto"/>
                <w:kern w:val="0"/>
                <w:sz w:val="20"/>
                <w:szCs w:val="20"/>
                <w:highlight w:val="none"/>
                <w:lang w:val="en-US" w:eastAsia="zh-CN"/>
              </w:rPr>
              <w:t>产生量</w:t>
            </w:r>
            <w:r>
              <w:rPr>
                <w:rFonts w:hint="default" w:ascii="Times New Roman" w:hAnsi="Times New Roman" w:cs="Times New Roman"/>
                <w:b/>
                <w:color w:val="auto"/>
                <w:kern w:val="0"/>
                <w:sz w:val="20"/>
                <w:szCs w:val="20"/>
                <w:highlight w:val="none"/>
              </w:rPr>
              <w:t>t/d</w:t>
            </w:r>
          </w:p>
        </w:tc>
        <w:tc>
          <w:tcPr>
            <w:tcW w:w="812" w:type="pct"/>
            <w:tcBorders>
              <w:tl2br w:val="nil"/>
              <w:tr2bl w:val="nil"/>
            </w:tcBorders>
            <w:noWrap/>
            <w:vAlign w:val="center"/>
          </w:tcPr>
          <w:p w14:paraId="219773F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cs="Times New Roman" w:eastAsiaTheme="minorEastAsia"/>
                <w:b/>
                <w:bCs/>
                <w:i w:val="0"/>
                <w:iCs w:val="0"/>
                <w:color w:val="auto"/>
                <w:kern w:val="0"/>
                <w:sz w:val="20"/>
                <w:szCs w:val="20"/>
                <w:highlight w:val="none"/>
                <w:u w:val="none"/>
                <w:lang w:val="en-US" w:eastAsia="zh-CN" w:bidi="ar"/>
              </w:rPr>
            </w:pPr>
            <w:r>
              <w:rPr>
                <w:rFonts w:hint="default" w:ascii="Times New Roman" w:hAnsi="Times New Roman" w:cs="Times New Roman"/>
                <w:b/>
                <w:color w:val="auto"/>
                <w:kern w:val="0"/>
                <w:sz w:val="20"/>
                <w:szCs w:val="20"/>
                <w:highlight w:val="none"/>
                <w:lang w:val="en-US" w:eastAsia="zh-CN"/>
              </w:rPr>
              <w:t>收集处理量</w:t>
            </w:r>
            <w:r>
              <w:rPr>
                <w:rFonts w:hint="default" w:ascii="Times New Roman" w:hAnsi="Times New Roman" w:cs="Times New Roman"/>
                <w:b/>
                <w:color w:val="auto"/>
                <w:kern w:val="0"/>
                <w:sz w:val="20"/>
                <w:szCs w:val="20"/>
                <w:highlight w:val="none"/>
              </w:rPr>
              <w:t>t/</w:t>
            </w:r>
            <w:r>
              <w:rPr>
                <w:rFonts w:hint="default" w:ascii="Times New Roman" w:hAnsi="Times New Roman" w:cs="Times New Roman"/>
                <w:b/>
                <w:color w:val="auto"/>
                <w:kern w:val="0"/>
                <w:sz w:val="20"/>
                <w:szCs w:val="20"/>
                <w:highlight w:val="none"/>
                <w:lang w:val="en-US" w:eastAsia="zh-CN"/>
              </w:rPr>
              <w:t>a</w:t>
            </w:r>
          </w:p>
        </w:tc>
        <w:tc>
          <w:tcPr>
            <w:tcW w:w="712" w:type="pct"/>
            <w:tcBorders>
              <w:tl2br w:val="nil"/>
              <w:tr2bl w:val="nil"/>
            </w:tcBorders>
            <w:noWrap/>
            <w:vAlign w:val="center"/>
          </w:tcPr>
          <w:p w14:paraId="38FFD8C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cs="Times New Roman"/>
                <w:b/>
                <w:color w:val="auto"/>
                <w:kern w:val="0"/>
                <w:sz w:val="20"/>
                <w:szCs w:val="20"/>
                <w:highlight w:val="none"/>
                <w:lang w:val="en-US" w:eastAsia="zh-CN"/>
              </w:rPr>
              <w:t>产生量</w:t>
            </w:r>
            <w:r>
              <w:rPr>
                <w:rFonts w:hint="default" w:ascii="Times New Roman" w:hAnsi="Times New Roman" w:cs="Times New Roman"/>
                <w:b/>
                <w:color w:val="auto"/>
                <w:kern w:val="0"/>
                <w:sz w:val="20"/>
                <w:szCs w:val="20"/>
                <w:highlight w:val="none"/>
              </w:rPr>
              <w:t>t/d</w:t>
            </w:r>
          </w:p>
        </w:tc>
        <w:tc>
          <w:tcPr>
            <w:tcW w:w="790" w:type="pct"/>
            <w:tcBorders>
              <w:tl2br w:val="nil"/>
              <w:tr2bl w:val="nil"/>
            </w:tcBorders>
            <w:noWrap/>
            <w:vAlign w:val="center"/>
          </w:tcPr>
          <w:p w14:paraId="3A1FD9E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cs="Times New Roman"/>
                <w:b/>
                <w:color w:val="auto"/>
                <w:kern w:val="0"/>
                <w:sz w:val="20"/>
                <w:szCs w:val="20"/>
                <w:highlight w:val="none"/>
                <w:lang w:val="en-US" w:eastAsia="zh-CN"/>
              </w:rPr>
              <w:t>收集处理量</w:t>
            </w:r>
          </w:p>
        </w:tc>
        <w:tc>
          <w:tcPr>
            <w:tcW w:w="705" w:type="pct"/>
            <w:gridSpan w:val="2"/>
            <w:tcBorders>
              <w:tl2br w:val="nil"/>
              <w:tr2bl w:val="nil"/>
            </w:tcBorders>
            <w:noWrap/>
            <w:vAlign w:val="center"/>
          </w:tcPr>
          <w:p w14:paraId="5B5DC98F">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cs="Times New Roman"/>
                <w:b/>
                <w:color w:val="auto"/>
                <w:kern w:val="0"/>
                <w:sz w:val="20"/>
                <w:szCs w:val="20"/>
                <w:highlight w:val="none"/>
                <w:lang w:val="en-US" w:eastAsia="zh-CN"/>
              </w:rPr>
              <w:t>产生量</w:t>
            </w:r>
            <w:r>
              <w:rPr>
                <w:rFonts w:hint="default" w:ascii="Times New Roman" w:hAnsi="Times New Roman" w:cs="Times New Roman"/>
                <w:b/>
                <w:color w:val="auto"/>
                <w:kern w:val="0"/>
                <w:sz w:val="20"/>
                <w:szCs w:val="20"/>
                <w:highlight w:val="none"/>
              </w:rPr>
              <w:t>t/d</w:t>
            </w:r>
          </w:p>
        </w:tc>
        <w:tc>
          <w:tcPr>
            <w:tcW w:w="807" w:type="pct"/>
            <w:tcBorders>
              <w:tl2br w:val="nil"/>
              <w:tr2bl w:val="nil"/>
            </w:tcBorders>
            <w:noWrap/>
            <w:vAlign w:val="center"/>
          </w:tcPr>
          <w:p w14:paraId="45FAE97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cs="Times New Roman"/>
                <w:b/>
                <w:color w:val="auto"/>
                <w:kern w:val="0"/>
                <w:sz w:val="20"/>
                <w:szCs w:val="20"/>
                <w:highlight w:val="none"/>
                <w:lang w:val="en-US" w:eastAsia="zh-CN"/>
              </w:rPr>
              <w:t>收集处理量</w:t>
            </w:r>
          </w:p>
        </w:tc>
      </w:tr>
      <w:tr w14:paraId="6DDFCAB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4CF7A5D1">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2023</w:t>
            </w:r>
          </w:p>
        </w:tc>
        <w:tc>
          <w:tcPr>
            <w:tcW w:w="1460" w:type="dxa"/>
            <w:tcBorders>
              <w:tl2br w:val="nil"/>
              <w:tr2bl w:val="nil"/>
            </w:tcBorders>
            <w:vAlign w:val="center"/>
          </w:tcPr>
          <w:p w14:paraId="2EAB36B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76.92</w:t>
            </w:r>
          </w:p>
        </w:tc>
        <w:tc>
          <w:tcPr>
            <w:tcW w:w="1508" w:type="dxa"/>
            <w:tcBorders>
              <w:tl2br w:val="nil"/>
              <w:tr2bl w:val="nil"/>
            </w:tcBorders>
            <w:noWrap/>
            <w:vAlign w:val="center"/>
          </w:tcPr>
          <w:p w14:paraId="1B3DA30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73.07</w:t>
            </w:r>
          </w:p>
        </w:tc>
        <w:tc>
          <w:tcPr>
            <w:tcW w:w="1322" w:type="dxa"/>
            <w:tcBorders>
              <w:tl2br w:val="nil"/>
              <w:tr2bl w:val="nil"/>
            </w:tcBorders>
            <w:noWrap/>
            <w:vAlign w:val="top"/>
          </w:tcPr>
          <w:p w14:paraId="1555788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100.86</w:t>
            </w:r>
          </w:p>
        </w:tc>
        <w:tc>
          <w:tcPr>
            <w:tcW w:w="1467" w:type="dxa"/>
            <w:tcBorders>
              <w:tl2br w:val="nil"/>
              <w:tr2bl w:val="nil"/>
            </w:tcBorders>
            <w:noWrap/>
            <w:vAlign w:val="top"/>
          </w:tcPr>
          <w:p w14:paraId="2C91946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80.69</w:t>
            </w:r>
          </w:p>
        </w:tc>
        <w:tc>
          <w:tcPr>
            <w:tcW w:w="1309" w:type="dxa"/>
            <w:gridSpan w:val="2"/>
            <w:tcBorders>
              <w:tl2br w:val="nil"/>
              <w:tr2bl w:val="nil"/>
            </w:tcBorders>
            <w:noWrap/>
            <w:vAlign w:val="top"/>
          </w:tcPr>
          <w:p w14:paraId="4CBD89FB">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177.78</w:t>
            </w:r>
          </w:p>
        </w:tc>
        <w:tc>
          <w:tcPr>
            <w:tcW w:w="1499" w:type="dxa"/>
            <w:tcBorders>
              <w:tl2br w:val="nil"/>
              <w:tr2bl w:val="nil"/>
            </w:tcBorders>
            <w:noWrap/>
            <w:vAlign w:val="top"/>
          </w:tcPr>
          <w:p w14:paraId="2660816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153.76</w:t>
            </w:r>
          </w:p>
        </w:tc>
      </w:tr>
      <w:tr w14:paraId="017E499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35819C24">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2024</w:t>
            </w:r>
          </w:p>
        </w:tc>
        <w:tc>
          <w:tcPr>
            <w:tcW w:w="1460" w:type="dxa"/>
            <w:tcBorders>
              <w:tl2br w:val="nil"/>
              <w:tr2bl w:val="nil"/>
            </w:tcBorders>
            <w:vAlign w:val="center"/>
          </w:tcPr>
          <w:p w14:paraId="56E50BF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76.93</w:t>
            </w:r>
          </w:p>
        </w:tc>
        <w:tc>
          <w:tcPr>
            <w:tcW w:w="1508" w:type="dxa"/>
            <w:tcBorders>
              <w:tl2br w:val="nil"/>
              <w:tr2bl w:val="nil"/>
            </w:tcBorders>
            <w:noWrap/>
            <w:vAlign w:val="center"/>
          </w:tcPr>
          <w:p w14:paraId="5F792ED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73.08</w:t>
            </w:r>
          </w:p>
        </w:tc>
        <w:tc>
          <w:tcPr>
            <w:tcW w:w="1322" w:type="dxa"/>
            <w:tcBorders>
              <w:tl2br w:val="nil"/>
              <w:tr2bl w:val="nil"/>
            </w:tcBorders>
            <w:noWrap/>
            <w:vAlign w:val="top"/>
          </w:tcPr>
          <w:p w14:paraId="4080E5E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100.87</w:t>
            </w:r>
          </w:p>
        </w:tc>
        <w:tc>
          <w:tcPr>
            <w:tcW w:w="1467" w:type="dxa"/>
            <w:tcBorders>
              <w:tl2br w:val="nil"/>
              <w:tr2bl w:val="nil"/>
            </w:tcBorders>
            <w:noWrap/>
            <w:vAlign w:val="top"/>
          </w:tcPr>
          <w:p w14:paraId="2B7F533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w:t>
            </w:r>
          </w:p>
        </w:tc>
        <w:tc>
          <w:tcPr>
            <w:tcW w:w="1309" w:type="dxa"/>
            <w:gridSpan w:val="2"/>
            <w:tcBorders>
              <w:tl2br w:val="nil"/>
              <w:tr2bl w:val="nil"/>
            </w:tcBorders>
            <w:noWrap/>
            <w:vAlign w:val="top"/>
          </w:tcPr>
          <w:p w14:paraId="73101AD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177.8</w:t>
            </w:r>
          </w:p>
        </w:tc>
        <w:tc>
          <w:tcPr>
            <w:tcW w:w="1499" w:type="dxa"/>
            <w:tcBorders>
              <w:tl2br w:val="nil"/>
              <w:tr2bl w:val="nil"/>
            </w:tcBorders>
            <w:noWrap/>
            <w:vAlign w:val="top"/>
          </w:tcPr>
          <w:p w14:paraId="514A7C7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153.78</w:t>
            </w:r>
          </w:p>
        </w:tc>
      </w:tr>
      <w:tr w14:paraId="0727DB5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4E1E77DE">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2025</w:t>
            </w:r>
          </w:p>
        </w:tc>
        <w:tc>
          <w:tcPr>
            <w:tcW w:w="1460" w:type="dxa"/>
            <w:tcBorders>
              <w:tl2br w:val="nil"/>
              <w:tr2bl w:val="nil"/>
            </w:tcBorders>
            <w:vAlign w:val="center"/>
          </w:tcPr>
          <w:p w14:paraId="6AAC225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76.94</w:t>
            </w:r>
          </w:p>
        </w:tc>
        <w:tc>
          <w:tcPr>
            <w:tcW w:w="1508" w:type="dxa"/>
            <w:tcBorders>
              <w:tl2br w:val="nil"/>
              <w:tr2bl w:val="nil"/>
            </w:tcBorders>
            <w:noWrap/>
            <w:vAlign w:val="center"/>
          </w:tcPr>
          <w:p w14:paraId="4ED82A8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73.09</w:t>
            </w:r>
          </w:p>
        </w:tc>
        <w:tc>
          <w:tcPr>
            <w:tcW w:w="1322" w:type="dxa"/>
            <w:tcBorders>
              <w:tl2br w:val="nil"/>
              <w:tr2bl w:val="nil"/>
            </w:tcBorders>
            <w:noWrap/>
            <w:vAlign w:val="top"/>
          </w:tcPr>
          <w:p w14:paraId="3924337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100.88</w:t>
            </w:r>
          </w:p>
        </w:tc>
        <w:tc>
          <w:tcPr>
            <w:tcW w:w="1467" w:type="dxa"/>
            <w:tcBorders>
              <w:tl2br w:val="nil"/>
              <w:tr2bl w:val="nil"/>
            </w:tcBorders>
            <w:noWrap/>
            <w:vAlign w:val="top"/>
          </w:tcPr>
          <w:p w14:paraId="235E720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80.71</w:t>
            </w:r>
          </w:p>
        </w:tc>
        <w:tc>
          <w:tcPr>
            <w:tcW w:w="1309" w:type="dxa"/>
            <w:gridSpan w:val="2"/>
            <w:tcBorders>
              <w:tl2br w:val="nil"/>
              <w:tr2bl w:val="nil"/>
            </w:tcBorders>
            <w:noWrap/>
            <w:vAlign w:val="top"/>
          </w:tcPr>
          <w:p w14:paraId="58CA1F7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177.82</w:t>
            </w:r>
          </w:p>
        </w:tc>
        <w:tc>
          <w:tcPr>
            <w:tcW w:w="1499" w:type="dxa"/>
            <w:tcBorders>
              <w:tl2br w:val="nil"/>
              <w:tr2bl w:val="nil"/>
            </w:tcBorders>
            <w:noWrap/>
            <w:vAlign w:val="top"/>
          </w:tcPr>
          <w:p w14:paraId="607EE2D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153.8</w:t>
            </w:r>
          </w:p>
        </w:tc>
      </w:tr>
      <w:tr w14:paraId="0C54A7E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06FF5A40">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2026</w:t>
            </w:r>
          </w:p>
        </w:tc>
        <w:tc>
          <w:tcPr>
            <w:tcW w:w="1460" w:type="dxa"/>
            <w:tcBorders>
              <w:tl2br w:val="nil"/>
              <w:tr2bl w:val="nil"/>
            </w:tcBorders>
            <w:vAlign w:val="center"/>
          </w:tcPr>
          <w:p w14:paraId="0758B2C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76.95</w:t>
            </w:r>
          </w:p>
        </w:tc>
        <w:tc>
          <w:tcPr>
            <w:tcW w:w="1508" w:type="dxa"/>
            <w:tcBorders>
              <w:tl2br w:val="nil"/>
              <w:tr2bl w:val="nil"/>
            </w:tcBorders>
            <w:noWrap/>
            <w:vAlign w:val="center"/>
          </w:tcPr>
          <w:p w14:paraId="226C801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73.1</w:t>
            </w:r>
          </w:p>
        </w:tc>
        <w:tc>
          <w:tcPr>
            <w:tcW w:w="1322" w:type="dxa"/>
            <w:tcBorders>
              <w:tl2br w:val="nil"/>
              <w:tr2bl w:val="nil"/>
            </w:tcBorders>
            <w:noWrap/>
            <w:vAlign w:val="top"/>
          </w:tcPr>
          <w:p w14:paraId="676829D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100.9</w:t>
            </w:r>
          </w:p>
        </w:tc>
        <w:tc>
          <w:tcPr>
            <w:tcW w:w="1467" w:type="dxa"/>
            <w:tcBorders>
              <w:tl2br w:val="nil"/>
              <w:tr2bl w:val="nil"/>
            </w:tcBorders>
            <w:noWrap/>
            <w:vAlign w:val="top"/>
          </w:tcPr>
          <w:p w14:paraId="4AC4944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80.72</w:t>
            </w:r>
          </w:p>
        </w:tc>
        <w:tc>
          <w:tcPr>
            <w:tcW w:w="1309" w:type="dxa"/>
            <w:gridSpan w:val="2"/>
            <w:tcBorders>
              <w:tl2br w:val="nil"/>
              <w:tr2bl w:val="nil"/>
            </w:tcBorders>
            <w:noWrap/>
            <w:vAlign w:val="top"/>
          </w:tcPr>
          <w:p w14:paraId="23B6CE5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177.85</w:t>
            </w:r>
          </w:p>
        </w:tc>
        <w:tc>
          <w:tcPr>
            <w:tcW w:w="1499" w:type="dxa"/>
            <w:tcBorders>
              <w:tl2br w:val="nil"/>
              <w:tr2bl w:val="nil"/>
            </w:tcBorders>
            <w:noWrap/>
            <w:vAlign w:val="top"/>
          </w:tcPr>
          <w:p w14:paraId="277816A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153.82</w:t>
            </w:r>
          </w:p>
        </w:tc>
      </w:tr>
      <w:tr w14:paraId="0792AC6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565A901D">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2027</w:t>
            </w:r>
          </w:p>
        </w:tc>
        <w:tc>
          <w:tcPr>
            <w:tcW w:w="1460" w:type="dxa"/>
            <w:tcBorders>
              <w:tl2br w:val="nil"/>
              <w:tr2bl w:val="nil"/>
            </w:tcBorders>
            <w:vAlign w:val="center"/>
          </w:tcPr>
          <w:p w14:paraId="4EC2526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76.96</w:t>
            </w:r>
          </w:p>
        </w:tc>
        <w:tc>
          <w:tcPr>
            <w:tcW w:w="1508" w:type="dxa"/>
            <w:tcBorders>
              <w:tl2br w:val="nil"/>
              <w:tr2bl w:val="nil"/>
            </w:tcBorders>
            <w:noWrap/>
            <w:vAlign w:val="center"/>
          </w:tcPr>
          <w:p w14:paraId="3020E88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73.11</w:t>
            </w:r>
          </w:p>
        </w:tc>
        <w:tc>
          <w:tcPr>
            <w:tcW w:w="1322" w:type="dxa"/>
            <w:tcBorders>
              <w:tl2br w:val="nil"/>
              <w:tr2bl w:val="nil"/>
            </w:tcBorders>
            <w:noWrap/>
            <w:vAlign w:val="top"/>
          </w:tcPr>
          <w:p w14:paraId="05742D1B">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100.91</w:t>
            </w:r>
          </w:p>
        </w:tc>
        <w:tc>
          <w:tcPr>
            <w:tcW w:w="1467" w:type="dxa"/>
            <w:tcBorders>
              <w:tl2br w:val="nil"/>
              <w:tr2bl w:val="nil"/>
            </w:tcBorders>
            <w:noWrap/>
            <w:vAlign w:val="top"/>
          </w:tcPr>
          <w:p w14:paraId="6E03ADB6">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80.73</w:t>
            </w:r>
          </w:p>
        </w:tc>
        <w:tc>
          <w:tcPr>
            <w:tcW w:w="1309" w:type="dxa"/>
            <w:gridSpan w:val="2"/>
            <w:tcBorders>
              <w:tl2br w:val="nil"/>
              <w:tr2bl w:val="nil"/>
            </w:tcBorders>
            <w:noWrap/>
            <w:vAlign w:val="top"/>
          </w:tcPr>
          <w:p w14:paraId="43EF9E0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177.87</w:t>
            </w:r>
          </w:p>
        </w:tc>
        <w:tc>
          <w:tcPr>
            <w:tcW w:w="1499" w:type="dxa"/>
            <w:tcBorders>
              <w:tl2br w:val="nil"/>
              <w:tr2bl w:val="nil"/>
            </w:tcBorders>
            <w:noWrap/>
            <w:vAlign w:val="top"/>
          </w:tcPr>
          <w:p w14:paraId="03C6322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153.84</w:t>
            </w:r>
          </w:p>
        </w:tc>
      </w:tr>
      <w:tr w14:paraId="73E24CA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3DE73375">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2028</w:t>
            </w:r>
          </w:p>
        </w:tc>
        <w:tc>
          <w:tcPr>
            <w:tcW w:w="1460" w:type="dxa"/>
            <w:tcBorders>
              <w:tl2br w:val="nil"/>
              <w:tr2bl w:val="nil"/>
            </w:tcBorders>
            <w:vAlign w:val="center"/>
          </w:tcPr>
          <w:p w14:paraId="76E6B75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76.97</w:t>
            </w:r>
          </w:p>
        </w:tc>
        <w:tc>
          <w:tcPr>
            <w:tcW w:w="1508" w:type="dxa"/>
            <w:tcBorders>
              <w:tl2br w:val="nil"/>
              <w:tr2bl w:val="nil"/>
            </w:tcBorders>
            <w:noWrap/>
            <w:vAlign w:val="center"/>
          </w:tcPr>
          <w:p w14:paraId="11CF75F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73.12</w:t>
            </w:r>
          </w:p>
        </w:tc>
        <w:tc>
          <w:tcPr>
            <w:tcW w:w="1322" w:type="dxa"/>
            <w:tcBorders>
              <w:tl2br w:val="nil"/>
              <w:tr2bl w:val="nil"/>
            </w:tcBorders>
            <w:noWrap/>
            <w:vAlign w:val="top"/>
          </w:tcPr>
          <w:p w14:paraId="1A9DB5E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100.92</w:t>
            </w:r>
          </w:p>
        </w:tc>
        <w:tc>
          <w:tcPr>
            <w:tcW w:w="1467" w:type="dxa"/>
            <w:tcBorders>
              <w:tl2br w:val="nil"/>
              <w:tr2bl w:val="nil"/>
            </w:tcBorders>
            <w:noWrap/>
            <w:vAlign w:val="top"/>
          </w:tcPr>
          <w:p w14:paraId="1B7D5F1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80.74</w:t>
            </w:r>
          </w:p>
        </w:tc>
        <w:tc>
          <w:tcPr>
            <w:tcW w:w="1309" w:type="dxa"/>
            <w:gridSpan w:val="2"/>
            <w:tcBorders>
              <w:tl2br w:val="nil"/>
              <w:tr2bl w:val="nil"/>
            </w:tcBorders>
            <w:noWrap/>
            <w:vAlign w:val="top"/>
          </w:tcPr>
          <w:p w14:paraId="65DF396B">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177.89</w:t>
            </w:r>
          </w:p>
        </w:tc>
        <w:tc>
          <w:tcPr>
            <w:tcW w:w="1499" w:type="dxa"/>
            <w:tcBorders>
              <w:tl2br w:val="nil"/>
              <w:tr2bl w:val="nil"/>
            </w:tcBorders>
            <w:noWrap/>
            <w:vAlign w:val="top"/>
          </w:tcPr>
          <w:p w14:paraId="0170895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153.86</w:t>
            </w:r>
          </w:p>
        </w:tc>
      </w:tr>
      <w:tr w14:paraId="27138C5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38BF993C">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2029</w:t>
            </w:r>
          </w:p>
        </w:tc>
        <w:tc>
          <w:tcPr>
            <w:tcW w:w="1460" w:type="dxa"/>
            <w:tcBorders>
              <w:tl2br w:val="nil"/>
              <w:tr2bl w:val="nil"/>
            </w:tcBorders>
            <w:vAlign w:val="center"/>
          </w:tcPr>
          <w:p w14:paraId="2BECEEA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76.98</w:t>
            </w:r>
          </w:p>
        </w:tc>
        <w:tc>
          <w:tcPr>
            <w:tcW w:w="1508" w:type="dxa"/>
            <w:tcBorders>
              <w:tl2br w:val="nil"/>
              <w:tr2bl w:val="nil"/>
            </w:tcBorders>
            <w:noWrap/>
            <w:vAlign w:val="center"/>
          </w:tcPr>
          <w:p w14:paraId="06DFB7B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73.13</w:t>
            </w:r>
          </w:p>
        </w:tc>
        <w:tc>
          <w:tcPr>
            <w:tcW w:w="1322" w:type="dxa"/>
            <w:tcBorders>
              <w:tl2br w:val="nil"/>
              <w:tr2bl w:val="nil"/>
            </w:tcBorders>
            <w:noWrap/>
            <w:vAlign w:val="top"/>
          </w:tcPr>
          <w:p w14:paraId="66F84AD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100.93</w:t>
            </w:r>
          </w:p>
        </w:tc>
        <w:tc>
          <w:tcPr>
            <w:tcW w:w="1467" w:type="dxa"/>
            <w:tcBorders>
              <w:tl2br w:val="nil"/>
              <w:tr2bl w:val="nil"/>
            </w:tcBorders>
            <w:noWrap/>
            <w:vAlign w:val="top"/>
          </w:tcPr>
          <w:p w14:paraId="48AF287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80.75</w:t>
            </w:r>
          </w:p>
        </w:tc>
        <w:tc>
          <w:tcPr>
            <w:tcW w:w="1309" w:type="dxa"/>
            <w:gridSpan w:val="2"/>
            <w:tcBorders>
              <w:tl2br w:val="nil"/>
              <w:tr2bl w:val="nil"/>
            </w:tcBorders>
            <w:noWrap/>
            <w:vAlign w:val="top"/>
          </w:tcPr>
          <w:p w14:paraId="2D42761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177.91</w:t>
            </w:r>
          </w:p>
        </w:tc>
        <w:tc>
          <w:tcPr>
            <w:tcW w:w="1499" w:type="dxa"/>
            <w:tcBorders>
              <w:tl2br w:val="nil"/>
              <w:tr2bl w:val="nil"/>
            </w:tcBorders>
            <w:noWrap/>
            <w:vAlign w:val="top"/>
          </w:tcPr>
          <w:p w14:paraId="362719C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153.88</w:t>
            </w:r>
          </w:p>
        </w:tc>
      </w:tr>
      <w:tr w14:paraId="5B65B1F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392BC9C9">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2030</w:t>
            </w:r>
          </w:p>
        </w:tc>
        <w:tc>
          <w:tcPr>
            <w:tcW w:w="1460" w:type="dxa"/>
            <w:tcBorders>
              <w:tl2br w:val="nil"/>
              <w:tr2bl w:val="nil"/>
            </w:tcBorders>
            <w:vAlign w:val="center"/>
          </w:tcPr>
          <w:p w14:paraId="21CCEB6F">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76.98</w:t>
            </w:r>
          </w:p>
        </w:tc>
        <w:tc>
          <w:tcPr>
            <w:tcW w:w="1508" w:type="dxa"/>
            <w:tcBorders>
              <w:tl2br w:val="nil"/>
              <w:tr2bl w:val="nil"/>
            </w:tcBorders>
            <w:noWrap/>
            <w:vAlign w:val="center"/>
          </w:tcPr>
          <w:p w14:paraId="306111E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73.14</w:t>
            </w:r>
          </w:p>
        </w:tc>
        <w:tc>
          <w:tcPr>
            <w:tcW w:w="1322" w:type="dxa"/>
            <w:tcBorders>
              <w:tl2br w:val="nil"/>
              <w:tr2bl w:val="nil"/>
            </w:tcBorders>
            <w:noWrap/>
            <w:vAlign w:val="top"/>
          </w:tcPr>
          <w:p w14:paraId="3BE8D8D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100.94</w:t>
            </w:r>
          </w:p>
        </w:tc>
        <w:tc>
          <w:tcPr>
            <w:tcW w:w="1467" w:type="dxa"/>
            <w:tcBorders>
              <w:tl2br w:val="nil"/>
              <w:tr2bl w:val="nil"/>
            </w:tcBorders>
            <w:noWrap/>
            <w:vAlign w:val="top"/>
          </w:tcPr>
          <w:p w14:paraId="0139F9A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80.76</w:t>
            </w:r>
          </w:p>
        </w:tc>
        <w:tc>
          <w:tcPr>
            <w:tcW w:w="1309" w:type="dxa"/>
            <w:gridSpan w:val="2"/>
            <w:tcBorders>
              <w:tl2br w:val="nil"/>
              <w:tr2bl w:val="nil"/>
            </w:tcBorders>
            <w:noWrap/>
            <w:vAlign w:val="top"/>
          </w:tcPr>
          <w:p w14:paraId="544E434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177.92</w:t>
            </w:r>
          </w:p>
        </w:tc>
        <w:tc>
          <w:tcPr>
            <w:tcW w:w="1499" w:type="dxa"/>
            <w:tcBorders>
              <w:tl2br w:val="nil"/>
              <w:tr2bl w:val="nil"/>
            </w:tcBorders>
            <w:noWrap/>
            <w:vAlign w:val="top"/>
          </w:tcPr>
          <w:p w14:paraId="35C703B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153.9</w:t>
            </w:r>
          </w:p>
        </w:tc>
      </w:tr>
      <w:tr w14:paraId="23D9CCE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2F5F8E06">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2031</w:t>
            </w:r>
          </w:p>
        </w:tc>
        <w:tc>
          <w:tcPr>
            <w:tcW w:w="1460" w:type="dxa"/>
            <w:tcBorders>
              <w:tl2br w:val="nil"/>
              <w:tr2bl w:val="nil"/>
            </w:tcBorders>
            <w:vAlign w:val="center"/>
          </w:tcPr>
          <w:p w14:paraId="64337F5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76.99</w:t>
            </w:r>
          </w:p>
        </w:tc>
        <w:tc>
          <w:tcPr>
            <w:tcW w:w="1508" w:type="dxa"/>
            <w:tcBorders>
              <w:tl2br w:val="nil"/>
              <w:tr2bl w:val="nil"/>
            </w:tcBorders>
            <w:noWrap/>
            <w:vAlign w:val="center"/>
          </w:tcPr>
          <w:p w14:paraId="45B1729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73.14</w:t>
            </w:r>
          </w:p>
        </w:tc>
        <w:tc>
          <w:tcPr>
            <w:tcW w:w="1322" w:type="dxa"/>
            <w:tcBorders>
              <w:tl2br w:val="nil"/>
              <w:tr2bl w:val="nil"/>
            </w:tcBorders>
            <w:noWrap/>
            <w:vAlign w:val="top"/>
          </w:tcPr>
          <w:p w14:paraId="2465667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100.96</w:t>
            </w:r>
          </w:p>
        </w:tc>
        <w:tc>
          <w:tcPr>
            <w:tcW w:w="1467" w:type="dxa"/>
            <w:tcBorders>
              <w:tl2br w:val="nil"/>
              <w:tr2bl w:val="nil"/>
            </w:tcBorders>
            <w:noWrap/>
            <w:vAlign w:val="top"/>
          </w:tcPr>
          <w:p w14:paraId="02C61BA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80.77</w:t>
            </w:r>
          </w:p>
        </w:tc>
        <w:tc>
          <w:tcPr>
            <w:tcW w:w="1309" w:type="dxa"/>
            <w:gridSpan w:val="2"/>
            <w:tcBorders>
              <w:tl2br w:val="nil"/>
              <w:tr2bl w:val="nil"/>
            </w:tcBorders>
            <w:noWrap/>
            <w:vAlign w:val="top"/>
          </w:tcPr>
          <w:p w14:paraId="2DA54F3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177.95</w:t>
            </w:r>
          </w:p>
        </w:tc>
        <w:tc>
          <w:tcPr>
            <w:tcW w:w="1499" w:type="dxa"/>
            <w:tcBorders>
              <w:tl2br w:val="nil"/>
              <w:tr2bl w:val="nil"/>
            </w:tcBorders>
            <w:noWrap/>
            <w:vAlign w:val="top"/>
          </w:tcPr>
          <w:p w14:paraId="2310ECC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153.91</w:t>
            </w:r>
          </w:p>
        </w:tc>
      </w:tr>
      <w:tr w14:paraId="7306C5A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56C44AC7">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2032</w:t>
            </w:r>
          </w:p>
        </w:tc>
        <w:tc>
          <w:tcPr>
            <w:tcW w:w="1460" w:type="dxa"/>
            <w:tcBorders>
              <w:tl2br w:val="nil"/>
              <w:tr2bl w:val="nil"/>
            </w:tcBorders>
            <w:vAlign w:val="center"/>
          </w:tcPr>
          <w:p w14:paraId="54F9988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77</w:t>
            </w:r>
          </w:p>
        </w:tc>
        <w:tc>
          <w:tcPr>
            <w:tcW w:w="1508" w:type="dxa"/>
            <w:tcBorders>
              <w:tl2br w:val="nil"/>
              <w:tr2bl w:val="nil"/>
            </w:tcBorders>
            <w:noWrap/>
            <w:vAlign w:val="center"/>
          </w:tcPr>
          <w:p w14:paraId="0B958C0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73.15</w:t>
            </w:r>
          </w:p>
        </w:tc>
        <w:tc>
          <w:tcPr>
            <w:tcW w:w="1322" w:type="dxa"/>
            <w:tcBorders>
              <w:tl2br w:val="nil"/>
              <w:tr2bl w:val="nil"/>
            </w:tcBorders>
            <w:noWrap/>
            <w:vAlign w:val="top"/>
          </w:tcPr>
          <w:p w14:paraId="75291A5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100.97</w:t>
            </w:r>
          </w:p>
        </w:tc>
        <w:tc>
          <w:tcPr>
            <w:tcW w:w="1467" w:type="dxa"/>
            <w:tcBorders>
              <w:tl2br w:val="nil"/>
              <w:tr2bl w:val="nil"/>
            </w:tcBorders>
            <w:noWrap/>
            <w:vAlign w:val="top"/>
          </w:tcPr>
          <w:p w14:paraId="66722BFA">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80.78</w:t>
            </w:r>
          </w:p>
        </w:tc>
        <w:tc>
          <w:tcPr>
            <w:tcW w:w="1309" w:type="dxa"/>
            <w:gridSpan w:val="2"/>
            <w:tcBorders>
              <w:tl2br w:val="nil"/>
              <w:tr2bl w:val="nil"/>
            </w:tcBorders>
            <w:noWrap/>
            <w:vAlign w:val="top"/>
          </w:tcPr>
          <w:p w14:paraId="4DD51B4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177.97</w:t>
            </w:r>
          </w:p>
        </w:tc>
        <w:tc>
          <w:tcPr>
            <w:tcW w:w="1499" w:type="dxa"/>
            <w:tcBorders>
              <w:tl2br w:val="nil"/>
              <w:tr2bl w:val="nil"/>
            </w:tcBorders>
            <w:noWrap/>
            <w:vAlign w:val="top"/>
          </w:tcPr>
          <w:p w14:paraId="1ED2F77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153.93</w:t>
            </w:r>
          </w:p>
        </w:tc>
      </w:tr>
      <w:tr w14:paraId="026D11D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7C112BE7">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2033</w:t>
            </w:r>
          </w:p>
        </w:tc>
        <w:tc>
          <w:tcPr>
            <w:tcW w:w="1460" w:type="dxa"/>
            <w:tcBorders>
              <w:tl2br w:val="nil"/>
              <w:tr2bl w:val="nil"/>
            </w:tcBorders>
            <w:vAlign w:val="center"/>
          </w:tcPr>
          <w:p w14:paraId="3BBF5138">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77.01</w:t>
            </w:r>
          </w:p>
        </w:tc>
        <w:tc>
          <w:tcPr>
            <w:tcW w:w="1508" w:type="dxa"/>
            <w:tcBorders>
              <w:tl2br w:val="nil"/>
              <w:tr2bl w:val="nil"/>
            </w:tcBorders>
            <w:noWrap/>
            <w:vAlign w:val="center"/>
          </w:tcPr>
          <w:p w14:paraId="55C0AA4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73.16</w:t>
            </w:r>
          </w:p>
        </w:tc>
        <w:tc>
          <w:tcPr>
            <w:tcW w:w="1322" w:type="dxa"/>
            <w:tcBorders>
              <w:tl2br w:val="nil"/>
              <w:tr2bl w:val="nil"/>
            </w:tcBorders>
            <w:noWrap/>
            <w:vAlign w:val="top"/>
          </w:tcPr>
          <w:p w14:paraId="3A95605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100.98</w:t>
            </w:r>
          </w:p>
        </w:tc>
        <w:tc>
          <w:tcPr>
            <w:tcW w:w="1467" w:type="dxa"/>
            <w:tcBorders>
              <w:tl2br w:val="nil"/>
              <w:tr2bl w:val="nil"/>
            </w:tcBorders>
            <w:noWrap/>
            <w:vAlign w:val="top"/>
          </w:tcPr>
          <w:p w14:paraId="140D403E">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80.78</w:t>
            </w:r>
          </w:p>
        </w:tc>
        <w:tc>
          <w:tcPr>
            <w:tcW w:w="1309" w:type="dxa"/>
            <w:gridSpan w:val="2"/>
            <w:tcBorders>
              <w:tl2br w:val="nil"/>
              <w:tr2bl w:val="nil"/>
            </w:tcBorders>
            <w:noWrap/>
            <w:vAlign w:val="top"/>
          </w:tcPr>
          <w:p w14:paraId="3CF4424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177.99</w:t>
            </w:r>
          </w:p>
        </w:tc>
        <w:tc>
          <w:tcPr>
            <w:tcW w:w="1499" w:type="dxa"/>
            <w:tcBorders>
              <w:tl2br w:val="nil"/>
              <w:tr2bl w:val="nil"/>
            </w:tcBorders>
            <w:noWrap/>
            <w:vAlign w:val="top"/>
          </w:tcPr>
          <w:p w14:paraId="4DB2C8C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153.94</w:t>
            </w:r>
          </w:p>
        </w:tc>
      </w:tr>
      <w:tr w14:paraId="60A90D6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7E7AC64C">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2034</w:t>
            </w:r>
          </w:p>
        </w:tc>
        <w:tc>
          <w:tcPr>
            <w:tcW w:w="1460" w:type="dxa"/>
            <w:tcBorders>
              <w:tl2br w:val="nil"/>
              <w:tr2bl w:val="nil"/>
            </w:tcBorders>
            <w:vAlign w:val="center"/>
          </w:tcPr>
          <w:p w14:paraId="78676E79">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77.02</w:t>
            </w:r>
          </w:p>
        </w:tc>
        <w:tc>
          <w:tcPr>
            <w:tcW w:w="1508" w:type="dxa"/>
            <w:tcBorders>
              <w:tl2br w:val="nil"/>
              <w:tr2bl w:val="nil"/>
            </w:tcBorders>
            <w:noWrap/>
            <w:vAlign w:val="center"/>
          </w:tcPr>
          <w:p w14:paraId="49CA0764">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73.17</w:t>
            </w:r>
          </w:p>
        </w:tc>
        <w:tc>
          <w:tcPr>
            <w:tcW w:w="1322" w:type="dxa"/>
            <w:tcBorders>
              <w:tl2br w:val="nil"/>
              <w:tr2bl w:val="nil"/>
            </w:tcBorders>
            <w:noWrap/>
            <w:vAlign w:val="top"/>
          </w:tcPr>
          <w:p w14:paraId="5671F46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100.99</w:t>
            </w:r>
          </w:p>
        </w:tc>
        <w:tc>
          <w:tcPr>
            <w:tcW w:w="1467" w:type="dxa"/>
            <w:tcBorders>
              <w:tl2br w:val="nil"/>
              <w:tr2bl w:val="nil"/>
            </w:tcBorders>
            <w:noWrap/>
            <w:vAlign w:val="top"/>
          </w:tcPr>
          <w:p w14:paraId="432E8940">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80.79</w:t>
            </w:r>
          </w:p>
        </w:tc>
        <w:tc>
          <w:tcPr>
            <w:tcW w:w="1309" w:type="dxa"/>
            <w:gridSpan w:val="2"/>
            <w:tcBorders>
              <w:tl2br w:val="nil"/>
              <w:tr2bl w:val="nil"/>
            </w:tcBorders>
            <w:noWrap/>
            <w:vAlign w:val="top"/>
          </w:tcPr>
          <w:p w14:paraId="618E428C">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178.01</w:t>
            </w:r>
          </w:p>
        </w:tc>
        <w:tc>
          <w:tcPr>
            <w:tcW w:w="1499" w:type="dxa"/>
            <w:tcBorders>
              <w:tl2br w:val="nil"/>
              <w:tr2bl w:val="nil"/>
            </w:tcBorders>
            <w:noWrap/>
            <w:vAlign w:val="top"/>
          </w:tcPr>
          <w:p w14:paraId="31198233">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i w:val="0"/>
                <w:iCs w:val="0"/>
                <w:color w:val="auto"/>
                <w:kern w:val="0"/>
                <w:sz w:val="20"/>
                <w:szCs w:val="20"/>
                <w:highlight w:val="none"/>
                <w:u w:val="none"/>
                <w:lang w:val="en-US" w:eastAsia="zh-CN" w:bidi="ar"/>
              </w:rPr>
            </w:pPr>
            <w:r>
              <w:rPr>
                <w:rFonts w:hint="default" w:ascii="Times New Roman" w:hAnsi="Times New Roman" w:eastAsia="宋体" w:cs="Times New Roman"/>
                <w:i w:val="0"/>
                <w:iCs w:val="0"/>
                <w:color w:val="auto"/>
                <w:kern w:val="0"/>
                <w:sz w:val="20"/>
                <w:szCs w:val="20"/>
                <w:highlight w:val="none"/>
                <w:u w:val="none"/>
                <w:lang w:val="en-US" w:eastAsia="zh-CN" w:bidi="ar"/>
              </w:rPr>
              <w:t>153.96</w:t>
            </w:r>
          </w:p>
        </w:tc>
      </w:tr>
      <w:tr w14:paraId="5BE65C9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86" w:type="pct"/>
            <w:tcBorders>
              <w:tl2br w:val="nil"/>
              <w:tr2bl w:val="nil"/>
            </w:tcBorders>
            <w:noWrap/>
            <w:vAlign w:val="center"/>
          </w:tcPr>
          <w:p w14:paraId="5F53B296">
            <w:pPr>
              <w:keepNext w:val="0"/>
              <w:keepLines w:val="0"/>
              <w:widowControl/>
              <w:suppressLineNumbers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2035</w:t>
            </w:r>
          </w:p>
        </w:tc>
        <w:tc>
          <w:tcPr>
            <w:tcW w:w="1460" w:type="dxa"/>
            <w:tcBorders>
              <w:tl2br w:val="nil"/>
              <w:tr2bl w:val="nil"/>
            </w:tcBorders>
            <w:vAlign w:val="center"/>
          </w:tcPr>
          <w:p w14:paraId="23ACFDA5">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77.03</w:t>
            </w:r>
          </w:p>
        </w:tc>
        <w:tc>
          <w:tcPr>
            <w:tcW w:w="1508" w:type="dxa"/>
            <w:tcBorders>
              <w:tl2br w:val="nil"/>
              <w:tr2bl w:val="nil"/>
            </w:tcBorders>
            <w:noWrap/>
            <w:vAlign w:val="center"/>
          </w:tcPr>
          <w:p w14:paraId="0A4A232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73.18</w:t>
            </w:r>
          </w:p>
        </w:tc>
        <w:tc>
          <w:tcPr>
            <w:tcW w:w="1322" w:type="dxa"/>
            <w:tcBorders>
              <w:tl2br w:val="nil"/>
              <w:tr2bl w:val="nil"/>
            </w:tcBorders>
            <w:noWrap/>
            <w:vAlign w:val="top"/>
          </w:tcPr>
          <w:p w14:paraId="7A01DB4D">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101.01</w:t>
            </w:r>
          </w:p>
        </w:tc>
        <w:tc>
          <w:tcPr>
            <w:tcW w:w="1467" w:type="dxa"/>
            <w:tcBorders>
              <w:tl2br w:val="nil"/>
              <w:tr2bl w:val="nil"/>
            </w:tcBorders>
            <w:noWrap/>
            <w:vAlign w:val="top"/>
          </w:tcPr>
          <w:p w14:paraId="079564A7">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80.8</w:t>
            </w:r>
          </w:p>
        </w:tc>
        <w:tc>
          <w:tcPr>
            <w:tcW w:w="1309" w:type="dxa"/>
            <w:gridSpan w:val="2"/>
            <w:tcBorders>
              <w:tl2br w:val="nil"/>
              <w:tr2bl w:val="nil"/>
            </w:tcBorders>
            <w:noWrap/>
            <w:vAlign w:val="top"/>
          </w:tcPr>
          <w:p w14:paraId="27C46F21">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178.04</w:t>
            </w:r>
          </w:p>
        </w:tc>
        <w:tc>
          <w:tcPr>
            <w:tcW w:w="1499" w:type="dxa"/>
            <w:tcBorders>
              <w:tl2br w:val="nil"/>
              <w:tr2bl w:val="nil"/>
            </w:tcBorders>
            <w:noWrap/>
            <w:vAlign w:val="top"/>
          </w:tcPr>
          <w:p w14:paraId="10176922">
            <w:pPr>
              <w:keepNext w:val="0"/>
              <w:keepLines w:val="0"/>
              <w:widowControl/>
              <w:suppressLineNumbers w:val="0"/>
              <w:spacing w:before="0" w:beforeAutospacing="0" w:after="0" w:afterAutospacing="0" w:line="240" w:lineRule="auto"/>
              <w:ind w:left="0" w:right="0"/>
              <w:jc w:val="center"/>
              <w:textAlignment w:val="top"/>
              <w:rPr>
                <w:rFonts w:hint="default" w:ascii="Times New Roman" w:hAnsi="Times New Roman" w:eastAsia="宋体" w:cs="Times New Roman"/>
                <w:b/>
                <w:bCs/>
                <w:i w:val="0"/>
                <w:iCs w:val="0"/>
                <w:color w:val="auto"/>
                <w:kern w:val="0"/>
                <w:sz w:val="20"/>
                <w:szCs w:val="20"/>
                <w:highlight w:val="none"/>
                <w:u w:val="none"/>
                <w:lang w:val="en-US" w:eastAsia="zh-CN" w:bidi="ar"/>
              </w:rPr>
            </w:pPr>
            <w:r>
              <w:rPr>
                <w:rFonts w:hint="default" w:ascii="Times New Roman" w:hAnsi="Times New Roman" w:eastAsia="宋体" w:cs="Times New Roman"/>
                <w:b/>
                <w:bCs/>
                <w:i w:val="0"/>
                <w:iCs w:val="0"/>
                <w:color w:val="auto"/>
                <w:kern w:val="0"/>
                <w:sz w:val="20"/>
                <w:szCs w:val="20"/>
                <w:highlight w:val="none"/>
                <w:u w:val="none"/>
                <w:lang w:val="en-US" w:eastAsia="zh-CN" w:bidi="ar"/>
              </w:rPr>
              <w:t>153.98</w:t>
            </w:r>
          </w:p>
        </w:tc>
      </w:tr>
    </w:tbl>
    <w:p w14:paraId="55797A0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eastAsiaTheme="minorEastAsia"/>
          <w:snapToGrid w:val="0"/>
          <w:color w:val="auto"/>
          <w:sz w:val="24"/>
          <w:highlight w:val="none"/>
          <w:lang w:val="en-US" w:eastAsia="zh-CN"/>
        </w:rPr>
      </w:pPr>
      <w:r>
        <w:rPr>
          <w:rFonts w:hint="default" w:ascii="Times New Roman" w:hAnsi="Times New Roman" w:cs="Times New Roman"/>
          <w:snapToGrid w:val="0"/>
          <w:color w:val="auto"/>
          <w:sz w:val="24"/>
          <w:highlight w:val="none"/>
        </w:rPr>
        <w:t>综上，本项目预测到2035年城镇和农村生活垃圾产生量约</w:t>
      </w:r>
      <w:r>
        <w:rPr>
          <w:rFonts w:hint="default" w:ascii="Times New Roman" w:hAnsi="Times New Roman" w:cs="Times New Roman"/>
          <w:snapToGrid w:val="0"/>
          <w:color w:val="auto"/>
          <w:sz w:val="24"/>
          <w:highlight w:val="none"/>
          <w:lang w:val="en-US" w:eastAsia="zh-CN"/>
        </w:rPr>
        <w:t>178.04</w:t>
      </w:r>
      <w:r>
        <w:rPr>
          <w:rFonts w:hint="default" w:ascii="Times New Roman" w:hAnsi="Times New Roman" w:cs="Times New Roman"/>
          <w:snapToGrid w:val="0"/>
          <w:color w:val="auto"/>
          <w:sz w:val="24"/>
          <w:highlight w:val="none"/>
        </w:rPr>
        <w:t>t/d。</w:t>
      </w:r>
    </w:p>
    <w:p w14:paraId="45532EC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snapToGrid w:val="0"/>
          <w:color w:val="auto"/>
          <w:sz w:val="24"/>
          <w:highlight w:val="none"/>
          <w:lang w:eastAsia="zh-CN"/>
        </w:rPr>
      </w:pPr>
      <w:r>
        <w:rPr>
          <w:rFonts w:hint="default" w:ascii="Times New Roman" w:hAnsi="Times New Roman" w:cs="Times New Roman"/>
          <w:snapToGrid w:val="0"/>
          <w:color w:val="auto"/>
          <w:sz w:val="24"/>
          <w:highlight w:val="none"/>
        </w:rPr>
        <w:t>根据《广元市城乡生活垃圾处理设施建设三年实施方案（2021~2023年）的通知》（广府办发[2021]7号），广元市完善城乡生活垃圾分类收运体系。按照“适度超前、循序渐进”原则，统筹推进收集点和中转（压缩）站新（改）建项目建设，配套完善分类收集、分类运输设施设备，基本建成与生活垃圾清运量相匹配的生活垃圾分类收集和分类运输体系，逐步提高生活垃圾分类收运能力，防止“先分后混”和运输环节“二次污染”。2021</w:t>
      </w:r>
      <w:r>
        <w:rPr>
          <w:rFonts w:hint="default" w:ascii="Times New Roman" w:hAnsi="Times New Roman" w:cs="Times New Roman"/>
          <w:snapToGrid w:val="0"/>
          <w:color w:val="auto"/>
          <w:sz w:val="24"/>
          <w:highlight w:val="none"/>
          <w:lang w:val="en-US" w:eastAsia="zh-CN"/>
        </w:rPr>
        <w:t>-</w:t>
      </w:r>
      <w:r>
        <w:rPr>
          <w:rFonts w:hint="default" w:ascii="Times New Roman" w:hAnsi="Times New Roman" w:cs="Times New Roman"/>
          <w:snapToGrid w:val="0"/>
          <w:color w:val="auto"/>
          <w:sz w:val="24"/>
          <w:highlight w:val="none"/>
        </w:rPr>
        <w:t>2023年将实施“生活垃圾分类收转运设施建设项目”16个，城镇生活垃圾收集率将大大提高，因此城镇收集效率按95%计，农村收集效率按80%计</w:t>
      </w:r>
      <w:r>
        <w:rPr>
          <w:rFonts w:hint="default" w:ascii="Times New Roman" w:hAnsi="Times New Roman" w:cs="Times New Roman"/>
          <w:snapToGrid w:val="0"/>
          <w:color w:val="auto"/>
          <w:sz w:val="24"/>
          <w:highlight w:val="none"/>
          <w:lang w:eastAsia="zh-CN"/>
        </w:rPr>
        <w:t>，</w:t>
      </w:r>
      <w:r>
        <w:rPr>
          <w:rFonts w:hint="default" w:ascii="Times New Roman" w:hAnsi="Times New Roman" w:cs="Times New Roman"/>
          <w:snapToGrid w:val="0"/>
          <w:color w:val="auto"/>
          <w:sz w:val="24"/>
          <w:highlight w:val="none"/>
        </w:rPr>
        <w:t>到2035年</w:t>
      </w:r>
      <w:r>
        <w:rPr>
          <w:rFonts w:hint="default" w:ascii="Times New Roman" w:hAnsi="Times New Roman" w:cs="Times New Roman"/>
          <w:snapToGrid w:val="0"/>
          <w:color w:val="auto"/>
          <w:sz w:val="24"/>
          <w:highlight w:val="none"/>
          <w:lang w:val="en-US" w:eastAsia="zh-CN"/>
        </w:rPr>
        <w:t>剑阁县</w:t>
      </w:r>
      <w:r>
        <w:rPr>
          <w:rFonts w:hint="default" w:ascii="Times New Roman" w:hAnsi="Times New Roman" w:cs="Times New Roman"/>
          <w:snapToGrid w:val="0"/>
          <w:color w:val="auto"/>
          <w:sz w:val="24"/>
          <w:highlight w:val="none"/>
        </w:rPr>
        <w:t>城镇和农村生活垃圾产生量约</w:t>
      </w:r>
      <w:r>
        <w:rPr>
          <w:rFonts w:hint="default" w:ascii="Times New Roman" w:hAnsi="Times New Roman" w:cs="Times New Roman"/>
          <w:snapToGrid w:val="0"/>
          <w:color w:val="auto"/>
          <w:sz w:val="24"/>
          <w:highlight w:val="none"/>
          <w:lang w:val="en-US" w:eastAsia="zh-CN"/>
        </w:rPr>
        <w:t>153.98t/d</w:t>
      </w:r>
      <w:r>
        <w:rPr>
          <w:rFonts w:hint="default" w:ascii="Times New Roman" w:hAnsi="Times New Roman" w:cs="Times New Roman"/>
          <w:snapToGrid w:val="0"/>
          <w:color w:val="auto"/>
          <w:sz w:val="24"/>
          <w:highlight w:val="none"/>
          <w:lang w:eastAsia="zh-CN"/>
        </w:rPr>
        <w:t>。</w:t>
      </w:r>
    </w:p>
    <w:p w14:paraId="4F9F2EED">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b/>
          <w:bCs/>
          <w:color w:val="auto"/>
          <w:sz w:val="24"/>
          <w:highlight w:val="none"/>
          <w:lang w:eastAsia="zh-CN"/>
        </w:rPr>
      </w:pPr>
      <w:r>
        <w:rPr>
          <w:rFonts w:hint="default" w:ascii="Times New Roman" w:hAnsi="Times New Roman" w:cs="Times New Roman"/>
          <w:b/>
          <w:bCs/>
          <w:color w:val="auto"/>
          <w:sz w:val="24"/>
          <w:highlight w:val="none"/>
          <w:lang w:val="en-US" w:eastAsia="zh-CN"/>
        </w:rPr>
        <w:t>3、</w:t>
      </w:r>
      <w:r>
        <w:rPr>
          <w:rFonts w:hint="default" w:ascii="Times New Roman" w:hAnsi="Times New Roman" w:cs="Times New Roman"/>
          <w:b/>
          <w:bCs/>
          <w:color w:val="auto"/>
          <w:sz w:val="24"/>
          <w:highlight w:val="none"/>
          <w:lang w:eastAsia="zh-CN"/>
        </w:rPr>
        <w:t>项目建设规模合理性分析</w:t>
      </w:r>
    </w:p>
    <w:p w14:paraId="7812B835">
      <w:pPr>
        <w:pStyle w:val="119"/>
        <w:keepNext w:val="0"/>
        <w:keepLines w:val="0"/>
        <w:pageBreakBefore w:val="0"/>
        <w:widowControl/>
        <w:suppressLineNumbers w:val="0"/>
        <w:kinsoku/>
        <w:wordWrap/>
        <w:overflowPunct/>
        <w:topLinePunct w:val="0"/>
        <w:autoSpaceDE/>
        <w:autoSpaceDN/>
        <w:bidi w:val="0"/>
        <w:adjustRightInd/>
        <w:snapToGrid w:val="0"/>
        <w:textAlignment w:val="auto"/>
        <w:rPr>
          <w:rFonts w:hint="default" w:ascii="Times New Roman" w:hAnsi="Times New Roman" w:cs="Times New Roman"/>
          <w:b w:val="0"/>
          <w:bCs w:val="0"/>
          <w:color w:val="auto"/>
          <w:sz w:val="24"/>
          <w:highlight w:val="none"/>
        </w:rPr>
      </w:pPr>
      <w:r>
        <w:rPr>
          <w:rFonts w:hint="default" w:ascii="Times New Roman" w:hAnsi="Times New Roman" w:cs="Times New Roman"/>
          <w:b w:val="0"/>
          <w:bCs w:val="0"/>
          <w:color w:val="auto"/>
          <w:sz w:val="24"/>
          <w:highlight w:val="none"/>
        </w:rPr>
        <w:t>根据预测统计表可以看出，截至 20</w:t>
      </w:r>
      <w:r>
        <w:rPr>
          <w:rFonts w:hint="default" w:ascii="Times New Roman" w:hAnsi="Times New Roman" w:cs="Times New Roman"/>
          <w:b w:val="0"/>
          <w:bCs w:val="0"/>
          <w:color w:val="auto"/>
          <w:sz w:val="24"/>
          <w:highlight w:val="none"/>
          <w:lang w:val="en-US" w:eastAsia="zh-CN"/>
        </w:rPr>
        <w:t>35</w:t>
      </w:r>
      <w:r>
        <w:rPr>
          <w:rFonts w:hint="default" w:ascii="Times New Roman" w:hAnsi="Times New Roman" w:cs="Times New Roman"/>
          <w:b w:val="0"/>
          <w:bCs w:val="0"/>
          <w:color w:val="auto"/>
          <w:sz w:val="24"/>
          <w:highlight w:val="none"/>
        </w:rPr>
        <w:t xml:space="preserve"> 年城镇生活垃圾产生总量约</w:t>
      </w:r>
      <w:r>
        <w:rPr>
          <w:rFonts w:hint="default" w:ascii="Times New Roman" w:hAnsi="Times New Roman" w:cs="Times New Roman"/>
          <w:b w:val="0"/>
          <w:bCs w:val="0"/>
          <w:color w:val="auto"/>
          <w:sz w:val="24"/>
          <w:highlight w:val="none"/>
          <w:lang w:val="en-US" w:eastAsia="zh-CN"/>
        </w:rPr>
        <w:t>77.03</w:t>
      </w:r>
      <w:r>
        <w:rPr>
          <w:rFonts w:hint="default" w:ascii="Times New Roman" w:hAnsi="Times New Roman" w:cs="Times New Roman"/>
          <w:b w:val="0"/>
          <w:bCs w:val="0"/>
          <w:color w:val="auto"/>
          <w:sz w:val="24"/>
          <w:highlight w:val="none"/>
        </w:rPr>
        <w:t>t/d；农村生活垃圾产生量约为</w:t>
      </w:r>
      <w:r>
        <w:rPr>
          <w:rFonts w:hint="default" w:ascii="Times New Roman" w:hAnsi="Times New Roman" w:cs="Times New Roman"/>
          <w:b w:val="0"/>
          <w:bCs w:val="0"/>
          <w:color w:val="auto"/>
          <w:sz w:val="24"/>
          <w:highlight w:val="none"/>
          <w:lang w:val="en-US" w:eastAsia="zh-CN"/>
        </w:rPr>
        <w:t>101.01</w:t>
      </w:r>
      <w:r>
        <w:rPr>
          <w:rFonts w:hint="default" w:ascii="Times New Roman" w:hAnsi="Times New Roman" w:cs="Times New Roman"/>
          <w:b w:val="0"/>
          <w:bCs w:val="0"/>
          <w:color w:val="auto"/>
          <w:sz w:val="24"/>
          <w:highlight w:val="none"/>
        </w:rPr>
        <w:t>t/d。服务范围内垃圾产生总量约</w:t>
      </w:r>
      <w:r>
        <w:rPr>
          <w:rFonts w:hint="default" w:ascii="Times New Roman" w:hAnsi="Times New Roman" w:cs="Times New Roman"/>
          <w:b w:val="0"/>
          <w:bCs w:val="0"/>
          <w:color w:val="auto"/>
          <w:sz w:val="24"/>
          <w:highlight w:val="none"/>
          <w:lang w:val="en-US" w:eastAsia="zh-CN"/>
        </w:rPr>
        <w:t>178.04</w:t>
      </w:r>
      <w:r>
        <w:rPr>
          <w:rFonts w:hint="default" w:ascii="Times New Roman" w:hAnsi="Times New Roman" w:cs="Times New Roman"/>
          <w:b w:val="0"/>
          <w:bCs w:val="0"/>
          <w:color w:val="auto"/>
          <w:sz w:val="24"/>
          <w:highlight w:val="none"/>
        </w:rPr>
        <w:t>t/d。</w:t>
      </w:r>
    </w:p>
    <w:p w14:paraId="33303371">
      <w:pPr>
        <w:pStyle w:val="119"/>
        <w:keepNext w:val="0"/>
        <w:keepLines w:val="0"/>
        <w:pageBreakBefore w:val="0"/>
        <w:widowControl/>
        <w:suppressLineNumbers w:val="0"/>
        <w:kinsoku/>
        <w:wordWrap/>
        <w:overflowPunct/>
        <w:topLinePunct w:val="0"/>
        <w:autoSpaceDE/>
        <w:autoSpaceDN/>
        <w:bidi w:val="0"/>
        <w:adjustRightInd/>
        <w:snapToGrid w:val="0"/>
        <w:textAlignment w:val="auto"/>
        <w:rPr>
          <w:rFonts w:hint="default" w:ascii="Times New Roman" w:hAnsi="Times New Roman" w:cs="Times New Roman"/>
          <w:b w:val="0"/>
          <w:bCs w:val="0"/>
          <w:color w:val="auto"/>
          <w:sz w:val="24"/>
          <w:highlight w:val="none"/>
        </w:rPr>
      </w:pPr>
      <w:r>
        <w:rPr>
          <w:rFonts w:hint="default" w:ascii="Times New Roman" w:hAnsi="Times New Roman" w:cs="Times New Roman"/>
          <w:b w:val="0"/>
          <w:bCs w:val="0"/>
          <w:color w:val="auto"/>
          <w:sz w:val="24"/>
          <w:highlight w:val="none"/>
        </w:rPr>
        <w:t>按照工程服务年限202</w:t>
      </w:r>
      <w:r>
        <w:rPr>
          <w:rFonts w:hint="default" w:ascii="Times New Roman" w:hAnsi="Times New Roman" w:cs="Times New Roman"/>
          <w:b w:val="0"/>
          <w:bCs w:val="0"/>
          <w:color w:val="auto"/>
          <w:sz w:val="24"/>
          <w:highlight w:val="none"/>
          <w:lang w:val="en-US" w:eastAsia="zh-CN"/>
        </w:rPr>
        <w:t>5-</w:t>
      </w:r>
      <w:r>
        <w:rPr>
          <w:rFonts w:hint="default" w:ascii="Times New Roman" w:hAnsi="Times New Roman" w:cs="Times New Roman"/>
          <w:b w:val="0"/>
          <w:bCs w:val="0"/>
          <w:color w:val="auto"/>
          <w:sz w:val="24"/>
          <w:highlight w:val="none"/>
        </w:rPr>
        <w:t>2035年计算，城镇垃圾收集率按照95%计算，农村垃圾收集率按80%计算</w:t>
      </w:r>
      <w:r>
        <w:rPr>
          <w:rFonts w:hint="default" w:ascii="Times New Roman" w:hAnsi="Times New Roman" w:cs="Times New Roman"/>
          <w:b w:val="0"/>
          <w:bCs w:val="0"/>
          <w:color w:val="auto"/>
          <w:sz w:val="24"/>
          <w:highlight w:val="none"/>
          <w:lang w:eastAsia="zh-CN"/>
        </w:rPr>
        <w:t>，</w:t>
      </w:r>
      <w:r>
        <w:rPr>
          <w:rFonts w:hint="default" w:ascii="Times New Roman" w:hAnsi="Times New Roman" w:cs="Times New Roman"/>
          <w:b w:val="0"/>
          <w:bCs w:val="0"/>
          <w:color w:val="auto"/>
          <w:sz w:val="24"/>
          <w:highlight w:val="none"/>
        </w:rPr>
        <w:t>202</w:t>
      </w:r>
      <w:r>
        <w:rPr>
          <w:rFonts w:hint="default" w:ascii="Times New Roman" w:hAnsi="Times New Roman" w:cs="Times New Roman"/>
          <w:b w:val="0"/>
          <w:bCs w:val="0"/>
          <w:color w:val="auto"/>
          <w:sz w:val="24"/>
          <w:highlight w:val="none"/>
          <w:lang w:val="en-US" w:eastAsia="zh-CN"/>
        </w:rPr>
        <w:t>5</w:t>
      </w:r>
      <w:r>
        <w:rPr>
          <w:rFonts w:hint="default" w:ascii="Times New Roman" w:hAnsi="Times New Roman" w:cs="Times New Roman"/>
          <w:b w:val="0"/>
          <w:bCs w:val="0"/>
          <w:color w:val="auto"/>
          <w:sz w:val="24"/>
          <w:highlight w:val="none"/>
        </w:rPr>
        <w:t>年本次项目启动运行，服务区内生活垃圾产生总量约</w:t>
      </w:r>
      <w:r>
        <w:rPr>
          <w:rFonts w:hint="default" w:ascii="Times New Roman" w:hAnsi="Times New Roman" w:cs="Times New Roman"/>
          <w:b w:val="0"/>
          <w:bCs w:val="0"/>
          <w:color w:val="auto"/>
          <w:sz w:val="24"/>
          <w:highlight w:val="none"/>
          <w:lang w:val="en-US" w:eastAsia="zh-CN"/>
        </w:rPr>
        <w:t>177.82</w:t>
      </w:r>
      <w:r>
        <w:rPr>
          <w:rFonts w:hint="default" w:ascii="Times New Roman" w:hAnsi="Times New Roman" w:cs="Times New Roman"/>
          <w:b w:val="0"/>
          <w:bCs w:val="0"/>
          <w:color w:val="auto"/>
          <w:sz w:val="24"/>
          <w:highlight w:val="none"/>
        </w:rPr>
        <w:t>t/d（</w:t>
      </w:r>
      <w:r>
        <w:rPr>
          <w:rFonts w:hint="default" w:ascii="Times New Roman" w:hAnsi="Times New Roman" w:cs="Times New Roman"/>
          <w:b w:val="0"/>
          <w:bCs w:val="0"/>
          <w:color w:val="auto"/>
          <w:sz w:val="24"/>
          <w:highlight w:val="none"/>
          <w:lang w:val="en-US" w:eastAsia="zh-CN"/>
        </w:rPr>
        <w:t>64904.3</w:t>
      </w:r>
      <w:r>
        <w:rPr>
          <w:rFonts w:hint="default" w:ascii="Times New Roman" w:hAnsi="Times New Roman" w:cs="Times New Roman"/>
          <w:b w:val="0"/>
          <w:bCs w:val="0"/>
          <w:color w:val="auto"/>
          <w:sz w:val="24"/>
          <w:highlight w:val="none"/>
        </w:rPr>
        <w:t>t/a），收集量约</w:t>
      </w:r>
      <w:r>
        <w:rPr>
          <w:rFonts w:hint="default" w:ascii="Times New Roman" w:hAnsi="Times New Roman" w:cs="Times New Roman"/>
          <w:b w:val="0"/>
          <w:bCs w:val="0"/>
          <w:color w:val="auto"/>
          <w:sz w:val="24"/>
          <w:highlight w:val="none"/>
          <w:lang w:val="en-US" w:eastAsia="zh-CN"/>
        </w:rPr>
        <w:t>153.8</w:t>
      </w:r>
      <w:r>
        <w:rPr>
          <w:rFonts w:hint="default" w:ascii="Times New Roman" w:hAnsi="Times New Roman" w:cs="Times New Roman"/>
          <w:b w:val="0"/>
          <w:bCs w:val="0"/>
          <w:color w:val="auto"/>
          <w:sz w:val="24"/>
          <w:highlight w:val="none"/>
        </w:rPr>
        <w:t>t/d（</w:t>
      </w:r>
      <w:r>
        <w:rPr>
          <w:rFonts w:hint="default" w:ascii="Times New Roman" w:hAnsi="Times New Roman" w:cs="Times New Roman"/>
          <w:b w:val="0"/>
          <w:bCs w:val="0"/>
          <w:color w:val="auto"/>
          <w:sz w:val="24"/>
          <w:highlight w:val="none"/>
          <w:lang w:val="en-US" w:eastAsia="zh-CN"/>
        </w:rPr>
        <w:t>56137</w:t>
      </w:r>
      <w:r>
        <w:rPr>
          <w:rFonts w:hint="default" w:ascii="Times New Roman" w:hAnsi="Times New Roman" w:cs="Times New Roman"/>
          <w:b w:val="0"/>
          <w:bCs w:val="0"/>
          <w:color w:val="auto"/>
          <w:sz w:val="24"/>
          <w:highlight w:val="none"/>
        </w:rPr>
        <w:t>t/a）；至2030年，服务区内生活垃圾产生总量约</w:t>
      </w:r>
      <w:r>
        <w:rPr>
          <w:rFonts w:hint="default" w:ascii="Times New Roman" w:hAnsi="Times New Roman" w:cs="Times New Roman"/>
          <w:b w:val="0"/>
          <w:bCs w:val="0"/>
          <w:color w:val="auto"/>
          <w:sz w:val="24"/>
          <w:highlight w:val="none"/>
          <w:lang w:val="en-US" w:eastAsia="zh-CN"/>
        </w:rPr>
        <w:t>177.92</w:t>
      </w:r>
      <w:r>
        <w:rPr>
          <w:rFonts w:hint="default" w:ascii="Times New Roman" w:hAnsi="Times New Roman" w:cs="Times New Roman"/>
          <w:b w:val="0"/>
          <w:bCs w:val="0"/>
          <w:color w:val="auto"/>
          <w:sz w:val="24"/>
          <w:highlight w:val="none"/>
        </w:rPr>
        <w:t>t/d（</w:t>
      </w:r>
      <w:r>
        <w:rPr>
          <w:rFonts w:hint="default" w:ascii="Times New Roman" w:hAnsi="Times New Roman" w:cs="Times New Roman"/>
          <w:b w:val="0"/>
          <w:bCs w:val="0"/>
          <w:color w:val="auto"/>
          <w:sz w:val="24"/>
          <w:highlight w:val="none"/>
          <w:lang w:val="en-US" w:eastAsia="zh-CN"/>
        </w:rPr>
        <w:t>64940.8</w:t>
      </w:r>
      <w:r>
        <w:rPr>
          <w:rFonts w:hint="default" w:ascii="Times New Roman" w:hAnsi="Times New Roman" w:cs="Times New Roman"/>
          <w:b w:val="0"/>
          <w:bCs w:val="0"/>
          <w:color w:val="auto"/>
          <w:sz w:val="24"/>
          <w:highlight w:val="none"/>
        </w:rPr>
        <w:t>t/a），收集量约</w:t>
      </w:r>
      <w:r>
        <w:rPr>
          <w:rFonts w:hint="default" w:ascii="Times New Roman" w:hAnsi="Times New Roman" w:cs="Times New Roman"/>
          <w:b w:val="0"/>
          <w:bCs w:val="0"/>
          <w:color w:val="auto"/>
          <w:sz w:val="24"/>
          <w:highlight w:val="none"/>
          <w:lang w:val="en-US" w:eastAsia="zh-CN"/>
        </w:rPr>
        <w:t>153.9</w:t>
      </w:r>
      <w:r>
        <w:rPr>
          <w:rFonts w:hint="default" w:ascii="Times New Roman" w:hAnsi="Times New Roman" w:cs="Times New Roman"/>
          <w:b w:val="0"/>
          <w:bCs w:val="0"/>
          <w:color w:val="auto"/>
          <w:sz w:val="24"/>
          <w:highlight w:val="none"/>
        </w:rPr>
        <w:t>t/d（</w:t>
      </w:r>
      <w:r>
        <w:rPr>
          <w:rFonts w:hint="default" w:ascii="Times New Roman" w:hAnsi="Times New Roman" w:cs="Times New Roman"/>
          <w:b w:val="0"/>
          <w:bCs w:val="0"/>
          <w:color w:val="auto"/>
          <w:sz w:val="24"/>
          <w:highlight w:val="none"/>
          <w:lang w:val="en-US" w:eastAsia="zh-CN"/>
        </w:rPr>
        <w:t>56173.5</w:t>
      </w:r>
      <w:r>
        <w:rPr>
          <w:rFonts w:hint="default" w:ascii="Times New Roman" w:hAnsi="Times New Roman" w:cs="Times New Roman"/>
          <w:b w:val="0"/>
          <w:bCs w:val="0"/>
          <w:color w:val="auto"/>
          <w:sz w:val="24"/>
          <w:highlight w:val="none"/>
        </w:rPr>
        <w:t>t/a）；至2035年，服务区内生活垃圾产生总量约</w:t>
      </w:r>
      <w:r>
        <w:rPr>
          <w:rFonts w:hint="default" w:ascii="Times New Roman" w:hAnsi="Times New Roman" w:cs="Times New Roman"/>
          <w:b w:val="0"/>
          <w:bCs w:val="0"/>
          <w:color w:val="auto"/>
          <w:sz w:val="24"/>
          <w:highlight w:val="none"/>
          <w:lang w:val="en-US" w:eastAsia="zh-CN"/>
        </w:rPr>
        <w:t>178.04</w:t>
      </w:r>
      <w:r>
        <w:rPr>
          <w:rFonts w:hint="default" w:ascii="Times New Roman" w:hAnsi="Times New Roman" w:cs="Times New Roman"/>
          <w:b w:val="0"/>
          <w:bCs w:val="0"/>
          <w:color w:val="auto"/>
          <w:sz w:val="24"/>
          <w:highlight w:val="none"/>
        </w:rPr>
        <w:t>t/d（</w:t>
      </w:r>
      <w:r>
        <w:rPr>
          <w:rFonts w:hint="default" w:ascii="Times New Roman" w:hAnsi="Times New Roman" w:cs="Times New Roman"/>
          <w:b w:val="0"/>
          <w:bCs w:val="0"/>
          <w:color w:val="auto"/>
          <w:sz w:val="24"/>
          <w:highlight w:val="none"/>
          <w:lang w:val="en-US" w:eastAsia="zh-CN"/>
        </w:rPr>
        <w:t>64984.6</w:t>
      </w:r>
      <w:r>
        <w:rPr>
          <w:rFonts w:hint="default" w:ascii="Times New Roman" w:hAnsi="Times New Roman" w:cs="Times New Roman"/>
          <w:b w:val="0"/>
          <w:bCs w:val="0"/>
          <w:color w:val="auto"/>
          <w:sz w:val="24"/>
          <w:highlight w:val="none"/>
        </w:rPr>
        <w:t>t/a），收集量约</w:t>
      </w:r>
      <w:r>
        <w:rPr>
          <w:rFonts w:hint="default" w:ascii="Times New Roman" w:hAnsi="Times New Roman" w:cs="Times New Roman"/>
          <w:b w:val="0"/>
          <w:bCs w:val="0"/>
          <w:color w:val="auto"/>
          <w:sz w:val="24"/>
          <w:highlight w:val="none"/>
          <w:lang w:val="en-US" w:eastAsia="zh-CN"/>
        </w:rPr>
        <w:t>153.98</w:t>
      </w:r>
      <w:r>
        <w:rPr>
          <w:rFonts w:hint="default" w:ascii="Times New Roman" w:hAnsi="Times New Roman" w:cs="Times New Roman"/>
          <w:b w:val="0"/>
          <w:bCs w:val="0"/>
          <w:color w:val="auto"/>
          <w:sz w:val="24"/>
          <w:highlight w:val="none"/>
        </w:rPr>
        <w:t>t/d（</w:t>
      </w:r>
      <w:r>
        <w:rPr>
          <w:rFonts w:hint="default" w:ascii="Times New Roman" w:hAnsi="Times New Roman" w:cs="Times New Roman"/>
          <w:b w:val="0"/>
          <w:bCs w:val="0"/>
          <w:color w:val="auto"/>
          <w:sz w:val="24"/>
          <w:highlight w:val="none"/>
          <w:lang w:val="en-US" w:eastAsia="zh-CN"/>
        </w:rPr>
        <w:t>56202.7</w:t>
      </w:r>
      <w:r>
        <w:rPr>
          <w:rFonts w:hint="default" w:ascii="Times New Roman" w:hAnsi="Times New Roman" w:cs="Times New Roman"/>
          <w:b w:val="0"/>
          <w:bCs w:val="0"/>
          <w:color w:val="auto"/>
          <w:sz w:val="24"/>
          <w:highlight w:val="none"/>
        </w:rPr>
        <w:t>t/a）</w:t>
      </w:r>
      <w:r>
        <w:rPr>
          <w:rFonts w:hint="default" w:ascii="Times New Roman" w:hAnsi="Times New Roman" w:cs="Times New Roman"/>
          <w:b w:val="0"/>
          <w:bCs w:val="0"/>
          <w:color w:val="auto"/>
          <w:sz w:val="24"/>
          <w:highlight w:val="none"/>
          <w:lang w:eastAsia="zh-CN"/>
        </w:rPr>
        <w:t>。</w:t>
      </w:r>
      <w:r>
        <w:rPr>
          <w:rFonts w:hint="default" w:ascii="Times New Roman" w:hAnsi="Times New Roman" w:cs="Times New Roman"/>
          <w:b w:val="0"/>
          <w:bCs w:val="0"/>
          <w:color w:val="auto"/>
          <w:sz w:val="24"/>
          <w:highlight w:val="none"/>
        </w:rPr>
        <w:t>项目</w:t>
      </w:r>
      <w:r>
        <w:rPr>
          <w:rFonts w:hint="default" w:ascii="Times New Roman" w:hAnsi="Times New Roman" w:cs="Times New Roman" w:eastAsiaTheme="minorEastAsia"/>
          <w:color w:val="auto"/>
          <w:sz w:val="24"/>
          <w:szCs w:val="24"/>
          <w:highlight w:val="none"/>
          <w:lang w:val="en-US" w:eastAsia="zh-CN"/>
        </w:rPr>
        <w:t>采用</w:t>
      </w:r>
      <w:r>
        <w:rPr>
          <w:rFonts w:hint="default" w:ascii="Times New Roman" w:hAnsi="Times New Roman" w:cs="Times New Roman" w:eastAsiaTheme="minorEastAsia"/>
          <w:color w:val="auto"/>
          <w:sz w:val="24"/>
          <w:szCs w:val="24"/>
          <w:highlight w:val="none"/>
          <w:lang w:eastAsia="zh-CN"/>
        </w:rPr>
        <w:t>绝氧热分解焚烧工艺</w:t>
      </w:r>
      <w:r>
        <w:rPr>
          <w:rFonts w:hint="default" w:ascii="Times New Roman" w:hAnsi="Times New Roman" w:cs="Times New Roman"/>
          <w:color w:val="auto"/>
          <w:sz w:val="24"/>
          <w:szCs w:val="24"/>
          <w:highlight w:val="none"/>
          <w:lang w:val="en-US" w:eastAsia="zh-CN"/>
        </w:rPr>
        <w:t>无害化处理生活垃圾</w:t>
      </w:r>
      <w:r>
        <w:rPr>
          <w:rFonts w:hint="default" w:ascii="Times New Roman" w:hAnsi="Times New Roman" w:cs="Times New Roman"/>
          <w:b w:val="0"/>
          <w:bCs w:val="0"/>
          <w:color w:val="auto"/>
          <w:sz w:val="24"/>
          <w:highlight w:val="none"/>
        </w:rPr>
        <w:t>，总处理</w:t>
      </w:r>
      <w:r>
        <w:rPr>
          <w:rFonts w:hint="default" w:ascii="Times New Roman" w:hAnsi="Times New Roman" w:cs="Times New Roman"/>
          <w:b w:val="0"/>
          <w:bCs w:val="0"/>
          <w:color w:val="auto"/>
          <w:sz w:val="24"/>
          <w:highlight w:val="none"/>
          <w:lang w:val="en-US" w:eastAsia="zh-CN"/>
        </w:rPr>
        <w:t>规模为180</w:t>
      </w:r>
      <w:r>
        <w:rPr>
          <w:rFonts w:hint="default" w:ascii="Times New Roman" w:hAnsi="Times New Roman" w:cs="Times New Roman"/>
          <w:b w:val="0"/>
          <w:bCs w:val="0"/>
          <w:color w:val="auto"/>
          <w:sz w:val="24"/>
          <w:highlight w:val="none"/>
        </w:rPr>
        <w:t>t/d，能够满足服务区内202</w:t>
      </w:r>
      <w:r>
        <w:rPr>
          <w:rFonts w:hint="default" w:ascii="Times New Roman" w:hAnsi="Times New Roman" w:cs="Times New Roman"/>
          <w:b w:val="0"/>
          <w:bCs w:val="0"/>
          <w:color w:val="auto"/>
          <w:sz w:val="24"/>
          <w:highlight w:val="none"/>
          <w:lang w:val="en-US" w:eastAsia="zh-CN"/>
        </w:rPr>
        <w:t>5</w:t>
      </w:r>
      <w:r>
        <w:rPr>
          <w:rFonts w:hint="default" w:ascii="Times New Roman" w:hAnsi="Times New Roman" w:cs="Times New Roman"/>
          <w:b w:val="0"/>
          <w:bCs w:val="0"/>
          <w:color w:val="auto"/>
          <w:sz w:val="24"/>
          <w:highlight w:val="none"/>
        </w:rPr>
        <w:t>-2035年垃圾处理需求。</w:t>
      </w:r>
    </w:p>
    <w:p w14:paraId="7ECF7B3E">
      <w:pPr>
        <w:pStyle w:val="119"/>
        <w:keepNext w:val="0"/>
        <w:keepLines w:val="0"/>
        <w:pageBreakBefore w:val="0"/>
        <w:widowControl/>
        <w:suppressLineNumbers w:val="0"/>
        <w:kinsoku/>
        <w:wordWrap/>
        <w:overflowPunct/>
        <w:topLinePunct w:val="0"/>
        <w:autoSpaceDE/>
        <w:autoSpaceDN/>
        <w:bidi w:val="0"/>
        <w:adjustRightInd/>
        <w:snapToGrid w:val="0"/>
        <w:textAlignment w:val="auto"/>
        <w:rPr>
          <w:rFonts w:hint="default" w:ascii="Times New Roman" w:hAnsi="Times New Roman" w:cs="Times New Roman" w:eastAsiaTheme="minorEastAsia"/>
          <w:b w:val="0"/>
          <w:bCs w:val="0"/>
          <w:color w:val="auto"/>
          <w:sz w:val="24"/>
          <w:highlight w:val="none"/>
          <w:lang w:eastAsia="zh-CN"/>
        </w:rPr>
      </w:pPr>
      <w:r>
        <w:rPr>
          <w:rFonts w:hint="default" w:ascii="Times New Roman" w:hAnsi="Times New Roman" w:cs="Times New Roman"/>
          <w:b w:val="0"/>
          <w:bCs w:val="0"/>
          <w:color w:val="auto"/>
          <w:sz w:val="24"/>
          <w:highlight w:val="none"/>
        </w:rPr>
        <w:t>综上所述，建设单位在考虑服务区垃圾产生量、垃圾处理需求、处理成本及设备运行年限的基础上，本次项目</w:t>
      </w:r>
      <w:r>
        <w:rPr>
          <w:rFonts w:hint="default" w:ascii="Times New Roman" w:hAnsi="Times New Roman" w:cs="Times New Roman"/>
          <w:b w:val="0"/>
          <w:bCs w:val="0"/>
          <w:color w:val="auto"/>
          <w:sz w:val="24"/>
          <w:highlight w:val="none"/>
          <w:lang w:val="en-US" w:eastAsia="zh-CN"/>
        </w:rPr>
        <w:t>垃圾处理规模为180</w:t>
      </w:r>
      <w:r>
        <w:rPr>
          <w:rFonts w:hint="default" w:ascii="Times New Roman" w:hAnsi="Times New Roman" w:cs="Times New Roman"/>
          <w:b w:val="0"/>
          <w:bCs w:val="0"/>
          <w:color w:val="auto"/>
          <w:sz w:val="24"/>
          <w:highlight w:val="none"/>
        </w:rPr>
        <w:t>t/d</w:t>
      </w:r>
      <w:r>
        <w:rPr>
          <w:rFonts w:hint="default" w:ascii="Times New Roman" w:hAnsi="Times New Roman" w:cs="Times New Roman"/>
          <w:b w:val="0"/>
          <w:bCs w:val="0"/>
          <w:color w:val="auto"/>
          <w:sz w:val="24"/>
          <w:highlight w:val="none"/>
          <w:lang w:val="en-US" w:eastAsia="zh-CN"/>
        </w:rPr>
        <w:t>比</w:t>
      </w:r>
      <w:r>
        <w:rPr>
          <w:rFonts w:hint="default" w:ascii="Times New Roman" w:hAnsi="Times New Roman" w:cs="Times New Roman"/>
          <w:b w:val="0"/>
          <w:bCs w:val="0"/>
          <w:color w:val="auto"/>
          <w:sz w:val="24"/>
          <w:highlight w:val="none"/>
        </w:rPr>
        <w:t>较合理、可行</w:t>
      </w:r>
      <w:r>
        <w:rPr>
          <w:rFonts w:hint="default" w:ascii="Times New Roman" w:hAnsi="Times New Roman" w:cs="Times New Roman"/>
          <w:b w:val="0"/>
          <w:bCs w:val="0"/>
          <w:color w:val="auto"/>
          <w:sz w:val="24"/>
          <w:highlight w:val="none"/>
          <w:lang w:eastAsia="zh-CN"/>
        </w:rPr>
        <w:t>。</w:t>
      </w:r>
    </w:p>
    <w:p w14:paraId="58FB0E10">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生活垃圾收运方案</w:t>
      </w:r>
    </w:p>
    <w:p w14:paraId="0539A536">
      <w:pPr>
        <w:keepNext w:val="0"/>
        <w:keepLines w:val="0"/>
        <w:pageBreakBefore w:val="0"/>
        <w:widowControl w:val="0"/>
        <w:kinsoku/>
        <w:wordWrap/>
        <w:overflowPunct/>
        <w:topLinePunct w:val="0"/>
        <w:autoSpaceDE/>
        <w:autoSpaceDN/>
        <w:bidi w:val="0"/>
        <w:adjustRightInd/>
        <w:snapToGrid w:val="0"/>
        <w:ind w:firstLine="482"/>
        <w:textAlignment w:val="auto"/>
        <w:rPr>
          <w:rFonts w:hint="default" w:ascii="Times New Roman" w:hAnsi="Times New Roman" w:cs="Times New Roman"/>
          <w:b/>
          <w:bCs/>
          <w:color w:val="auto"/>
          <w:sz w:val="24"/>
          <w:szCs w:val="24"/>
          <w:highlight w:val="none"/>
        </w:rPr>
      </w:pPr>
      <w:bookmarkStart w:id="66" w:name="_Toc14857"/>
      <w:bookmarkStart w:id="67" w:name="_Toc25877"/>
      <w:r>
        <w:rPr>
          <w:rFonts w:hint="default" w:ascii="Times New Roman" w:hAnsi="Times New Roman" w:cs="Times New Roman"/>
          <w:b/>
          <w:bCs/>
          <w:color w:val="auto"/>
          <w:sz w:val="24"/>
          <w:szCs w:val="24"/>
          <w:highlight w:val="none"/>
          <w:lang w:val="en-US" w:eastAsia="zh-CN"/>
        </w:rPr>
        <w:t>1、收集方式</w:t>
      </w:r>
      <w:bookmarkEnd w:id="66"/>
      <w:bookmarkEnd w:id="67"/>
    </w:p>
    <w:p w14:paraId="79BBA517">
      <w:pPr>
        <w:keepNext w:val="0"/>
        <w:keepLines w:val="0"/>
        <w:pageBreakBefore w:val="0"/>
        <w:widowControl w:val="0"/>
        <w:kinsoku/>
        <w:wordWrap/>
        <w:overflowPunct/>
        <w:topLinePunct w:val="0"/>
        <w:autoSpaceDE/>
        <w:autoSpaceDN/>
        <w:bidi w:val="0"/>
        <w:adjustRightInd/>
        <w:snapToGrid w:val="0"/>
        <w:ind w:firstLine="482"/>
        <w:textAlignment w:val="auto"/>
        <w:rPr>
          <w:rFonts w:hint="default" w:ascii="Times New Roman" w:hAnsi="Times New Roman" w:cs="Times New Roman" w:eastAsiaTheme="minorEastAsia"/>
          <w:color w:val="auto"/>
          <w:sz w:val="24"/>
          <w:szCs w:val="24"/>
          <w:highlight w:val="none"/>
          <w:lang w:eastAsia="zh-CN"/>
        </w:rPr>
      </w:pPr>
      <w:r>
        <w:rPr>
          <w:rFonts w:hint="default" w:ascii="Times New Roman" w:hAnsi="Times New Roman" w:cs="Times New Roman"/>
          <w:color w:val="auto"/>
          <w:sz w:val="24"/>
          <w:szCs w:val="24"/>
          <w:highlight w:val="none"/>
        </w:rPr>
        <w:t>生活垃圾收运采用密闭专用垃圾车运输，车辆必须全密闭，严防跑冒滴漏，必要时喷洒除臭液，降低对环境空气的不良影响</w:t>
      </w:r>
      <w:r>
        <w:rPr>
          <w:rFonts w:hint="default" w:ascii="Times New Roman" w:hAnsi="Times New Roman" w:cs="Times New Roman"/>
          <w:color w:val="auto"/>
          <w:sz w:val="24"/>
          <w:szCs w:val="24"/>
          <w:highlight w:val="none"/>
          <w:lang w:eastAsia="zh-CN"/>
        </w:rPr>
        <w:t>。</w:t>
      </w:r>
    </w:p>
    <w:p w14:paraId="4FB5314E">
      <w:pPr>
        <w:keepNext w:val="0"/>
        <w:keepLines w:val="0"/>
        <w:pageBreakBefore w:val="0"/>
        <w:widowControl w:val="0"/>
        <w:kinsoku/>
        <w:wordWrap/>
        <w:overflowPunct/>
        <w:topLinePunct w:val="0"/>
        <w:autoSpaceDE/>
        <w:autoSpaceDN/>
        <w:bidi w:val="0"/>
        <w:adjustRightInd/>
        <w:snapToGrid w:val="0"/>
        <w:ind w:firstLine="482"/>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lang w:val="en-US" w:eastAsia="zh-CN"/>
        </w:rPr>
        <w:t>2、收运路线</w:t>
      </w:r>
    </w:p>
    <w:p w14:paraId="36987A75">
      <w:pPr>
        <w:keepNext w:val="0"/>
        <w:keepLines w:val="0"/>
        <w:pageBreakBefore w:val="0"/>
        <w:widowControl w:val="0"/>
        <w:kinsoku/>
        <w:wordWrap/>
        <w:overflowPunct/>
        <w:topLinePunct w:val="0"/>
        <w:autoSpaceDE/>
        <w:autoSpaceDN/>
        <w:bidi w:val="0"/>
        <w:adjustRightInd/>
        <w:snapToGrid w:val="0"/>
        <w:ind w:firstLine="482"/>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剑阁</w:t>
      </w:r>
      <w:r>
        <w:rPr>
          <w:rFonts w:hint="default" w:ascii="Times New Roman" w:hAnsi="Times New Roman" w:cs="Times New Roman"/>
          <w:color w:val="auto"/>
          <w:sz w:val="24"/>
          <w:szCs w:val="24"/>
          <w:highlight w:val="none"/>
        </w:rPr>
        <w:t>县城的生活</w:t>
      </w:r>
      <w:r>
        <w:rPr>
          <w:rFonts w:hint="default" w:ascii="Times New Roman" w:hAnsi="Times New Roman" w:cs="Times New Roman"/>
          <w:color w:val="auto"/>
          <w:sz w:val="24"/>
          <w:szCs w:val="24"/>
          <w:highlight w:val="none"/>
          <w:lang w:eastAsia="zh-CN"/>
        </w:rPr>
        <w:t>垃圾由剑阁县环境卫生事务中心负责收集转运，</w:t>
      </w:r>
      <w:r>
        <w:rPr>
          <w:rFonts w:hint="default" w:ascii="Times New Roman" w:hAnsi="Times New Roman" w:cs="Times New Roman"/>
          <w:color w:val="auto"/>
          <w:sz w:val="24"/>
          <w:szCs w:val="24"/>
          <w:highlight w:val="none"/>
          <w:lang w:val="en-US" w:eastAsia="zh-CN"/>
        </w:rPr>
        <w:t>其他各乡镇</w:t>
      </w:r>
      <w:r>
        <w:rPr>
          <w:rFonts w:hint="default" w:ascii="Times New Roman" w:hAnsi="Times New Roman" w:cs="Times New Roman"/>
          <w:color w:val="auto"/>
          <w:sz w:val="24"/>
          <w:szCs w:val="24"/>
          <w:highlight w:val="none"/>
          <w:lang w:eastAsia="zh-CN"/>
        </w:rPr>
        <w:t>生活垃圾</w:t>
      </w:r>
      <w:r>
        <w:rPr>
          <w:rFonts w:hint="default" w:ascii="Times New Roman" w:hAnsi="Times New Roman" w:cs="Times New Roman"/>
          <w:color w:val="auto"/>
          <w:sz w:val="24"/>
          <w:szCs w:val="24"/>
          <w:highlight w:val="none"/>
          <w:lang w:val="en-US" w:eastAsia="zh-CN"/>
        </w:rPr>
        <w:t>将由</w:t>
      </w:r>
      <w:r>
        <w:rPr>
          <w:rFonts w:hint="default" w:ascii="Times New Roman" w:hAnsi="Times New Roman" w:cs="Times New Roman"/>
          <w:color w:val="auto"/>
          <w:sz w:val="24"/>
          <w:szCs w:val="24"/>
          <w:highlight w:val="none"/>
          <w:lang w:eastAsia="zh-CN"/>
        </w:rPr>
        <w:t>各乡镇</w:t>
      </w:r>
      <w:r>
        <w:rPr>
          <w:rFonts w:hint="default" w:ascii="Times New Roman" w:hAnsi="Times New Roman" w:cs="Times New Roman"/>
          <w:color w:val="auto"/>
          <w:sz w:val="24"/>
          <w:szCs w:val="24"/>
          <w:highlight w:val="none"/>
          <w:lang w:val="en-US" w:eastAsia="zh-CN"/>
        </w:rPr>
        <w:t>政府负责收集、运输至境内的垃圾压缩中转站。</w:t>
      </w:r>
    </w:p>
    <w:p w14:paraId="2BAA4CC7">
      <w:pPr>
        <w:keepNext w:val="0"/>
        <w:keepLines w:val="0"/>
        <w:pageBreakBefore w:val="0"/>
        <w:widowControl w:val="0"/>
        <w:kinsoku/>
        <w:wordWrap/>
        <w:overflowPunct/>
        <w:topLinePunct w:val="0"/>
        <w:autoSpaceDE/>
        <w:autoSpaceDN/>
        <w:bidi w:val="0"/>
        <w:adjustRightInd/>
        <w:snapToGrid w:val="0"/>
        <w:ind w:firstLine="482"/>
        <w:textAlignment w:val="auto"/>
        <w:rPr>
          <w:rFonts w:hint="default" w:ascii="Times New Roman" w:hAnsi="Times New Roman" w:cs="Times New Roman" w:eastAsiaTheme="minorEastAsia"/>
          <w:color w:val="auto"/>
          <w:sz w:val="24"/>
          <w:szCs w:val="24"/>
          <w:highlight w:val="none"/>
          <w:lang w:eastAsia="zh-CN"/>
        </w:rPr>
      </w:pPr>
      <w:r>
        <w:rPr>
          <w:rFonts w:hint="default" w:ascii="Times New Roman" w:hAnsi="Times New Roman" w:cs="Times New Roman"/>
          <w:color w:val="auto"/>
          <w:sz w:val="24"/>
          <w:szCs w:val="24"/>
          <w:highlight w:val="none"/>
          <w:lang w:val="en-US" w:eastAsia="zh-CN"/>
        </w:rPr>
        <w:t>剑阁县现有2个垃圾中转站，其中</w:t>
      </w:r>
      <w:r>
        <w:rPr>
          <w:rFonts w:hint="default" w:ascii="Times New Roman" w:hAnsi="Times New Roman" w:cs="Times New Roman"/>
          <w:color w:val="auto"/>
          <w:sz w:val="24"/>
          <w:szCs w:val="24"/>
          <w:highlight w:val="none"/>
          <w:lang w:eastAsia="zh-CN"/>
        </w:rPr>
        <w:t>下寺镇、汉阳镇、剑门关镇人民政府负责将本辖区生活垃圾转运至县城生活垃圾压缩转运站（下寺镇拐枣坝污水处理厂旁）；其余26个乡镇人民政府负责将本辖区生活垃圾转运至普安镇生活垃圾压缩转运站（普安镇原生活垃圾处理场内），剑阁县环境卫生事务中心负责将两个生活垃圾压缩转运站的生活垃圾统一转运至</w:t>
      </w:r>
      <w:r>
        <w:rPr>
          <w:rFonts w:hint="default" w:ascii="Times New Roman" w:hAnsi="Times New Roman" w:cs="Times New Roman"/>
          <w:color w:val="auto"/>
          <w:sz w:val="24"/>
          <w:szCs w:val="24"/>
          <w:highlight w:val="none"/>
          <w:lang w:val="en-US" w:eastAsia="zh-CN"/>
        </w:rPr>
        <w:t>本项目</w:t>
      </w:r>
      <w:r>
        <w:rPr>
          <w:rFonts w:hint="default" w:ascii="Times New Roman" w:hAnsi="Times New Roman" w:cs="Times New Roman"/>
          <w:color w:val="auto"/>
          <w:sz w:val="24"/>
          <w:szCs w:val="24"/>
          <w:highlight w:val="none"/>
          <w:lang w:eastAsia="zh-CN"/>
        </w:rPr>
        <w:t>处理。各收集点的垃圾经密闭的垃圾专用运输车经省道及乡镇道路运至</w:t>
      </w:r>
      <w:r>
        <w:rPr>
          <w:rFonts w:hint="default" w:ascii="Times New Roman" w:hAnsi="Times New Roman" w:cs="Times New Roman"/>
          <w:color w:val="auto"/>
          <w:sz w:val="24"/>
          <w:szCs w:val="24"/>
          <w:highlight w:val="none"/>
          <w:lang w:val="en-US" w:eastAsia="zh-CN"/>
        </w:rPr>
        <w:t>本</w:t>
      </w:r>
      <w:r>
        <w:rPr>
          <w:rFonts w:hint="default" w:ascii="Times New Roman" w:hAnsi="Times New Roman" w:cs="Times New Roman"/>
          <w:color w:val="auto"/>
          <w:sz w:val="24"/>
          <w:szCs w:val="24"/>
          <w:highlight w:val="none"/>
          <w:lang w:eastAsia="zh-CN"/>
        </w:rPr>
        <w:t>项目进行无害化处置。各收集点的运输路线尽量避开密集的居民区，运输时间选择在傍晚或者凌晨。</w:t>
      </w:r>
    </w:p>
    <w:p w14:paraId="4C4D526D">
      <w:pPr>
        <w:keepNext w:val="0"/>
        <w:keepLines w:val="0"/>
        <w:pageBreakBefore w:val="0"/>
        <w:widowControl w:val="0"/>
        <w:kinsoku/>
        <w:wordWrap/>
        <w:overflowPunct/>
        <w:topLinePunct w:val="0"/>
        <w:autoSpaceDE/>
        <w:autoSpaceDN/>
        <w:bidi w:val="0"/>
        <w:adjustRightInd/>
        <w:snapToGrid w:val="0"/>
        <w:ind w:firstLine="482"/>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本项目位于剑阁县普安镇剑坪村一组，普安镇垃圾转运站旁。</w:t>
      </w:r>
      <w:r>
        <w:rPr>
          <w:rFonts w:hint="default" w:ascii="Times New Roman" w:hAnsi="Times New Roman" w:cs="Times New Roman"/>
          <w:color w:val="auto"/>
          <w:sz w:val="24"/>
          <w:szCs w:val="24"/>
          <w:highlight w:val="none"/>
          <w:lang w:eastAsia="zh-CN"/>
        </w:rPr>
        <w:t>生活垃圾收运路线本着距离最短，车辆使用效率最高、收运量最大、路口最少的原则，最终确定各个区域垃圾收集路线，</w:t>
      </w:r>
      <w:r>
        <w:rPr>
          <w:rFonts w:hint="default" w:ascii="Times New Roman" w:hAnsi="Times New Roman" w:cs="Times New Roman"/>
          <w:color w:val="auto"/>
          <w:sz w:val="24"/>
          <w:szCs w:val="24"/>
          <w:highlight w:val="none"/>
          <w:lang w:val="en-US" w:eastAsia="zh-CN"/>
        </w:rPr>
        <w:t>详见下表。</w:t>
      </w:r>
    </w:p>
    <w:p w14:paraId="14296254">
      <w:pPr>
        <w:keepNext w:val="0"/>
        <w:keepLines w:val="0"/>
        <w:pageBreakBefore w:val="0"/>
        <w:widowControl w:val="0"/>
        <w:kinsoku/>
        <w:wordWrap/>
        <w:overflowPunct/>
        <w:topLinePunct w:val="0"/>
        <w:autoSpaceDE/>
        <w:autoSpaceDN/>
        <w:bidi w:val="0"/>
        <w:adjustRightInd/>
        <w:snapToGrid w:val="0"/>
        <w:ind w:firstLine="482"/>
        <w:textAlignment w:val="auto"/>
        <w:rPr>
          <w:rFonts w:hint="default" w:ascii="Times New Roman" w:hAnsi="Times New Roman" w:cs="Times New Roman" w:eastAsiaTheme="minorEastAsia"/>
          <w:b/>
          <w:bCs/>
          <w:color w:val="auto"/>
          <w:sz w:val="24"/>
          <w:szCs w:val="24"/>
          <w:highlight w:val="none"/>
          <w:lang w:eastAsia="zh-CN"/>
        </w:rPr>
      </w:pPr>
      <w:r>
        <w:rPr>
          <w:rFonts w:hint="default" w:ascii="Times New Roman" w:hAnsi="Times New Roman" w:cs="Times New Roman"/>
          <w:color w:val="auto"/>
          <w:sz w:val="24"/>
          <w:szCs w:val="24"/>
          <w:highlight w:val="none"/>
        </w:rPr>
        <w:t>上述生活垃圾运输路线设计主要选择路况较好、交通条件优越的国道、省道、县道、乡道等，基本不进入偏僻的村道，尽量避开人群密集区；在城区收集运输应注意避开学校、政府机关所在地以及车流量较大的城市交通干道等。同时，</w:t>
      </w:r>
      <w:r>
        <w:rPr>
          <w:rFonts w:hint="default" w:ascii="Times New Roman" w:hAnsi="Times New Roman" w:cs="Times New Roman"/>
          <w:b/>
          <w:bCs/>
          <w:color w:val="auto"/>
          <w:sz w:val="24"/>
          <w:szCs w:val="24"/>
          <w:highlight w:val="none"/>
        </w:rPr>
        <w:t>本项目运行期不承担垃圾运输任务，垃圾收集运输由各乡镇负责，从实际运行情况分析，现有运输方案比较合理，环境风险较小</w:t>
      </w:r>
      <w:r>
        <w:rPr>
          <w:rFonts w:hint="default" w:ascii="Times New Roman" w:hAnsi="Times New Roman" w:cs="Times New Roman"/>
          <w:b/>
          <w:bCs/>
          <w:color w:val="auto"/>
          <w:sz w:val="24"/>
          <w:szCs w:val="24"/>
          <w:highlight w:val="none"/>
          <w:lang w:eastAsia="zh-CN"/>
        </w:rPr>
        <w:t>。</w:t>
      </w:r>
    </w:p>
    <w:p w14:paraId="1F742F9F">
      <w:pPr>
        <w:pStyle w:val="14"/>
        <w:ind w:firstLine="480"/>
        <w:rPr>
          <w:rFonts w:hint="default" w:ascii="Times New Roman" w:hAnsi="Times New Roman" w:cs="Times New Roman" w:eastAsiaTheme="minorEastAsia"/>
          <w:b/>
          <w:bCs/>
          <w:color w:val="auto"/>
          <w:kern w:val="2"/>
          <w:sz w:val="24"/>
          <w:szCs w:val="24"/>
          <w:highlight w:val="none"/>
          <w:lang w:val="en-US" w:eastAsia="zh-CN" w:bidi="ar-SA"/>
        </w:rPr>
      </w:pPr>
      <w:r>
        <w:rPr>
          <w:rFonts w:hint="default" w:ascii="Times New Roman" w:hAnsi="Times New Roman" w:cs="Times New Roman" w:eastAsiaTheme="minorEastAsia"/>
          <w:b/>
          <w:bCs/>
          <w:color w:val="auto"/>
          <w:kern w:val="2"/>
          <w:sz w:val="24"/>
          <w:szCs w:val="24"/>
          <w:highlight w:val="none"/>
          <w:lang w:val="en-US" w:eastAsia="zh-CN" w:bidi="ar-SA"/>
        </w:rPr>
        <w:t>3、转运要求</w:t>
      </w:r>
    </w:p>
    <w:p w14:paraId="45A1142A">
      <w:pPr>
        <w:pStyle w:val="14"/>
        <w:ind w:firstLine="480"/>
        <w:rPr>
          <w:rFonts w:hint="default" w:ascii="Times New Roman" w:hAnsi="Times New Roman" w:cs="Times New Roman" w:eastAsiaTheme="minorEastAsia"/>
          <w:color w:val="auto"/>
          <w:kern w:val="2"/>
          <w:sz w:val="24"/>
          <w:szCs w:val="24"/>
          <w:highlight w:val="none"/>
          <w:lang w:val="en-US" w:eastAsia="zh-CN" w:bidi="ar-SA"/>
        </w:rPr>
      </w:pPr>
      <w:r>
        <w:rPr>
          <w:rFonts w:hint="default" w:ascii="Times New Roman" w:hAnsi="Times New Roman" w:cs="Times New Roman" w:eastAsiaTheme="minorEastAsia"/>
          <w:color w:val="auto"/>
          <w:kern w:val="2"/>
          <w:sz w:val="24"/>
          <w:szCs w:val="24"/>
          <w:highlight w:val="none"/>
          <w:lang w:val="en-US" w:eastAsia="zh-CN" w:bidi="ar-SA"/>
        </w:rPr>
        <w:t>垃圾在收集、转运及堆放过程中会产生蚊蝇、鼠害及病原微生物的影响，对环境卫生及人体健康造成影响，须从以下3个方面进行防治：</w:t>
      </w:r>
    </w:p>
    <w:p w14:paraId="376A0154">
      <w:pPr>
        <w:pStyle w:val="14"/>
        <w:ind w:firstLine="480"/>
        <w:rPr>
          <w:rFonts w:hint="default" w:ascii="Times New Roman" w:hAnsi="Times New Roman" w:cs="Times New Roman" w:eastAsiaTheme="minorEastAsia"/>
          <w:color w:val="auto"/>
          <w:kern w:val="2"/>
          <w:sz w:val="24"/>
          <w:szCs w:val="24"/>
          <w:highlight w:val="none"/>
          <w:lang w:val="en-US" w:eastAsia="zh-CN" w:bidi="ar-SA"/>
        </w:rPr>
      </w:pPr>
      <w:r>
        <w:rPr>
          <w:rFonts w:hint="default" w:ascii="Times New Roman" w:hAnsi="Times New Roman" w:cs="Times New Roman" w:eastAsiaTheme="minorEastAsia"/>
          <w:color w:val="auto"/>
          <w:kern w:val="2"/>
          <w:sz w:val="24"/>
          <w:szCs w:val="24"/>
          <w:highlight w:val="none"/>
          <w:lang w:val="en-US" w:eastAsia="zh-CN" w:bidi="ar-SA"/>
        </w:rPr>
        <w:t>（1）加强运输车辆及其他垃圾容量的密闭，防止垃圾的洒落；气味泄漏和污水滴漏。</w:t>
      </w:r>
    </w:p>
    <w:p w14:paraId="7392C5B7">
      <w:pPr>
        <w:pStyle w:val="14"/>
        <w:ind w:firstLine="480"/>
        <w:rPr>
          <w:rFonts w:hint="default" w:ascii="Times New Roman" w:hAnsi="Times New Roman" w:cs="Times New Roman" w:eastAsiaTheme="minorEastAsia"/>
          <w:color w:val="auto"/>
          <w:kern w:val="2"/>
          <w:sz w:val="24"/>
          <w:szCs w:val="24"/>
          <w:highlight w:val="none"/>
          <w:lang w:val="en-US" w:eastAsia="zh-CN" w:bidi="ar-SA"/>
        </w:rPr>
      </w:pPr>
      <w:r>
        <w:rPr>
          <w:rFonts w:hint="default" w:ascii="Times New Roman" w:hAnsi="Times New Roman" w:cs="Times New Roman" w:eastAsiaTheme="minorEastAsia"/>
          <w:color w:val="auto"/>
          <w:kern w:val="2"/>
          <w:sz w:val="24"/>
          <w:szCs w:val="24"/>
          <w:highlight w:val="none"/>
          <w:lang w:val="en-US" w:eastAsia="zh-CN" w:bidi="ar-SA"/>
        </w:rPr>
        <w:t>（2）对运输车辆、垃圾堆放等容留垃圾的场地、空间要定期进行消杀，定期投放药剂等；</w:t>
      </w:r>
    </w:p>
    <w:p w14:paraId="25A9063A">
      <w:pPr>
        <w:pStyle w:val="14"/>
        <w:numPr>
          <w:ilvl w:val="0"/>
          <w:numId w:val="11"/>
        </w:numPr>
        <w:ind w:firstLine="480"/>
        <w:rPr>
          <w:rFonts w:hint="default" w:ascii="Times New Roman" w:hAnsi="Times New Roman" w:cs="Times New Roman" w:eastAsiaTheme="minorEastAsia"/>
          <w:color w:val="auto"/>
          <w:kern w:val="2"/>
          <w:sz w:val="24"/>
          <w:szCs w:val="24"/>
          <w:highlight w:val="none"/>
          <w:lang w:val="en-US" w:eastAsia="zh-CN" w:bidi="ar-SA"/>
        </w:rPr>
      </w:pPr>
      <w:r>
        <w:rPr>
          <w:rFonts w:hint="default" w:ascii="Times New Roman" w:hAnsi="Times New Roman" w:cs="Times New Roman" w:eastAsiaTheme="minorEastAsia"/>
          <w:color w:val="auto"/>
          <w:kern w:val="2"/>
          <w:sz w:val="24"/>
          <w:szCs w:val="24"/>
          <w:highlight w:val="none"/>
          <w:lang w:val="en-US" w:eastAsia="zh-CN" w:bidi="ar-SA"/>
        </w:rPr>
        <w:t>垃圾的收集、转运、处理要及时进行，尽量减少垃圾的停留及堆放时间。</w:t>
      </w:r>
    </w:p>
    <w:p w14:paraId="2533897F">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生活垃圾组成及热值分析</w:t>
      </w:r>
    </w:p>
    <w:p w14:paraId="079800F9">
      <w:pPr>
        <w:pStyle w:val="119"/>
        <w:keepNext w:val="0"/>
        <w:keepLines w:val="0"/>
        <w:widowControl/>
        <w:suppressLineNumbers w:val="0"/>
        <w:rPr>
          <w:rFonts w:hint="default" w:ascii="Times New Roman" w:hAnsi="Times New Roman" w:eastAsia="宋" w:cs="Times New Roman"/>
          <w:b/>
          <w:bCs/>
          <w:color w:val="auto"/>
          <w:kern w:val="0"/>
          <w:sz w:val="24"/>
          <w:szCs w:val="24"/>
          <w:highlight w:val="none"/>
          <w:lang w:val="en-US" w:eastAsia="zh-CN" w:bidi="ar"/>
        </w:rPr>
      </w:pPr>
      <w:r>
        <w:rPr>
          <w:rFonts w:hint="default" w:ascii="Times New Roman" w:hAnsi="Times New Roman" w:eastAsia="宋" w:cs="Times New Roman"/>
          <w:b/>
          <w:bCs/>
          <w:color w:val="auto"/>
          <w:kern w:val="0"/>
          <w:sz w:val="24"/>
          <w:szCs w:val="24"/>
          <w:highlight w:val="none"/>
          <w:lang w:val="en-US" w:eastAsia="zh-CN" w:bidi="ar"/>
        </w:rPr>
        <w:t>1、生活垃圾构成</w:t>
      </w:r>
    </w:p>
    <w:p w14:paraId="1C936249">
      <w:pPr>
        <w:pStyle w:val="119"/>
        <w:keepNext w:val="0"/>
        <w:keepLines w:val="0"/>
        <w:widowControl/>
        <w:suppressLineNumbers w:val="0"/>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 w:cs="Times New Roman"/>
          <w:color w:val="auto"/>
          <w:kern w:val="0"/>
          <w:sz w:val="24"/>
          <w:szCs w:val="24"/>
          <w:highlight w:val="none"/>
          <w:lang w:val="en-US" w:eastAsia="zh-CN" w:bidi="ar"/>
        </w:rPr>
        <w:t>由于缺乏对项目服务区域内生活垃圾分析资料，为了能给焚烧处理工艺（比如脱硫、脱氨）提供一些基本参数，参考成都市环境卫生监测中心2015年10月对宣汉县垃圾分别做物理成分和元素含量分析，具体详见下表。</w:t>
      </w:r>
    </w:p>
    <w:p w14:paraId="06090EEF">
      <w:pPr>
        <w:pStyle w:val="11"/>
        <w:spacing w:before="120" w:beforeLines="50"/>
        <w:rPr>
          <w:rFonts w:hint="default" w:ascii="Times New Roman" w:hAnsi="Times New Roman" w:cs="Times New Roman"/>
          <w:color w:val="auto"/>
          <w:szCs w:val="21"/>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6</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cs="Times New Roman"/>
          <w:color w:val="auto"/>
          <w:szCs w:val="21"/>
          <w:highlight w:val="none"/>
        </w:rPr>
        <w:t>农村生活</w:t>
      </w:r>
      <w:r>
        <w:rPr>
          <w:rFonts w:hint="default" w:ascii="Times New Roman" w:hAnsi="Times New Roman" w:cs="Times New Roman"/>
          <w:color w:val="auto"/>
          <w:szCs w:val="21"/>
          <w:highlight w:val="none"/>
          <w:lang w:val="en-US" w:eastAsia="zh-CN"/>
        </w:rPr>
        <w:t>物理成分检测结果</w:t>
      </w:r>
      <w:r>
        <w:rPr>
          <w:rFonts w:hint="default" w:ascii="Times New Roman" w:hAnsi="Times New Roman" w:cs="Times New Roman"/>
          <w:color w:val="auto"/>
          <w:szCs w:val="21"/>
          <w:highlight w:val="none"/>
        </w:rPr>
        <w:t>表</w:t>
      </w:r>
    </w:p>
    <w:tbl>
      <w:tblPr>
        <w:tblStyle w:val="3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4"/>
        <w:gridCol w:w="1353"/>
        <w:gridCol w:w="1028"/>
        <w:gridCol w:w="1851"/>
        <w:gridCol w:w="1542"/>
        <w:gridCol w:w="1390"/>
        <w:gridCol w:w="1580"/>
      </w:tblGrid>
      <w:tr w14:paraId="5BCA7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trPr>
        <w:tc>
          <w:tcPr>
            <w:tcW w:w="1574" w:type="pct"/>
            <w:gridSpan w:val="3"/>
            <w:tcBorders>
              <w:top w:val="single" w:color="auto" w:sz="12" w:space="0"/>
              <w:left w:val="nil"/>
            </w:tcBorders>
            <w:shd w:val="clear" w:color="auto" w:fill="auto"/>
            <w:vAlign w:val="center"/>
          </w:tcPr>
          <w:p w14:paraId="72E097A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样品名称</w:t>
            </w:r>
          </w:p>
        </w:tc>
        <w:tc>
          <w:tcPr>
            <w:tcW w:w="996" w:type="pct"/>
            <w:tcBorders>
              <w:top w:val="single" w:color="auto" w:sz="12" w:space="0"/>
            </w:tcBorders>
            <w:shd w:val="clear" w:color="auto" w:fill="auto"/>
            <w:vAlign w:val="center"/>
          </w:tcPr>
          <w:p w14:paraId="572ED4D0">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1#</w:t>
            </w:r>
          </w:p>
        </w:tc>
        <w:tc>
          <w:tcPr>
            <w:tcW w:w="830" w:type="pct"/>
            <w:tcBorders>
              <w:top w:val="single" w:color="auto" w:sz="12" w:space="0"/>
            </w:tcBorders>
            <w:shd w:val="clear" w:color="auto" w:fill="auto"/>
            <w:vAlign w:val="center"/>
          </w:tcPr>
          <w:p w14:paraId="121576C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2#</w:t>
            </w:r>
          </w:p>
        </w:tc>
        <w:tc>
          <w:tcPr>
            <w:tcW w:w="748" w:type="pct"/>
            <w:tcBorders>
              <w:top w:val="single" w:color="auto" w:sz="12" w:space="0"/>
            </w:tcBorders>
            <w:shd w:val="clear" w:color="auto" w:fill="auto"/>
            <w:vAlign w:val="center"/>
          </w:tcPr>
          <w:p w14:paraId="4CF1B11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3#</w:t>
            </w:r>
          </w:p>
        </w:tc>
        <w:tc>
          <w:tcPr>
            <w:tcW w:w="850" w:type="pct"/>
            <w:tcBorders>
              <w:top w:val="single" w:color="auto" w:sz="12" w:space="0"/>
              <w:right w:val="nil"/>
            </w:tcBorders>
            <w:shd w:val="clear" w:color="auto" w:fill="auto"/>
            <w:vAlign w:val="center"/>
          </w:tcPr>
          <w:p w14:paraId="126050D0">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平均值</w:t>
            </w:r>
          </w:p>
        </w:tc>
      </w:tr>
      <w:tr w14:paraId="7449F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restart"/>
            <w:tcBorders>
              <w:left w:val="nil"/>
            </w:tcBorders>
            <w:shd w:val="clear" w:color="auto" w:fill="auto"/>
            <w:vAlign w:val="center"/>
          </w:tcPr>
          <w:p w14:paraId="113B6B8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物理成份</w:t>
            </w:r>
          </w:p>
        </w:tc>
        <w:tc>
          <w:tcPr>
            <w:tcW w:w="728" w:type="pct"/>
            <w:shd w:val="clear" w:color="auto" w:fill="auto"/>
            <w:vAlign w:val="center"/>
          </w:tcPr>
          <w:p w14:paraId="7D0856A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厨余类</w:t>
            </w:r>
          </w:p>
        </w:tc>
        <w:tc>
          <w:tcPr>
            <w:tcW w:w="551" w:type="pct"/>
            <w:shd w:val="clear" w:color="auto" w:fill="auto"/>
            <w:vAlign w:val="center"/>
          </w:tcPr>
          <w:p w14:paraId="6633CA3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546BD7BE">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43.4</w:t>
            </w:r>
          </w:p>
        </w:tc>
        <w:tc>
          <w:tcPr>
            <w:tcW w:w="830" w:type="pct"/>
            <w:shd w:val="clear" w:color="auto" w:fill="auto"/>
            <w:vAlign w:val="center"/>
          </w:tcPr>
          <w:p w14:paraId="115A82E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45.6</w:t>
            </w:r>
          </w:p>
        </w:tc>
        <w:tc>
          <w:tcPr>
            <w:tcW w:w="748" w:type="pct"/>
            <w:shd w:val="clear" w:color="auto" w:fill="auto"/>
            <w:vAlign w:val="center"/>
          </w:tcPr>
          <w:p w14:paraId="10950B9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40.9</w:t>
            </w:r>
          </w:p>
        </w:tc>
        <w:tc>
          <w:tcPr>
            <w:tcW w:w="850" w:type="pct"/>
            <w:tcBorders>
              <w:right w:val="nil"/>
            </w:tcBorders>
            <w:shd w:val="clear" w:color="auto" w:fill="auto"/>
            <w:vAlign w:val="center"/>
          </w:tcPr>
          <w:p w14:paraId="3B4C671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43.3</w:t>
            </w:r>
          </w:p>
        </w:tc>
      </w:tr>
      <w:tr w14:paraId="467DB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2AF8A4DC">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1D2B5A9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纸质</w:t>
            </w:r>
          </w:p>
        </w:tc>
        <w:tc>
          <w:tcPr>
            <w:tcW w:w="551" w:type="pct"/>
            <w:shd w:val="clear" w:color="auto" w:fill="auto"/>
            <w:vAlign w:val="center"/>
          </w:tcPr>
          <w:p w14:paraId="135F7E3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01B2FEA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7.3</w:t>
            </w:r>
          </w:p>
        </w:tc>
        <w:tc>
          <w:tcPr>
            <w:tcW w:w="830" w:type="pct"/>
            <w:shd w:val="clear" w:color="auto" w:fill="auto"/>
            <w:vAlign w:val="center"/>
          </w:tcPr>
          <w:p w14:paraId="4207835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5.3</w:t>
            </w:r>
          </w:p>
        </w:tc>
        <w:tc>
          <w:tcPr>
            <w:tcW w:w="748" w:type="pct"/>
            <w:shd w:val="clear" w:color="auto" w:fill="auto"/>
            <w:vAlign w:val="center"/>
          </w:tcPr>
          <w:p w14:paraId="40004A1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8.1</w:t>
            </w:r>
          </w:p>
        </w:tc>
        <w:tc>
          <w:tcPr>
            <w:tcW w:w="850" w:type="pct"/>
            <w:tcBorders>
              <w:right w:val="nil"/>
            </w:tcBorders>
            <w:shd w:val="clear" w:color="auto" w:fill="auto"/>
            <w:vAlign w:val="center"/>
          </w:tcPr>
          <w:p w14:paraId="43366F7C">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6.9</w:t>
            </w:r>
          </w:p>
        </w:tc>
      </w:tr>
      <w:tr w14:paraId="0096C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36A2F83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7911F2F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橡塑类</w:t>
            </w:r>
          </w:p>
        </w:tc>
        <w:tc>
          <w:tcPr>
            <w:tcW w:w="551" w:type="pct"/>
            <w:shd w:val="clear" w:color="auto" w:fill="auto"/>
            <w:vAlign w:val="center"/>
          </w:tcPr>
          <w:p w14:paraId="5C71FB5F">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1B0E22F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24</w:t>
            </w:r>
          </w:p>
        </w:tc>
        <w:tc>
          <w:tcPr>
            <w:tcW w:w="830" w:type="pct"/>
            <w:shd w:val="clear" w:color="auto" w:fill="auto"/>
            <w:vAlign w:val="center"/>
          </w:tcPr>
          <w:p w14:paraId="0E5663B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28.2</w:t>
            </w:r>
          </w:p>
        </w:tc>
        <w:tc>
          <w:tcPr>
            <w:tcW w:w="748" w:type="pct"/>
            <w:shd w:val="clear" w:color="auto" w:fill="auto"/>
            <w:vAlign w:val="center"/>
          </w:tcPr>
          <w:p w14:paraId="4856D0B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27.3</w:t>
            </w:r>
          </w:p>
        </w:tc>
        <w:tc>
          <w:tcPr>
            <w:tcW w:w="850" w:type="pct"/>
            <w:tcBorders>
              <w:right w:val="nil"/>
            </w:tcBorders>
            <w:shd w:val="clear" w:color="auto" w:fill="auto"/>
            <w:vAlign w:val="center"/>
          </w:tcPr>
          <w:p w14:paraId="3B991B0F">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26.5</w:t>
            </w:r>
          </w:p>
        </w:tc>
      </w:tr>
      <w:tr w14:paraId="57B21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1DC6161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7D5C6B6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纺织类</w:t>
            </w:r>
          </w:p>
        </w:tc>
        <w:tc>
          <w:tcPr>
            <w:tcW w:w="551" w:type="pct"/>
            <w:shd w:val="clear" w:color="auto" w:fill="auto"/>
            <w:vAlign w:val="center"/>
          </w:tcPr>
          <w:p w14:paraId="5873045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0996362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6.1</w:t>
            </w:r>
          </w:p>
        </w:tc>
        <w:tc>
          <w:tcPr>
            <w:tcW w:w="830" w:type="pct"/>
            <w:shd w:val="clear" w:color="auto" w:fill="auto"/>
            <w:vAlign w:val="center"/>
          </w:tcPr>
          <w:p w14:paraId="4A86077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4.2</w:t>
            </w:r>
          </w:p>
        </w:tc>
        <w:tc>
          <w:tcPr>
            <w:tcW w:w="748" w:type="pct"/>
            <w:shd w:val="clear" w:color="auto" w:fill="auto"/>
            <w:vAlign w:val="center"/>
          </w:tcPr>
          <w:p w14:paraId="6CFA276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5.2</w:t>
            </w:r>
          </w:p>
        </w:tc>
        <w:tc>
          <w:tcPr>
            <w:tcW w:w="850" w:type="pct"/>
            <w:tcBorders>
              <w:right w:val="nil"/>
            </w:tcBorders>
            <w:shd w:val="clear" w:color="auto" w:fill="auto"/>
            <w:vAlign w:val="center"/>
          </w:tcPr>
          <w:p w14:paraId="7CD40D4C">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5.2</w:t>
            </w:r>
          </w:p>
        </w:tc>
      </w:tr>
      <w:tr w14:paraId="327A0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32EA690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6DB3C21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木竹类</w:t>
            </w:r>
          </w:p>
        </w:tc>
        <w:tc>
          <w:tcPr>
            <w:tcW w:w="551" w:type="pct"/>
            <w:shd w:val="clear" w:color="auto" w:fill="auto"/>
            <w:vAlign w:val="center"/>
          </w:tcPr>
          <w:p w14:paraId="4D6BF2E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727F5F10">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3.1</w:t>
            </w:r>
          </w:p>
        </w:tc>
        <w:tc>
          <w:tcPr>
            <w:tcW w:w="830" w:type="pct"/>
            <w:shd w:val="clear" w:color="auto" w:fill="auto"/>
            <w:vAlign w:val="center"/>
          </w:tcPr>
          <w:p w14:paraId="452BAFF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3.8</w:t>
            </w:r>
          </w:p>
        </w:tc>
        <w:tc>
          <w:tcPr>
            <w:tcW w:w="748" w:type="pct"/>
            <w:shd w:val="clear" w:color="auto" w:fill="auto"/>
            <w:vAlign w:val="center"/>
          </w:tcPr>
          <w:p w14:paraId="61B7971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4.5</w:t>
            </w:r>
          </w:p>
        </w:tc>
        <w:tc>
          <w:tcPr>
            <w:tcW w:w="850" w:type="pct"/>
            <w:tcBorders>
              <w:right w:val="nil"/>
            </w:tcBorders>
            <w:shd w:val="clear" w:color="auto" w:fill="auto"/>
            <w:vAlign w:val="center"/>
          </w:tcPr>
          <w:p w14:paraId="542F17DF">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3.8</w:t>
            </w:r>
          </w:p>
        </w:tc>
      </w:tr>
      <w:tr w14:paraId="40D97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47DEE15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325BAD6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灰土</w:t>
            </w:r>
          </w:p>
        </w:tc>
        <w:tc>
          <w:tcPr>
            <w:tcW w:w="551" w:type="pct"/>
            <w:shd w:val="clear" w:color="auto" w:fill="auto"/>
            <w:vAlign w:val="center"/>
          </w:tcPr>
          <w:p w14:paraId="57ADBBD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1B5D9A2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2.3</w:t>
            </w:r>
          </w:p>
        </w:tc>
        <w:tc>
          <w:tcPr>
            <w:tcW w:w="830" w:type="pct"/>
            <w:shd w:val="clear" w:color="auto" w:fill="auto"/>
            <w:vAlign w:val="center"/>
          </w:tcPr>
          <w:p w14:paraId="649FF56C">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1.9</w:t>
            </w:r>
          </w:p>
        </w:tc>
        <w:tc>
          <w:tcPr>
            <w:tcW w:w="748" w:type="pct"/>
            <w:shd w:val="clear" w:color="auto" w:fill="auto"/>
            <w:vAlign w:val="center"/>
          </w:tcPr>
          <w:p w14:paraId="6FFF5802">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2.6</w:t>
            </w:r>
          </w:p>
        </w:tc>
        <w:tc>
          <w:tcPr>
            <w:tcW w:w="850" w:type="pct"/>
            <w:tcBorders>
              <w:right w:val="nil"/>
            </w:tcBorders>
            <w:shd w:val="clear" w:color="auto" w:fill="auto"/>
            <w:vAlign w:val="center"/>
          </w:tcPr>
          <w:p w14:paraId="57D3ACDE">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2.3</w:t>
            </w:r>
          </w:p>
        </w:tc>
      </w:tr>
      <w:tr w14:paraId="3CFF6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0A38FE4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477EF4D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砖瓦陶瓷类</w:t>
            </w:r>
          </w:p>
        </w:tc>
        <w:tc>
          <w:tcPr>
            <w:tcW w:w="551" w:type="pct"/>
            <w:shd w:val="clear" w:color="auto" w:fill="auto"/>
            <w:vAlign w:val="center"/>
          </w:tcPr>
          <w:p w14:paraId="6C83547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054C1ED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w:t>
            </w:r>
          </w:p>
        </w:tc>
        <w:tc>
          <w:tcPr>
            <w:tcW w:w="830" w:type="pct"/>
            <w:shd w:val="clear" w:color="auto" w:fill="auto"/>
            <w:vAlign w:val="center"/>
          </w:tcPr>
          <w:p w14:paraId="5447EE3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4.2</w:t>
            </w:r>
          </w:p>
        </w:tc>
        <w:tc>
          <w:tcPr>
            <w:tcW w:w="748" w:type="pct"/>
            <w:shd w:val="clear" w:color="auto" w:fill="auto"/>
            <w:vAlign w:val="center"/>
          </w:tcPr>
          <w:p w14:paraId="668A216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3.3</w:t>
            </w:r>
          </w:p>
        </w:tc>
        <w:tc>
          <w:tcPr>
            <w:tcW w:w="850" w:type="pct"/>
            <w:tcBorders>
              <w:right w:val="nil"/>
            </w:tcBorders>
            <w:shd w:val="clear" w:color="auto" w:fill="auto"/>
            <w:vAlign w:val="center"/>
          </w:tcPr>
          <w:p w14:paraId="5C301E1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3.8</w:t>
            </w:r>
          </w:p>
        </w:tc>
      </w:tr>
      <w:tr w14:paraId="362A8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2D6ABB4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72A03E3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玻璃类</w:t>
            </w:r>
          </w:p>
        </w:tc>
        <w:tc>
          <w:tcPr>
            <w:tcW w:w="551" w:type="pct"/>
            <w:shd w:val="clear" w:color="auto" w:fill="auto"/>
            <w:vAlign w:val="center"/>
          </w:tcPr>
          <w:p w14:paraId="087F4AC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1665625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4.8</w:t>
            </w:r>
          </w:p>
        </w:tc>
        <w:tc>
          <w:tcPr>
            <w:tcW w:w="830" w:type="pct"/>
            <w:shd w:val="clear" w:color="auto" w:fill="auto"/>
            <w:vAlign w:val="center"/>
          </w:tcPr>
          <w:p w14:paraId="4A7A11C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3.3</w:t>
            </w:r>
          </w:p>
        </w:tc>
        <w:tc>
          <w:tcPr>
            <w:tcW w:w="748" w:type="pct"/>
            <w:shd w:val="clear" w:color="auto" w:fill="auto"/>
            <w:vAlign w:val="center"/>
          </w:tcPr>
          <w:p w14:paraId="4808A9E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3.1</w:t>
            </w:r>
          </w:p>
        </w:tc>
        <w:tc>
          <w:tcPr>
            <w:tcW w:w="850" w:type="pct"/>
            <w:tcBorders>
              <w:right w:val="nil"/>
            </w:tcBorders>
            <w:shd w:val="clear" w:color="auto" w:fill="auto"/>
            <w:vAlign w:val="center"/>
          </w:tcPr>
          <w:p w14:paraId="0F6BD081">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3.7</w:t>
            </w:r>
          </w:p>
        </w:tc>
      </w:tr>
      <w:tr w14:paraId="10329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1934A98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14583EFE">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金属类</w:t>
            </w:r>
          </w:p>
        </w:tc>
        <w:tc>
          <w:tcPr>
            <w:tcW w:w="551" w:type="pct"/>
            <w:shd w:val="clear" w:color="auto" w:fill="auto"/>
            <w:vAlign w:val="center"/>
          </w:tcPr>
          <w:p w14:paraId="18754A6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66B4FB42">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w:t>
            </w:r>
          </w:p>
        </w:tc>
        <w:tc>
          <w:tcPr>
            <w:tcW w:w="830" w:type="pct"/>
            <w:shd w:val="clear" w:color="auto" w:fill="auto"/>
            <w:vAlign w:val="center"/>
          </w:tcPr>
          <w:p w14:paraId="4817EDA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2.1</w:t>
            </w:r>
          </w:p>
        </w:tc>
        <w:tc>
          <w:tcPr>
            <w:tcW w:w="748" w:type="pct"/>
            <w:shd w:val="clear" w:color="auto" w:fill="auto"/>
            <w:vAlign w:val="center"/>
          </w:tcPr>
          <w:p w14:paraId="59047E2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1.6</w:t>
            </w:r>
          </w:p>
        </w:tc>
        <w:tc>
          <w:tcPr>
            <w:tcW w:w="850" w:type="pct"/>
            <w:tcBorders>
              <w:right w:val="nil"/>
            </w:tcBorders>
            <w:shd w:val="clear" w:color="auto" w:fill="auto"/>
            <w:vAlign w:val="center"/>
          </w:tcPr>
          <w:p w14:paraId="1C6956C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1.9</w:t>
            </w:r>
          </w:p>
        </w:tc>
      </w:tr>
      <w:tr w14:paraId="67F40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7FADFD62">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shd w:val="clear" w:color="auto" w:fill="auto"/>
            <w:vAlign w:val="center"/>
          </w:tcPr>
          <w:p w14:paraId="50DE8E7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混合物</w:t>
            </w:r>
          </w:p>
        </w:tc>
        <w:tc>
          <w:tcPr>
            <w:tcW w:w="551" w:type="pct"/>
            <w:shd w:val="clear" w:color="auto" w:fill="auto"/>
            <w:vAlign w:val="center"/>
          </w:tcPr>
          <w:p w14:paraId="050C3A6F">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w:t>
            </w:r>
          </w:p>
        </w:tc>
        <w:tc>
          <w:tcPr>
            <w:tcW w:w="996" w:type="pct"/>
            <w:shd w:val="clear" w:color="auto" w:fill="auto"/>
            <w:vAlign w:val="center"/>
          </w:tcPr>
          <w:p w14:paraId="412A679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3.1</w:t>
            </w:r>
          </w:p>
        </w:tc>
        <w:tc>
          <w:tcPr>
            <w:tcW w:w="830" w:type="pct"/>
            <w:shd w:val="clear" w:color="auto" w:fill="auto"/>
            <w:vAlign w:val="center"/>
          </w:tcPr>
          <w:p w14:paraId="12D4558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1.4</w:t>
            </w:r>
          </w:p>
        </w:tc>
        <w:tc>
          <w:tcPr>
            <w:tcW w:w="748" w:type="pct"/>
            <w:shd w:val="clear" w:color="auto" w:fill="auto"/>
            <w:vAlign w:val="center"/>
          </w:tcPr>
          <w:p w14:paraId="76E2282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3.4</w:t>
            </w:r>
          </w:p>
        </w:tc>
        <w:tc>
          <w:tcPr>
            <w:tcW w:w="850" w:type="pct"/>
            <w:tcBorders>
              <w:right w:val="nil"/>
            </w:tcBorders>
            <w:shd w:val="clear" w:color="auto" w:fill="auto"/>
            <w:vAlign w:val="center"/>
          </w:tcPr>
          <w:p w14:paraId="5D2B79FF">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2.6</w:t>
            </w:r>
          </w:p>
        </w:tc>
      </w:tr>
      <w:tr w14:paraId="7FDCB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restart"/>
            <w:tcBorders>
              <w:left w:val="nil"/>
            </w:tcBorders>
            <w:shd w:val="clear" w:color="auto" w:fill="auto"/>
            <w:vAlign w:val="center"/>
          </w:tcPr>
          <w:p w14:paraId="16FEB0F2">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物理性质</w:t>
            </w:r>
          </w:p>
        </w:tc>
        <w:tc>
          <w:tcPr>
            <w:tcW w:w="728" w:type="pct"/>
            <w:shd w:val="clear" w:color="auto" w:fill="auto"/>
            <w:vAlign w:val="center"/>
          </w:tcPr>
          <w:p w14:paraId="43D6E4B1">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容重</w:t>
            </w:r>
          </w:p>
        </w:tc>
        <w:tc>
          <w:tcPr>
            <w:tcW w:w="551" w:type="pct"/>
            <w:shd w:val="clear" w:color="auto" w:fill="auto"/>
            <w:vAlign w:val="center"/>
          </w:tcPr>
          <w:p w14:paraId="26103DA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t/m</w:t>
            </w:r>
            <w:r>
              <w:rPr>
                <w:rFonts w:hint="default" w:ascii="Times New Roman" w:hAnsi="Times New Roman" w:eastAsia="宋体" w:cs="Times New Roman"/>
                <w:color w:val="auto"/>
                <w:kern w:val="0"/>
                <w:sz w:val="20"/>
                <w:szCs w:val="20"/>
                <w:highlight w:val="none"/>
                <w:vertAlign w:val="superscript"/>
                <w:lang w:val="en-US" w:eastAsia="zh-CN" w:bidi="ar"/>
              </w:rPr>
              <w:t>3</w:t>
            </w:r>
          </w:p>
        </w:tc>
        <w:tc>
          <w:tcPr>
            <w:tcW w:w="996" w:type="pct"/>
            <w:shd w:val="clear" w:color="auto" w:fill="auto"/>
            <w:vAlign w:val="center"/>
          </w:tcPr>
          <w:p w14:paraId="581A2A5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0.327</w:t>
            </w:r>
          </w:p>
        </w:tc>
        <w:tc>
          <w:tcPr>
            <w:tcW w:w="830" w:type="pct"/>
            <w:shd w:val="clear" w:color="auto" w:fill="auto"/>
            <w:vAlign w:val="center"/>
          </w:tcPr>
          <w:p w14:paraId="7ED69940">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0.315</w:t>
            </w:r>
          </w:p>
        </w:tc>
        <w:tc>
          <w:tcPr>
            <w:tcW w:w="748" w:type="pct"/>
            <w:shd w:val="clear" w:color="auto" w:fill="auto"/>
            <w:vAlign w:val="center"/>
          </w:tcPr>
          <w:p w14:paraId="09C22A0F">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0.338</w:t>
            </w:r>
          </w:p>
        </w:tc>
        <w:tc>
          <w:tcPr>
            <w:tcW w:w="850" w:type="pct"/>
            <w:tcBorders>
              <w:right w:val="nil"/>
            </w:tcBorders>
            <w:shd w:val="clear" w:color="auto" w:fill="auto"/>
            <w:vAlign w:val="center"/>
          </w:tcPr>
          <w:p w14:paraId="78D4340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0.327</w:t>
            </w:r>
          </w:p>
        </w:tc>
      </w:tr>
      <w:tr w14:paraId="7DE0E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520B1D6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vMerge w:val="restart"/>
            <w:shd w:val="clear" w:color="auto" w:fill="auto"/>
            <w:vAlign w:val="center"/>
          </w:tcPr>
          <w:p w14:paraId="0F74699E">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三成分</w:t>
            </w:r>
          </w:p>
        </w:tc>
        <w:tc>
          <w:tcPr>
            <w:tcW w:w="551" w:type="pct"/>
            <w:shd w:val="clear" w:color="auto" w:fill="auto"/>
            <w:vAlign w:val="center"/>
          </w:tcPr>
          <w:p w14:paraId="00047A6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含水率</w:t>
            </w:r>
          </w:p>
        </w:tc>
        <w:tc>
          <w:tcPr>
            <w:tcW w:w="996" w:type="pct"/>
            <w:shd w:val="clear" w:color="auto" w:fill="auto"/>
            <w:vAlign w:val="center"/>
          </w:tcPr>
          <w:p w14:paraId="46D8E7D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48.6</w:t>
            </w:r>
          </w:p>
        </w:tc>
        <w:tc>
          <w:tcPr>
            <w:tcW w:w="830" w:type="pct"/>
            <w:shd w:val="clear" w:color="auto" w:fill="auto"/>
            <w:vAlign w:val="center"/>
          </w:tcPr>
          <w:p w14:paraId="0A42C07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50.2</w:t>
            </w:r>
          </w:p>
        </w:tc>
        <w:tc>
          <w:tcPr>
            <w:tcW w:w="748" w:type="pct"/>
            <w:shd w:val="clear" w:color="auto" w:fill="auto"/>
            <w:vAlign w:val="center"/>
          </w:tcPr>
          <w:p w14:paraId="3DDEF7D0">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46.9</w:t>
            </w:r>
          </w:p>
        </w:tc>
        <w:tc>
          <w:tcPr>
            <w:tcW w:w="850" w:type="pct"/>
            <w:tcBorders>
              <w:right w:val="nil"/>
            </w:tcBorders>
            <w:shd w:val="clear" w:color="auto" w:fill="auto"/>
            <w:vAlign w:val="center"/>
          </w:tcPr>
          <w:p w14:paraId="2DD5CB31">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48.6</w:t>
            </w:r>
          </w:p>
        </w:tc>
      </w:tr>
      <w:tr w14:paraId="211F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39293900">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vMerge w:val="continue"/>
            <w:vAlign w:val="center"/>
          </w:tcPr>
          <w:p w14:paraId="7D7C92E2">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551" w:type="pct"/>
            <w:shd w:val="clear" w:color="auto" w:fill="auto"/>
            <w:vAlign w:val="center"/>
          </w:tcPr>
          <w:p w14:paraId="2F1BD8CC">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可燃物</w:t>
            </w:r>
          </w:p>
        </w:tc>
        <w:tc>
          <w:tcPr>
            <w:tcW w:w="996" w:type="pct"/>
            <w:shd w:val="clear" w:color="auto" w:fill="auto"/>
            <w:vAlign w:val="center"/>
          </w:tcPr>
          <w:p w14:paraId="5A58C4C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37.2</w:t>
            </w:r>
          </w:p>
        </w:tc>
        <w:tc>
          <w:tcPr>
            <w:tcW w:w="830" w:type="pct"/>
            <w:shd w:val="clear" w:color="auto" w:fill="auto"/>
            <w:vAlign w:val="center"/>
          </w:tcPr>
          <w:p w14:paraId="1A81E8C0">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39.1</w:t>
            </w:r>
          </w:p>
        </w:tc>
        <w:tc>
          <w:tcPr>
            <w:tcW w:w="748" w:type="pct"/>
            <w:shd w:val="clear" w:color="auto" w:fill="auto"/>
            <w:vAlign w:val="center"/>
          </w:tcPr>
          <w:p w14:paraId="04CADB2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39.5</w:t>
            </w:r>
          </w:p>
        </w:tc>
        <w:tc>
          <w:tcPr>
            <w:tcW w:w="850" w:type="pct"/>
            <w:tcBorders>
              <w:right w:val="nil"/>
            </w:tcBorders>
            <w:shd w:val="clear" w:color="auto" w:fill="auto"/>
            <w:vAlign w:val="center"/>
          </w:tcPr>
          <w:p w14:paraId="754632FE">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38.6</w:t>
            </w:r>
          </w:p>
        </w:tc>
      </w:tr>
      <w:tr w14:paraId="401C9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93" w:type="pct"/>
            <w:vMerge w:val="continue"/>
            <w:tcBorders>
              <w:left w:val="nil"/>
            </w:tcBorders>
            <w:vAlign w:val="center"/>
          </w:tcPr>
          <w:p w14:paraId="450AB7F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vMerge w:val="continue"/>
            <w:vAlign w:val="center"/>
          </w:tcPr>
          <w:p w14:paraId="47405A9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551" w:type="pct"/>
            <w:shd w:val="clear" w:color="auto" w:fill="auto"/>
            <w:vAlign w:val="center"/>
          </w:tcPr>
          <w:p w14:paraId="0AE0473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灰分</w:t>
            </w:r>
          </w:p>
        </w:tc>
        <w:tc>
          <w:tcPr>
            <w:tcW w:w="996" w:type="pct"/>
            <w:shd w:val="clear" w:color="auto" w:fill="auto"/>
            <w:vAlign w:val="center"/>
          </w:tcPr>
          <w:p w14:paraId="59190C8E">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14.2</w:t>
            </w:r>
          </w:p>
        </w:tc>
        <w:tc>
          <w:tcPr>
            <w:tcW w:w="830" w:type="pct"/>
            <w:shd w:val="clear" w:color="auto" w:fill="auto"/>
            <w:vAlign w:val="center"/>
          </w:tcPr>
          <w:p w14:paraId="31037BE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12.7</w:t>
            </w:r>
          </w:p>
        </w:tc>
        <w:tc>
          <w:tcPr>
            <w:tcW w:w="748" w:type="pct"/>
            <w:shd w:val="clear" w:color="auto" w:fill="auto"/>
            <w:vAlign w:val="center"/>
          </w:tcPr>
          <w:p w14:paraId="6DB612D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13.6</w:t>
            </w:r>
          </w:p>
        </w:tc>
        <w:tc>
          <w:tcPr>
            <w:tcW w:w="850" w:type="pct"/>
            <w:tcBorders>
              <w:right w:val="nil"/>
            </w:tcBorders>
            <w:shd w:val="clear" w:color="auto" w:fill="auto"/>
            <w:vAlign w:val="center"/>
          </w:tcPr>
          <w:p w14:paraId="7CFE3AA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13.5</w:t>
            </w:r>
          </w:p>
        </w:tc>
      </w:tr>
      <w:tr w14:paraId="56C0B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0" w:hRule="atLeast"/>
        </w:trPr>
        <w:tc>
          <w:tcPr>
            <w:tcW w:w="293" w:type="pct"/>
            <w:vMerge w:val="continue"/>
            <w:tcBorders>
              <w:left w:val="nil"/>
              <w:bottom w:val="single" w:color="auto" w:sz="12" w:space="0"/>
            </w:tcBorders>
            <w:vAlign w:val="center"/>
          </w:tcPr>
          <w:p w14:paraId="23369C41">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728" w:type="pct"/>
            <w:tcBorders>
              <w:bottom w:val="single" w:color="auto" w:sz="12" w:space="0"/>
            </w:tcBorders>
            <w:shd w:val="clear" w:color="auto" w:fill="auto"/>
            <w:vAlign w:val="center"/>
          </w:tcPr>
          <w:p w14:paraId="01152E8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低位热值</w:t>
            </w:r>
          </w:p>
        </w:tc>
        <w:tc>
          <w:tcPr>
            <w:tcW w:w="551" w:type="pct"/>
            <w:tcBorders>
              <w:bottom w:val="single" w:color="auto" w:sz="12" w:space="0"/>
            </w:tcBorders>
            <w:shd w:val="clear" w:color="auto" w:fill="auto"/>
            <w:vAlign w:val="center"/>
          </w:tcPr>
          <w:p w14:paraId="24A78EE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kJ/kg</w:t>
            </w:r>
          </w:p>
        </w:tc>
        <w:tc>
          <w:tcPr>
            <w:tcW w:w="996" w:type="pct"/>
            <w:tcBorders>
              <w:bottom w:val="single" w:color="auto" w:sz="12" w:space="0"/>
            </w:tcBorders>
            <w:shd w:val="clear" w:color="auto" w:fill="auto"/>
            <w:vAlign w:val="center"/>
          </w:tcPr>
          <w:p w14:paraId="4B21BF7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7.11×10</w:t>
            </w:r>
            <w:r>
              <w:rPr>
                <w:rFonts w:hint="default" w:ascii="Times New Roman" w:hAnsi="Times New Roman" w:eastAsia="宋体" w:cs="Times New Roman"/>
                <w:color w:val="auto"/>
                <w:kern w:val="0"/>
                <w:sz w:val="20"/>
                <w:szCs w:val="20"/>
                <w:highlight w:val="none"/>
                <w:vertAlign w:val="superscript"/>
                <w:lang w:val="en-US" w:eastAsia="zh-CN" w:bidi="ar"/>
              </w:rPr>
              <w:t>3</w:t>
            </w:r>
          </w:p>
        </w:tc>
        <w:tc>
          <w:tcPr>
            <w:tcW w:w="830" w:type="pct"/>
            <w:tcBorders>
              <w:bottom w:val="single" w:color="auto" w:sz="12" w:space="0"/>
            </w:tcBorders>
            <w:shd w:val="clear" w:color="auto" w:fill="auto"/>
            <w:vAlign w:val="center"/>
          </w:tcPr>
          <w:p w14:paraId="68BACFC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7.32×10</w:t>
            </w:r>
            <w:r>
              <w:rPr>
                <w:rFonts w:hint="default" w:ascii="Times New Roman" w:hAnsi="Times New Roman" w:eastAsia="宋体" w:cs="Times New Roman"/>
                <w:color w:val="auto"/>
                <w:kern w:val="0"/>
                <w:sz w:val="20"/>
                <w:szCs w:val="20"/>
                <w:highlight w:val="none"/>
                <w:vertAlign w:val="superscript"/>
                <w:lang w:val="en-US" w:eastAsia="zh-CN" w:bidi="ar"/>
              </w:rPr>
              <w:t>3</w:t>
            </w:r>
          </w:p>
        </w:tc>
        <w:tc>
          <w:tcPr>
            <w:tcW w:w="748" w:type="pct"/>
            <w:tcBorders>
              <w:bottom w:val="single" w:color="auto" w:sz="12" w:space="0"/>
            </w:tcBorders>
            <w:shd w:val="clear" w:color="auto" w:fill="auto"/>
            <w:vAlign w:val="center"/>
          </w:tcPr>
          <w:p w14:paraId="61C290A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7.28×10</w:t>
            </w:r>
            <w:r>
              <w:rPr>
                <w:rFonts w:hint="default" w:ascii="Times New Roman" w:hAnsi="Times New Roman" w:eastAsia="宋体" w:cs="Times New Roman"/>
                <w:color w:val="auto"/>
                <w:kern w:val="0"/>
                <w:sz w:val="20"/>
                <w:szCs w:val="20"/>
                <w:highlight w:val="none"/>
                <w:vertAlign w:val="superscript"/>
                <w:lang w:val="en-US" w:eastAsia="zh-CN" w:bidi="ar"/>
              </w:rPr>
              <w:t>3</w:t>
            </w:r>
          </w:p>
        </w:tc>
        <w:tc>
          <w:tcPr>
            <w:tcW w:w="850" w:type="pct"/>
            <w:tcBorders>
              <w:bottom w:val="single" w:color="auto" w:sz="12" w:space="0"/>
              <w:right w:val="nil"/>
            </w:tcBorders>
            <w:shd w:val="clear" w:color="auto" w:fill="auto"/>
            <w:vAlign w:val="center"/>
          </w:tcPr>
          <w:p w14:paraId="00339AA8">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7.24×10</w:t>
            </w:r>
            <w:r>
              <w:rPr>
                <w:rFonts w:hint="default" w:ascii="Times New Roman" w:hAnsi="Times New Roman" w:eastAsia="宋体" w:cs="Times New Roman"/>
                <w:color w:val="auto"/>
                <w:kern w:val="0"/>
                <w:sz w:val="20"/>
                <w:szCs w:val="20"/>
                <w:highlight w:val="none"/>
                <w:vertAlign w:val="superscript"/>
                <w:lang w:val="en-US" w:eastAsia="zh-CN" w:bidi="ar"/>
              </w:rPr>
              <w:t>3</w:t>
            </w:r>
          </w:p>
        </w:tc>
      </w:tr>
    </w:tbl>
    <w:p w14:paraId="412F480C">
      <w:pPr>
        <w:pStyle w:val="119"/>
        <w:keepNext w:val="0"/>
        <w:keepLines w:val="0"/>
        <w:widowControl/>
        <w:suppressLineNumbers w:val="0"/>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 w:cs="Times New Roman"/>
          <w:color w:val="auto"/>
          <w:kern w:val="0"/>
          <w:sz w:val="24"/>
          <w:szCs w:val="24"/>
          <w:highlight w:val="none"/>
          <w:lang w:val="en-US" w:eastAsia="zh-CN" w:bidi="ar"/>
        </w:rPr>
        <w:t>生活垃圾性质变化与城市经济发展水平密切相关。随着城市经济社会的发展，居民生活水平不断提高，生活垃圾中高热值物质含量将上升。</w:t>
      </w:r>
    </w:p>
    <w:p w14:paraId="7694215C">
      <w:pPr>
        <w:pStyle w:val="119"/>
        <w:keepNext w:val="0"/>
        <w:keepLines w:val="0"/>
        <w:widowControl/>
        <w:suppressLineNumbers w:val="0"/>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 w:cs="Times New Roman"/>
          <w:color w:val="auto"/>
          <w:kern w:val="0"/>
          <w:sz w:val="24"/>
          <w:szCs w:val="24"/>
          <w:highlight w:val="none"/>
          <w:lang w:val="en-US" w:eastAsia="zh-CN" w:bidi="ar"/>
        </w:rPr>
        <w:t>预计在今后10年中，城市生活垃圾成分将会有较大的变化，其总的趋势是：随着目前城市燃气管道的建设，净菜进城，垃圾中煤灰、渣土等无机物成分将会逐渐减少，有机物组分将增多；同时随着文化用品和日常家电用品消耗的增长，以纸包装为主的废品量将呈现上升趋势，可燃物所占比重也将上升，将使垃圾热值有所提高，更有利于垃圾的焚烧。</w:t>
      </w:r>
    </w:p>
    <w:p w14:paraId="1789FC87">
      <w:pPr>
        <w:pStyle w:val="119"/>
        <w:keepNext w:val="0"/>
        <w:keepLines w:val="0"/>
        <w:widowControl/>
        <w:suppressLineNumbers w:val="0"/>
        <w:rPr>
          <w:rFonts w:hint="default" w:ascii="Times New Roman" w:hAnsi="Times New Roman" w:eastAsia="宋" w:cs="Times New Roman"/>
          <w:b/>
          <w:bCs/>
          <w:color w:val="auto"/>
          <w:kern w:val="0"/>
          <w:sz w:val="24"/>
          <w:szCs w:val="24"/>
          <w:highlight w:val="none"/>
          <w:lang w:val="en-US" w:eastAsia="zh-CN" w:bidi="ar"/>
        </w:rPr>
      </w:pPr>
      <w:r>
        <w:rPr>
          <w:rFonts w:hint="default" w:ascii="Times New Roman" w:hAnsi="Times New Roman" w:eastAsia="宋" w:cs="Times New Roman"/>
          <w:b/>
          <w:bCs/>
          <w:color w:val="auto"/>
          <w:kern w:val="0"/>
          <w:sz w:val="24"/>
          <w:szCs w:val="24"/>
          <w:highlight w:val="none"/>
          <w:lang w:val="en-US" w:eastAsia="zh-CN" w:bidi="ar"/>
        </w:rPr>
        <w:t>2、热值分析</w:t>
      </w:r>
    </w:p>
    <w:p w14:paraId="47C9DEB6">
      <w:pPr>
        <w:pStyle w:val="119"/>
        <w:keepNext w:val="0"/>
        <w:keepLines w:val="0"/>
        <w:widowControl/>
        <w:suppressLineNumbers w:val="0"/>
        <w:rPr>
          <w:rFonts w:hint="default" w:ascii="Times New Roman" w:hAnsi="Times New Roman" w:eastAsia="宋" w:cs="Times New Roman"/>
          <w:color w:val="auto"/>
          <w:kern w:val="0"/>
          <w:sz w:val="24"/>
          <w:szCs w:val="24"/>
          <w:highlight w:val="none"/>
          <w:lang w:val="en-US" w:eastAsia="zh-CN" w:bidi="ar"/>
        </w:rPr>
      </w:pPr>
      <w:r>
        <w:rPr>
          <w:rFonts w:hint="default" w:ascii="Times New Roman" w:hAnsi="Times New Roman" w:eastAsia="宋" w:cs="Times New Roman"/>
          <w:color w:val="auto"/>
          <w:kern w:val="0"/>
          <w:sz w:val="24"/>
          <w:szCs w:val="24"/>
          <w:highlight w:val="none"/>
          <w:lang w:val="en-US" w:eastAsia="zh-CN" w:bidi="ar"/>
        </w:rPr>
        <w:t>生活垃圾在垃圾暂存池内存放5d～7d，由于微生物的存在和垃圾挤压作用，垃圾中的外在水分和内在水分会有部分渗析出，一般情况下渗滤液减少1%，垃圾热值增加 104kJ/kg。本项目垃圾预测含水率约 55%，可析出 2%～15%左右渗滤液，则垃圾热值可增加 208~1040kJ/kg。垃圾热值适用范围为：最低 4180kJ/kg（1000kCal/kg），最高 8360kJ/kg（2000kCal/kg）。根据剑阁县垃圾成分数据分析，现状平均垃圾低位发热值在5020.8KJ/kg（1200kcal/kg）左右。本项目</w:t>
      </w:r>
      <w:r>
        <w:rPr>
          <w:rFonts w:hint="default" w:ascii="Times New Roman" w:hAnsi="Times New Roman" w:cs="Times New Roman" w:eastAsiaTheme="minorEastAsia"/>
          <w:color w:val="auto"/>
          <w:sz w:val="24"/>
          <w:szCs w:val="24"/>
          <w:highlight w:val="none"/>
          <w:lang w:val="en-US" w:eastAsia="zh-CN"/>
        </w:rPr>
        <w:t>采用</w:t>
      </w:r>
      <w:r>
        <w:rPr>
          <w:rFonts w:hint="default" w:ascii="Times New Roman" w:hAnsi="Times New Roman" w:cs="Times New Roman" w:eastAsiaTheme="minorEastAsia"/>
          <w:color w:val="auto"/>
          <w:sz w:val="24"/>
          <w:szCs w:val="24"/>
          <w:highlight w:val="none"/>
          <w:lang w:eastAsia="zh-CN"/>
        </w:rPr>
        <w:t>绝氧热分解焚烧工艺</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热解工艺相对焚烧工艺来说，对低位热值要求略低，</w:t>
      </w:r>
      <w:r>
        <w:rPr>
          <w:rFonts w:hint="default" w:ascii="Times New Roman" w:hAnsi="Times New Roman" w:cs="Times New Roman"/>
          <w:color w:val="auto"/>
          <w:szCs w:val="24"/>
          <w:highlight w:val="none"/>
        </w:rPr>
        <w:t>约为4200kJ/kg，本项目生活垃圾湿基低位热值5328.1kJ/kg，能满足热解工艺要求</w:t>
      </w:r>
      <w:r>
        <w:rPr>
          <w:rFonts w:hint="default" w:ascii="Times New Roman" w:hAnsi="Times New Roman" w:cs="Times New Roman" w:eastAsiaTheme="minorEastAsia"/>
          <w:color w:val="auto"/>
          <w:sz w:val="24"/>
          <w:szCs w:val="24"/>
          <w:highlight w:val="none"/>
          <w:lang w:eastAsia="zh-CN"/>
        </w:rPr>
        <w:t>。</w:t>
      </w:r>
    </w:p>
    <w:p w14:paraId="0CD7F16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主要原辅材料</w:t>
      </w:r>
    </w:p>
    <w:p w14:paraId="3AE9351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主要原辅材料</w:t>
      </w:r>
      <w:r>
        <w:rPr>
          <w:rFonts w:hint="default" w:ascii="Times New Roman" w:hAnsi="Times New Roman" w:cs="Times New Roman"/>
          <w:color w:val="auto"/>
          <w:highlight w:val="none"/>
          <w:lang w:eastAsia="zh-CN"/>
        </w:rPr>
        <w:t>及能源消耗见</w:t>
      </w:r>
      <w:r>
        <w:rPr>
          <w:rFonts w:hint="default" w:ascii="Times New Roman" w:hAnsi="Times New Roman" w:cs="Times New Roman"/>
          <w:color w:val="auto"/>
          <w:highlight w:val="none"/>
        </w:rPr>
        <w:t>下表。</w:t>
      </w:r>
    </w:p>
    <w:p w14:paraId="64923377">
      <w:pPr>
        <w:pStyle w:val="11"/>
        <w:keepNext/>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7</w:t>
      </w:r>
      <w:r>
        <w:rPr>
          <w:rFonts w:hint="default" w:ascii="Times New Roman" w:hAnsi="Times New Roman" w:cs="Times New Roman"/>
          <w:b/>
          <w:bCs/>
          <w:color w:val="auto"/>
          <w:highlight w:val="none"/>
        </w:rPr>
        <w:fldChar w:fldCharType="end"/>
      </w:r>
      <w:r>
        <w:rPr>
          <w:rFonts w:hint="default" w:ascii="Times New Roman" w:hAnsi="Times New Roman" w:cs="Times New Roman"/>
          <w:color w:val="auto"/>
          <w:highlight w:val="none"/>
          <w:lang w:val="en-US" w:eastAsia="zh-CN"/>
        </w:rPr>
        <w:t xml:space="preserve">  主要原辅材料及能源消耗情况一览表</w:t>
      </w:r>
    </w:p>
    <w:tbl>
      <w:tblPr>
        <w:tblStyle w:val="35"/>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Layout w:type="autofit"/>
        <w:tblCellMar>
          <w:top w:w="0" w:type="dxa"/>
          <w:left w:w="10" w:type="dxa"/>
          <w:bottom w:w="0" w:type="dxa"/>
          <w:right w:w="10" w:type="dxa"/>
        </w:tblCellMar>
      </w:tblPr>
      <w:tblGrid>
        <w:gridCol w:w="635"/>
        <w:gridCol w:w="1275"/>
        <w:gridCol w:w="1199"/>
        <w:gridCol w:w="962"/>
        <w:gridCol w:w="686"/>
        <w:gridCol w:w="680"/>
        <w:gridCol w:w="680"/>
        <w:gridCol w:w="1415"/>
        <w:gridCol w:w="1555"/>
      </w:tblGrid>
      <w:tr w14:paraId="3868865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0" w:hRule="atLeast"/>
          <w:tblHeader/>
          <w:jc w:val="center"/>
        </w:trPr>
        <w:tc>
          <w:tcPr>
            <w:tcW w:w="349" w:type="pct"/>
            <w:tcBorders>
              <w:tl2br w:val="nil"/>
              <w:tr2bl w:val="nil"/>
            </w:tcBorders>
            <w:shd w:val="clear" w:color="auto" w:fill="auto"/>
            <w:vAlign w:val="center"/>
          </w:tcPr>
          <w:p w14:paraId="6DBAAA3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zh-CN" w:eastAsia="zh-CN"/>
              </w:rPr>
            </w:pPr>
            <w:r>
              <w:rPr>
                <w:rFonts w:hint="default" w:ascii="Times New Roman" w:hAnsi="Times New Roman" w:eastAsia="宋体" w:cs="Times New Roman"/>
                <w:b/>
                <w:bCs/>
                <w:color w:val="auto"/>
                <w:sz w:val="20"/>
                <w:szCs w:val="20"/>
                <w:highlight w:val="none"/>
                <w:lang w:val="en-US" w:eastAsia="zh-CN"/>
              </w:rPr>
              <w:t>类别</w:t>
            </w:r>
          </w:p>
        </w:tc>
        <w:tc>
          <w:tcPr>
            <w:tcW w:w="701" w:type="pct"/>
            <w:tcBorders>
              <w:tl2br w:val="nil"/>
              <w:tr2bl w:val="nil"/>
            </w:tcBorders>
            <w:shd w:val="clear" w:color="auto" w:fill="auto"/>
            <w:vAlign w:val="center"/>
          </w:tcPr>
          <w:p w14:paraId="1704B7C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zh-CN" w:eastAsia="zh-CN"/>
              </w:rPr>
            </w:pPr>
            <w:r>
              <w:rPr>
                <w:rFonts w:hint="default" w:ascii="Times New Roman" w:hAnsi="Times New Roman" w:eastAsia="宋体" w:cs="Times New Roman"/>
                <w:b/>
                <w:bCs/>
                <w:color w:val="auto"/>
                <w:sz w:val="20"/>
                <w:szCs w:val="20"/>
                <w:highlight w:val="none"/>
                <w:lang w:val="zh-CN" w:eastAsia="zh-CN"/>
              </w:rPr>
              <w:t>名称</w:t>
            </w:r>
          </w:p>
        </w:tc>
        <w:tc>
          <w:tcPr>
            <w:tcW w:w="659" w:type="pct"/>
            <w:tcBorders>
              <w:tl2br w:val="nil"/>
              <w:tr2bl w:val="nil"/>
            </w:tcBorders>
            <w:shd w:val="clear" w:color="auto" w:fill="auto"/>
            <w:vAlign w:val="center"/>
          </w:tcPr>
          <w:p w14:paraId="0104491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主要</w:t>
            </w:r>
            <w:r>
              <w:rPr>
                <w:rFonts w:hint="default" w:ascii="Times New Roman" w:hAnsi="Times New Roman" w:eastAsia="宋体" w:cs="Times New Roman"/>
                <w:b/>
                <w:bCs/>
                <w:color w:val="auto"/>
                <w:sz w:val="20"/>
                <w:szCs w:val="20"/>
                <w:highlight w:val="none"/>
                <w:lang w:val="zh-CN" w:eastAsia="zh-CN"/>
              </w:rPr>
              <w:t>成分</w:t>
            </w:r>
          </w:p>
        </w:tc>
        <w:tc>
          <w:tcPr>
            <w:tcW w:w="529" w:type="pct"/>
            <w:tcBorders>
              <w:tl2br w:val="nil"/>
              <w:tr2bl w:val="nil"/>
            </w:tcBorders>
            <w:shd w:val="clear" w:color="auto" w:fill="auto"/>
            <w:vAlign w:val="center"/>
          </w:tcPr>
          <w:p w14:paraId="1DACC9F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zh-CN" w:eastAsia="zh-CN"/>
              </w:rPr>
            </w:pPr>
            <w:r>
              <w:rPr>
                <w:rFonts w:hint="default" w:ascii="Times New Roman" w:hAnsi="Times New Roman" w:eastAsia="宋体" w:cs="Times New Roman"/>
                <w:b/>
                <w:bCs/>
                <w:color w:val="auto"/>
                <w:sz w:val="20"/>
                <w:szCs w:val="20"/>
                <w:highlight w:val="none"/>
                <w:lang w:val="en-US" w:eastAsia="zh-CN"/>
              </w:rPr>
              <w:t>使用工序</w:t>
            </w:r>
          </w:p>
        </w:tc>
        <w:tc>
          <w:tcPr>
            <w:tcW w:w="377" w:type="pct"/>
            <w:tcBorders>
              <w:tl2br w:val="nil"/>
              <w:tr2bl w:val="nil"/>
            </w:tcBorders>
            <w:shd w:val="clear" w:color="auto" w:fill="auto"/>
            <w:vAlign w:val="center"/>
          </w:tcPr>
          <w:p w14:paraId="45881E3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zh-CN" w:eastAsia="zh-CN"/>
              </w:rPr>
            </w:pPr>
            <w:r>
              <w:rPr>
                <w:rFonts w:hint="default" w:ascii="Times New Roman" w:hAnsi="Times New Roman" w:eastAsia="宋体" w:cs="Times New Roman"/>
                <w:b/>
                <w:bCs/>
                <w:color w:val="auto"/>
                <w:sz w:val="20"/>
                <w:szCs w:val="20"/>
                <w:highlight w:val="none"/>
                <w:lang w:val="zh-CN" w:eastAsia="zh-CN"/>
              </w:rPr>
              <w:t>年用量</w:t>
            </w:r>
          </w:p>
        </w:tc>
        <w:tc>
          <w:tcPr>
            <w:tcW w:w="374" w:type="pct"/>
            <w:tcBorders>
              <w:tl2br w:val="nil"/>
              <w:tr2bl w:val="nil"/>
            </w:tcBorders>
            <w:shd w:val="clear" w:color="auto" w:fill="auto"/>
            <w:vAlign w:val="center"/>
          </w:tcPr>
          <w:p w14:paraId="47AEC13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最大暂存量</w:t>
            </w:r>
          </w:p>
        </w:tc>
        <w:tc>
          <w:tcPr>
            <w:tcW w:w="374" w:type="pct"/>
            <w:tcBorders>
              <w:tl2br w:val="nil"/>
              <w:tr2bl w:val="nil"/>
            </w:tcBorders>
            <w:shd w:val="clear" w:color="auto" w:fill="auto"/>
            <w:vAlign w:val="center"/>
          </w:tcPr>
          <w:p w14:paraId="4D3DBFB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zh-CN" w:eastAsia="zh-CN"/>
              </w:rPr>
            </w:pPr>
            <w:r>
              <w:rPr>
                <w:rFonts w:hint="default" w:ascii="Times New Roman" w:hAnsi="Times New Roman" w:eastAsia="宋体" w:cs="Times New Roman"/>
                <w:b/>
                <w:bCs/>
                <w:color w:val="auto"/>
                <w:sz w:val="20"/>
                <w:szCs w:val="20"/>
                <w:highlight w:val="none"/>
                <w:lang w:val="zh-CN" w:eastAsia="zh-CN"/>
              </w:rPr>
              <w:t>单位</w:t>
            </w:r>
          </w:p>
        </w:tc>
        <w:tc>
          <w:tcPr>
            <w:tcW w:w="778" w:type="pct"/>
            <w:tcBorders>
              <w:tl2br w:val="nil"/>
              <w:tr2bl w:val="nil"/>
            </w:tcBorders>
            <w:shd w:val="clear" w:color="auto" w:fill="auto"/>
            <w:vAlign w:val="center"/>
          </w:tcPr>
          <w:p w14:paraId="392AD59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default" w:ascii="Times New Roman" w:hAnsi="Times New Roman" w:eastAsia="宋体" w:cs="Times New Roman"/>
                <w:b/>
                <w:bCs/>
                <w:color w:val="auto"/>
                <w:sz w:val="20"/>
                <w:szCs w:val="20"/>
                <w:highlight w:val="none"/>
                <w:lang w:val="en-US" w:eastAsia="zh-CN"/>
              </w:rPr>
              <w:t>三态、存储方式</w:t>
            </w:r>
          </w:p>
        </w:tc>
        <w:tc>
          <w:tcPr>
            <w:tcW w:w="855" w:type="pct"/>
            <w:tcBorders>
              <w:tl2br w:val="nil"/>
              <w:tr2bl w:val="nil"/>
            </w:tcBorders>
            <w:shd w:val="clear" w:color="auto" w:fill="auto"/>
            <w:vAlign w:val="center"/>
          </w:tcPr>
          <w:p w14:paraId="359166A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zh-CN" w:eastAsia="zh-CN"/>
              </w:rPr>
            </w:pPr>
            <w:r>
              <w:rPr>
                <w:rFonts w:hint="default" w:ascii="Times New Roman" w:hAnsi="Times New Roman" w:eastAsia="宋体" w:cs="Times New Roman"/>
                <w:b/>
                <w:bCs/>
                <w:color w:val="auto"/>
                <w:sz w:val="20"/>
                <w:szCs w:val="20"/>
                <w:highlight w:val="none"/>
                <w:lang w:val="zh-CN" w:eastAsia="zh-CN"/>
              </w:rPr>
              <w:t>备注</w:t>
            </w:r>
          </w:p>
        </w:tc>
      </w:tr>
      <w:tr w14:paraId="7E8350D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0" w:hRule="atLeast"/>
          <w:tblHeader/>
          <w:jc w:val="center"/>
        </w:trPr>
        <w:tc>
          <w:tcPr>
            <w:tcW w:w="349" w:type="pct"/>
            <w:vMerge w:val="restart"/>
            <w:tcBorders>
              <w:tl2br w:val="nil"/>
              <w:tr2bl w:val="nil"/>
            </w:tcBorders>
            <w:shd w:val="clear" w:color="auto" w:fill="auto"/>
            <w:vAlign w:val="center"/>
          </w:tcPr>
          <w:p w14:paraId="4C2AF74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zh-CN" w:eastAsia="zh-CN"/>
              </w:rPr>
            </w:pPr>
            <w:r>
              <w:rPr>
                <w:rFonts w:hint="default" w:ascii="Times New Roman" w:hAnsi="Times New Roman" w:eastAsia="宋体" w:cs="Times New Roman"/>
                <w:color w:val="auto"/>
                <w:sz w:val="20"/>
                <w:szCs w:val="20"/>
                <w:highlight w:val="none"/>
                <w:lang w:val="zh-CN" w:eastAsia="zh-CN"/>
              </w:rPr>
              <w:t>原（辅）材料</w:t>
            </w:r>
          </w:p>
        </w:tc>
        <w:tc>
          <w:tcPr>
            <w:tcW w:w="701" w:type="pct"/>
            <w:tcBorders>
              <w:tl2br w:val="nil"/>
              <w:tr2bl w:val="nil"/>
            </w:tcBorders>
            <w:shd w:val="clear" w:color="auto" w:fill="auto"/>
            <w:vAlign w:val="center"/>
          </w:tcPr>
          <w:p w14:paraId="70B79E4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生活垃圾</w:t>
            </w:r>
          </w:p>
        </w:tc>
        <w:tc>
          <w:tcPr>
            <w:tcW w:w="659" w:type="pct"/>
            <w:tcBorders>
              <w:tl2br w:val="nil"/>
              <w:tr2bl w:val="nil"/>
            </w:tcBorders>
            <w:shd w:val="clear" w:color="auto" w:fill="auto"/>
            <w:vAlign w:val="center"/>
          </w:tcPr>
          <w:p w14:paraId="5615269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生活垃圾（含水率约55%）</w:t>
            </w:r>
          </w:p>
        </w:tc>
        <w:tc>
          <w:tcPr>
            <w:tcW w:w="529" w:type="pct"/>
            <w:tcBorders>
              <w:tl2br w:val="nil"/>
              <w:tr2bl w:val="nil"/>
            </w:tcBorders>
            <w:shd w:val="clear" w:color="auto" w:fill="auto"/>
            <w:vAlign w:val="center"/>
          </w:tcPr>
          <w:p w14:paraId="2840BC4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预处理</w:t>
            </w:r>
          </w:p>
        </w:tc>
        <w:tc>
          <w:tcPr>
            <w:tcW w:w="377" w:type="pct"/>
            <w:tcBorders>
              <w:tl2br w:val="nil"/>
              <w:tr2bl w:val="nil"/>
            </w:tcBorders>
            <w:shd w:val="clear" w:color="auto" w:fill="auto"/>
            <w:vAlign w:val="center"/>
          </w:tcPr>
          <w:p w14:paraId="61E9013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74E31F4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05392B7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t</w:t>
            </w:r>
          </w:p>
        </w:tc>
        <w:tc>
          <w:tcPr>
            <w:tcW w:w="778" w:type="pct"/>
            <w:tcBorders>
              <w:tl2br w:val="nil"/>
              <w:tr2bl w:val="nil"/>
            </w:tcBorders>
            <w:shd w:val="clear" w:color="auto" w:fill="auto"/>
            <w:vAlign w:val="center"/>
          </w:tcPr>
          <w:p w14:paraId="5226100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固体，贮坑</w:t>
            </w:r>
          </w:p>
        </w:tc>
        <w:tc>
          <w:tcPr>
            <w:tcW w:w="855" w:type="pct"/>
            <w:tcBorders>
              <w:tl2br w:val="nil"/>
              <w:tr2bl w:val="nil"/>
            </w:tcBorders>
            <w:shd w:val="clear" w:color="auto" w:fill="auto"/>
            <w:vAlign w:val="center"/>
          </w:tcPr>
          <w:p w14:paraId="5DEE423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剑阁县城及各乡镇收集</w:t>
            </w:r>
          </w:p>
        </w:tc>
      </w:tr>
      <w:tr w14:paraId="59E2736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0" w:hRule="atLeast"/>
          <w:tblHeader/>
          <w:jc w:val="center"/>
        </w:trPr>
        <w:tc>
          <w:tcPr>
            <w:tcW w:w="349" w:type="pct"/>
            <w:vMerge w:val="continue"/>
            <w:tcBorders>
              <w:tl2br w:val="nil"/>
              <w:tr2bl w:val="nil"/>
            </w:tcBorders>
            <w:shd w:val="clear" w:color="auto" w:fill="auto"/>
            <w:vAlign w:val="center"/>
          </w:tcPr>
          <w:p w14:paraId="3376404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zh-CN" w:eastAsia="zh-CN"/>
              </w:rPr>
            </w:pPr>
          </w:p>
        </w:tc>
        <w:tc>
          <w:tcPr>
            <w:tcW w:w="701" w:type="pct"/>
            <w:tcBorders>
              <w:tl2br w:val="nil"/>
              <w:tr2bl w:val="nil"/>
            </w:tcBorders>
            <w:shd w:val="clear" w:color="auto" w:fill="auto"/>
            <w:vAlign w:val="center"/>
          </w:tcPr>
          <w:p w14:paraId="3949428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活性炭</w:t>
            </w:r>
          </w:p>
        </w:tc>
        <w:tc>
          <w:tcPr>
            <w:tcW w:w="659" w:type="pct"/>
            <w:tcBorders>
              <w:tl2br w:val="nil"/>
              <w:tr2bl w:val="nil"/>
            </w:tcBorders>
            <w:shd w:val="clear" w:color="auto" w:fill="auto"/>
            <w:vAlign w:val="center"/>
          </w:tcPr>
          <w:p w14:paraId="7ECAFEE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C</w:t>
            </w:r>
          </w:p>
        </w:tc>
        <w:tc>
          <w:tcPr>
            <w:tcW w:w="529" w:type="pct"/>
            <w:tcBorders>
              <w:tl2br w:val="nil"/>
              <w:tr2bl w:val="nil"/>
            </w:tcBorders>
            <w:shd w:val="clear" w:color="auto" w:fill="auto"/>
            <w:vAlign w:val="center"/>
          </w:tcPr>
          <w:p w14:paraId="5795CA8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烟气净化</w:t>
            </w:r>
          </w:p>
        </w:tc>
        <w:tc>
          <w:tcPr>
            <w:tcW w:w="377" w:type="pct"/>
            <w:tcBorders>
              <w:tl2br w:val="nil"/>
              <w:tr2bl w:val="nil"/>
            </w:tcBorders>
            <w:shd w:val="clear" w:color="auto" w:fill="auto"/>
            <w:vAlign w:val="center"/>
          </w:tcPr>
          <w:p w14:paraId="67C18F3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p>
        </w:tc>
        <w:tc>
          <w:tcPr>
            <w:tcW w:w="374" w:type="pct"/>
            <w:tcBorders>
              <w:tl2br w:val="nil"/>
              <w:tr2bl w:val="nil"/>
            </w:tcBorders>
            <w:shd w:val="clear" w:color="auto" w:fill="auto"/>
            <w:vAlign w:val="center"/>
          </w:tcPr>
          <w:p w14:paraId="6A0B78D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p>
        </w:tc>
        <w:tc>
          <w:tcPr>
            <w:tcW w:w="374" w:type="pct"/>
            <w:tcBorders>
              <w:tl2br w:val="nil"/>
              <w:tr2bl w:val="nil"/>
            </w:tcBorders>
            <w:shd w:val="clear" w:color="auto" w:fill="auto"/>
            <w:vAlign w:val="center"/>
          </w:tcPr>
          <w:p w14:paraId="164D673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p>
        </w:tc>
        <w:tc>
          <w:tcPr>
            <w:tcW w:w="778" w:type="pct"/>
            <w:tcBorders>
              <w:tl2br w:val="nil"/>
              <w:tr2bl w:val="nil"/>
            </w:tcBorders>
            <w:shd w:val="clear" w:color="auto" w:fill="auto"/>
            <w:vAlign w:val="center"/>
          </w:tcPr>
          <w:p w14:paraId="3A7AD1C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固体</w:t>
            </w:r>
          </w:p>
        </w:tc>
        <w:tc>
          <w:tcPr>
            <w:tcW w:w="855" w:type="pct"/>
            <w:tcBorders>
              <w:tl2br w:val="nil"/>
              <w:tr2bl w:val="nil"/>
            </w:tcBorders>
            <w:shd w:val="clear" w:color="auto" w:fill="auto"/>
            <w:vAlign w:val="center"/>
          </w:tcPr>
          <w:p w14:paraId="3064FDCE">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外购，比表面积800m</w:t>
            </w:r>
            <w:r>
              <w:rPr>
                <w:rFonts w:hint="default" w:ascii="Times New Roman" w:hAnsi="Times New Roman" w:eastAsia="宋体" w:cs="Times New Roman"/>
                <w:color w:val="auto"/>
                <w:kern w:val="2"/>
                <w:sz w:val="20"/>
                <w:szCs w:val="20"/>
                <w:highlight w:val="none"/>
                <w:vertAlign w:val="superscript"/>
                <w:lang w:val="en-US" w:eastAsia="zh-CN" w:bidi="ar-SA"/>
              </w:rPr>
              <w:t>2</w:t>
            </w:r>
            <w:r>
              <w:rPr>
                <w:rFonts w:hint="default" w:ascii="Times New Roman" w:hAnsi="Times New Roman" w:eastAsia="宋体" w:cs="Times New Roman"/>
                <w:color w:val="auto"/>
                <w:kern w:val="2"/>
                <w:sz w:val="20"/>
                <w:szCs w:val="20"/>
                <w:highlight w:val="none"/>
                <w:lang w:val="en-US" w:eastAsia="zh-CN" w:bidi="ar-SA"/>
              </w:rPr>
              <w:t>/g，粒径</w:t>
            </w:r>
          </w:p>
          <w:p w14:paraId="5E751D83">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&lt;315μm 占95%</w:t>
            </w:r>
          </w:p>
        </w:tc>
      </w:tr>
      <w:tr w14:paraId="1255D9B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0" w:hRule="atLeast"/>
          <w:tblHeader/>
          <w:jc w:val="center"/>
        </w:trPr>
        <w:tc>
          <w:tcPr>
            <w:tcW w:w="349" w:type="pct"/>
            <w:vMerge w:val="continue"/>
            <w:tcBorders>
              <w:tl2br w:val="nil"/>
              <w:tr2bl w:val="nil"/>
            </w:tcBorders>
            <w:shd w:val="clear" w:color="auto" w:fill="auto"/>
            <w:vAlign w:val="center"/>
          </w:tcPr>
          <w:p w14:paraId="07A6014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zh-CN" w:eastAsia="zh-CN"/>
              </w:rPr>
            </w:pPr>
          </w:p>
        </w:tc>
        <w:tc>
          <w:tcPr>
            <w:tcW w:w="701" w:type="pct"/>
            <w:tcBorders>
              <w:tl2br w:val="nil"/>
              <w:tr2bl w:val="nil"/>
            </w:tcBorders>
            <w:shd w:val="clear" w:color="auto" w:fill="auto"/>
            <w:vAlign w:val="center"/>
          </w:tcPr>
          <w:p w14:paraId="00D589C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润滑油</w:t>
            </w:r>
          </w:p>
        </w:tc>
        <w:tc>
          <w:tcPr>
            <w:tcW w:w="659" w:type="pct"/>
            <w:tcBorders>
              <w:tl2br w:val="nil"/>
              <w:tr2bl w:val="nil"/>
            </w:tcBorders>
            <w:shd w:val="clear" w:color="auto" w:fill="auto"/>
            <w:vAlign w:val="center"/>
          </w:tcPr>
          <w:p w14:paraId="5D3C7FE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529" w:type="pct"/>
            <w:tcBorders>
              <w:tl2br w:val="nil"/>
              <w:tr2bl w:val="nil"/>
            </w:tcBorders>
            <w:shd w:val="clear" w:color="auto" w:fill="auto"/>
            <w:vAlign w:val="center"/>
          </w:tcPr>
          <w:p w14:paraId="33C1A89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设备润滑</w:t>
            </w:r>
          </w:p>
        </w:tc>
        <w:tc>
          <w:tcPr>
            <w:tcW w:w="377" w:type="pct"/>
            <w:tcBorders>
              <w:tl2br w:val="nil"/>
              <w:tr2bl w:val="nil"/>
            </w:tcBorders>
            <w:shd w:val="clear" w:color="auto" w:fill="auto"/>
            <w:vAlign w:val="center"/>
          </w:tcPr>
          <w:p w14:paraId="1C9BDA2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17DC252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6AA8F75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778" w:type="pct"/>
            <w:tcBorders>
              <w:tl2br w:val="nil"/>
              <w:tr2bl w:val="nil"/>
            </w:tcBorders>
            <w:shd w:val="clear" w:color="auto" w:fill="auto"/>
            <w:vAlign w:val="center"/>
          </w:tcPr>
          <w:p w14:paraId="63BA705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液体</w:t>
            </w:r>
          </w:p>
        </w:tc>
        <w:tc>
          <w:tcPr>
            <w:tcW w:w="855" w:type="pct"/>
            <w:tcBorders>
              <w:tl2br w:val="nil"/>
              <w:tr2bl w:val="nil"/>
            </w:tcBorders>
            <w:shd w:val="clear" w:color="auto" w:fill="auto"/>
            <w:vAlign w:val="center"/>
          </w:tcPr>
          <w:p w14:paraId="0D3320D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外购</w:t>
            </w:r>
          </w:p>
        </w:tc>
      </w:tr>
      <w:tr w14:paraId="367E9D1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0" w:hRule="atLeast"/>
          <w:tblHeader/>
          <w:jc w:val="center"/>
        </w:trPr>
        <w:tc>
          <w:tcPr>
            <w:tcW w:w="349" w:type="pct"/>
            <w:vMerge w:val="continue"/>
            <w:tcBorders>
              <w:tl2br w:val="nil"/>
              <w:tr2bl w:val="nil"/>
            </w:tcBorders>
            <w:shd w:val="clear" w:color="auto" w:fill="auto"/>
            <w:vAlign w:val="center"/>
          </w:tcPr>
          <w:p w14:paraId="1B5BAB5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zh-CN" w:eastAsia="zh-CN"/>
              </w:rPr>
            </w:pPr>
          </w:p>
        </w:tc>
        <w:tc>
          <w:tcPr>
            <w:tcW w:w="701" w:type="pct"/>
            <w:tcBorders>
              <w:tl2br w:val="nil"/>
              <w:tr2bl w:val="nil"/>
            </w:tcBorders>
            <w:shd w:val="clear" w:color="auto" w:fill="auto"/>
            <w:vAlign w:val="center"/>
          </w:tcPr>
          <w:p w14:paraId="027E6066">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氢氧化钠</w:t>
            </w:r>
          </w:p>
        </w:tc>
        <w:tc>
          <w:tcPr>
            <w:tcW w:w="659" w:type="pct"/>
            <w:tcBorders>
              <w:tl2br w:val="nil"/>
              <w:tr2bl w:val="nil"/>
            </w:tcBorders>
            <w:shd w:val="clear" w:color="auto" w:fill="auto"/>
            <w:vAlign w:val="center"/>
          </w:tcPr>
          <w:p w14:paraId="6F2E86D8">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0"/>
                <w:sz w:val="20"/>
                <w:szCs w:val="20"/>
                <w:highlight w:val="none"/>
                <w:lang w:val="en-US" w:eastAsia="zh-CN" w:bidi="ar"/>
              </w:rPr>
              <w:t>NaOH</w:t>
            </w:r>
          </w:p>
        </w:tc>
        <w:tc>
          <w:tcPr>
            <w:tcW w:w="529" w:type="pct"/>
            <w:tcBorders>
              <w:tl2br w:val="nil"/>
              <w:tr2bl w:val="nil"/>
            </w:tcBorders>
            <w:shd w:val="clear" w:color="auto" w:fill="auto"/>
            <w:vAlign w:val="center"/>
          </w:tcPr>
          <w:p w14:paraId="566BB2F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烟气净化</w:t>
            </w:r>
          </w:p>
        </w:tc>
        <w:tc>
          <w:tcPr>
            <w:tcW w:w="377" w:type="pct"/>
            <w:tcBorders>
              <w:tl2br w:val="nil"/>
              <w:tr2bl w:val="nil"/>
            </w:tcBorders>
            <w:shd w:val="clear" w:color="auto" w:fill="auto"/>
            <w:vAlign w:val="center"/>
          </w:tcPr>
          <w:p w14:paraId="3E1B739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p>
        </w:tc>
        <w:tc>
          <w:tcPr>
            <w:tcW w:w="374" w:type="pct"/>
            <w:tcBorders>
              <w:tl2br w:val="nil"/>
              <w:tr2bl w:val="nil"/>
            </w:tcBorders>
            <w:shd w:val="clear" w:color="auto" w:fill="auto"/>
            <w:vAlign w:val="center"/>
          </w:tcPr>
          <w:p w14:paraId="381F3A7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4B3F131D">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t</w:t>
            </w:r>
          </w:p>
        </w:tc>
        <w:tc>
          <w:tcPr>
            <w:tcW w:w="778" w:type="pct"/>
            <w:tcBorders>
              <w:tl2br w:val="nil"/>
              <w:tr2bl w:val="nil"/>
            </w:tcBorders>
            <w:shd w:val="clear" w:color="auto" w:fill="auto"/>
            <w:vAlign w:val="center"/>
          </w:tcPr>
          <w:p w14:paraId="379FBA6D">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片状或块状固体袋装</w:t>
            </w:r>
          </w:p>
        </w:tc>
        <w:tc>
          <w:tcPr>
            <w:tcW w:w="855" w:type="pct"/>
            <w:tcBorders>
              <w:tl2br w:val="nil"/>
              <w:tr2bl w:val="nil"/>
            </w:tcBorders>
            <w:shd w:val="clear" w:color="auto" w:fill="auto"/>
            <w:vAlign w:val="center"/>
          </w:tcPr>
          <w:p w14:paraId="3CAC1B8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外购</w:t>
            </w:r>
          </w:p>
        </w:tc>
      </w:tr>
      <w:tr w14:paraId="1FC8181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0" w:hRule="atLeast"/>
          <w:tblHeader/>
          <w:jc w:val="center"/>
        </w:trPr>
        <w:tc>
          <w:tcPr>
            <w:tcW w:w="349" w:type="pct"/>
            <w:vMerge w:val="restart"/>
            <w:tcBorders>
              <w:tl2br w:val="nil"/>
              <w:tr2bl w:val="nil"/>
            </w:tcBorders>
            <w:shd w:val="clear" w:color="auto" w:fill="auto"/>
            <w:vAlign w:val="center"/>
          </w:tcPr>
          <w:p w14:paraId="725B5F2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能耗</w:t>
            </w:r>
          </w:p>
        </w:tc>
        <w:tc>
          <w:tcPr>
            <w:tcW w:w="701" w:type="pct"/>
            <w:tcBorders>
              <w:tl2br w:val="nil"/>
              <w:tr2bl w:val="nil"/>
            </w:tcBorders>
            <w:shd w:val="clear" w:color="auto" w:fill="auto"/>
            <w:vAlign w:val="center"/>
          </w:tcPr>
          <w:p w14:paraId="23AC74A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水</w:t>
            </w:r>
          </w:p>
        </w:tc>
        <w:tc>
          <w:tcPr>
            <w:tcW w:w="659" w:type="pct"/>
            <w:tcBorders>
              <w:tl2br w:val="nil"/>
              <w:tr2bl w:val="nil"/>
            </w:tcBorders>
            <w:shd w:val="clear" w:color="auto" w:fill="auto"/>
            <w:vAlign w:val="center"/>
          </w:tcPr>
          <w:p w14:paraId="22CE9E1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29" w:type="pct"/>
            <w:tcBorders>
              <w:tl2br w:val="nil"/>
              <w:tr2bl w:val="nil"/>
            </w:tcBorders>
            <w:shd w:val="clear" w:color="auto" w:fill="auto"/>
            <w:vAlign w:val="center"/>
          </w:tcPr>
          <w:p w14:paraId="1B6F543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377" w:type="pct"/>
            <w:tcBorders>
              <w:tl2br w:val="nil"/>
              <w:tr2bl w:val="nil"/>
            </w:tcBorders>
            <w:shd w:val="clear" w:color="auto" w:fill="auto"/>
            <w:vAlign w:val="center"/>
          </w:tcPr>
          <w:p w14:paraId="26DB069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3D8C928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70EFDFB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m</w:t>
            </w:r>
            <w:r>
              <w:rPr>
                <w:rFonts w:hint="default" w:ascii="Times New Roman" w:hAnsi="Times New Roman" w:eastAsia="宋体" w:cs="Times New Roman"/>
                <w:color w:val="auto"/>
                <w:sz w:val="20"/>
                <w:szCs w:val="20"/>
                <w:highlight w:val="none"/>
                <w:vertAlign w:val="superscript"/>
                <w:lang w:val="en-US" w:eastAsia="zh-CN"/>
              </w:rPr>
              <w:t>3</w:t>
            </w:r>
          </w:p>
        </w:tc>
        <w:tc>
          <w:tcPr>
            <w:tcW w:w="778" w:type="pct"/>
            <w:tcBorders>
              <w:tl2br w:val="nil"/>
              <w:tr2bl w:val="nil"/>
            </w:tcBorders>
            <w:shd w:val="clear" w:color="auto" w:fill="auto"/>
            <w:vAlign w:val="center"/>
          </w:tcPr>
          <w:p w14:paraId="70CCD63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855" w:type="pct"/>
            <w:tcBorders>
              <w:tl2br w:val="nil"/>
              <w:tr2bl w:val="nil"/>
            </w:tcBorders>
            <w:shd w:val="clear" w:color="auto" w:fill="auto"/>
            <w:vAlign w:val="center"/>
          </w:tcPr>
          <w:p w14:paraId="28188A2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供水管网</w:t>
            </w:r>
          </w:p>
        </w:tc>
      </w:tr>
      <w:tr w14:paraId="5497179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7" w:hRule="atLeast"/>
          <w:tblHeader/>
          <w:jc w:val="center"/>
        </w:trPr>
        <w:tc>
          <w:tcPr>
            <w:tcW w:w="349" w:type="pct"/>
            <w:vMerge w:val="continue"/>
            <w:tcBorders>
              <w:tl2br w:val="nil"/>
              <w:tr2bl w:val="nil"/>
            </w:tcBorders>
            <w:shd w:val="clear" w:color="auto" w:fill="auto"/>
            <w:vAlign w:val="center"/>
          </w:tcPr>
          <w:p w14:paraId="57C187F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701" w:type="pct"/>
            <w:tcBorders>
              <w:tl2br w:val="nil"/>
              <w:tr2bl w:val="nil"/>
            </w:tcBorders>
            <w:shd w:val="clear" w:color="auto" w:fill="auto"/>
            <w:vAlign w:val="center"/>
          </w:tcPr>
          <w:p w14:paraId="1191260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电</w:t>
            </w:r>
          </w:p>
        </w:tc>
        <w:tc>
          <w:tcPr>
            <w:tcW w:w="659" w:type="pct"/>
            <w:tcBorders>
              <w:tl2br w:val="nil"/>
              <w:tr2bl w:val="nil"/>
            </w:tcBorders>
            <w:shd w:val="clear" w:color="auto" w:fill="auto"/>
            <w:vAlign w:val="center"/>
          </w:tcPr>
          <w:p w14:paraId="532A95C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29" w:type="pct"/>
            <w:tcBorders>
              <w:tl2br w:val="nil"/>
              <w:tr2bl w:val="nil"/>
            </w:tcBorders>
            <w:shd w:val="clear" w:color="auto" w:fill="auto"/>
            <w:vAlign w:val="center"/>
          </w:tcPr>
          <w:p w14:paraId="4966925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377" w:type="pct"/>
            <w:tcBorders>
              <w:tl2br w:val="nil"/>
              <w:tr2bl w:val="nil"/>
            </w:tcBorders>
            <w:shd w:val="clear" w:color="auto" w:fill="auto"/>
            <w:vAlign w:val="center"/>
          </w:tcPr>
          <w:p w14:paraId="09C2A39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2B3BDB8E">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 w:cs="Times New Roman"/>
                <w:color w:val="auto"/>
                <w:kern w:val="0"/>
                <w:sz w:val="20"/>
                <w:szCs w:val="20"/>
                <w:highlight w:val="none"/>
                <w:lang w:val="en-US" w:eastAsia="zh-CN" w:bidi="ar"/>
              </w:rPr>
            </w:pPr>
          </w:p>
        </w:tc>
        <w:tc>
          <w:tcPr>
            <w:tcW w:w="374" w:type="pct"/>
            <w:tcBorders>
              <w:tl2br w:val="nil"/>
              <w:tr2bl w:val="nil"/>
            </w:tcBorders>
            <w:shd w:val="clear" w:color="auto" w:fill="auto"/>
            <w:vAlign w:val="center"/>
          </w:tcPr>
          <w:p w14:paraId="7F2B02D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 w:cs="Times New Roman"/>
                <w:color w:val="auto"/>
                <w:kern w:val="0"/>
                <w:sz w:val="20"/>
                <w:szCs w:val="20"/>
                <w:highlight w:val="none"/>
                <w:lang w:val="en-US" w:eastAsia="zh-CN" w:bidi="ar"/>
              </w:rPr>
              <w:t>万</w:t>
            </w:r>
            <w:r>
              <w:rPr>
                <w:rFonts w:hint="default" w:ascii="Times New Roman" w:hAnsi="Times New Roman" w:eastAsia="宋体" w:cs="Times New Roman"/>
                <w:color w:val="auto"/>
                <w:kern w:val="0"/>
                <w:sz w:val="20"/>
                <w:szCs w:val="20"/>
                <w:highlight w:val="none"/>
                <w:lang w:val="en-US" w:eastAsia="zh-CN" w:bidi="ar"/>
              </w:rPr>
              <w:t>kw·h</w:t>
            </w:r>
          </w:p>
        </w:tc>
        <w:tc>
          <w:tcPr>
            <w:tcW w:w="778" w:type="pct"/>
            <w:tcBorders>
              <w:tl2br w:val="nil"/>
              <w:tr2bl w:val="nil"/>
            </w:tcBorders>
            <w:shd w:val="clear" w:color="auto" w:fill="auto"/>
            <w:vAlign w:val="center"/>
          </w:tcPr>
          <w:p w14:paraId="5907D53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855" w:type="pct"/>
            <w:tcBorders>
              <w:tl2br w:val="nil"/>
              <w:tr2bl w:val="nil"/>
            </w:tcBorders>
            <w:shd w:val="clear" w:color="auto" w:fill="auto"/>
            <w:vAlign w:val="center"/>
          </w:tcPr>
          <w:p w14:paraId="3F4BFF8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附近电网</w:t>
            </w:r>
          </w:p>
        </w:tc>
      </w:tr>
      <w:tr w14:paraId="6936037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7" w:hRule="atLeast"/>
          <w:tblHeader/>
          <w:jc w:val="center"/>
        </w:trPr>
        <w:tc>
          <w:tcPr>
            <w:tcW w:w="349" w:type="pct"/>
            <w:vMerge w:val="continue"/>
            <w:tcBorders>
              <w:tl2br w:val="nil"/>
              <w:tr2bl w:val="nil"/>
            </w:tcBorders>
            <w:shd w:val="clear" w:color="auto" w:fill="auto"/>
            <w:vAlign w:val="center"/>
          </w:tcPr>
          <w:p w14:paraId="4FC1DAB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701" w:type="pct"/>
            <w:tcBorders>
              <w:tl2br w:val="nil"/>
              <w:tr2bl w:val="nil"/>
            </w:tcBorders>
            <w:shd w:val="clear" w:color="auto" w:fill="auto"/>
            <w:vAlign w:val="center"/>
          </w:tcPr>
          <w:p w14:paraId="1DD4E60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天然气</w:t>
            </w:r>
          </w:p>
        </w:tc>
        <w:tc>
          <w:tcPr>
            <w:tcW w:w="659" w:type="pct"/>
            <w:tcBorders>
              <w:tl2br w:val="nil"/>
              <w:tr2bl w:val="nil"/>
            </w:tcBorders>
            <w:shd w:val="clear" w:color="auto" w:fill="auto"/>
            <w:vAlign w:val="center"/>
          </w:tcPr>
          <w:p w14:paraId="7F93788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529" w:type="pct"/>
            <w:tcBorders>
              <w:tl2br w:val="nil"/>
              <w:tr2bl w:val="nil"/>
            </w:tcBorders>
            <w:shd w:val="clear" w:color="auto" w:fill="auto"/>
            <w:vAlign w:val="center"/>
          </w:tcPr>
          <w:p w14:paraId="40878BC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377" w:type="pct"/>
            <w:tcBorders>
              <w:tl2br w:val="nil"/>
              <w:tr2bl w:val="nil"/>
            </w:tcBorders>
            <w:shd w:val="clear" w:color="auto" w:fill="auto"/>
            <w:vAlign w:val="center"/>
          </w:tcPr>
          <w:p w14:paraId="3397F12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23ABF40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 w:cs="Times New Roman"/>
                <w:color w:val="auto"/>
                <w:kern w:val="0"/>
                <w:sz w:val="20"/>
                <w:szCs w:val="20"/>
                <w:highlight w:val="none"/>
                <w:lang w:val="en-US" w:eastAsia="zh-CN" w:bidi="ar"/>
              </w:rPr>
            </w:pPr>
          </w:p>
        </w:tc>
        <w:tc>
          <w:tcPr>
            <w:tcW w:w="374" w:type="pct"/>
            <w:tcBorders>
              <w:tl2br w:val="nil"/>
              <w:tr2bl w:val="nil"/>
            </w:tcBorders>
            <w:shd w:val="clear" w:color="auto" w:fill="auto"/>
            <w:vAlign w:val="center"/>
          </w:tcPr>
          <w:p w14:paraId="6B1F1BDA">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万m</w:t>
            </w:r>
            <w:r>
              <w:rPr>
                <w:rFonts w:hint="default" w:ascii="Times New Roman" w:hAnsi="Times New Roman" w:eastAsia="宋体" w:cs="Times New Roman"/>
                <w:color w:val="auto"/>
                <w:sz w:val="20"/>
                <w:szCs w:val="20"/>
                <w:highlight w:val="none"/>
                <w:vertAlign w:val="superscript"/>
                <w:lang w:val="en-US" w:eastAsia="zh-CN"/>
              </w:rPr>
              <w:t>3</w:t>
            </w:r>
          </w:p>
        </w:tc>
        <w:tc>
          <w:tcPr>
            <w:tcW w:w="778" w:type="pct"/>
            <w:tcBorders>
              <w:tl2br w:val="nil"/>
              <w:tr2bl w:val="nil"/>
            </w:tcBorders>
            <w:shd w:val="clear" w:color="auto" w:fill="auto"/>
            <w:vAlign w:val="center"/>
          </w:tcPr>
          <w:p w14:paraId="248D13C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855" w:type="pct"/>
            <w:tcBorders>
              <w:tl2br w:val="nil"/>
              <w:tr2bl w:val="nil"/>
            </w:tcBorders>
            <w:shd w:val="clear" w:color="auto" w:fill="auto"/>
            <w:vAlign w:val="center"/>
          </w:tcPr>
          <w:p w14:paraId="4CEBE6A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市政燃气，点火、热解炉热值不够时补充热值使用</w:t>
            </w:r>
          </w:p>
        </w:tc>
      </w:tr>
      <w:tr w14:paraId="5E9D8AD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0" w:hRule="atLeast"/>
          <w:tblHeader/>
          <w:jc w:val="center"/>
        </w:trPr>
        <w:tc>
          <w:tcPr>
            <w:tcW w:w="349" w:type="pct"/>
            <w:vMerge w:val="continue"/>
            <w:tcBorders>
              <w:tl2br w:val="nil"/>
              <w:tr2bl w:val="nil"/>
            </w:tcBorders>
            <w:shd w:val="clear" w:color="auto" w:fill="auto"/>
            <w:vAlign w:val="center"/>
          </w:tcPr>
          <w:p w14:paraId="0CC5E54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701" w:type="pct"/>
            <w:tcBorders>
              <w:tl2br w:val="nil"/>
              <w:tr2bl w:val="nil"/>
            </w:tcBorders>
            <w:shd w:val="clear" w:color="auto" w:fill="auto"/>
            <w:vAlign w:val="center"/>
          </w:tcPr>
          <w:p w14:paraId="2095BDC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柴油</w:t>
            </w:r>
          </w:p>
        </w:tc>
        <w:tc>
          <w:tcPr>
            <w:tcW w:w="659" w:type="pct"/>
            <w:tcBorders>
              <w:tl2br w:val="nil"/>
              <w:tr2bl w:val="nil"/>
            </w:tcBorders>
            <w:shd w:val="clear" w:color="auto" w:fill="auto"/>
            <w:vAlign w:val="center"/>
          </w:tcPr>
          <w:p w14:paraId="3A47400F">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0#柴油</w:t>
            </w:r>
          </w:p>
        </w:tc>
        <w:tc>
          <w:tcPr>
            <w:tcW w:w="529" w:type="pct"/>
            <w:tcBorders>
              <w:tl2br w:val="nil"/>
              <w:tr2bl w:val="nil"/>
            </w:tcBorders>
            <w:shd w:val="clear" w:color="auto" w:fill="auto"/>
            <w:vAlign w:val="center"/>
          </w:tcPr>
          <w:p w14:paraId="4D40347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p>
        </w:tc>
        <w:tc>
          <w:tcPr>
            <w:tcW w:w="377" w:type="pct"/>
            <w:tcBorders>
              <w:tl2br w:val="nil"/>
              <w:tr2bl w:val="nil"/>
            </w:tcBorders>
            <w:shd w:val="clear" w:color="auto" w:fill="auto"/>
            <w:vAlign w:val="center"/>
          </w:tcPr>
          <w:p w14:paraId="11B2E03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5A71EF8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p>
        </w:tc>
        <w:tc>
          <w:tcPr>
            <w:tcW w:w="374" w:type="pct"/>
            <w:tcBorders>
              <w:tl2br w:val="nil"/>
              <w:tr2bl w:val="nil"/>
            </w:tcBorders>
            <w:shd w:val="clear" w:color="auto" w:fill="auto"/>
            <w:vAlign w:val="center"/>
          </w:tcPr>
          <w:p w14:paraId="5EAE21E7">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t</w:t>
            </w:r>
          </w:p>
        </w:tc>
        <w:tc>
          <w:tcPr>
            <w:tcW w:w="778" w:type="pct"/>
            <w:tcBorders>
              <w:tl2br w:val="nil"/>
              <w:tr2bl w:val="nil"/>
            </w:tcBorders>
            <w:shd w:val="clear" w:color="auto" w:fill="auto"/>
            <w:vAlign w:val="center"/>
          </w:tcPr>
          <w:p w14:paraId="411B264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罐装</w:t>
            </w:r>
          </w:p>
        </w:tc>
        <w:tc>
          <w:tcPr>
            <w:tcW w:w="855" w:type="pct"/>
            <w:tcBorders>
              <w:tl2br w:val="nil"/>
              <w:tr2bl w:val="nil"/>
            </w:tcBorders>
            <w:shd w:val="clear" w:color="auto" w:fill="auto"/>
            <w:vAlign w:val="center"/>
          </w:tcPr>
          <w:p w14:paraId="260B0E0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sz w:val="20"/>
                <w:szCs w:val="20"/>
                <w:highlight w:val="none"/>
                <w:lang w:val="en-US" w:eastAsia="zh-CN"/>
              </w:rPr>
            </w:pPr>
          </w:p>
        </w:tc>
      </w:tr>
    </w:tbl>
    <w:p w14:paraId="08B3D4E7">
      <w:pPr>
        <w:ind w:firstLine="480" w:firstLineChars="200"/>
        <w:rPr>
          <w:rFonts w:hint="default" w:ascii="Times New Roman" w:hAnsi="Times New Roman" w:cs="Times New Roman"/>
          <w:b w:val="0"/>
          <w:bCs w:val="0"/>
          <w:color w:val="auto"/>
          <w:kern w:val="2"/>
          <w:sz w:val="24"/>
          <w:szCs w:val="21"/>
          <w:highlight w:val="none"/>
          <w:lang w:val="en-US" w:eastAsia="zh-CN" w:bidi="ar-SA"/>
        </w:rPr>
      </w:pPr>
      <w:r>
        <w:rPr>
          <w:rFonts w:hint="default" w:ascii="Times New Roman" w:hAnsi="Times New Roman" w:cs="Times New Roman"/>
          <w:b/>
          <w:bCs/>
          <w:color w:val="auto"/>
          <w:kern w:val="2"/>
          <w:sz w:val="24"/>
          <w:szCs w:val="21"/>
          <w:highlight w:val="none"/>
          <w:lang w:val="en-US" w:eastAsia="zh-CN" w:bidi="ar-SA"/>
        </w:rPr>
        <w:t>活性炭：</w:t>
      </w:r>
      <w:r>
        <w:rPr>
          <w:rFonts w:hint="default" w:ascii="Times New Roman" w:hAnsi="Times New Roman" w:cs="Times New Roman"/>
          <w:b w:val="0"/>
          <w:bCs w:val="0"/>
          <w:color w:val="auto"/>
          <w:kern w:val="2"/>
          <w:sz w:val="24"/>
          <w:szCs w:val="21"/>
          <w:highlight w:val="none"/>
          <w:lang w:val="en-US" w:eastAsia="zh-CN" w:bidi="ar-SA"/>
        </w:rPr>
        <w:t>活性炭，是黑色粉末状或块状、颗粒状、蜂窝状的无定形碳，也有排列规整的晶体碳。活性炭中除碳元素外，还包含两类掺和物：一类是化学结合的元素，主要是氧和氢，这些元素是由于未完全炭化而残留在炭中，或者在活化过程中，外来的非碳元素与活性炭表面化学结合；另一类掺和物是灰分，它是活性炭的无机部分，灰分在活性炭中易造成二次污染。活性炭材料的化学性质稳定，机械强度高，耐酸、耐碱、耐热，不溶于水与有机溶剂，可以再生使用，已经广泛地应用于化工、环保等各个领域。</w:t>
      </w:r>
    </w:p>
    <w:p w14:paraId="6B62893B">
      <w:pPr>
        <w:ind w:firstLine="480" w:firstLineChars="200"/>
        <w:rPr>
          <w:rFonts w:hint="default" w:ascii="Times New Roman" w:hAnsi="Times New Roman" w:cs="Times New Roman" w:eastAsiaTheme="minorEastAsia"/>
          <w:b w:val="0"/>
          <w:bCs w:val="0"/>
          <w:color w:val="auto"/>
          <w:kern w:val="2"/>
          <w:sz w:val="24"/>
          <w:szCs w:val="21"/>
          <w:highlight w:val="none"/>
          <w:lang w:val="en-US" w:eastAsia="zh-CN" w:bidi="ar-SA"/>
        </w:rPr>
      </w:pPr>
      <w:r>
        <w:rPr>
          <w:rFonts w:hint="default" w:ascii="Times New Roman" w:hAnsi="Times New Roman" w:cs="Times New Roman" w:eastAsiaTheme="minorEastAsia"/>
          <w:b/>
          <w:bCs/>
          <w:color w:val="auto"/>
          <w:kern w:val="2"/>
          <w:sz w:val="24"/>
          <w:szCs w:val="21"/>
          <w:highlight w:val="none"/>
          <w:lang w:val="en-US" w:eastAsia="zh-CN" w:bidi="ar-SA"/>
        </w:rPr>
        <w:t>柴油</w:t>
      </w:r>
      <w:r>
        <w:rPr>
          <w:rFonts w:hint="default" w:ascii="Times New Roman" w:hAnsi="Times New Roman" w:cs="Times New Roman"/>
          <w:b/>
          <w:bCs/>
          <w:color w:val="auto"/>
          <w:kern w:val="2"/>
          <w:sz w:val="24"/>
          <w:szCs w:val="21"/>
          <w:highlight w:val="none"/>
          <w:lang w:val="en-US" w:eastAsia="zh-CN" w:bidi="ar-SA"/>
        </w:rPr>
        <w:t>：</w:t>
      </w:r>
      <w:r>
        <w:rPr>
          <w:rFonts w:hint="default" w:ascii="Times New Roman" w:hAnsi="Times New Roman" w:cs="Times New Roman"/>
          <w:b w:val="0"/>
          <w:bCs w:val="0"/>
          <w:color w:val="auto"/>
          <w:kern w:val="2"/>
          <w:sz w:val="24"/>
          <w:szCs w:val="21"/>
          <w:highlight w:val="none"/>
          <w:lang w:val="en-US" w:eastAsia="zh-CN" w:bidi="ar-SA"/>
        </w:rPr>
        <w:t>轻质石油产品，复杂烃类（碳原子数约 10~22）混合物。分为轻柴油（沸点范围约 180~370℃）和重柴油（沸点范围约 350~410℃）两大类。易燃易挥发，不溶于水，易溶于醇和其他有机溶剂。易燃，具刺激性，遇明火、高热或与氧化剂接触，有引起燃烧爆炸的危险。若遇高热，容器内压增大，有开裂和爆炸危险。对眼睛、皮肤、黏膜和上呼吸道具有强烈刺激作用。</w:t>
      </w:r>
    </w:p>
    <w:p w14:paraId="607D4DDB">
      <w:pPr>
        <w:ind w:firstLine="480" w:firstLineChars="200"/>
        <w:rPr>
          <w:rFonts w:hint="default" w:ascii="Times New Roman" w:hAnsi="Times New Roman" w:cs="Times New Roman"/>
          <w:b w:val="0"/>
          <w:bCs w:val="0"/>
          <w:color w:val="auto"/>
          <w:kern w:val="2"/>
          <w:sz w:val="24"/>
          <w:szCs w:val="21"/>
          <w:highlight w:val="none"/>
          <w:lang w:val="en-US" w:eastAsia="zh-CN" w:bidi="ar-SA"/>
        </w:rPr>
      </w:pPr>
      <w:r>
        <w:rPr>
          <w:rFonts w:hint="default" w:ascii="Times New Roman" w:hAnsi="Times New Roman" w:cs="Times New Roman"/>
          <w:b/>
          <w:bCs/>
          <w:color w:val="auto"/>
          <w:kern w:val="2"/>
          <w:sz w:val="24"/>
          <w:szCs w:val="21"/>
          <w:highlight w:val="none"/>
          <w:lang w:val="en-US" w:eastAsia="zh-CN" w:bidi="ar-SA"/>
        </w:rPr>
        <w:t>氢氧化钠：</w:t>
      </w:r>
      <w:r>
        <w:rPr>
          <w:rFonts w:hint="default" w:ascii="Times New Roman" w:hAnsi="Times New Roman" w:cs="Times New Roman"/>
          <w:b w:val="0"/>
          <w:bCs w:val="0"/>
          <w:color w:val="auto"/>
          <w:kern w:val="2"/>
          <w:sz w:val="24"/>
          <w:szCs w:val="21"/>
          <w:highlight w:val="none"/>
          <w:lang w:val="en-US" w:eastAsia="zh-CN" w:bidi="ar-SA"/>
        </w:rPr>
        <w:t>白色不透明固体，易潮解，熔点 318.4℃，沸点 1390℃，易溶于水、乙醇、甘油，不溶于丙酮，相对密度（水=1）2.12。不燃；遇水和水蒸气大量放热，形成腐蚀性溶液；与酸发生中和反应并放热；燃烧（分解）产物：可能产生有害的毒性烟雾。本品有强烈刺激和腐蚀性；粉尘或烟雾刺激眼和呼吸道，腐蚀鼻中隔；皮肤和眼直接接触可引起灼伤；误服可造成消化道灼伤，黏膜糜烂、出血和休克。</w:t>
      </w:r>
    </w:p>
    <w:p w14:paraId="5ABF7388">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主要设备</w:t>
      </w:r>
    </w:p>
    <w:p w14:paraId="58A5AE1C">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本项目主要设备见下表</w:t>
      </w:r>
      <w:r>
        <w:rPr>
          <w:rFonts w:hint="default" w:ascii="Times New Roman" w:hAnsi="Times New Roman" w:cs="Times New Roman"/>
          <w:color w:val="auto"/>
          <w:sz w:val="24"/>
          <w:szCs w:val="24"/>
          <w:highlight w:val="none"/>
        </w:rPr>
        <w:t>。</w:t>
      </w:r>
    </w:p>
    <w:p w14:paraId="006A5DB0">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公用及辅助工程</w:t>
      </w:r>
    </w:p>
    <w:p w14:paraId="7CB7F77B">
      <w:pPr>
        <w:pStyle w:val="14"/>
        <w:numPr>
          <w:ilvl w:val="0"/>
          <w:numId w:val="12"/>
        </w:numPr>
        <w:ind w:firstLine="480"/>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给排水</w:t>
      </w:r>
    </w:p>
    <w:p w14:paraId="2CEDFAD2">
      <w:pPr>
        <w:keepNext w:val="0"/>
        <w:keepLines w:val="0"/>
        <w:widowControl/>
        <w:numPr>
          <w:ilvl w:val="0"/>
          <w:numId w:val="13"/>
        </w:numPr>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 xml:space="preserve">给水系统 </w:t>
      </w:r>
    </w:p>
    <w:p w14:paraId="04983FAA">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本项目水源由市政供水。给水管网在厂区内环状布置供给生活、消防用水，市政给水管网水压为 0.25MPa。本项目最高日生活用水量约为28.6m</w:t>
      </w:r>
      <w:r>
        <w:rPr>
          <w:rFonts w:hint="default" w:ascii="Times New Roman" w:hAnsi="Times New Roman" w:eastAsia="宋体" w:cs="Times New Roman"/>
          <w:color w:val="auto"/>
          <w:kern w:val="0"/>
          <w:sz w:val="24"/>
          <w:szCs w:val="24"/>
          <w:highlight w:val="none"/>
          <w:vertAlign w:val="superscript"/>
          <w:lang w:val="en-US" w:eastAsia="zh-CN" w:bidi="ar"/>
        </w:rPr>
        <w:t>3</w:t>
      </w:r>
      <w:r>
        <w:rPr>
          <w:rFonts w:hint="default" w:ascii="Times New Roman" w:hAnsi="Times New Roman" w:eastAsia="宋体" w:cs="Times New Roman"/>
          <w:color w:val="auto"/>
          <w:kern w:val="0"/>
          <w:sz w:val="24"/>
          <w:szCs w:val="24"/>
          <w:highlight w:val="none"/>
          <w:lang w:val="en-US" w:eastAsia="zh-CN" w:bidi="ar"/>
        </w:rPr>
        <w:t>/d，最大时用水量7.15m</w:t>
      </w:r>
      <w:r>
        <w:rPr>
          <w:rFonts w:hint="default" w:ascii="Times New Roman" w:hAnsi="Times New Roman" w:eastAsia="宋体" w:cs="Times New Roman"/>
          <w:color w:val="auto"/>
          <w:kern w:val="0"/>
          <w:sz w:val="24"/>
          <w:szCs w:val="24"/>
          <w:highlight w:val="none"/>
          <w:vertAlign w:val="superscript"/>
          <w:lang w:val="en-US" w:eastAsia="zh-CN" w:bidi="ar"/>
        </w:rPr>
        <w:t>3</w:t>
      </w:r>
      <w:r>
        <w:rPr>
          <w:rFonts w:hint="default" w:ascii="Times New Roman" w:hAnsi="Times New Roman" w:eastAsia="宋体" w:cs="Times New Roman"/>
          <w:color w:val="auto"/>
          <w:kern w:val="0"/>
          <w:sz w:val="24"/>
          <w:szCs w:val="24"/>
          <w:highlight w:val="none"/>
          <w:lang w:val="en-US" w:eastAsia="zh-CN" w:bidi="ar"/>
        </w:rPr>
        <w:t>/h。</w:t>
      </w:r>
    </w:p>
    <w:p w14:paraId="41D4FD90">
      <w:pPr>
        <w:keepNext w:val="0"/>
        <w:keepLines w:val="0"/>
        <w:widowControl/>
        <w:numPr>
          <w:ilvl w:val="0"/>
          <w:numId w:val="13"/>
        </w:numPr>
        <w:suppressLineNumbers w:val="0"/>
        <w:ind w:left="0" w:leftChars="0" w:firstLine="480" w:firstLineChars="200"/>
        <w:jc w:val="left"/>
        <w:rPr>
          <w:rFonts w:hint="default" w:ascii="Times New Roman" w:hAnsi="Times New Roman" w:cs="Times New Roman"/>
          <w:b/>
          <w:bCs/>
          <w:color w:val="auto"/>
          <w:sz w:val="24"/>
          <w:szCs w:val="24"/>
          <w:highlight w:val="none"/>
        </w:rPr>
      </w:pPr>
      <w:r>
        <w:rPr>
          <w:rFonts w:hint="default" w:ascii="Times New Roman" w:hAnsi="Times New Roman" w:eastAsia="宋体" w:cs="Times New Roman"/>
          <w:b/>
          <w:bCs/>
          <w:color w:val="auto"/>
          <w:kern w:val="0"/>
          <w:sz w:val="24"/>
          <w:szCs w:val="24"/>
          <w:highlight w:val="none"/>
          <w:lang w:val="en-US" w:eastAsia="zh-CN" w:bidi="ar"/>
        </w:rPr>
        <w:t xml:space="preserve">排水系统 </w:t>
      </w:r>
    </w:p>
    <w:p w14:paraId="66913123">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本项目排水采用雨污分流制。</w:t>
      </w:r>
    </w:p>
    <w:p w14:paraId="47A68FC2">
      <w:pPr>
        <w:spacing w:line="460" w:lineRule="exact"/>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b/>
          <w:bCs/>
          <w:color w:val="auto"/>
          <w:kern w:val="0"/>
          <w:sz w:val="24"/>
          <w:szCs w:val="24"/>
          <w:highlight w:val="none"/>
          <w:lang w:val="en-US" w:eastAsia="zh-CN" w:bidi="ar"/>
        </w:rPr>
        <w:t>废水：</w:t>
      </w:r>
      <w:r>
        <w:rPr>
          <w:rFonts w:hint="default" w:ascii="Times New Roman" w:hAnsi="Times New Roman" w:eastAsia="宋体" w:cs="Times New Roman"/>
          <w:color w:val="auto"/>
          <w:sz w:val="24"/>
          <w:szCs w:val="24"/>
          <w:highlight w:val="none"/>
          <w:lang w:val="en-US" w:eastAsia="zh-CN"/>
        </w:rPr>
        <w:t>生活污水经化粪池处理后</w:t>
      </w:r>
      <w:r>
        <w:rPr>
          <w:rFonts w:hint="default" w:ascii="Times New Roman" w:hAnsi="Times New Roman" w:eastAsia="宋体" w:cs="Times New Roman"/>
          <w:color w:val="auto"/>
          <w:sz w:val="24"/>
          <w:szCs w:val="24"/>
          <w:highlight w:val="none"/>
        </w:rPr>
        <w:t>排入市政污水管</w:t>
      </w:r>
      <w:r>
        <w:rPr>
          <w:rFonts w:hint="default" w:ascii="Times New Roman" w:hAnsi="Times New Roman" w:eastAsia="宋体" w:cs="Times New Roman"/>
          <w:color w:val="auto"/>
          <w:sz w:val="24"/>
          <w:szCs w:val="24"/>
          <w:highlight w:val="none"/>
          <w:lang w:val="en-US" w:eastAsia="zh-CN"/>
        </w:rPr>
        <w:t>网；</w:t>
      </w:r>
      <w:r>
        <w:rPr>
          <w:rFonts w:hint="default" w:ascii="Times New Roman" w:hAnsi="Times New Roman" w:eastAsia="宋体" w:cs="Times New Roman"/>
          <w:color w:val="auto"/>
          <w:kern w:val="0"/>
          <w:sz w:val="24"/>
          <w:szCs w:val="24"/>
          <w:highlight w:val="none"/>
          <w:lang w:val="en-US" w:eastAsia="zh-CN" w:bidi="ar"/>
        </w:rPr>
        <w:t>生产废水（垃圾渗滤液和垃圾暂存仓冲洗废水）</w:t>
      </w:r>
      <w:r>
        <w:rPr>
          <w:rFonts w:hint="default" w:ascii="Times New Roman" w:hAnsi="Times New Roman" w:eastAsia="宋体" w:cs="Times New Roman"/>
          <w:color w:val="auto"/>
          <w:sz w:val="24"/>
          <w:szCs w:val="24"/>
          <w:highlight w:val="none"/>
        </w:rPr>
        <w:t>经厂区渗滤液收集池</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44</w:t>
      </w:r>
      <w:r>
        <w:rPr>
          <w:rFonts w:hint="default" w:ascii="Times New Roman" w:hAnsi="Times New Roman" w:eastAsia="宋体" w:cs="Times New Roman"/>
          <w:color w:val="auto"/>
          <w:sz w:val="24"/>
          <w:szCs w:val="24"/>
          <w:highlight w:val="none"/>
        </w:rPr>
        <w:t>m</w:t>
      </w:r>
      <w:r>
        <w:rPr>
          <w:rFonts w:hint="default" w:ascii="Times New Roman" w:hAnsi="Times New Roman" w:eastAsia="宋体" w:cs="Times New Roman"/>
          <w:color w:val="auto"/>
          <w:sz w:val="24"/>
          <w:szCs w:val="24"/>
          <w:highlight w:val="none"/>
          <w:vertAlign w:val="superscript"/>
          <w:lang w:val="en-US" w:eastAsia="zh-CN"/>
        </w:rPr>
        <w:t>3</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收集后送入</w:t>
      </w:r>
      <w:r>
        <w:rPr>
          <w:rFonts w:hint="default" w:ascii="Times New Roman" w:hAnsi="Times New Roman" w:eastAsia="宋体" w:cs="Times New Roman"/>
          <w:color w:val="auto"/>
          <w:sz w:val="24"/>
          <w:szCs w:val="24"/>
          <w:highlight w:val="none"/>
          <w:lang w:eastAsia="zh-CN"/>
        </w:rPr>
        <w:t>提升至</w:t>
      </w:r>
      <w:r>
        <w:rPr>
          <w:rFonts w:hint="default" w:ascii="Times New Roman" w:hAnsi="Times New Roman" w:eastAsia="宋体" w:cs="Times New Roman"/>
          <w:color w:val="auto"/>
          <w:sz w:val="24"/>
          <w:szCs w:val="24"/>
          <w:highlight w:val="none"/>
          <w:lang w:val="en-US" w:eastAsia="zh-CN"/>
        </w:rPr>
        <w:t>污水池渗滤液处理系统</w:t>
      </w:r>
      <w:r>
        <w:rPr>
          <w:rFonts w:hint="default" w:ascii="Times New Roman" w:hAnsi="Times New Roman" w:eastAsia="宋体" w:cs="Times New Roman"/>
          <w:color w:val="auto"/>
          <w:sz w:val="24"/>
          <w:szCs w:val="24"/>
          <w:highlight w:val="none"/>
          <w:lang w:eastAsia="zh-CN"/>
        </w:rPr>
        <w:t>进行处理</w:t>
      </w:r>
      <w:r>
        <w:rPr>
          <w:rFonts w:hint="default" w:ascii="Times New Roman" w:hAnsi="Times New Roman" w:eastAsia="宋体" w:cs="Times New Roman"/>
          <w:color w:val="auto"/>
          <w:kern w:val="0"/>
          <w:sz w:val="24"/>
          <w:szCs w:val="24"/>
          <w:highlight w:val="none"/>
          <w:lang w:val="en-US" w:eastAsia="zh-CN" w:bidi="ar"/>
        </w:rPr>
        <w:t>。</w:t>
      </w:r>
    </w:p>
    <w:p w14:paraId="5C375E19">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雨水：</w:t>
      </w:r>
      <w:r>
        <w:rPr>
          <w:rFonts w:hint="default" w:ascii="Times New Roman" w:hAnsi="Times New Roman" w:eastAsia="宋体" w:cs="Times New Roman"/>
          <w:color w:val="auto"/>
          <w:kern w:val="0"/>
          <w:sz w:val="24"/>
          <w:szCs w:val="24"/>
          <w:highlight w:val="none"/>
          <w:lang w:val="en-US" w:eastAsia="zh-CN" w:bidi="ar"/>
        </w:rPr>
        <w:t>雨水排放采用雨水口、雨水检查井、雨水管道及雨水沟相结合的雨水排放方式。屋面雨水经雨水斗收集后，通过雨水立管、排出管排入室外雨水井或雨水口。室外及道路雨水经雨水口收集，经雨水管道排入雨水井。雨水最终经厂区雨水管道排出厂外。对厂区垃圾车运输易造成污染的道路、地磅区域的前15min初期雨水设雨水收集池收集，15min后雨水可切换溢流排入厂区雨水管。</w:t>
      </w:r>
    </w:p>
    <w:p w14:paraId="11546D35">
      <w:pPr>
        <w:pStyle w:val="14"/>
        <w:ind w:firstLine="480"/>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2、循环冷却水系统</w:t>
      </w:r>
    </w:p>
    <w:p w14:paraId="5512A41F">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本项目热解气冷却、炭黑渣冷却、碱液喷淋均需使用冷却水，拟设置1套冷却水循环系统，2个玻璃钢冷却塔和6台水泵均位于气体净化间，最大循环水量为54m</w:t>
      </w:r>
      <w:r>
        <w:rPr>
          <w:rFonts w:hint="default" w:ascii="Times New Roman" w:hAnsi="Times New Roman" w:cs="Times New Roman"/>
          <w:color w:val="auto"/>
          <w:highlight w:val="none"/>
          <w:vertAlign w:val="superscript"/>
          <w:lang w:val="en-US" w:eastAsia="zh-CN"/>
        </w:rPr>
        <w:t>3</w:t>
      </w:r>
      <w:r>
        <w:rPr>
          <w:rFonts w:hint="default" w:ascii="Times New Roman" w:hAnsi="Times New Roman" w:cs="Times New Roman"/>
          <w:color w:val="auto"/>
          <w:highlight w:val="none"/>
          <w:lang w:val="en-US" w:eastAsia="zh-CN"/>
        </w:rPr>
        <w:t>/h，用水时间24h/d，冷却水循环使用不外排。</w:t>
      </w:r>
    </w:p>
    <w:p w14:paraId="169BB251">
      <w:pPr>
        <w:pStyle w:val="14"/>
        <w:ind w:firstLine="480"/>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3、供电</w:t>
      </w:r>
    </w:p>
    <w:p w14:paraId="27FF8A19">
      <w:pPr>
        <w:pStyle w:val="14"/>
        <w:ind w:firstLine="480"/>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lang w:eastAsia="zh-CN"/>
        </w:rPr>
        <w:t>（</w:t>
      </w:r>
      <w:r>
        <w:rPr>
          <w:rFonts w:hint="default" w:ascii="Times New Roman" w:hAnsi="Times New Roman" w:cs="Times New Roman"/>
          <w:b/>
          <w:bCs/>
          <w:color w:val="auto"/>
          <w:highlight w:val="none"/>
          <w:lang w:val="en-US" w:eastAsia="zh-CN"/>
        </w:rPr>
        <w:t>1</w:t>
      </w:r>
      <w:r>
        <w:rPr>
          <w:rFonts w:hint="default" w:ascii="Times New Roman" w:hAnsi="Times New Roman" w:cs="Times New Roman"/>
          <w:b/>
          <w:bCs/>
          <w:color w:val="auto"/>
          <w:highlight w:val="none"/>
          <w:lang w:eastAsia="zh-CN"/>
        </w:rPr>
        <w:t>）</w:t>
      </w:r>
      <w:r>
        <w:rPr>
          <w:rFonts w:hint="default" w:ascii="Times New Roman" w:hAnsi="Times New Roman" w:cs="Times New Roman"/>
          <w:b/>
          <w:bCs/>
          <w:color w:val="auto"/>
          <w:highlight w:val="none"/>
        </w:rPr>
        <w:t>供电电源</w:t>
      </w:r>
    </w:p>
    <w:p w14:paraId="43F5A395">
      <w:pPr>
        <w:pStyle w:val="14"/>
        <w:ind w:firstLine="480"/>
        <w:rPr>
          <w:rFonts w:hint="default" w:ascii="Times New Roman" w:hAnsi="Times New Roman" w:cs="Times New Roman"/>
          <w:color w:val="auto"/>
          <w:highlight w:val="none"/>
        </w:rPr>
      </w:pPr>
      <w:r>
        <w:rPr>
          <w:rFonts w:hint="default" w:ascii="Times New Roman" w:hAnsi="Times New Roman" w:cs="Times New Roman"/>
          <w:b w:val="0"/>
          <w:bCs w:val="0"/>
          <w:color w:val="auto"/>
          <w:highlight w:val="none"/>
          <w:lang w:val="en-US" w:eastAsia="zh-CN"/>
        </w:rPr>
        <w:t>由</w:t>
      </w:r>
      <w:r>
        <w:rPr>
          <w:rFonts w:hint="default" w:ascii="Times New Roman" w:hAnsi="Times New Roman" w:cs="Times New Roman"/>
          <w:color w:val="auto"/>
          <w:highlight w:val="none"/>
        </w:rPr>
        <w:t>市政10KV电网引入两路10KV高压电源至厂区10KV变电站。建筑内部供电为0.4KV低压供电，电源由厂区10KV变电站低压柜引至各单体建筑。</w:t>
      </w:r>
    </w:p>
    <w:p w14:paraId="5393D301">
      <w:pPr>
        <w:pStyle w:val="14"/>
        <w:ind w:firstLine="480"/>
        <w:rPr>
          <w:rFonts w:hint="default" w:ascii="Times New Roman" w:hAnsi="Times New Roman" w:cs="Times New Roman"/>
          <w:b/>
          <w:bCs/>
          <w:color w:val="auto"/>
          <w:kern w:val="2"/>
          <w:sz w:val="24"/>
          <w:szCs w:val="21"/>
          <w:highlight w:val="none"/>
          <w:lang w:val="en-US" w:eastAsia="zh-CN" w:bidi="ar-SA"/>
        </w:rPr>
      </w:pPr>
      <w:r>
        <w:rPr>
          <w:rFonts w:hint="default" w:ascii="Times New Roman" w:hAnsi="Times New Roman" w:cs="Times New Roman"/>
          <w:b/>
          <w:bCs/>
          <w:color w:val="auto"/>
          <w:kern w:val="2"/>
          <w:sz w:val="24"/>
          <w:szCs w:val="21"/>
          <w:highlight w:val="none"/>
          <w:lang w:val="en-US" w:eastAsia="zh-CN" w:bidi="ar-SA"/>
        </w:rPr>
        <w:t>（2）负荷等级</w:t>
      </w:r>
    </w:p>
    <w:p w14:paraId="2F4E9980">
      <w:pPr>
        <w:spacing w:line="460" w:lineRule="exact"/>
        <w:ind w:firstLine="480" w:firstLineChars="200"/>
        <w:rPr>
          <w:rFonts w:hint="default" w:ascii="Times New Roman" w:hAnsi="Times New Roman" w:cs="Times New Roman" w:eastAsiaTheme="minorEastAsia"/>
          <w:b w:val="0"/>
          <w:bCs w:val="0"/>
          <w:color w:val="auto"/>
          <w:kern w:val="2"/>
          <w:sz w:val="24"/>
          <w:szCs w:val="21"/>
          <w:highlight w:val="none"/>
          <w:lang w:val="en-US" w:eastAsia="zh-CN" w:bidi="ar-SA"/>
        </w:rPr>
      </w:pPr>
      <w:r>
        <w:rPr>
          <w:rFonts w:hint="default" w:ascii="Times New Roman" w:hAnsi="Times New Roman" w:cs="Times New Roman" w:eastAsiaTheme="minorEastAsia"/>
          <w:b w:val="0"/>
          <w:bCs w:val="0"/>
          <w:color w:val="auto"/>
          <w:kern w:val="2"/>
          <w:sz w:val="24"/>
          <w:szCs w:val="21"/>
          <w:highlight w:val="none"/>
          <w:lang w:val="en-US" w:eastAsia="zh-CN" w:bidi="ar-SA"/>
        </w:rPr>
        <w:t>本</w:t>
      </w:r>
      <w:r>
        <w:rPr>
          <w:rFonts w:hint="default" w:ascii="Times New Roman" w:hAnsi="Times New Roman" w:cs="Times New Roman"/>
          <w:b w:val="0"/>
          <w:bCs w:val="0"/>
          <w:color w:val="auto"/>
          <w:kern w:val="2"/>
          <w:sz w:val="24"/>
          <w:szCs w:val="21"/>
          <w:highlight w:val="none"/>
          <w:lang w:val="en-US" w:eastAsia="zh-CN" w:bidi="ar-SA"/>
        </w:rPr>
        <w:t>项目</w:t>
      </w:r>
      <w:r>
        <w:rPr>
          <w:rFonts w:hint="default" w:ascii="Times New Roman" w:hAnsi="Times New Roman" w:cs="Times New Roman" w:eastAsiaTheme="minorEastAsia"/>
          <w:b w:val="0"/>
          <w:bCs w:val="0"/>
          <w:color w:val="auto"/>
          <w:kern w:val="2"/>
          <w:sz w:val="24"/>
          <w:szCs w:val="21"/>
          <w:highlight w:val="none"/>
          <w:lang w:val="en-US" w:eastAsia="zh-CN" w:bidi="ar-SA"/>
        </w:rPr>
        <w:t>拟设变配电室，由双重电源供电，且两台变压器低压侧设有母联开关，工程中消防风机、事故风机、应急照明、公共照明等为二级负荷，其他负荷为三级负荷。</w:t>
      </w:r>
    </w:p>
    <w:p w14:paraId="368F7C47">
      <w:pPr>
        <w:spacing w:line="460" w:lineRule="exact"/>
        <w:ind w:firstLine="480" w:firstLineChars="200"/>
        <w:rPr>
          <w:rFonts w:hint="default" w:ascii="Times New Roman" w:hAnsi="Times New Roman" w:cs="Times New Roman" w:eastAsiaTheme="minorEastAsia"/>
          <w:b w:val="0"/>
          <w:bCs w:val="0"/>
          <w:color w:val="auto"/>
          <w:kern w:val="2"/>
          <w:sz w:val="24"/>
          <w:szCs w:val="21"/>
          <w:highlight w:val="none"/>
          <w:lang w:val="en-US" w:eastAsia="zh-CN" w:bidi="ar-SA"/>
        </w:rPr>
      </w:pPr>
      <w:r>
        <w:rPr>
          <w:rFonts w:hint="default" w:ascii="Times New Roman" w:hAnsi="Times New Roman" w:cs="Times New Roman" w:eastAsiaTheme="minorEastAsia"/>
          <w:b w:val="0"/>
          <w:bCs w:val="0"/>
          <w:color w:val="auto"/>
          <w:kern w:val="2"/>
          <w:sz w:val="24"/>
          <w:szCs w:val="21"/>
          <w:highlight w:val="none"/>
          <w:lang w:val="en-US" w:eastAsia="zh-CN" w:bidi="ar-SA"/>
        </w:rPr>
        <w:t>消防用电设备等二级负荷采用双回路专用电缆供电，两路电源引自不同变压器的母线上，在最末一级配电箱设自动切换，应急电源与正常电源之间采取防止并列运行的措施。消防用电设备采用专用的供电回路，当建筑内的生产、生活用电被切断时</w:t>
      </w:r>
      <w:r>
        <w:rPr>
          <w:rFonts w:hint="default" w:ascii="Times New Roman" w:hAnsi="Times New Roman" w:cs="Times New Roman"/>
          <w:b w:val="0"/>
          <w:bCs w:val="0"/>
          <w:color w:val="auto"/>
          <w:kern w:val="2"/>
          <w:sz w:val="24"/>
          <w:szCs w:val="21"/>
          <w:highlight w:val="none"/>
          <w:lang w:val="en-US" w:eastAsia="zh-CN" w:bidi="ar-SA"/>
        </w:rPr>
        <w:t>，</w:t>
      </w:r>
      <w:r>
        <w:rPr>
          <w:rFonts w:hint="default" w:ascii="Times New Roman" w:hAnsi="Times New Roman" w:cs="Times New Roman" w:eastAsiaTheme="minorEastAsia"/>
          <w:b w:val="0"/>
          <w:bCs w:val="0"/>
          <w:color w:val="auto"/>
          <w:kern w:val="2"/>
          <w:sz w:val="24"/>
          <w:szCs w:val="21"/>
          <w:highlight w:val="none"/>
          <w:lang w:val="en-US" w:eastAsia="zh-CN" w:bidi="ar-SA"/>
        </w:rPr>
        <w:t>仍能保证消防用电。</w:t>
      </w:r>
    </w:p>
    <w:p w14:paraId="1EED1C15">
      <w:pPr>
        <w:spacing w:line="460" w:lineRule="exact"/>
        <w:ind w:firstLine="480" w:firstLineChars="200"/>
        <w:jc w:val="left"/>
        <w:rPr>
          <w:rFonts w:hint="default" w:ascii="Times New Roman" w:hAnsi="Times New Roman" w:cs="Times New Roman" w:eastAsiaTheme="minorEastAsia"/>
          <w:b w:val="0"/>
          <w:bCs w:val="0"/>
          <w:color w:val="auto"/>
          <w:kern w:val="2"/>
          <w:sz w:val="24"/>
          <w:szCs w:val="21"/>
          <w:highlight w:val="none"/>
          <w:lang w:val="en-US" w:eastAsia="zh-CN" w:bidi="ar-SA"/>
        </w:rPr>
      </w:pPr>
      <w:r>
        <w:rPr>
          <w:rFonts w:hint="default" w:ascii="Times New Roman" w:hAnsi="Times New Roman" w:cs="Times New Roman" w:eastAsiaTheme="minorEastAsia"/>
          <w:b w:val="0"/>
          <w:bCs w:val="0"/>
          <w:color w:val="auto"/>
          <w:kern w:val="2"/>
          <w:sz w:val="24"/>
          <w:szCs w:val="21"/>
          <w:highlight w:val="none"/>
          <w:lang w:val="en-US" w:eastAsia="zh-CN" w:bidi="ar-SA"/>
        </w:rPr>
        <w:t>建筑负荷用电量共计460kW，其余负荷用电负荷为工业设计部分，共计1105.5kW。</w:t>
      </w:r>
    </w:p>
    <w:p w14:paraId="3F9BAE26">
      <w:pPr>
        <w:spacing w:line="460" w:lineRule="exact"/>
        <w:ind w:firstLine="480" w:firstLineChars="200"/>
        <w:jc w:val="left"/>
        <w:rPr>
          <w:rFonts w:hint="default" w:ascii="Times New Roman" w:hAnsi="Times New Roman" w:cs="Times New Roman" w:eastAsiaTheme="minorEastAsia"/>
          <w:b w:val="0"/>
          <w:bCs w:val="0"/>
          <w:color w:val="auto"/>
          <w:kern w:val="2"/>
          <w:sz w:val="24"/>
          <w:szCs w:val="21"/>
          <w:highlight w:val="none"/>
          <w:lang w:val="en-US" w:eastAsia="zh-CN" w:bidi="ar-SA"/>
        </w:rPr>
      </w:pPr>
      <w:r>
        <w:rPr>
          <w:rFonts w:hint="default" w:ascii="Times New Roman" w:hAnsi="Times New Roman" w:cs="Times New Roman" w:eastAsiaTheme="minorEastAsia"/>
          <w:b w:val="0"/>
          <w:bCs w:val="0"/>
          <w:color w:val="auto"/>
          <w:kern w:val="2"/>
          <w:sz w:val="24"/>
          <w:szCs w:val="21"/>
          <w:highlight w:val="none"/>
          <w:lang w:val="en-US" w:eastAsia="zh-CN" w:bidi="ar-SA"/>
        </w:rPr>
        <w:t>本项目拟在厂区外设置柴油发电机组，发电机油箱自带柴油储存，厂区内不储存柴油。</w:t>
      </w:r>
    </w:p>
    <w:p w14:paraId="747F060D">
      <w:pPr>
        <w:pStyle w:val="14"/>
        <w:ind w:firstLine="480"/>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4、消防</w:t>
      </w:r>
    </w:p>
    <w:p w14:paraId="5E0B6994">
      <w:pPr>
        <w:pStyle w:val="14"/>
        <w:ind w:firstLine="48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（1）消防用水</w:t>
      </w:r>
    </w:p>
    <w:p w14:paraId="643A307C">
      <w:pPr>
        <w:pStyle w:val="14"/>
        <w:ind w:firstLine="480"/>
        <w:rPr>
          <w:rFonts w:hint="default" w:ascii="Times New Roman" w:hAnsi="Times New Roman" w:cs="Times New Roman"/>
          <w:color w:val="auto"/>
          <w:highlight w:val="none"/>
          <w:shd w:val="clear" w:color="auto" w:fill="auto"/>
        </w:rPr>
      </w:pPr>
      <w:r>
        <w:rPr>
          <w:rFonts w:hint="default" w:ascii="Times New Roman" w:hAnsi="Times New Roman" w:cs="Times New Roman"/>
          <w:color w:val="auto"/>
          <w:highlight w:val="none"/>
          <w:shd w:val="clear" w:color="auto" w:fill="auto"/>
        </w:rPr>
        <w:t>主厂房为地上两层、地下一层的甲类厂房，耐火等级为一级，建筑高度为16.5 m。主厂房总建筑面积6127.77m</w:t>
      </w:r>
      <w:r>
        <w:rPr>
          <w:rFonts w:hint="default" w:ascii="Times New Roman" w:hAnsi="Times New Roman" w:cs="Times New Roman"/>
          <w:color w:val="auto"/>
          <w:highlight w:val="none"/>
          <w:shd w:val="clear" w:color="auto" w:fill="auto"/>
          <w:vertAlign w:val="superscript"/>
        </w:rPr>
        <w:t>2</w:t>
      </w:r>
      <w:r>
        <w:rPr>
          <w:rFonts w:hint="default" w:ascii="Times New Roman" w:hAnsi="Times New Roman" w:cs="Times New Roman"/>
          <w:color w:val="auto"/>
          <w:highlight w:val="none"/>
          <w:shd w:val="clear" w:color="auto" w:fill="auto"/>
          <w:lang w:eastAsia="zh-CN"/>
        </w:rPr>
        <w:t>。</w:t>
      </w:r>
      <w:r>
        <w:rPr>
          <w:rFonts w:hint="default" w:ascii="Times New Roman" w:hAnsi="Times New Roman" w:cs="Times New Roman"/>
          <w:color w:val="auto"/>
          <w:highlight w:val="none"/>
          <w:shd w:val="clear" w:color="auto" w:fill="auto"/>
        </w:rPr>
        <w:t>厂房设置自动消防水炮灭火系统。</w:t>
      </w:r>
    </w:p>
    <w:p w14:paraId="21908675">
      <w:pPr>
        <w:pStyle w:val="14"/>
        <w:ind w:firstLine="480"/>
        <w:rPr>
          <w:rFonts w:hint="default" w:ascii="Times New Roman" w:hAnsi="Times New Roman" w:cs="Times New Roman"/>
          <w:color w:val="auto"/>
          <w:highlight w:val="none"/>
          <w:lang w:val="en-US" w:eastAsia="zh-CN"/>
        </w:rPr>
      </w:pPr>
      <w:r>
        <w:rPr>
          <w:rFonts w:hint="default" w:ascii="Times New Roman" w:hAnsi="Times New Roman" w:eastAsia="宋体" w:cs="Times New Roman"/>
          <w:color w:val="auto"/>
          <w:sz w:val="24"/>
          <w:szCs w:val="24"/>
          <w:highlight w:val="none"/>
        </w:rPr>
        <w:t>本项目消防水源为市政自来水，采用一路进水，从地块西南角市政环状管网的给水干管接入1条DN150管道，市政供水压力 ≥ 0.25Mpa。本工程消防用水量按需要同时作用的室内外消防给水用水量之和计算，两座及以上建筑合用时，取最大者，合计864m</w:t>
      </w:r>
      <w:r>
        <w:rPr>
          <w:rFonts w:hint="default" w:ascii="Times New Roman" w:hAnsi="Times New Roman" w:eastAsia="宋体" w:cs="Times New Roman"/>
          <w:color w:val="auto"/>
          <w:sz w:val="24"/>
          <w:szCs w:val="24"/>
          <w:highlight w:val="none"/>
          <w:vertAlign w:val="superscript"/>
        </w:rPr>
        <w:t>3</w:t>
      </w:r>
      <w:r>
        <w:rPr>
          <w:rFonts w:hint="default" w:ascii="Times New Roman" w:hAnsi="Times New Roman" w:cs="Times New Roman"/>
          <w:color w:val="auto"/>
          <w:sz w:val="24"/>
          <w:szCs w:val="24"/>
          <w:highlight w:val="none"/>
          <w:lang w:val="en-US" w:eastAsia="zh-CN"/>
        </w:rPr>
        <w:t>，消防用水量统计</w:t>
      </w:r>
      <w:r>
        <w:rPr>
          <w:rFonts w:hint="default" w:ascii="Times New Roman" w:hAnsi="Times New Roman" w:cs="Times New Roman"/>
          <w:color w:val="auto"/>
          <w:highlight w:val="none"/>
          <w:lang w:val="en-US" w:eastAsia="zh-CN"/>
        </w:rPr>
        <w:t>如下：</w:t>
      </w:r>
    </w:p>
    <w:p w14:paraId="22172592">
      <w:pPr>
        <w:pStyle w:val="14"/>
        <w:kinsoku w:val="0"/>
        <w:overflowPunct w:val="0"/>
        <w:spacing w:before="21" w:beforeLines="0" w:afterLines="0" w:line="240" w:lineRule="auto"/>
        <w:ind w:left="0" w:leftChars="0" w:right="36" w:firstLine="0" w:firstLineChars="0"/>
        <w:jc w:val="center"/>
        <w:rPr>
          <w:rFonts w:hint="default" w:ascii="Times New Roman" w:hAnsi="Times New Roman" w:eastAsia="宋体" w:cs="Times New Roman"/>
          <w:b/>
          <w:color w:val="auto"/>
          <w:kern w:val="2"/>
          <w:sz w:val="21"/>
          <w:szCs w:val="20"/>
          <w:highlight w:val="none"/>
          <w:lang w:val="en-US" w:eastAsia="zh-CN" w:bidi="ar-SA"/>
        </w:rPr>
      </w:pPr>
      <w:r>
        <w:rPr>
          <w:rFonts w:hint="default" w:ascii="Times New Roman" w:hAnsi="Times New Roman" w:eastAsia="宋体" w:cs="Times New Roman"/>
          <w:b/>
          <w:color w:val="auto"/>
          <w:kern w:val="2"/>
          <w:sz w:val="21"/>
          <w:szCs w:val="20"/>
          <w:highlight w:val="none"/>
          <w:lang w:val="en-US" w:eastAsia="zh-CN" w:bidi="ar-SA"/>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3.1</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8</w:t>
      </w:r>
      <w:r>
        <w:rPr>
          <w:rFonts w:hint="default" w:ascii="Times New Roman" w:hAnsi="Times New Roman" w:cs="Times New Roman"/>
          <w:b/>
          <w:bCs/>
          <w:color w:val="auto"/>
          <w:sz w:val="21"/>
          <w:szCs w:val="21"/>
          <w:highlight w:val="none"/>
        </w:rPr>
        <w:fldChar w:fldCharType="end"/>
      </w:r>
      <w:r>
        <w:rPr>
          <w:rFonts w:hint="default" w:ascii="Times New Roman" w:hAnsi="Times New Roman" w:eastAsia="宋体" w:cs="Times New Roman"/>
          <w:b/>
          <w:color w:val="auto"/>
          <w:kern w:val="2"/>
          <w:sz w:val="21"/>
          <w:szCs w:val="20"/>
          <w:highlight w:val="none"/>
          <w:lang w:val="en-US" w:eastAsia="zh-CN" w:bidi="ar-SA"/>
        </w:rPr>
        <w:t xml:space="preserve">  主厂房消防用水计算表</w:t>
      </w:r>
    </w:p>
    <w:tbl>
      <w:tblPr>
        <w:tblStyle w:val="132"/>
        <w:tblW w:w="4997" w:type="pct"/>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0" w:type="dxa"/>
          <w:bottom w:w="0" w:type="dxa"/>
          <w:right w:w="0" w:type="dxa"/>
        </w:tblCellMar>
      </w:tblPr>
      <w:tblGrid>
        <w:gridCol w:w="678"/>
        <w:gridCol w:w="1079"/>
        <w:gridCol w:w="1025"/>
        <w:gridCol w:w="1626"/>
        <w:gridCol w:w="816"/>
        <w:gridCol w:w="998"/>
        <w:gridCol w:w="947"/>
        <w:gridCol w:w="1898"/>
      </w:tblGrid>
      <w:tr w14:paraId="3D36F4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tcBorders>
              <w:left w:val="nil"/>
              <w:bottom w:val="single" w:color="000000" w:sz="4" w:space="0"/>
            </w:tcBorders>
            <w:vAlign w:val="center"/>
          </w:tcPr>
          <w:p w14:paraId="59A5BBE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序号</w:t>
            </w:r>
          </w:p>
        </w:tc>
        <w:tc>
          <w:tcPr>
            <w:tcW w:w="595" w:type="pct"/>
            <w:tcBorders>
              <w:bottom w:val="single" w:color="000000" w:sz="4" w:space="0"/>
            </w:tcBorders>
            <w:vAlign w:val="center"/>
          </w:tcPr>
          <w:p w14:paraId="77914CD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系统类别</w:t>
            </w:r>
          </w:p>
        </w:tc>
        <w:tc>
          <w:tcPr>
            <w:tcW w:w="565" w:type="pct"/>
            <w:tcBorders>
              <w:bottom w:val="single" w:color="000000" w:sz="4" w:space="0"/>
            </w:tcBorders>
            <w:vAlign w:val="center"/>
          </w:tcPr>
          <w:p w14:paraId="05E6A86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火灾危险 等级</w:t>
            </w:r>
          </w:p>
        </w:tc>
        <w:tc>
          <w:tcPr>
            <w:tcW w:w="896" w:type="pct"/>
            <w:tcBorders>
              <w:bottom w:val="single" w:color="000000" w:sz="4" w:space="0"/>
            </w:tcBorders>
            <w:vAlign w:val="center"/>
          </w:tcPr>
          <w:p w14:paraId="0C86125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作用面积（m</w:t>
            </w:r>
            <w:r>
              <w:rPr>
                <w:rFonts w:hint="default" w:ascii="Times New Roman" w:hAnsi="Times New Roman" w:cs="Times New Roman"/>
                <w:b/>
                <w:bCs/>
                <w:color w:val="auto"/>
                <w:sz w:val="20"/>
                <w:szCs w:val="20"/>
                <w:highlight w:val="none"/>
                <w:vertAlign w:val="superscript"/>
                <w:lang w:val="en-US" w:eastAsia="zh-CN"/>
              </w:rPr>
              <w:t>2</w:t>
            </w:r>
            <w:r>
              <w:rPr>
                <w:rFonts w:hint="default" w:ascii="Times New Roman" w:hAnsi="Times New Roman" w:cs="Times New Roman"/>
                <w:b/>
                <w:bCs/>
                <w:color w:val="auto"/>
                <w:sz w:val="20"/>
                <w:szCs w:val="20"/>
                <w:highlight w:val="none"/>
                <w:lang w:val="en-US" w:eastAsia="zh-CN"/>
              </w:rPr>
              <w:t>）喷水强度</w:t>
            </w:r>
          </w:p>
          <w:p w14:paraId="0E23286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（L/min·m</w:t>
            </w:r>
            <w:r>
              <w:rPr>
                <w:rFonts w:hint="default" w:ascii="Times New Roman" w:hAnsi="Times New Roman" w:cs="Times New Roman"/>
                <w:b/>
                <w:bCs/>
                <w:color w:val="auto"/>
                <w:sz w:val="20"/>
                <w:szCs w:val="20"/>
                <w:highlight w:val="none"/>
                <w:vertAlign w:val="superscript"/>
                <w:lang w:val="en-US" w:eastAsia="zh-CN"/>
              </w:rPr>
              <w:t>2</w:t>
            </w:r>
            <w:r>
              <w:rPr>
                <w:rFonts w:hint="default" w:ascii="Times New Roman" w:hAnsi="Times New Roman" w:cs="Times New Roman"/>
                <w:b/>
                <w:bCs/>
                <w:color w:val="auto"/>
                <w:sz w:val="20"/>
                <w:szCs w:val="20"/>
                <w:highlight w:val="none"/>
                <w:lang w:val="en-US" w:eastAsia="zh-CN"/>
              </w:rPr>
              <w:t>）</w:t>
            </w:r>
          </w:p>
        </w:tc>
        <w:tc>
          <w:tcPr>
            <w:tcW w:w="449" w:type="pct"/>
            <w:tcBorders>
              <w:bottom w:val="single" w:color="000000" w:sz="4" w:space="0"/>
            </w:tcBorders>
            <w:vAlign w:val="center"/>
          </w:tcPr>
          <w:p w14:paraId="0C4DE19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火灾延续时间</w:t>
            </w:r>
          </w:p>
          <w:p w14:paraId="443D4A5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（h）</w:t>
            </w:r>
          </w:p>
        </w:tc>
        <w:tc>
          <w:tcPr>
            <w:tcW w:w="550" w:type="pct"/>
            <w:tcBorders>
              <w:bottom w:val="single" w:color="000000" w:sz="4" w:space="0"/>
            </w:tcBorders>
            <w:vAlign w:val="center"/>
          </w:tcPr>
          <w:p w14:paraId="1C251E9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用水量标准（L/s）</w:t>
            </w:r>
          </w:p>
        </w:tc>
        <w:tc>
          <w:tcPr>
            <w:tcW w:w="522" w:type="pct"/>
            <w:tcBorders>
              <w:bottom w:val="single" w:color="000000" w:sz="4" w:space="0"/>
            </w:tcBorders>
            <w:vAlign w:val="center"/>
          </w:tcPr>
          <w:p w14:paraId="1C9B874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用水量（m</w:t>
            </w:r>
            <w:r>
              <w:rPr>
                <w:rFonts w:hint="default" w:ascii="Times New Roman" w:hAnsi="Times New Roman" w:cs="Times New Roman"/>
                <w:b/>
                <w:bCs/>
                <w:color w:val="auto"/>
                <w:sz w:val="20"/>
                <w:szCs w:val="20"/>
                <w:highlight w:val="none"/>
                <w:vertAlign w:val="superscript"/>
                <w:lang w:val="en-US" w:eastAsia="zh-CN"/>
              </w:rPr>
              <w:t>3</w:t>
            </w:r>
            <w:r>
              <w:rPr>
                <w:rFonts w:hint="eastAsia" w:ascii="Times New Roman" w:hAnsi="Times New Roman" w:cs="Times New Roman"/>
                <w:b/>
                <w:bCs/>
                <w:color w:val="auto"/>
                <w:sz w:val="20"/>
                <w:szCs w:val="20"/>
                <w:highlight w:val="none"/>
                <w:lang w:val="en-US" w:eastAsia="zh-CN"/>
              </w:rPr>
              <w:t>）</w:t>
            </w:r>
          </w:p>
        </w:tc>
        <w:tc>
          <w:tcPr>
            <w:tcW w:w="1046" w:type="pct"/>
            <w:tcBorders>
              <w:bottom w:val="single" w:color="000000" w:sz="4" w:space="0"/>
              <w:right w:val="nil"/>
            </w:tcBorders>
            <w:vAlign w:val="center"/>
          </w:tcPr>
          <w:p w14:paraId="7E5DA4A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备注</w:t>
            </w:r>
          </w:p>
          <w:p w14:paraId="6FADF58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bCs/>
                <w:color w:val="auto"/>
                <w:sz w:val="20"/>
                <w:szCs w:val="20"/>
                <w:highlight w:val="none"/>
                <w:lang w:val="en-US" w:eastAsia="zh-CN"/>
              </w:rPr>
            </w:pPr>
            <w:r>
              <w:rPr>
                <w:rFonts w:hint="eastAsia" w:ascii="Times New Roman" w:hAnsi="Times New Roman" w:cs="Times New Roman"/>
                <w:b/>
                <w:bCs/>
                <w:color w:val="auto"/>
                <w:sz w:val="20"/>
                <w:szCs w:val="20"/>
                <w:highlight w:val="none"/>
                <w:lang w:val="en-US" w:eastAsia="zh-CN"/>
              </w:rPr>
              <w:t>（</w:t>
            </w:r>
            <w:r>
              <w:rPr>
                <w:rFonts w:hint="default" w:ascii="Times New Roman" w:hAnsi="Times New Roman" w:cs="Times New Roman"/>
                <w:b/>
                <w:bCs/>
                <w:color w:val="auto"/>
                <w:sz w:val="20"/>
                <w:szCs w:val="20"/>
                <w:highlight w:val="none"/>
                <w:lang w:val="en-US" w:eastAsia="zh-CN"/>
              </w:rPr>
              <w:t>√选）</w:t>
            </w:r>
          </w:p>
        </w:tc>
      </w:tr>
      <w:tr w14:paraId="324B523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vMerge w:val="restart"/>
            <w:tcBorders>
              <w:top w:val="single" w:color="000000" w:sz="4" w:space="0"/>
              <w:left w:val="nil"/>
              <w:bottom w:val="single" w:color="000000" w:sz="4" w:space="0"/>
            </w:tcBorders>
            <w:vAlign w:val="center"/>
          </w:tcPr>
          <w:p w14:paraId="208FC9E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1</w:t>
            </w:r>
          </w:p>
        </w:tc>
        <w:tc>
          <w:tcPr>
            <w:tcW w:w="595" w:type="pct"/>
            <w:vMerge w:val="restart"/>
            <w:tcBorders>
              <w:top w:val="single" w:color="000000" w:sz="4" w:space="0"/>
              <w:bottom w:val="single" w:color="000000" w:sz="4" w:space="0"/>
            </w:tcBorders>
            <w:vAlign w:val="center"/>
          </w:tcPr>
          <w:p w14:paraId="69C087B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室外消火栓</w:t>
            </w:r>
          </w:p>
        </w:tc>
        <w:tc>
          <w:tcPr>
            <w:tcW w:w="565" w:type="pct"/>
            <w:vMerge w:val="restart"/>
            <w:tcBorders>
              <w:top w:val="single" w:color="000000" w:sz="4" w:space="0"/>
              <w:bottom w:val="single" w:color="000000" w:sz="4" w:space="0"/>
            </w:tcBorders>
            <w:vAlign w:val="center"/>
          </w:tcPr>
          <w:p w14:paraId="2D6B977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896" w:type="pct"/>
            <w:vMerge w:val="restart"/>
            <w:tcBorders>
              <w:top w:val="single" w:color="000000" w:sz="4" w:space="0"/>
              <w:bottom w:val="single" w:color="000000" w:sz="4" w:space="0"/>
            </w:tcBorders>
            <w:vAlign w:val="center"/>
          </w:tcPr>
          <w:p w14:paraId="3208EE6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449" w:type="pct"/>
            <w:vMerge w:val="restart"/>
            <w:tcBorders>
              <w:top w:val="single" w:color="000000" w:sz="4" w:space="0"/>
              <w:bottom w:val="single" w:color="000000" w:sz="4" w:space="0"/>
            </w:tcBorders>
            <w:vAlign w:val="center"/>
          </w:tcPr>
          <w:p w14:paraId="5A2BB4D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3</w:t>
            </w:r>
          </w:p>
        </w:tc>
        <w:tc>
          <w:tcPr>
            <w:tcW w:w="550" w:type="pct"/>
            <w:vMerge w:val="restart"/>
            <w:tcBorders>
              <w:top w:val="single" w:color="000000" w:sz="4" w:space="0"/>
              <w:bottom w:val="single" w:color="000000" w:sz="4" w:space="0"/>
            </w:tcBorders>
            <w:vAlign w:val="center"/>
          </w:tcPr>
          <w:p w14:paraId="30A2FA4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40</w:t>
            </w:r>
          </w:p>
        </w:tc>
        <w:tc>
          <w:tcPr>
            <w:tcW w:w="522" w:type="pct"/>
            <w:vMerge w:val="restart"/>
            <w:tcBorders>
              <w:top w:val="single" w:color="000000" w:sz="4" w:space="0"/>
              <w:bottom w:val="single" w:color="000000" w:sz="4" w:space="0"/>
            </w:tcBorders>
            <w:vAlign w:val="center"/>
          </w:tcPr>
          <w:p w14:paraId="762CC95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432</w:t>
            </w:r>
          </w:p>
        </w:tc>
        <w:tc>
          <w:tcPr>
            <w:tcW w:w="1046" w:type="pct"/>
            <w:tcBorders>
              <w:top w:val="single" w:color="000000" w:sz="4" w:space="0"/>
              <w:bottom w:val="single" w:color="000000" w:sz="4" w:space="0"/>
              <w:right w:val="nil"/>
            </w:tcBorders>
            <w:vAlign w:val="center"/>
          </w:tcPr>
          <w:p w14:paraId="3476A51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□市政直供</w:t>
            </w:r>
          </w:p>
        </w:tc>
      </w:tr>
      <w:tr w14:paraId="095F13F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vMerge w:val="continue"/>
            <w:tcBorders>
              <w:top w:val="single" w:color="000000" w:sz="4" w:space="0"/>
              <w:left w:val="nil"/>
              <w:bottom w:val="single" w:color="000000" w:sz="4" w:space="0"/>
            </w:tcBorders>
            <w:vAlign w:val="center"/>
          </w:tcPr>
          <w:p w14:paraId="77F5230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95" w:type="pct"/>
            <w:vMerge w:val="continue"/>
            <w:tcBorders>
              <w:top w:val="single" w:color="000000" w:sz="4" w:space="0"/>
              <w:bottom w:val="single" w:color="000000" w:sz="4" w:space="0"/>
            </w:tcBorders>
            <w:vAlign w:val="center"/>
          </w:tcPr>
          <w:p w14:paraId="05A55CD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65" w:type="pct"/>
            <w:vMerge w:val="continue"/>
            <w:tcBorders>
              <w:top w:val="single" w:color="000000" w:sz="4" w:space="0"/>
              <w:bottom w:val="single" w:color="000000" w:sz="4" w:space="0"/>
            </w:tcBorders>
            <w:vAlign w:val="center"/>
          </w:tcPr>
          <w:p w14:paraId="5865599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896" w:type="pct"/>
            <w:vMerge w:val="continue"/>
            <w:tcBorders>
              <w:top w:val="single" w:color="000000" w:sz="4" w:space="0"/>
              <w:bottom w:val="single" w:color="000000" w:sz="4" w:space="0"/>
            </w:tcBorders>
            <w:vAlign w:val="center"/>
          </w:tcPr>
          <w:p w14:paraId="19F17C8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449" w:type="pct"/>
            <w:vMerge w:val="continue"/>
            <w:tcBorders>
              <w:top w:val="single" w:color="000000" w:sz="4" w:space="0"/>
              <w:bottom w:val="single" w:color="000000" w:sz="4" w:space="0"/>
            </w:tcBorders>
            <w:vAlign w:val="center"/>
          </w:tcPr>
          <w:p w14:paraId="0E63873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50" w:type="pct"/>
            <w:vMerge w:val="continue"/>
            <w:tcBorders>
              <w:top w:val="single" w:color="000000" w:sz="4" w:space="0"/>
              <w:bottom w:val="single" w:color="000000" w:sz="4" w:space="0"/>
            </w:tcBorders>
            <w:vAlign w:val="center"/>
          </w:tcPr>
          <w:p w14:paraId="7655664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22" w:type="pct"/>
            <w:vMerge w:val="continue"/>
            <w:tcBorders>
              <w:top w:val="single" w:color="000000" w:sz="4" w:space="0"/>
              <w:bottom w:val="single" w:color="000000" w:sz="4" w:space="0"/>
            </w:tcBorders>
            <w:vAlign w:val="center"/>
          </w:tcPr>
          <w:p w14:paraId="3094BF9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1046" w:type="pct"/>
            <w:tcBorders>
              <w:top w:val="single" w:color="000000" w:sz="4" w:space="0"/>
              <w:bottom w:val="single" w:color="000000" w:sz="4" w:space="0"/>
              <w:right w:val="nil"/>
            </w:tcBorders>
            <w:vAlign w:val="center"/>
          </w:tcPr>
          <w:p w14:paraId="6CFB4893">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☑消防水池储存</w:t>
            </w:r>
          </w:p>
        </w:tc>
      </w:tr>
      <w:tr w14:paraId="0CC7FAB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vMerge w:val="restart"/>
            <w:tcBorders>
              <w:top w:val="single" w:color="000000" w:sz="4" w:space="0"/>
              <w:left w:val="nil"/>
              <w:bottom w:val="single" w:color="000000" w:sz="4" w:space="0"/>
            </w:tcBorders>
            <w:vAlign w:val="center"/>
          </w:tcPr>
          <w:p w14:paraId="03F84E1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2</w:t>
            </w:r>
          </w:p>
        </w:tc>
        <w:tc>
          <w:tcPr>
            <w:tcW w:w="595" w:type="pct"/>
            <w:vMerge w:val="restart"/>
            <w:tcBorders>
              <w:top w:val="single" w:color="000000" w:sz="4" w:space="0"/>
              <w:bottom w:val="single" w:color="000000" w:sz="4" w:space="0"/>
            </w:tcBorders>
            <w:vAlign w:val="center"/>
          </w:tcPr>
          <w:p w14:paraId="273B8DA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室内消火栓</w:t>
            </w:r>
          </w:p>
        </w:tc>
        <w:tc>
          <w:tcPr>
            <w:tcW w:w="565" w:type="pct"/>
            <w:vMerge w:val="restart"/>
            <w:tcBorders>
              <w:top w:val="single" w:color="000000" w:sz="4" w:space="0"/>
              <w:bottom w:val="single" w:color="000000" w:sz="4" w:space="0"/>
            </w:tcBorders>
            <w:vAlign w:val="center"/>
          </w:tcPr>
          <w:p w14:paraId="1A71597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896" w:type="pct"/>
            <w:vMerge w:val="restart"/>
            <w:tcBorders>
              <w:top w:val="single" w:color="000000" w:sz="4" w:space="0"/>
              <w:bottom w:val="single" w:color="000000" w:sz="4" w:space="0"/>
            </w:tcBorders>
            <w:vAlign w:val="center"/>
          </w:tcPr>
          <w:p w14:paraId="60A58CA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449" w:type="pct"/>
            <w:vMerge w:val="restart"/>
            <w:tcBorders>
              <w:top w:val="single" w:color="000000" w:sz="4" w:space="0"/>
              <w:bottom w:val="single" w:color="000000" w:sz="4" w:space="0"/>
            </w:tcBorders>
            <w:vAlign w:val="center"/>
          </w:tcPr>
          <w:p w14:paraId="6D5735E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3</w:t>
            </w:r>
          </w:p>
        </w:tc>
        <w:tc>
          <w:tcPr>
            <w:tcW w:w="550" w:type="pct"/>
            <w:vMerge w:val="restart"/>
            <w:tcBorders>
              <w:top w:val="single" w:color="000000" w:sz="4" w:space="0"/>
              <w:bottom w:val="single" w:color="000000" w:sz="4" w:space="0"/>
            </w:tcBorders>
            <w:vAlign w:val="center"/>
          </w:tcPr>
          <w:p w14:paraId="2DC0F4F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20</w:t>
            </w:r>
          </w:p>
        </w:tc>
        <w:tc>
          <w:tcPr>
            <w:tcW w:w="522" w:type="pct"/>
            <w:vMerge w:val="restart"/>
            <w:tcBorders>
              <w:top w:val="single" w:color="000000" w:sz="4" w:space="0"/>
              <w:bottom w:val="single" w:color="000000" w:sz="4" w:space="0"/>
            </w:tcBorders>
            <w:vAlign w:val="center"/>
          </w:tcPr>
          <w:p w14:paraId="4557313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216</w:t>
            </w:r>
          </w:p>
        </w:tc>
        <w:tc>
          <w:tcPr>
            <w:tcW w:w="1046" w:type="pct"/>
            <w:tcBorders>
              <w:top w:val="single" w:color="000000" w:sz="4" w:space="0"/>
              <w:bottom w:val="single" w:color="000000" w:sz="4" w:space="0"/>
              <w:right w:val="nil"/>
            </w:tcBorders>
            <w:vAlign w:val="center"/>
          </w:tcPr>
          <w:p w14:paraId="67698DB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□市政直供</w:t>
            </w:r>
          </w:p>
        </w:tc>
      </w:tr>
      <w:tr w14:paraId="5231793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vMerge w:val="continue"/>
            <w:tcBorders>
              <w:top w:val="single" w:color="000000" w:sz="4" w:space="0"/>
              <w:left w:val="nil"/>
              <w:bottom w:val="single" w:color="000000" w:sz="4" w:space="0"/>
            </w:tcBorders>
            <w:vAlign w:val="center"/>
          </w:tcPr>
          <w:p w14:paraId="2D9E3CA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95" w:type="pct"/>
            <w:vMerge w:val="continue"/>
            <w:tcBorders>
              <w:top w:val="single" w:color="000000" w:sz="4" w:space="0"/>
              <w:bottom w:val="single" w:color="000000" w:sz="4" w:space="0"/>
            </w:tcBorders>
            <w:vAlign w:val="center"/>
          </w:tcPr>
          <w:p w14:paraId="1463761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65" w:type="pct"/>
            <w:vMerge w:val="continue"/>
            <w:tcBorders>
              <w:top w:val="single" w:color="000000" w:sz="4" w:space="0"/>
              <w:bottom w:val="single" w:color="000000" w:sz="4" w:space="0"/>
            </w:tcBorders>
            <w:vAlign w:val="center"/>
          </w:tcPr>
          <w:p w14:paraId="22706F3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896" w:type="pct"/>
            <w:vMerge w:val="continue"/>
            <w:tcBorders>
              <w:top w:val="single" w:color="000000" w:sz="4" w:space="0"/>
              <w:bottom w:val="single" w:color="000000" w:sz="4" w:space="0"/>
            </w:tcBorders>
            <w:vAlign w:val="center"/>
          </w:tcPr>
          <w:p w14:paraId="53A6FD0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449" w:type="pct"/>
            <w:vMerge w:val="continue"/>
            <w:tcBorders>
              <w:top w:val="single" w:color="000000" w:sz="4" w:space="0"/>
              <w:bottom w:val="single" w:color="000000" w:sz="4" w:space="0"/>
            </w:tcBorders>
            <w:vAlign w:val="center"/>
          </w:tcPr>
          <w:p w14:paraId="004DAC8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50" w:type="pct"/>
            <w:vMerge w:val="continue"/>
            <w:tcBorders>
              <w:top w:val="single" w:color="000000" w:sz="4" w:space="0"/>
              <w:bottom w:val="single" w:color="000000" w:sz="4" w:space="0"/>
            </w:tcBorders>
            <w:vAlign w:val="center"/>
          </w:tcPr>
          <w:p w14:paraId="29E8463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22" w:type="pct"/>
            <w:vMerge w:val="continue"/>
            <w:tcBorders>
              <w:top w:val="single" w:color="000000" w:sz="4" w:space="0"/>
              <w:bottom w:val="single" w:color="000000" w:sz="4" w:space="0"/>
            </w:tcBorders>
            <w:vAlign w:val="center"/>
          </w:tcPr>
          <w:p w14:paraId="55EC37F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1046" w:type="pct"/>
            <w:tcBorders>
              <w:top w:val="single" w:color="000000" w:sz="4" w:space="0"/>
              <w:bottom w:val="single" w:color="000000" w:sz="4" w:space="0"/>
              <w:right w:val="nil"/>
            </w:tcBorders>
            <w:vAlign w:val="center"/>
          </w:tcPr>
          <w:p w14:paraId="79F71F7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☑消防水池储存</w:t>
            </w:r>
          </w:p>
        </w:tc>
      </w:tr>
      <w:tr w14:paraId="4E26DE1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vMerge w:val="restart"/>
            <w:tcBorders>
              <w:top w:val="single" w:color="000000" w:sz="4" w:space="0"/>
              <w:left w:val="nil"/>
              <w:bottom w:val="single" w:color="000000" w:sz="4" w:space="0"/>
            </w:tcBorders>
            <w:vAlign w:val="center"/>
          </w:tcPr>
          <w:p w14:paraId="10431D6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3</w:t>
            </w:r>
          </w:p>
        </w:tc>
        <w:tc>
          <w:tcPr>
            <w:tcW w:w="595" w:type="pct"/>
            <w:vMerge w:val="restart"/>
            <w:tcBorders>
              <w:top w:val="single" w:color="000000" w:sz="4" w:space="0"/>
              <w:bottom w:val="single" w:color="000000" w:sz="4" w:space="0"/>
            </w:tcBorders>
            <w:vAlign w:val="center"/>
          </w:tcPr>
          <w:p w14:paraId="202DFD7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消防水炮系 统</w:t>
            </w:r>
          </w:p>
        </w:tc>
        <w:tc>
          <w:tcPr>
            <w:tcW w:w="565" w:type="pct"/>
            <w:vMerge w:val="restart"/>
            <w:tcBorders>
              <w:top w:val="single" w:color="000000" w:sz="4" w:space="0"/>
              <w:bottom w:val="single" w:color="000000" w:sz="4" w:space="0"/>
            </w:tcBorders>
            <w:vAlign w:val="center"/>
          </w:tcPr>
          <w:p w14:paraId="0B3891A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896" w:type="pct"/>
            <w:vMerge w:val="restart"/>
            <w:tcBorders>
              <w:top w:val="single" w:color="000000" w:sz="4" w:space="0"/>
              <w:bottom w:val="single" w:color="000000" w:sz="4" w:space="0"/>
            </w:tcBorders>
            <w:vAlign w:val="center"/>
          </w:tcPr>
          <w:p w14:paraId="0D6D342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449" w:type="pct"/>
            <w:vMerge w:val="restart"/>
            <w:tcBorders>
              <w:top w:val="single" w:color="000000" w:sz="4" w:space="0"/>
              <w:bottom w:val="single" w:color="000000" w:sz="4" w:space="0"/>
            </w:tcBorders>
            <w:vAlign w:val="center"/>
          </w:tcPr>
          <w:p w14:paraId="7C8247E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1</w:t>
            </w:r>
          </w:p>
        </w:tc>
        <w:tc>
          <w:tcPr>
            <w:tcW w:w="550" w:type="pct"/>
            <w:vMerge w:val="restart"/>
            <w:tcBorders>
              <w:top w:val="single" w:color="000000" w:sz="4" w:space="0"/>
              <w:bottom w:val="single" w:color="000000" w:sz="4" w:space="0"/>
            </w:tcBorders>
            <w:vAlign w:val="center"/>
          </w:tcPr>
          <w:p w14:paraId="6C15A35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60</w:t>
            </w:r>
          </w:p>
        </w:tc>
        <w:tc>
          <w:tcPr>
            <w:tcW w:w="522" w:type="pct"/>
            <w:vMerge w:val="restart"/>
            <w:tcBorders>
              <w:top w:val="single" w:color="000000" w:sz="4" w:space="0"/>
              <w:bottom w:val="single" w:color="000000" w:sz="4" w:space="0"/>
            </w:tcBorders>
            <w:vAlign w:val="center"/>
          </w:tcPr>
          <w:p w14:paraId="35B6B59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216</w:t>
            </w:r>
          </w:p>
        </w:tc>
        <w:tc>
          <w:tcPr>
            <w:tcW w:w="1046" w:type="pct"/>
            <w:tcBorders>
              <w:top w:val="single" w:color="000000" w:sz="4" w:space="0"/>
              <w:bottom w:val="single" w:color="000000" w:sz="4" w:space="0"/>
              <w:right w:val="nil"/>
            </w:tcBorders>
            <w:vAlign w:val="center"/>
          </w:tcPr>
          <w:p w14:paraId="25F3091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□市政直供</w:t>
            </w:r>
          </w:p>
        </w:tc>
      </w:tr>
      <w:tr w14:paraId="563B270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vMerge w:val="continue"/>
            <w:tcBorders>
              <w:top w:val="single" w:color="000000" w:sz="4" w:space="0"/>
              <w:left w:val="nil"/>
              <w:bottom w:val="single" w:color="000000" w:sz="4" w:space="0"/>
            </w:tcBorders>
            <w:vAlign w:val="center"/>
          </w:tcPr>
          <w:p w14:paraId="24AD569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95" w:type="pct"/>
            <w:vMerge w:val="continue"/>
            <w:tcBorders>
              <w:top w:val="single" w:color="000000" w:sz="4" w:space="0"/>
              <w:bottom w:val="single" w:color="000000" w:sz="4" w:space="0"/>
            </w:tcBorders>
            <w:vAlign w:val="center"/>
          </w:tcPr>
          <w:p w14:paraId="1F80D8A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65" w:type="pct"/>
            <w:vMerge w:val="continue"/>
            <w:tcBorders>
              <w:top w:val="single" w:color="000000" w:sz="4" w:space="0"/>
              <w:bottom w:val="single" w:color="000000" w:sz="4" w:space="0"/>
            </w:tcBorders>
            <w:vAlign w:val="center"/>
          </w:tcPr>
          <w:p w14:paraId="519AB2C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896" w:type="pct"/>
            <w:vMerge w:val="continue"/>
            <w:tcBorders>
              <w:top w:val="single" w:color="000000" w:sz="4" w:space="0"/>
              <w:bottom w:val="single" w:color="000000" w:sz="4" w:space="0"/>
            </w:tcBorders>
            <w:vAlign w:val="center"/>
          </w:tcPr>
          <w:p w14:paraId="67ECFA4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449" w:type="pct"/>
            <w:vMerge w:val="continue"/>
            <w:tcBorders>
              <w:top w:val="single" w:color="000000" w:sz="4" w:space="0"/>
              <w:bottom w:val="single" w:color="000000" w:sz="4" w:space="0"/>
            </w:tcBorders>
            <w:vAlign w:val="center"/>
          </w:tcPr>
          <w:p w14:paraId="3932B5A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50" w:type="pct"/>
            <w:vMerge w:val="continue"/>
            <w:tcBorders>
              <w:top w:val="single" w:color="000000" w:sz="4" w:space="0"/>
              <w:bottom w:val="single" w:color="000000" w:sz="4" w:space="0"/>
            </w:tcBorders>
            <w:vAlign w:val="center"/>
          </w:tcPr>
          <w:p w14:paraId="7B7825B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22" w:type="pct"/>
            <w:vMerge w:val="continue"/>
            <w:tcBorders>
              <w:top w:val="single" w:color="000000" w:sz="4" w:space="0"/>
              <w:bottom w:val="single" w:color="000000" w:sz="4" w:space="0"/>
            </w:tcBorders>
            <w:vAlign w:val="center"/>
          </w:tcPr>
          <w:p w14:paraId="48D91FE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1046" w:type="pct"/>
            <w:tcBorders>
              <w:top w:val="single" w:color="000000" w:sz="4" w:space="0"/>
              <w:bottom w:val="single" w:color="000000" w:sz="4" w:space="0"/>
              <w:right w:val="nil"/>
            </w:tcBorders>
            <w:vAlign w:val="center"/>
          </w:tcPr>
          <w:p w14:paraId="3EB7FA6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☑消防水池储存</w:t>
            </w:r>
          </w:p>
        </w:tc>
      </w:tr>
      <w:tr w14:paraId="67D3A6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tcBorders>
              <w:top w:val="single" w:color="000000" w:sz="4" w:space="0"/>
              <w:left w:val="nil"/>
              <w:bottom w:val="single" w:color="000000" w:sz="4" w:space="0"/>
            </w:tcBorders>
            <w:vAlign w:val="center"/>
          </w:tcPr>
          <w:p w14:paraId="42CA2F2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4</w:t>
            </w:r>
          </w:p>
        </w:tc>
        <w:tc>
          <w:tcPr>
            <w:tcW w:w="595" w:type="pct"/>
            <w:tcBorders>
              <w:top w:val="single" w:color="000000" w:sz="4" w:space="0"/>
              <w:bottom w:val="single" w:color="000000" w:sz="4" w:space="0"/>
            </w:tcBorders>
            <w:vAlign w:val="center"/>
          </w:tcPr>
          <w:p w14:paraId="357F9A7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其他</w:t>
            </w:r>
          </w:p>
        </w:tc>
        <w:tc>
          <w:tcPr>
            <w:tcW w:w="565" w:type="pct"/>
            <w:tcBorders>
              <w:top w:val="single" w:color="000000" w:sz="4" w:space="0"/>
              <w:bottom w:val="single" w:color="000000" w:sz="4" w:space="0"/>
            </w:tcBorders>
            <w:vAlign w:val="center"/>
          </w:tcPr>
          <w:p w14:paraId="7D36AA8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896" w:type="pct"/>
            <w:tcBorders>
              <w:top w:val="single" w:color="000000" w:sz="4" w:space="0"/>
              <w:bottom w:val="single" w:color="000000" w:sz="4" w:space="0"/>
            </w:tcBorders>
            <w:vAlign w:val="center"/>
          </w:tcPr>
          <w:p w14:paraId="0D7D6DC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449" w:type="pct"/>
            <w:tcBorders>
              <w:top w:val="single" w:color="000000" w:sz="4" w:space="0"/>
              <w:bottom w:val="single" w:color="000000" w:sz="4" w:space="0"/>
            </w:tcBorders>
            <w:vAlign w:val="center"/>
          </w:tcPr>
          <w:p w14:paraId="59B5D8E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50" w:type="pct"/>
            <w:tcBorders>
              <w:top w:val="single" w:color="000000" w:sz="4" w:space="0"/>
              <w:bottom w:val="single" w:color="000000" w:sz="4" w:space="0"/>
            </w:tcBorders>
            <w:vAlign w:val="center"/>
          </w:tcPr>
          <w:p w14:paraId="578D1A9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22" w:type="pct"/>
            <w:tcBorders>
              <w:top w:val="single" w:color="000000" w:sz="4" w:space="0"/>
              <w:bottom w:val="single" w:color="000000" w:sz="4" w:space="0"/>
            </w:tcBorders>
            <w:vAlign w:val="center"/>
          </w:tcPr>
          <w:p w14:paraId="6ADA13B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1046" w:type="pct"/>
            <w:tcBorders>
              <w:top w:val="single" w:color="000000" w:sz="4" w:space="0"/>
              <w:bottom w:val="single" w:color="000000" w:sz="4" w:space="0"/>
              <w:right w:val="nil"/>
            </w:tcBorders>
            <w:vAlign w:val="center"/>
          </w:tcPr>
          <w:p w14:paraId="44D7537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r>
      <w:tr w14:paraId="12E5167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74" w:type="pct"/>
            <w:tcBorders>
              <w:top w:val="single" w:color="000000" w:sz="4" w:space="0"/>
              <w:left w:val="nil"/>
            </w:tcBorders>
            <w:vAlign w:val="center"/>
          </w:tcPr>
          <w:p w14:paraId="21241E8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5</w:t>
            </w:r>
          </w:p>
        </w:tc>
        <w:tc>
          <w:tcPr>
            <w:tcW w:w="595" w:type="pct"/>
            <w:tcBorders>
              <w:top w:val="single" w:color="000000" w:sz="4" w:space="0"/>
            </w:tcBorders>
            <w:vAlign w:val="center"/>
          </w:tcPr>
          <w:p w14:paraId="4CD2E1B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合计</w:t>
            </w:r>
          </w:p>
        </w:tc>
        <w:tc>
          <w:tcPr>
            <w:tcW w:w="1911" w:type="pct"/>
            <w:gridSpan w:val="3"/>
            <w:tcBorders>
              <w:top w:val="single" w:color="000000" w:sz="4" w:space="0"/>
            </w:tcBorders>
            <w:vAlign w:val="center"/>
          </w:tcPr>
          <w:p w14:paraId="7B326D5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50" w:type="pct"/>
            <w:tcBorders>
              <w:top w:val="single" w:color="000000" w:sz="4" w:space="0"/>
            </w:tcBorders>
            <w:vAlign w:val="center"/>
          </w:tcPr>
          <w:p w14:paraId="4567F86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p>
        </w:tc>
        <w:tc>
          <w:tcPr>
            <w:tcW w:w="522" w:type="pct"/>
            <w:tcBorders>
              <w:top w:val="single" w:color="000000" w:sz="4" w:space="0"/>
            </w:tcBorders>
            <w:vAlign w:val="center"/>
          </w:tcPr>
          <w:p w14:paraId="0615B11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864</w:t>
            </w:r>
          </w:p>
        </w:tc>
        <w:tc>
          <w:tcPr>
            <w:tcW w:w="1046" w:type="pct"/>
            <w:tcBorders>
              <w:top w:val="single" w:color="000000" w:sz="4" w:space="0"/>
              <w:right w:val="nil"/>
            </w:tcBorders>
            <w:vAlign w:val="center"/>
          </w:tcPr>
          <w:p w14:paraId="269189D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水池储水 864m</w:t>
            </w:r>
            <w:r>
              <w:rPr>
                <w:rFonts w:hint="default" w:ascii="Times New Roman" w:hAnsi="Times New Roman" w:cs="Times New Roman"/>
                <w:color w:val="auto"/>
                <w:sz w:val="20"/>
                <w:szCs w:val="20"/>
                <w:highlight w:val="none"/>
                <w:vertAlign w:val="superscript"/>
                <w:lang w:val="en-US" w:eastAsia="zh-CN"/>
              </w:rPr>
              <w:t>3</w:t>
            </w:r>
          </w:p>
        </w:tc>
      </w:tr>
    </w:tbl>
    <w:p w14:paraId="417EB6A2">
      <w:pPr>
        <w:pStyle w:val="14"/>
        <w:ind w:firstLine="48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（2）室内消火栓系统</w:t>
      </w:r>
    </w:p>
    <w:p w14:paraId="7247AD0C">
      <w:pPr>
        <w:pStyle w:val="14"/>
        <w:numPr>
          <w:ilvl w:val="0"/>
          <w:numId w:val="0"/>
        </w:numPr>
        <w:ind w:firstLine="480" w:firstLineChars="200"/>
        <w:rPr>
          <w:rFonts w:hint="default" w:ascii="Times New Roman" w:hAnsi="Times New Roman" w:cs="Times New Roman"/>
          <w:color w:val="auto"/>
          <w:highlight w:val="none"/>
        </w:rPr>
      </w:pPr>
      <w:r>
        <w:rPr>
          <w:rFonts w:hint="default" w:ascii="Times New Roman" w:hAnsi="Times New Roman" w:eastAsia="宋体" w:cs="Times New Roman"/>
          <w:color w:val="auto"/>
          <w:szCs w:val="28"/>
          <w:highlight w:val="none"/>
        </w:rPr>
        <w:t>本工程室内消火栓系统设计用水量216m</w:t>
      </w:r>
      <w:r>
        <w:rPr>
          <w:rFonts w:hint="default" w:ascii="Times New Roman" w:hAnsi="Times New Roman" w:eastAsia="宋体" w:cs="Times New Roman"/>
          <w:color w:val="auto"/>
          <w:szCs w:val="28"/>
          <w:highlight w:val="none"/>
          <w:vertAlign w:val="superscript"/>
        </w:rPr>
        <w:t>3</w:t>
      </w:r>
      <w:r>
        <w:rPr>
          <w:rFonts w:hint="default" w:ascii="Times New Roman" w:hAnsi="Times New Roman" w:eastAsia="宋体" w:cs="Times New Roman"/>
          <w:color w:val="auto"/>
          <w:szCs w:val="28"/>
          <w:highlight w:val="none"/>
        </w:rPr>
        <w:t>。室内消火栓用水量为20L/S，火灾延续时间3h，室内消火栓给水管网上下连成环状管网。室内采用临时高压消防栓灭火系统。设有消防贮水池，有效容积为864m</w:t>
      </w:r>
      <w:r>
        <w:rPr>
          <w:rFonts w:hint="default" w:ascii="Times New Roman" w:hAnsi="Times New Roman" w:eastAsia="宋体" w:cs="Times New Roman"/>
          <w:color w:val="auto"/>
          <w:szCs w:val="28"/>
          <w:highlight w:val="none"/>
          <w:vertAlign w:val="superscript"/>
        </w:rPr>
        <w:t>3</w:t>
      </w:r>
      <w:r>
        <w:rPr>
          <w:rFonts w:hint="default" w:ascii="Times New Roman" w:hAnsi="Times New Roman" w:eastAsia="宋体" w:cs="Times New Roman"/>
          <w:color w:val="auto"/>
          <w:szCs w:val="28"/>
          <w:highlight w:val="none"/>
        </w:rPr>
        <w:t>，有效水深4.8m，分为2座。消防水池设于地下一层，消火栓加压给水泵设于地下一层消防泵房内，设2台室内消火栓泵。室内消火栓泵参数：Q=60L/s，H=62m，2台，一用一备。各层均设消火栓进行保护。其布置保证室内任何一处，均有2股水柱同时到达。</w:t>
      </w:r>
    </w:p>
    <w:p w14:paraId="6CB83E3D">
      <w:pPr>
        <w:pStyle w:val="14"/>
        <w:ind w:firstLine="48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（3）室外消火栓系统</w:t>
      </w:r>
    </w:p>
    <w:p w14:paraId="387D12BE">
      <w:pPr>
        <w:pStyle w:val="14"/>
        <w:numPr>
          <w:ilvl w:val="0"/>
          <w:numId w:val="0"/>
        </w:numPr>
        <w:ind w:firstLine="480" w:firstLineChars="200"/>
        <w:rPr>
          <w:rFonts w:hint="default" w:ascii="Times New Roman" w:hAnsi="Times New Roman" w:eastAsia="宋体" w:cs="Times New Roman"/>
          <w:color w:val="auto"/>
          <w:szCs w:val="28"/>
          <w:highlight w:val="none"/>
          <w:lang w:val="en-US" w:eastAsia="zh-CN"/>
        </w:rPr>
      </w:pPr>
      <w:r>
        <w:rPr>
          <w:rFonts w:hint="default" w:ascii="Times New Roman" w:hAnsi="Times New Roman" w:eastAsia="宋体" w:cs="Times New Roman"/>
          <w:color w:val="auto"/>
          <w:szCs w:val="28"/>
          <w:highlight w:val="none"/>
          <w:lang w:val="en-US" w:eastAsia="zh-CN"/>
        </w:rPr>
        <w:t>主厂房：室外消火栓用水量为40L/s，火灾延续时间3h，室外消火栓不应少于3个，每个室外消火栓出水量按15L/S计。</w:t>
      </w:r>
    </w:p>
    <w:p w14:paraId="4CD34BBE">
      <w:pPr>
        <w:pStyle w:val="14"/>
        <w:numPr>
          <w:ilvl w:val="0"/>
          <w:numId w:val="0"/>
        </w:numPr>
        <w:ind w:firstLine="480" w:firstLineChars="200"/>
        <w:rPr>
          <w:rFonts w:hint="default" w:ascii="Times New Roman" w:hAnsi="Times New Roman" w:eastAsia="宋体" w:cs="Times New Roman"/>
          <w:color w:val="auto"/>
          <w:szCs w:val="28"/>
          <w:highlight w:val="none"/>
        </w:rPr>
      </w:pPr>
      <w:r>
        <w:rPr>
          <w:rFonts w:hint="default" w:ascii="Times New Roman" w:hAnsi="Times New Roman" w:eastAsia="宋体" w:cs="Times New Roman"/>
          <w:color w:val="auto"/>
          <w:szCs w:val="28"/>
          <w:highlight w:val="none"/>
        </w:rPr>
        <w:t>废品库：室外消火栓用水量为15L/S，室外消火栓不应少于2个</w:t>
      </w:r>
      <w:r>
        <w:rPr>
          <w:rFonts w:hint="default" w:ascii="Times New Roman" w:hAnsi="Times New Roman" w:eastAsia="宋体" w:cs="Times New Roman"/>
          <w:color w:val="auto"/>
          <w:szCs w:val="28"/>
          <w:highlight w:val="none"/>
          <w:lang w:eastAsia="zh-CN"/>
        </w:rPr>
        <w:t>，</w:t>
      </w:r>
      <w:r>
        <w:rPr>
          <w:rFonts w:hint="default" w:ascii="Times New Roman" w:hAnsi="Times New Roman" w:eastAsia="宋体" w:cs="Times New Roman"/>
          <w:color w:val="auto"/>
          <w:szCs w:val="28"/>
          <w:highlight w:val="none"/>
        </w:rPr>
        <w:t>每个室外水量按10L/S计。</w:t>
      </w:r>
    </w:p>
    <w:p w14:paraId="659A6B57">
      <w:pPr>
        <w:pStyle w:val="14"/>
        <w:numPr>
          <w:ilvl w:val="0"/>
          <w:numId w:val="0"/>
        </w:numPr>
        <w:ind w:firstLine="480" w:firstLineChars="200"/>
        <w:rPr>
          <w:rFonts w:hint="default" w:ascii="Times New Roman" w:hAnsi="Times New Roman" w:eastAsia="宋体" w:cs="Times New Roman"/>
          <w:color w:val="auto"/>
          <w:szCs w:val="28"/>
          <w:highlight w:val="none"/>
        </w:rPr>
      </w:pPr>
      <w:r>
        <w:rPr>
          <w:rFonts w:hint="default" w:ascii="Times New Roman" w:hAnsi="Times New Roman" w:eastAsia="宋体" w:cs="Times New Roman"/>
          <w:color w:val="auto"/>
          <w:szCs w:val="28"/>
          <w:highlight w:val="none"/>
        </w:rPr>
        <w:t>室外消火栓用水由地下消防水泵房和地下消防水池提供，室内外消火栓泵合用。室外消防水池设于地下一层，取水口规格DN300，消防水池最低有效水位距室外地面高差0.5m，其有效容积为864m</w:t>
      </w:r>
      <w:r>
        <w:rPr>
          <w:rFonts w:hint="default" w:ascii="Times New Roman" w:hAnsi="Times New Roman" w:eastAsia="宋体" w:cs="Times New Roman"/>
          <w:color w:val="auto"/>
          <w:szCs w:val="28"/>
          <w:highlight w:val="none"/>
          <w:vertAlign w:val="superscript"/>
        </w:rPr>
        <w:t>3</w:t>
      </w:r>
      <w:r>
        <w:rPr>
          <w:rFonts w:hint="default" w:ascii="Times New Roman" w:hAnsi="Times New Roman" w:eastAsia="宋体" w:cs="Times New Roman"/>
          <w:color w:val="auto"/>
          <w:szCs w:val="28"/>
          <w:highlight w:val="none"/>
        </w:rPr>
        <w:t>；室外消火栓泵设于地下一层，技术参数：Q=60L/s，H=62m，两台，互为备用。室外消火栓，间距不超过120m，距道路边距离不大于2m，距建筑物外墙距离不小于5m。建筑消防扑救面一侧的室外消火栓数量不少于2个。</w:t>
      </w:r>
    </w:p>
    <w:p w14:paraId="63B28EE3">
      <w:pPr>
        <w:pStyle w:val="14"/>
        <w:ind w:firstLine="480"/>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（4）火灾自动报警系统</w:t>
      </w:r>
    </w:p>
    <w:p w14:paraId="4565901D">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本工程设火灾自动报警及消防联动控制系统，系统形式为集中报警系统，由火灾探测器、手动火灾报警按钮、火灾声光警报器、消防应急广播、消防专用电话、消防控制室图形显示装置、火灾报警控制器、消防联动控制器等组成。</w:t>
      </w:r>
    </w:p>
    <w:p w14:paraId="39134D51">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总平面布置合理性</w:t>
      </w:r>
    </w:p>
    <w:p w14:paraId="2ACC247D">
      <w:pPr>
        <w:pStyle w:val="14"/>
        <w:ind w:firstLine="482"/>
        <w:rPr>
          <w:rFonts w:hint="default" w:ascii="Times New Roman" w:hAnsi="Times New Roman" w:cs="Times New Roman"/>
          <w:b/>
          <w:bCs/>
          <w:color w:val="auto"/>
          <w:sz w:val="24"/>
          <w:highlight w:val="none"/>
          <w:lang w:val="en-US" w:eastAsia="zh-CN"/>
        </w:rPr>
      </w:pPr>
      <w:r>
        <w:rPr>
          <w:rFonts w:hint="default" w:ascii="Times New Roman" w:hAnsi="Times New Roman" w:cs="Times New Roman"/>
          <w:b/>
          <w:bCs/>
          <w:color w:val="auto"/>
          <w:sz w:val="24"/>
          <w:highlight w:val="none"/>
          <w:lang w:val="en-US" w:eastAsia="zh-CN"/>
        </w:rPr>
        <w:t>1、总平面布置原则</w:t>
      </w:r>
    </w:p>
    <w:p w14:paraId="0DFB008D">
      <w:pPr>
        <w:pStyle w:val="14"/>
        <w:ind w:firstLine="482"/>
        <w:rPr>
          <w:rFonts w:hint="default" w:ascii="Times New Roman" w:hAnsi="Times New Roman" w:cs="Times New Roman"/>
          <w:b w:val="0"/>
          <w:bCs w:val="0"/>
          <w:color w:val="auto"/>
          <w:sz w:val="24"/>
          <w:highlight w:val="none"/>
          <w:lang w:val="en-US" w:eastAsia="zh-CN"/>
        </w:rPr>
      </w:pPr>
      <w:r>
        <w:rPr>
          <w:rFonts w:hint="default" w:ascii="Times New Roman" w:hAnsi="Times New Roman" w:cs="Times New Roman"/>
          <w:b w:val="0"/>
          <w:bCs w:val="0"/>
          <w:color w:val="auto"/>
          <w:sz w:val="24"/>
          <w:highlight w:val="none"/>
          <w:lang w:val="en-US" w:eastAsia="zh-CN"/>
        </w:rPr>
        <w:t>本项目为剑阁县新建城乡生活垃圾无害化处理设施，设计遵循城市景观美化、厂区作业高效理念，展开规划设计，除满足单体厂房自身功能需求外，关注厂区整体长期发展。</w:t>
      </w:r>
    </w:p>
    <w:p w14:paraId="1E5AE6A1">
      <w:pPr>
        <w:pStyle w:val="14"/>
        <w:ind w:firstLine="482"/>
        <w:rPr>
          <w:rFonts w:hint="default" w:ascii="Times New Roman" w:hAnsi="Times New Roman" w:cs="Times New Roman"/>
          <w:b/>
          <w:bCs/>
          <w:color w:val="auto"/>
          <w:sz w:val="24"/>
          <w:highlight w:val="none"/>
          <w:lang w:val="en-US" w:eastAsia="zh-CN"/>
        </w:rPr>
      </w:pPr>
      <w:r>
        <w:rPr>
          <w:rFonts w:hint="default" w:ascii="Times New Roman" w:hAnsi="Times New Roman" w:cs="Times New Roman"/>
          <w:b/>
          <w:bCs/>
          <w:color w:val="auto"/>
          <w:sz w:val="24"/>
          <w:highlight w:val="none"/>
          <w:lang w:val="en-US" w:eastAsia="zh-CN"/>
        </w:rPr>
        <w:t>2、总平面布置</w:t>
      </w:r>
    </w:p>
    <w:p w14:paraId="1617D2B3">
      <w:pPr>
        <w:pStyle w:val="14"/>
        <w:ind w:firstLine="482"/>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本项目位于剑阁县普安镇垃圾填埋场（填埋区南侧），总用地面积9958.17m</w:t>
      </w:r>
      <w:r>
        <w:rPr>
          <w:rFonts w:hint="default" w:ascii="Times New Roman" w:hAnsi="Times New Roman" w:cs="Times New Roman"/>
          <w:color w:val="auto"/>
          <w:sz w:val="24"/>
          <w:highlight w:val="none"/>
          <w:vertAlign w:val="superscript"/>
          <w:lang w:val="en-US" w:eastAsia="zh-CN"/>
        </w:rPr>
        <w:t>2</w:t>
      </w:r>
      <w:r>
        <w:rPr>
          <w:rFonts w:hint="default" w:ascii="Times New Roman" w:hAnsi="Times New Roman" w:cs="Times New Roman"/>
          <w:color w:val="auto"/>
          <w:sz w:val="24"/>
          <w:highlight w:val="none"/>
          <w:lang w:val="en-US" w:eastAsia="zh-CN"/>
        </w:rPr>
        <w:t>（14.94亩），项目</w:t>
      </w:r>
      <w:r>
        <w:rPr>
          <w:rFonts w:hint="default" w:ascii="Times New Roman" w:hAnsi="Times New Roman" w:cs="Times New Roman"/>
          <w:color w:val="auto"/>
          <w:sz w:val="24"/>
          <w:szCs w:val="24"/>
          <w:highlight w:val="none"/>
          <w:lang w:val="en-US" w:eastAsia="zh-CN"/>
        </w:rPr>
        <w:t>用地形状不规则，</w:t>
      </w:r>
      <w:r>
        <w:rPr>
          <w:rFonts w:hint="default" w:ascii="Times New Roman" w:hAnsi="Times New Roman" w:cs="Times New Roman"/>
          <w:color w:val="auto"/>
          <w:sz w:val="24"/>
          <w:highlight w:val="none"/>
          <w:lang w:val="en-US" w:eastAsia="zh-CN"/>
        </w:rPr>
        <w:t>存在较大高差，整体西南高，东北低。</w:t>
      </w:r>
    </w:p>
    <w:p w14:paraId="20D1CA99">
      <w:pPr>
        <w:pStyle w:val="14"/>
        <w:ind w:firstLine="482"/>
        <w:rPr>
          <w:rFonts w:hint="default" w:ascii="Times New Roman" w:hAnsi="Times New Roman" w:cs="Times New Roman"/>
          <w:snapToGrid w:val="0"/>
          <w:color w:val="auto"/>
          <w:sz w:val="24"/>
          <w:szCs w:val="24"/>
          <w:highlight w:val="none"/>
        </w:rPr>
      </w:pPr>
      <w:r>
        <w:rPr>
          <w:rFonts w:hint="default" w:ascii="Times New Roman" w:hAnsi="Times New Roman" w:cs="Times New Roman"/>
          <w:color w:val="auto"/>
          <w:sz w:val="24"/>
          <w:szCs w:val="24"/>
          <w:highlight w:val="none"/>
          <w:lang w:val="en-US" w:eastAsia="zh-CN"/>
        </w:rPr>
        <w:t>本项目在厂区西侧建设主厂房1栋，</w:t>
      </w:r>
      <w:r>
        <w:rPr>
          <w:rFonts w:hint="default" w:ascii="Times New Roman" w:hAnsi="Times New Roman" w:cs="Times New Roman"/>
          <w:snapToGrid w:val="0"/>
          <w:color w:val="auto"/>
          <w:highlight w:val="none"/>
        </w:rPr>
        <w:t>建筑占地面积4084.36m</w:t>
      </w:r>
      <w:r>
        <w:rPr>
          <w:rFonts w:hint="default" w:ascii="Times New Roman" w:hAnsi="Times New Roman" w:cs="Times New Roman"/>
          <w:snapToGrid w:val="0"/>
          <w:color w:val="auto"/>
          <w:highlight w:val="none"/>
          <w:vertAlign w:val="superscript"/>
        </w:rPr>
        <w:t>2</w:t>
      </w:r>
      <w:r>
        <w:rPr>
          <w:rFonts w:hint="default" w:ascii="Times New Roman" w:hAnsi="Times New Roman" w:cs="Times New Roman"/>
          <w:snapToGrid w:val="0"/>
          <w:color w:val="auto"/>
          <w:highlight w:val="none"/>
        </w:rPr>
        <w:t>，建筑面积6127.77m</w:t>
      </w:r>
      <w:r>
        <w:rPr>
          <w:rFonts w:hint="default" w:ascii="Times New Roman" w:hAnsi="Times New Roman" w:cs="Times New Roman"/>
          <w:snapToGrid w:val="0"/>
          <w:color w:val="auto"/>
          <w:highlight w:val="none"/>
          <w:vertAlign w:val="superscript"/>
        </w:rPr>
        <w:t>2</w:t>
      </w:r>
      <w:r>
        <w:rPr>
          <w:rFonts w:hint="default" w:ascii="Times New Roman" w:hAnsi="Times New Roman" w:cs="Times New Roman"/>
          <w:snapToGrid w:val="0"/>
          <w:color w:val="auto"/>
          <w:sz w:val="24"/>
          <w:szCs w:val="24"/>
          <w:highlight w:val="none"/>
          <w:lang w:eastAsia="zh-CN"/>
        </w:rPr>
        <w:t>。</w:t>
      </w:r>
      <w:r>
        <w:rPr>
          <w:rFonts w:hint="default" w:ascii="Times New Roman" w:hAnsi="Times New Roman" w:cs="Times New Roman"/>
          <w:snapToGrid w:val="0"/>
          <w:color w:val="auto"/>
          <w:sz w:val="24"/>
          <w:szCs w:val="24"/>
          <w:highlight w:val="none"/>
          <w:lang w:val="en-US" w:eastAsia="zh-CN"/>
        </w:rPr>
        <w:t>为满足安全生产需要，</w:t>
      </w:r>
      <w:r>
        <w:rPr>
          <w:rFonts w:hint="default" w:ascii="Times New Roman" w:hAnsi="Times New Roman" w:cs="Times New Roman"/>
          <w:snapToGrid w:val="0"/>
          <w:color w:val="auto"/>
          <w:sz w:val="24"/>
          <w:szCs w:val="24"/>
          <w:highlight w:val="none"/>
        </w:rPr>
        <w:t>项目配套建设了气闸间，</w:t>
      </w:r>
      <w:r>
        <w:rPr>
          <w:rFonts w:hint="default" w:ascii="Times New Roman" w:hAnsi="Times New Roman" w:cs="Times New Roman"/>
          <w:color w:val="auto"/>
          <w:sz w:val="24"/>
          <w:highlight w:val="none"/>
          <w:lang w:val="en-US" w:eastAsia="zh-CN"/>
        </w:rPr>
        <w:t>面积为159 m</w:t>
      </w:r>
      <w:r>
        <w:rPr>
          <w:rFonts w:hint="default" w:ascii="Times New Roman" w:hAnsi="Times New Roman" w:cs="Times New Roman"/>
          <w:color w:val="auto"/>
          <w:sz w:val="24"/>
          <w:highlight w:val="none"/>
          <w:vertAlign w:val="superscript"/>
          <w:lang w:val="en-US" w:eastAsia="zh-CN"/>
        </w:rPr>
        <w:t>2</w:t>
      </w:r>
      <w:r>
        <w:rPr>
          <w:rFonts w:hint="default" w:ascii="Times New Roman" w:hAnsi="Times New Roman" w:cs="Times New Roman"/>
          <w:color w:val="auto"/>
          <w:sz w:val="24"/>
          <w:highlight w:val="none"/>
          <w:lang w:val="en-US" w:eastAsia="zh-CN"/>
        </w:rPr>
        <w:t>，</w:t>
      </w:r>
      <w:r>
        <w:rPr>
          <w:rFonts w:hint="default" w:ascii="Times New Roman" w:hAnsi="Times New Roman" w:cs="Times New Roman"/>
          <w:snapToGrid w:val="0"/>
          <w:color w:val="auto"/>
          <w:sz w:val="24"/>
          <w:szCs w:val="24"/>
          <w:highlight w:val="none"/>
        </w:rPr>
        <w:t>贴临主厂房建造；污水池</w:t>
      </w:r>
      <w:r>
        <w:rPr>
          <w:rFonts w:hint="default" w:ascii="Times New Roman" w:hAnsi="Times New Roman" w:cs="Times New Roman"/>
          <w:snapToGrid w:val="0"/>
          <w:color w:val="auto"/>
          <w:sz w:val="24"/>
          <w:szCs w:val="24"/>
          <w:highlight w:val="none"/>
          <w:lang w:val="en-US" w:eastAsia="zh-CN"/>
        </w:rPr>
        <w:t>1个</w:t>
      </w:r>
      <w:r>
        <w:rPr>
          <w:rFonts w:hint="default" w:ascii="Times New Roman" w:hAnsi="Times New Roman" w:cs="Times New Roman"/>
          <w:snapToGrid w:val="0"/>
          <w:color w:val="auto"/>
          <w:sz w:val="24"/>
          <w:szCs w:val="24"/>
          <w:highlight w:val="none"/>
        </w:rPr>
        <w:t>，面积91.16m</w:t>
      </w:r>
      <w:r>
        <w:rPr>
          <w:rFonts w:hint="default" w:ascii="Times New Roman" w:hAnsi="Times New Roman" w:cs="Times New Roman"/>
          <w:snapToGrid w:val="0"/>
          <w:color w:val="auto"/>
          <w:sz w:val="24"/>
          <w:szCs w:val="24"/>
          <w:highlight w:val="none"/>
          <w:vertAlign w:val="superscript"/>
        </w:rPr>
        <w:t>2</w:t>
      </w:r>
      <w:r>
        <w:rPr>
          <w:rFonts w:hint="default" w:ascii="Times New Roman" w:hAnsi="Times New Roman" w:cs="Times New Roman"/>
          <w:snapToGrid w:val="0"/>
          <w:color w:val="auto"/>
          <w:sz w:val="24"/>
          <w:szCs w:val="24"/>
          <w:highlight w:val="none"/>
        </w:rPr>
        <w:t>，位于</w:t>
      </w:r>
      <w:r>
        <w:rPr>
          <w:rFonts w:hint="default" w:ascii="Times New Roman" w:hAnsi="Times New Roman" w:cs="Times New Roman"/>
          <w:snapToGrid w:val="0"/>
          <w:color w:val="auto"/>
          <w:sz w:val="24"/>
          <w:szCs w:val="24"/>
          <w:highlight w:val="none"/>
          <w:lang w:val="en-US" w:eastAsia="zh-CN"/>
        </w:rPr>
        <w:t>厂区</w:t>
      </w:r>
      <w:r>
        <w:rPr>
          <w:rFonts w:hint="default" w:ascii="Times New Roman" w:hAnsi="Times New Roman" w:cs="Times New Roman"/>
          <w:snapToGrid w:val="0"/>
          <w:color w:val="auto"/>
          <w:sz w:val="24"/>
          <w:szCs w:val="24"/>
          <w:highlight w:val="none"/>
        </w:rPr>
        <w:t>北侧；废品库</w:t>
      </w:r>
      <w:r>
        <w:rPr>
          <w:rFonts w:hint="default" w:ascii="Times New Roman" w:hAnsi="Times New Roman" w:cs="Times New Roman"/>
          <w:snapToGrid w:val="0"/>
          <w:color w:val="auto"/>
          <w:sz w:val="24"/>
          <w:szCs w:val="24"/>
          <w:highlight w:val="none"/>
          <w:lang w:val="en-US" w:eastAsia="zh-CN"/>
        </w:rPr>
        <w:t>1栋</w:t>
      </w:r>
      <w:r>
        <w:rPr>
          <w:rFonts w:hint="default" w:ascii="Times New Roman" w:hAnsi="Times New Roman" w:cs="Times New Roman"/>
          <w:snapToGrid w:val="0"/>
          <w:color w:val="auto"/>
          <w:sz w:val="24"/>
          <w:szCs w:val="24"/>
          <w:highlight w:val="none"/>
        </w:rPr>
        <w:t>，面积91.16m</w:t>
      </w:r>
      <w:r>
        <w:rPr>
          <w:rFonts w:hint="default" w:ascii="Times New Roman" w:hAnsi="Times New Roman" w:cs="Times New Roman"/>
          <w:snapToGrid w:val="0"/>
          <w:color w:val="auto"/>
          <w:sz w:val="24"/>
          <w:szCs w:val="24"/>
          <w:highlight w:val="none"/>
          <w:vertAlign w:val="superscript"/>
        </w:rPr>
        <w:t>2</w:t>
      </w:r>
      <w:r>
        <w:rPr>
          <w:rFonts w:hint="default" w:ascii="Times New Roman" w:hAnsi="Times New Roman" w:cs="Times New Roman"/>
          <w:snapToGrid w:val="0"/>
          <w:color w:val="auto"/>
          <w:sz w:val="24"/>
          <w:szCs w:val="24"/>
          <w:highlight w:val="none"/>
        </w:rPr>
        <w:t>，位于</w:t>
      </w:r>
      <w:r>
        <w:rPr>
          <w:rFonts w:hint="default" w:ascii="Times New Roman" w:hAnsi="Times New Roman" w:cs="Times New Roman"/>
          <w:snapToGrid w:val="0"/>
          <w:color w:val="auto"/>
          <w:sz w:val="24"/>
          <w:szCs w:val="24"/>
          <w:highlight w:val="none"/>
          <w:lang w:val="en-US" w:eastAsia="zh-CN"/>
        </w:rPr>
        <w:t>厂区</w:t>
      </w:r>
      <w:r>
        <w:rPr>
          <w:rFonts w:hint="default" w:ascii="Times New Roman" w:hAnsi="Times New Roman" w:cs="Times New Roman"/>
          <w:snapToGrid w:val="0"/>
          <w:color w:val="auto"/>
          <w:sz w:val="24"/>
          <w:szCs w:val="24"/>
          <w:highlight w:val="none"/>
        </w:rPr>
        <w:t>北侧；气柜1</w:t>
      </w:r>
      <w:r>
        <w:rPr>
          <w:rFonts w:hint="default" w:ascii="Times New Roman" w:hAnsi="Times New Roman" w:cs="Times New Roman"/>
          <w:snapToGrid w:val="0"/>
          <w:color w:val="auto"/>
          <w:sz w:val="24"/>
          <w:szCs w:val="24"/>
          <w:highlight w:val="none"/>
          <w:lang w:val="en-US" w:eastAsia="zh-CN"/>
        </w:rPr>
        <w:t>个</w:t>
      </w:r>
      <w:r>
        <w:rPr>
          <w:rFonts w:hint="default" w:ascii="Times New Roman" w:hAnsi="Times New Roman" w:cs="Times New Roman"/>
          <w:snapToGrid w:val="0"/>
          <w:color w:val="auto"/>
          <w:sz w:val="24"/>
          <w:szCs w:val="24"/>
          <w:highlight w:val="none"/>
        </w:rPr>
        <w:t>2000m³，位于</w:t>
      </w:r>
      <w:r>
        <w:rPr>
          <w:rFonts w:hint="default" w:ascii="Times New Roman" w:hAnsi="Times New Roman" w:cs="Times New Roman"/>
          <w:snapToGrid w:val="0"/>
          <w:color w:val="auto"/>
          <w:sz w:val="24"/>
          <w:szCs w:val="24"/>
          <w:highlight w:val="none"/>
          <w:lang w:val="en-US" w:eastAsia="zh-CN"/>
        </w:rPr>
        <w:t>厂区</w:t>
      </w:r>
      <w:r>
        <w:rPr>
          <w:rFonts w:hint="default" w:ascii="Times New Roman" w:hAnsi="Times New Roman" w:cs="Times New Roman"/>
          <w:snapToGrid w:val="0"/>
          <w:color w:val="auto"/>
          <w:sz w:val="24"/>
          <w:szCs w:val="24"/>
          <w:highlight w:val="none"/>
        </w:rPr>
        <w:t>东北侧。</w:t>
      </w:r>
    </w:p>
    <w:p w14:paraId="23F8A9BE">
      <w:pPr>
        <w:pStyle w:val="14"/>
        <w:ind w:firstLine="482"/>
        <w:rPr>
          <w:rFonts w:hint="default" w:ascii="Times New Roman" w:hAnsi="Times New Roman" w:eastAsia="宋体" w:cs="Times New Roman"/>
          <w:color w:val="auto"/>
          <w:sz w:val="24"/>
          <w:szCs w:val="24"/>
          <w:highlight w:val="none"/>
        </w:rPr>
      </w:pPr>
      <w:r>
        <w:rPr>
          <w:rFonts w:hint="default" w:ascii="Times New Roman" w:hAnsi="Times New Roman" w:cs="Times New Roman"/>
          <w:color w:val="auto"/>
          <w:sz w:val="24"/>
          <w:szCs w:val="24"/>
          <w:highlight w:val="none"/>
          <w:lang w:val="en-US" w:eastAsia="zh-CN"/>
        </w:rPr>
        <w:t>主厂房主要功能为垃圾处理，建筑尺寸为100.6 m×40.6m，</w:t>
      </w:r>
      <w:r>
        <w:rPr>
          <w:rFonts w:hint="default" w:ascii="Times New Roman" w:hAnsi="Times New Roman" w:cs="Times New Roman"/>
          <w:snapToGrid w:val="0"/>
          <w:color w:val="auto"/>
          <w:sz w:val="24"/>
          <w:szCs w:val="24"/>
          <w:highlight w:val="none"/>
        </w:rPr>
        <w:t>建筑面积6127.77m</w:t>
      </w:r>
      <w:r>
        <w:rPr>
          <w:rFonts w:hint="default" w:ascii="Times New Roman" w:hAnsi="Times New Roman" w:cs="Times New Roman"/>
          <w:snapToGrid w:val="0"/>
          <w:color w:val="auto"/>
          <w:sz w:val="24"/>
          <w:szCs w:val="24"/>
          <w:highlight w:val="none"/>
          <w:vertAlign w:val="superscript"/>
        </w:rPr>
        <w:t>2</w:t>
      </w:r>
      <w:r>
        <w:rPr>
          <w:rFonts w:hint="default" w:ascii="Times New Roman" w:hAnsi="Times New Roman" w:eastAsia="宋体" w:cs="Times New Roman"/>
          <w:color w:val="auto"/>
          <w:sz w:val="24"/>
          <w:szCs w:val="24"/>
          <w:highlight w:val="none"/>
        </w:rPr>
        <w:t>（地上主体面积</w:t>
      </w:r>
      <w:r>
        <w:rPr>
          <w:rFonts w:hint="default"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5803.41m</w:t>
      </w:r>
      <w:r>
        <w:rPr>
          <w:rFonts w:hint="default" w:ascii="Times New Roman" w:hAnsi="Times New Roman" w:eastAsia="宋体" w:cs="Times New Roman"/>
          <w:color w:val="auto"/>
          <w:sz w:val="24"/>
          <w:szCs w:val="24"/>
          <w:highlight w:val="none"/>
          <w:vertAlign w:val="superscript"/>
        </w:rPr>
        <w:t>2</w:t>
      </w:r>
      <w:r>
        <w:rPr>
          <w:rFonts w:hint="default" w:ascii="Times New Roman" w:hAnsi="Times New Roman" w:eastAsia="宋体" w:cs="Times New Roman"/>
          <w:color w:val="auto"/>
          <w:sz w:val="24"/>
          <w:szCs w:val="24"/>
          <w:highlight w:val="none"/>
        </w:rPr>
        <w:t>，地下消防泵房＋水池面积：324.36m</w:t>
      </w:r>
      <w:r>
        <w:rPr>
          <w:rFonts w:hint="default" w:ascii="Times New Roman" w:hAnsi="Times New Roman" w:eastAsia="宋体" w:cs="Times New Roman"/>
          <w:color w:val="auto"/>
          <w:sz w:val="24"/>
          <w:szCs w:val="24"/>
          <w:highlight w:val="none"/>
          <w:vertAlign w:val="superscript"/>
        </w:rPr>
        <w:t>2</w:t>
      </w:r>
      <w:r>
        <w:rPr>
          <w:rFonts w:hint="default" w:ascii="Times New Roman" w:hAnsi="Times New Roman" w:eastAsia="宋体" w:cs="Times New Roman"/>
          <w:color w:val="auto"/>
          <w:sz w:val="24"/>
          <w:szCs w:val="24"/>
          <w:highlight w:val="none"/>
        </w:rPr>
        <w:t>），为局部两层建筑</w:t>
      </w:r>
      <w:r>
        <w:rPr>
          <w:rFonts w:hint="default" w:ascii="Times New Roman" w:hAnsi="Times New Roman" w:cs="Times New Roman"/>
          <w:color w:val="auto"/>
          <w:sz w:val="24"/>
          <w:szCs w:val="24"/>
          <w:highlight w:val="none"/>
          <w:lang w:val="en-US" w:eastAsia="zh-CN"/>
        </w:rPr>
        <w:t>，建筑高度为16.5m，设计高程为647m。建筑分为东西两部分，</w:t>
      </w:r>
      <w:r>
        <w:rPr>
          <w:rFonts w:hint="default" w:ascii="Times New Roman" w:hAnsi="Times New Roman" w:eastAsia="宋体" w:cs="Times New Roman"/>
          <w:color w:val="auto"/>
          <w:szCs w:val="21"/>
          <w:highlight w:val="none"/>
        </w:rPr>
        <w:t>西部为钢筋混凝土框架结构，一层采用砌块填</w:t>
      </w:r>
      <w:r>
        <w:rPr>
          <w:rFonts w:hint="default" w:ascii="Times New Roman" w:hAnsi="Times New Roman" w:cs="Times New Roman"/>
          <w:color w:val="auto"/>
          <w:sz w:val="24"/>
          <w:szCs w:val="24"/>
          <w:highlight w:val="none"/>
          <w:lang w:val="en-US" w:eastAsia="zh-CN"/>
        </w:rPr>
        <w:t>充墙，二层采用压型钢板墙面，楼面为现浇混凝土楼板，轻钢屋面；东部一层地下用做储存垃圾，上部采用钢筋混凝土柱子，轻钢屋面。其中缓存仓位于主厂房东部，为两层通高，并下挖9m；气体净化室位于主厂房西部，为两层通高；主厂房一层层高8.0 m，功能包括气闸间、预处理区、筛下物区、碳渣加工区、消防控制室、排烟机房；二层层高8.5 m，功能包括大厅</w:t>
      </w:r>
      <w:r>
        <w:rPr>
          <w:rFonts w:hint="default" w:ascii="Times New Roman" w:hAnsi="Times New Roman" w:eastAsia="宋体" w:cs="Times New Roman"/>
          <w:color w:val="auto"/>
          <w:sz w:val="24"/>
          <w:szCs w:val="24"/>
          <w:highlight w:val="none"/>
        </w:rPr>
        <w:t>、疏散厅、设备间、除臭设备间、检修间、操作设备间、主机车间；地下一层功能包括循环水池、消防水池、消防水泵房、渗沥液收集池。</w:t>
      </w:r>
    </w:p>
    <w:p w14:paraId="5D44D3CA">
      <w:pPr>
        <w:ind w:firstLine="480" w:firstLineChars="200"/>
        <w:rPr>
          <w:rFonts w:hint="default" w:ascii="Times New Roman" w:hAnsi="Times New Roman" w:cs="Times New Roman"/>
          <w:color w:val="auto"/>
          <w:sz w:val="24"/>
          <w:highlight w:val="none"/>
          <w:lang w:val="en-US" w:eastAsia="zh-CN"/>
        </w:rPr>
      </w:pPr>
      <w:r>
        <w:rPr>
          <w:rFonts w:hint="default" w:ascii="Times New Roman" w:hAnsi="Times New Roman" w:eastAsia="宋体" w:cs="Times New Roman"/>
          <w:color w:val="auto"/>
          <w:sz w:val="24"/>
          <w:szCs w:val="24"/>
          <w:highlight w:val="none"/>
          <w:lang w:val="en-US" w:eastAsia="zh-CN"/>
        </w:rPr>
        <w:t>厂区</w:t>
      </w:r>
      <w:r>
        <w:rPr>
          <w:rFonts w:hint="default" w:ascii="Times New Roman" w:hAnsi="Times New Roman" w:eastAsia="宋体" w:cs="Times New Roman"/>
          <w:color w:val="auto"/>
          <w:sz w:val="24"/>
          <w:szCs w:val="24"/>
          <w:highlight w:val="none"/>
        </w:rPr>
        <w:t>内沿建筑南北长边布置消防车道，消防车道宽度大于4m，转弯半径不小于 9m，坡度不宜大于8%。其中南侧消防道路为用地原有道路改造，南北道路用坡度不大于 8%的消防道路连接，满足消防车通行要求。场地出入口分别设置在西南侧和东侧，方便消防车辆进出紧邻厂区消防通道。</w:t>
      </w:r>
      <w:r>
        <w:rPr>
          <w:rFonts w:hint="default" w:ascii="Times New Roman" w:hAnsi="Times New Roman" w:cs="Times New Roman"/>
          <w:color w:val="auto"/>
          <w:sz w:val="24"/>
          <w:highlight w:val="none"/>
          <w:lang w:val="en-US" w:eastAsia="zh-CN"/>
        </w:rPr>
        <w:t>在主厂房东侧的平台上布置货车停车位3个和小汽车停车位4个。为称量方便，地磅及地磅房布置在了垃圾运输主线路上。</w:t>
      </w:r>
    </w:p>
    <w:p w14:paraId="10092381">
      <w:pPr>
        <w:pStyle w:val="14"/>
        <w:ind w:firstLine="482"/>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主厂房为局部两层的甲类建筑，耐火等级为一级，</w:t>
      </w:r>
      <w:r>
        <w:rPr>
          <w:rFonts w:hint="default" w:ascii="Times New Roman" w:hAnsi="Times New Roman" w:eastAsia="宋体" w:cs="Times New Roman"/>
          <w:b w:val="0"/>
          <w:bCs w:val="0"/>
          <w:color w:val="auto"/>
          <w:kern w:val="0"/>
          <w:sz w:val="24"/>
          <w:szCs w:val="24"/>
          <w:highlight w:val="none"/>
          <w:lang w:val="en-US" w:eastAsia="zh-CN"/>
        </w:rPr>
        <w:t>设计使用年限50年，</w:t>
      </w:r>
      <w:r>
        <w:rPr>
          <w:rFonts w:hint="default" w:ascii="Times New Roman" w:hAnsi="Times New Roman" w:cs="Times New Roman"/>
          <w:color w:val="auto"/>
          <w:sz w:val="24"/>
          <w:highlight w:val="none"/>
          <w:lang w:val="en-US" w:eastAsia="zh-CN"/>
        </w:rPr>
        <w:t>主厂房与废品库、气柜等的距离见下表，满足防火间距规范要求。</w:t>
      </w:r>
    </w:p>
    <w:p w14:paraId="21187E58">
      <w:pPr>
        <w:keepNext w:val="0"/>
        <w:keepLines w:val="0"/>
        <w:widowControl/>
        <w:numPr>
          <w:ilvl w:val="0"/>
          <w:numId w:val="0"/>
        </w:numPr>
        <w:suppressLineNumbers w:val="0"/>
        <w:spacing w:line="240" w:lineRule="auto"/>
        <w:jc w:val="center"/>
        <w:rPr>
          <w:rFonts w:hint="default" w:ascii="Times New Roman" w:hAnsi="Times New Roman" w:eastAsia="宋体" w:cs="Times New Roman"/>
          <w:b/>
          <w:color w:val="auto"/>
          <w:kern w:val="2"/>
          <w:sz w:val="21"/>
          <w:szCs w:val="20"/>
          <w:highlight w:val="none"/>
          <w:lang w:val="en-US" w:eastAsia="zh-CN" w:bidi="ar-SA"/>
        </w:rPr>
      </w:pPr>
      <w:r>
        <w:rPr>
          <w:rFonts w:hint="default" w:ascii="Times New Roman" w:hAnsi="Times New Roman" w:eastAsia="宋体" w:cs="Times New Roman"/>
          <w:b/>
          <w:color w:val="auto"/>
          <w:kern w:val="2"/>
          <w:sz w:val="21"/>
          <w:szCs w:val="20"/>
          <w:highlight w:val="none"/>
          <w:lang w:val="en-US" w:eastAsia="zh-CN" w:bidi="ar-SA"/>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9</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default" w:ascii="Times New Roman" w:hAnsi="Times New Roman" w:eastAsia="宋体" w:cs="Times New Roman"/>
          <w:b/>
          <w:color w:val="auto"/>
          <w:kern w:val="2"/>
          <w:sz w:val="21"/>
          <w:szCs w:val="20"/>
          <w:highlight w:val="none"/>
          <w:lang w:val="en-US" w:eastAsia="zh-CN" w:bidi="ar-SA"/>
        </w:rPr>
        <w:t>主要建筑物与周边建筑距离一览表</w:t>
      </w:r>
    </w:p>
    <w:tbl>
      <w:tblPr>
        <w:tblStyle w:val="35"/>
        <w:tblW w:w="4998"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26"/>
        <w:gridCol w:w="3588"/>
        <w:gridCol w:w="1223"/>
        <w:gridCol w:w="1195"/>
        <w:gridCol w:w="1180"/>
        <w:gridCol w:w="1172"/>
      </w:tblGrid>
      <w:tr w14:paraId="2DE719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tcBorders>
              <w:left w:val="nil"/>
              <w:bottom w:val="single" w:color="auto" w:sz="4" w:space="0"/>
              <w:right w:val="single" w:color="auto" w:sz="4" w:space="0"/>
            </w:tcBorders>
            <w:noWrap/>
            <w:vAlign w:val="center"/>
          </w:tcPr>
          <w:p w14:paraId="410ADDAB">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kern w:val="0"/>
                <w:szCs w:val="21"/>
                <w:highlight w:val="none"/>
              </w:rPr>
            </w:pPr>
            <w:r>
              <w:rPr>
                <w:rFonts w:hint="default" w:ascii="Times New Roman" w:hAnsi="Times New Roman" w:eastAsia="宋体" w:cs="Times New Roman"/>
                <w:b/>
                <w:bCs/>
                <w:color w:val="auto"/>
                <w:kern w:val="0"/>
                <w:szCs w:val="21"/>
                <w:highlight w:val="none"/>
              </w:rPr>
              <w:t>序号</w:t>
            </w:r>
          </w:p>
        </w:tc>
        <w:tc>
          <w:tcPr>
            <w:tcW w:w="1931" w:type="pct"/>
            <w:tcBorders>
              <w:left w:val="single" w:color="auto" w:sz="4" w:space="0"/>
              <w:bottom w:val="single" w:color="auto" w:sz="4" w:space="0"/>
              <w:right w:val="single" w:color="auto" w:sz="4" w:space="0"/>
            </w:tcBorders>
            <w:noWrap/>
            <w:vAlign w:val="center"/>
          </w:tcPr>
          <w:p w14:paraId="7B2AF2AD">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
                <w:bCs/>
                <w:color w:val="auto"/>
                <w:kern w:val="0"/>
                <w:szCs w:val="21"/>
                <w:highlight w:val="none"/>
              </w:rPr>
            </w:pPr>
            <w:r>
              <w:rPr>
                <w:rFonts w:hint="default" w:ascii="Times New Roman" w:hAnsi="Times New Roman" w:eastAsia="宋体" w:cs="Times New Roman"/>
                <w:b/>
                <w:bCs/>
                <w:color w:val="auto"/>
                <w:kern w:val="0"/>
                <w:szCs w:val="21"/>
                <w:highlight w:val="none"/>
              </w:rPr>
              <w:t>项目</w:t>
            </w:r>
          </w:p>
        </w:tc>
        <w:tc>
          <w:tcPr>
            <w:tcW w:w="658" w:type="pct"/>
            <w:tcBorders>
              <w:left w:val="single" w:color="auto" w:sz="4" w:space="0"/>
              <w:bottom w:val="single" w:color="auto" w:sz="4" w:space="0"/>
              <w:right w:val="single" w:color="auto" w:sz="4" w:space="0"/>
            </w:tcBorders>
            <w:noWrap/>
            <w:vAlign w:val="center"/>
          </w:tcPr>
          <w:p w14:paraId="4907D342">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kern w:val="0"/>
                <w:szCs w:val="21"/>
                <w:highlight w:val="none"/>
              </w:rPr>
            </w:pPr>
            <w:r>
              <w:rPr>
                <w:rFonts w:hint="default" w:ascii="Times New Roman" w:hAnsi="Times New Roman" w:eastAsia="宋体" w:cs="Times New Roman"/>
                <w:b/>
                <w:bCs/>
                <w:color w:val="auto"/>
                <w:kern w:val="0"/>
                <w:szCs w:val="21"/>
                <w:highlight w:val="none"/>
              </w:rPr>
              <w:t>方位</w:t>
            </w:r>
          </w:p>
        </w:tc>
        <w:tc>
          <w:tcPr>
            <w:tcW w:w="643" w:type="pct"/>
            <w:tcBorders>
              <w:left w:val="single" w:color="auto" w:sz="4" w:space="0"/>
              <w:bottom w:val="single" w:color="auto" w:sz="4" w:space="0"/>
              <w:right w:val="single" w:color="auto" w:sz="4" w:space="0"/>
            </w:tcBorders>
            <w:noWrap/>
            <w:vAlign w:val="center"/>
          </w:tcPr>
          <w:p w14:paraId="0F8E81D0">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kern w:val="0"/>
                <w:szCs w:val="21"/>
                <w:highlight w:val="none"/>
              </w:rPr>
            </w:pPr>
            <w:r>
              <w:rPr>
                <w:rFonts w:hint="default" w:ascii="Times New Roman" w:hAnsi="Times New Roman" w:eastAsia="宋体" w:cs="Times New Roman"/>
                <w:b/>
                <w:bCs/>
                <w:color w:val="auto"/>
                <w:kern w:val="0"/>
                <w:szCs w:val="21"/>
                <w:highlight w:val="none"/>
              </w:rPr>
              <w:t>周边建筑</w:t>
            </w:r>
          </w:p>
        </w:tc>
        <w:tc>
          <w:tcPr>
            <w:tcW w:w="635" w:type="pct"/>
            <w:tcBorders>
              <w:left w:val="single" w:color="auto" w:sz="4" w:space="0"/>
              <w:bottom w:val="single" w:color="auto" w:sz="4" w:space="0"/>
              <w:right w:val="single" w:color="auto" w:sz="4" w:space="0"/>
            </w:tcBorders>
            <w:noWrap/>
            <w:vAlign w:val="center"/>
          </w:tcPr>
          <w:p w14:paraId="7955A234">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kern w:val="0"/>
                <w:szCs w:val="21"/>
                <w:highlight w:val="none"/>
              </w:rPr>
            </w:pPr>
            <w:r>
              <w:rPr>
                <w:rFonts w:hint="default" w:ascii="Times New Roman" w:hAnsi="Times New Roman" w:eastAsia="宋体" w:cs="Times New Roman"/>
                <w:b/>
                <w:bCs/>
                <w:color w:val="auto"/>
                <w:kern w:val="0"/>
                <w:szCs w:val="21"/>
                <w:highlight w:val="none"/>
              </w:rPr>
              <w:t>设计距离</w:t>
            </w:r>
          </w:p>
        </w:tc>
        <w:tc>
          <w:tcPr>
            <w:tcW w:w="631" w:type="pct"/>
            <w:tcBorders>
              <w:left w:val="single" w:color="auto" w:sz="4" w:space="0"/>
              <w:bottom w:val="single" w:color="auto" w:sz="4" w:space="0"/>
              <w:right w:val="nil"/>
            </w:tcBorders>
            <w:noWrap/>
            <w:vAlign w:val="center"/>
          </w:tcPr>
          <w:p w14:paraId="780484BF">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
                <w:bCs/>
                <w:color w:val="auto"/>
                <w:kern w:val="0"/>
                <w:szCs w:val="21"/>
                <w:highlight w:val="none"/>
              </w:rPr>
            </w:pPr>
            <w:r>
              <w:rPr>
                <w:rFonts w:hint="default" w:ascii="Times New Roman" w:hAnsi="Times New Roman" w:eastAsia="宋体" w:cs="Times New Roman"/>
                <w:b/>
                <w:bCs/>
                <w:color w:val="auto"/>
                <w:kern w:val="0"/>
                <w:szCs w:val="21"/>
                <w:highlight w:val="none"/>
              </w:rPr>
              <w:t>备注</w:t>
            </w:r>
          </w:p>
        </w:tc>
      </w:tr>
      <w:tr w14:paraId="19164A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restart"/>
            <w:tcBorders>
              <w:top w:val="single" w:color="auto" w:sz="4" w:space="0"/>
              <w:left w:val="nil"/>
              <w:bottom w:val="single" w:color="auto" w:sz="4" w:space="0"/>
              <w:right w:val="single" w:color="auto" w:sz="4" w:space="0"/>
            </w:tcBorders>
            <w:noWrap/>
            <w:vAlign w:val="center"/>
          </w:tcPr>
          <w:p w14:paraId="357524B3">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1</w:t>
            </w:r>
          </w:p>
        </w:tc>
        <w:tc>
          <w:tcPr>
            <w:tcW w:w="1931" w:type="pct"/>
            <w:vMerge w:val="restart"/>
            <w:tcBorders>
              <w:top w:val="single" w:color="auto" w:sz="4" w:space="0"/>
              <w:left w:val="single" w:color="auto" w:sz="4" w:space="0"/>
              <w:bottom w:val="single" w:color="auto" w:sz="4" w:space="0"/>
              <w:right w:val="single" w:color="auto" w:sz="4" w:space="0"/>
            </w:tcBorders>
            <w:noWrap/>
            <w:vAlign w:val="center"/>
          </w:tcPr>
          <w:p w14:paraId="1FE307B2">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主厂房（甲类厂房，耐火等级一级）</w:t>
            </w:r>
          </w:p>
        </w:tc>
        <w:tc>
          <w:tcPr>
            <w:tcW w:w="658" w:type="pct"/>
            <w:tcBorders>
              <w:top w:val="single" w:color="auto" w:sz="4" w:space="0"/>
              <w:left w:val="single" w:color="auto" w:sz="4" w:space="0"/>
              <w:bottom w:val="single" w:color="auto" w:sz="4" w:space="0"/>
              <w:right w:val="single" w:color="auto" w:sz="4" w:space="0"/>
            </w:tcBorders>
            <w:noWrap/>
            <w:vAlign w:val="center"/>
          </w:tcPr>
          <w:p w14:paraId="3DF853D3">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东</w:t>
            </w:r>
          </w:p>
        </w:tc>
        <w:tc>
          <w:tcPr>
            <w:tcW w:w="643" w:type="pct"/>
            <w:tcBorders>
              <w:top w:val="single" w:color="auto" w:sz="4" w:space="0"/>
              <w:left w:val="single" w:color="auto" w:sz="4" w:space="0"/>
              <w:bottom w:val="single" w:color="auto" w:sz="4" w:space="0"/>
              <w:right w:val="single" w:color="auto" w:sz="4" w:space="0"/>
            </w:tcBorders>
            <w:noWrap/>
            <w:vAlign w:val="center"/>
          </w:tcPr>
          <w:p w14:paraId="11502CAB">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货车平台</w:t>
            </w:r>
          </w:p>
        </w:tc>
        <w:tc>
          <w:tcPr>
            <w:tcW w:w="635" w:type="pct"/>
            <w:tcBorders>
              <w:top w:val="single" w:color="auto" w:sz="4" w:space="0"/>
              <w:left w:val="single" w:color="auto" w:sz="4" w:space="0"/>
              <w:bottom w:val="single" w:color="auto" w:sz="4" w:space="0"/>
              <w:right w:val="single" w:color="auto" w:sz="4" w:space="0"/>
            </w:tcBorders>
            <w:noWrap/>
            <w:vAlign w:val="center"/>
          </w:tcPr>
          <w:p w14:paraId="6A92E211">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18.5m</w:t>
            </w:r>
          </w:p>
        </w:tc>
        <w:tc>
          <w:tcPr>
            <w:tcW w:w="631" w:type="pct"/>
            <w:tcBorders>
              <w:top w:val="single" w:color="auto" w:sz="4" w:space="0"/>
              <w:left w:val="single" w:color="auto" w:sz="4" w:space="0"/>
              <w:bottom w:val="single" w:color="auto" w:sz="4" w:space="0"/>
              <w:right w:val="nil"/>
            </w:tcBorders>
            <w:noWrap/>
            <w:vAlign w:val="center"/>
          </w:tcPr>
          <w:p w14:paraId="35F360B7">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712EF2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bottom w:val="single" w:color="auto" w:sz="4" w:space="0"/>
              <w:right w:val="single" w:color="auto" w:sz="4" w:space="0"/>
            </w:tcBorders>
            <w:noWrap/>
            <w:vAlign w:val="center"/>
          </w:tcPr>
          <w:p w14:paraId="6B161EC8">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p>
        </w:tc>
        <w:tc>
          <w:tcPr>
            <w:tcW w:w="1931" w:type="pct"/>
            <w:vMerge w:val="continue"/>
            <w:tcBorders>
              <w:top w:val="single" w:color="auto" w:sz="4" w:space="0"/>
              <w:left w:val="single" w:color="auto" w:sz="4" w:space="0"/>
              <w:bottom w:val="single" w:color="auto" w:sz="4" w:space="0"/>
              <w:right w:val="single" w:color="auto" w:sz="4" w:space="0"/>
            </w:tcBorders>
            <w:noWrap/>
            <w:vAlign w:val="center"/>
          </w:tcPr>
          <w:p w14:paraId="600857C2">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vMerge w:val="restart"/>
            <w:tcBorders>
              <w:top w:val="single" w:color="auto" w:sz="4" w:space="0"/>
              <w:left w:val="single" w:color="auto" w:sz="4" w:space="0"/>
              <w:bottom w:val="single" w:color="auto" w:sz="4" w:space="0"/>
              <w:right w:val="single" w:color="auto" w:sz="4" w:space="0"/>
            </w:tcBorders>
            <w:noWrap/>
            <w:vAlign w:val="center"/>
          </w:tcPr>
          <w:p w14:paraId="782EC6F1">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东北侧</w:t>
            </w:r>
          </w:p>
        </w:tc>
        <w:tc>
          <w:tcPr>
            <w:tcW w:w="643" w:type="pct"/>
            <w:tcBorders>
              <w:top w:val="single" w:color="auto" w:sz="4" w:space="0"/>
              <w:left w:val="single" w:color="auto" w:sz="4" w:space="0"/>
              <w:bottom w:val="single" w:color="auto" w:sz="4" w:space="0"/>
              <w:right w:val="single" w:color="auto" w:sz="4" w:space="0"/>
            </w:tcBorders>
            <w:noWrap/>
            <w:vAlign w:val="center"/>
          </w:tcPr>
          <w:p w14:paraId="6FD3AC10">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污水池</w:t>
            </w:r>
          </w:p>
        </w:tc>
        <w:tc>
          <w:tcPr>
            <w:tcW w:w="635" w:type="pct"/>
            <w:tcBorders>
              <w:top w:val="single" w:color="auto" w:sz="4" w:space="0"/>
              <w:left w:val="single" w:color="auto" w:sz="4" w:space="0"/>
              <w:bottom w:val="single" w:color="auto" w:sz="4" w:space="0"/>
              <w:right w:val="single" w:color="auto" w:sz="4" w:space="0"/>
            </w:tcBorders>
            <w:noWrap/>
            <w:vAlign w:val="center"/>
          </w:tcPr>
          <w:p w14:paraId="2E505AEF">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38.4m</w:t>
            </w:r>
          </w:p>
        </w:tc>
        <w:tc>
          <w:tcPr>
            <w:tcW w:w="631" w:type="pct"/>
            <w:tcBorders>
              <w:top w:val="single" w:color="auto" w:sz="4" w:space="0"/>
              <w:left w:val="single" w:color="auto" w:sz="4" w:space="0"/>
              <w:bottom w:val="single" w:color="auto" w:sz="4" w:space="0"/>
              <w:right w:val="nil"/>
            </w:tcBorders>
            <w:noWrap/>
            <w:vAlign w:val="center"/>
          </w:tcPr>
          <w:p w14:paraId="17ABAA86">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273087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bottom w:val="single" w:color="auto" w:sz="4" w:space="0"/>
              <w:right w:val="single" w:color="auto" w:sz="4" w:space="0"/>
            </w:tcBorders>
            <w:noWrap/>
            <w:vAlign w:val="center"/>
          </w:tcPr>
          <w:p w14:paraId="39BBED98">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p>
        </w:tc>
        <w:tc>
          <w:tcPr>
            <w:tcW w:w="1931" w:type="pct"/>
            <w:vMerge w:val="continue"/>
            <w:tcBorders>
              <w:top w:val="single" w:color="auto" w:sz="4" w:space="0"/>
              <w:left w:val="single" w:color="auto" w:sz="4" w:space="0"/>
              <w:bottom w:val="single" w:color="auto" w:sz="4" w:space="0"/>
              <w:right w:val="single" w:color="auto" w:sz="4" w:space="0"/>
            </w:tcBorders>
            <w:noWrap/>
            <w:vAlign w:val="center"/>
          </w:tcPr>
          <w:p w14:paraId="71C1EB58">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vMerge w:val="continue"/>
            <w:tcBorders>
              <w:top w:val="single" w:color="auto" w:sz="4" w:space="0"/>
              <w:left w:val="single" w:color="auto" w:sz="4" w:space="0"/>
              <w:bottom w:val="single" w:color="auto" w:sz="4" w:space="0"/>
              <w:right w:val="single" w:color="auto" w:sz="4" w:space="0"/>
            </w:tcBorders>
            <w:noWrap/>
            <w:vAlign w:val="center"/>
          </w:tcPr>
          <w:p w14:paraId="37C12DB8">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4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B7C7202">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废品库</w:t>
            </w:r>
          </w:p>
        </w:tc>
        <w:tc>
          <w:tcPr>
            <w:tcW w:w="635" w:type="pct"/>
            <w:tcBorders>
              <w:top w:val="single" w:color="auto" w:sz="4" w:space="0"/>
              <w:left w:val="single" w:color="auto" w:sz="4" w:space="0"/>
              <w:bottom w:val="single" w:color="auto" w:sz="4" w:space="0"/>
              <w:right w:val="single" w:color="auto" w:sz="4" w:space="0"/>
            </w:tcBorders>
            <w:shd w:val="clear" w:color="auto" w:fill="auto"/>
            <w:noWrap/>
            <w:vAlign w:val="center"/>
          </w:tcPr>
          <w:p w14:paraId="13ABCE9E">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19.4m</w:t>
            </w:r>
          </w:p>
        </w:tc>
        <w:tc>
          <w:tcPr>
            <w:tcW w:w="631" w:type="pct"/>
            <w:tcBorders>
              <w:top w:val="single" w:color="auto" w:sz="4" w:space="0"/>
              <w:left w:val="single" w:color="auto" w:sz="4" w:space="0"/>
              <w:bottom w:val="single" w:color="auto" w:sz="4" w:space="0"/>
              <w:right w:val="nil"/>
            </w:tcBorders>
            <w:shd w:val="clear" w:color="auto" w:fill="auto"/>
            <w:noWrap/>
            <w:vAlign w:val="center"/>
          </w:tcPr>
          <w:p w14:paraId="52087DA3">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3D7294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bottom w:val="single" w:color="auto" w:sz="4" w:space="0"/>
              <w:right w:val="single" w:color="auto" w:sz="4" w:space="0"/>
            </w:tcBorders>
            <w:noWrap/>
            <w:vAlign w:val="center"/>
          </w:tcPr>
          <w:p w14:paraId="7BDBEE14">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p>
        </w:tc>
        <w:tc>
          <w:tcPr>
            <w:tcW w:w="1931" w:type="pct"/>
            <w:vMerge w:val="continue"/>
            <w:tcBorders>
              <w:top w:val="single" w:color="auto" w:sz="4" w:space="0"/>
              <w:left w:val="single" w:color="auto" w:sz="4" w:space="0"/>
              <w:bottom w:val="single" w:color="auto" w:sz="4" w:space="0"/>
              <w:right w:val="single" w:color="auto" w:sz="4" w:space="0"/>
            </w:tcBorders>
            <w:noWrap/>
            <w:vAlign w:val="center"/>
          </w:tcPr>
          <w:p w14:paraId="71BD92BE">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vMerge w:val="continue"/>
            <w:tcBorders>
              <w:top w:val="single" w:color="auto" w:sz="4" w:space="0"/>
              <w:left w:val="single" w:color="auto" w:sz="4" w:space="0"/>
              <w:bottom w:val="single" w:color="auto" w:sz="4" w:space="0"/>
              <w:right w:val="single" w:color="auto" w:sz="4" w:space="0"/>
            </w:tcBorders>
            <w:noWrap/>
            <w:vAlign w:val="center"/>
          </w:tcPr>
          <w:p w14:paraId="6C65FA90">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4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18A02C30">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气柜</w:t>
            </w:r>
          </w:p>
        </w:tc>
        <w:tc>
          <w:tcPr>
            <w:tcW w:w="635"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C1979C3">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45.7m</w:t>
            </w:r>
          </w:p>
        </w:tc>
        <w:tc>
          <w:tcPr>
            <w:tcW w:w="631" w:type="pct"/>
            <w:tcBorders>
              <w:top w:val="single" w:color="auto" w:sz="4" w:space="0"/>
              <w:left w:val="single" w:color="auto" w:sz="4" w:space="0"/>
              <w:bottom w:val="single" w:color="auto" w:sz="4" w:space="0"/>
              <w:right w:val="nil"/>
            </w:tcBorders>
            <w:shd w:val="clear" w:color="auto" w:fill="auto"/>
            <w:noWrap/>
            <w:vAlign w:val="center"/>
          </w:tcPr>
          <w:p w14:paraId="5580B12C">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2FC6A9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bottom w:val="single" w:color="auto" w:sz="4" w:space="0"/>
              <w:right w:val="single" w:color="auto" w:sz="4" w:space="0"/>
            </w:tcBorders>
            <w:noWrap/>
            <w:vAlign w:val="center"/>
          </w:tcPr>
          <w:p w14:paraId="70740057">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p>
        </w:tc>
        <w:tc>
          <w:tcPr>
            <w:tcW w:w="1931" w:type="pct"/>
            <w:vMerge w:val="continue"/>
            <w:tcBorders>
              <w:top w:val="single" w:color="auto" w:sz="4" w:space="0"/>
              <w:left w:val="single" w:color="auto" w:sz="4" w:space="0"/>
              <w:bottom w:val="single" w:color="auto" w:sz="4" w:space="0"/>
              <w:right w:val="single" w:color="auto" w:sz="4" w:space="0"/>
            </w:tcBorders>
            <w:noWrap/>
            <w:vAlign w:val="center"/>
          </w:tcPr>
          <w:p w14:paraId="1B15D181">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tcBorders>
              <w:top w:val="single" w:color="auto" w:sz="4" w:space="0"/>
              <w:left w:val="single" w:color="auto" w:sz="4" w:space="0"/>
              <w:bottom w:val="single" w:color="auto" w:sz="4" w:space="0"/>
              <w:right w:val="single" w:color="auto" w:sz="4" w:space="0"/>
            </w:tcBorders>
            <w:noWrap/>
            <w:vAlign w:val="center"/>
          </w:tcPr>
          <w:p w14:paraId="7D354FDA">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北</w:t>
            </w:r>
          </w:p>
        </w:tc>
        <w:tc>
          <w:tcPr>
            <w:tcW w:w="643" w:type="pct"/>
            <w:tcBorders>
              <w:top w:val="single" w:color="auto" w:sz="4" w:space="0"/>
              <w:left w:val="single" w:color="auto" w:sz="4" w:space="0"/>
              <w:bottom w:val="single" w:color="auto" w:sz="4" w:space="0"/>
              <w:right w:val="single" w:color="auto" w:sz="4" w:space="0"/>
            </w:tcBorders>
            <w:noWrap/>
            <w:vAlign w:val="center"/>
          </w:tcPr>
          <w:p w14:paraId="6BCC8F62">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厂区围墙</w:t>
            </w:r>
          </w:p>
        </w:tc>
        <w:tc>
          <w:tcPr>
            <w:tcW w:w="635" w:type="pct"/>
            <w:tcBorders>
              <w:top w:val="single" w:color="auto" w:sz="4" w:space="0"/>
              <w:left w:val="single" w:color="auto" w:sz="4" w:space="0"/>
              <w:bottom w:val="single" w:color="auto" w:sz="4" w:space="0"/>
              <w:right w:val="single" w:color="auto" w:sz="4" w:space="0"/>
            </w:tcBorders>
            <w:noWrap/>
            <w:vAlign w:val="center"/>
          </w:tcPr>
          <w:p w14:paraId="5945A3B3">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7.6m</w:t>
            </w:r>
          </w:p>
        </w:tc>
        <w:tc>
          <w:tcPr>
            <w:tcW w:w="631" w:type="pct"/>
            <w:tcBorders>
              <w:top w:val="single" w:color="auto" w:sz="4" w:space="0"/>
              <w:left w:val="single" w:color="auto" w:sz="4" w:space="0"/>
              <w:bottom w:val="single" w:color="auto" w:sz="4" w:space="0"/>
              <w:right w:val="nil"/>
            </w:tcBorders>
            <w:noWrap/>
            <w:vAlign w:val="center"/>
          </w:tcPr>
          <w:p w14:paraId="6E3FB1C0">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5272AA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bottom w:val="single" w:color="auto" w:sz="4" w:space="0"/>
              <w:right w:val="single" w:color="auto" w:sz="4" w:space="0"/>
            </w:tcBorders>
            <w:noWrap/>
            <w:vAlign w:val="center"/>
          </w:tcPr>
          <w:p w14:paraId="5852A683">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53</w:t>
            </w:r>
          </w:p>
        </w:tc>
        <w:tc>
          <w:tcPr>
            <w:tcW w:w="1931" w:type="pct"/>
            <w:vMerge w:val="continue"/>
            <w:tcBorders>
              <w:top w:val="single" w:color="auto" w:sz="4" w:space="0"/>
              <w:left w:val="single" w:color="auto" w:sz="4" w:space="0"/>
              <w:bottom w:val="single" w:color="auto" w:sz="4" w:space="0"/>
              <w:right w:val="single" w:color="auto" w:sz="4" w:space="0"/>
            </w:tcBorders>
            <w:noWrap/>
            <w:vAlign w:val="center"/>
          </w:tcPr>
          <w:p w14:paraId="12F1C012">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tcBorders>
              <w:top w:val="single" w:color="auto" w:sz="4" w:space="0"/>
              <w:left w:val="single" w:color="auto" w:sz="4" w:space="0"/>
              <w:bottom w:val="single" w:color="auto" w:sz="4" w:space="0"/>
              <w:right w:val="single" w:color="auto" w:sz="4" w:space="0"/>
            </w:tcBorders>
            <w:noWrap/>
            <w:vAlign w:val="center"/>
          </w:tcPr>
          <w:p w14:paraId="101798DE">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西</w:t>
            </w:r>
          </w:p>
        </w:tc>
        <w:tc>
          <w:tcPr>
            <w:tcW w:w="643" w:type="pct"/>
            <w:tcBorders>
              <w:top w:val="single" w:color="auto" w:sz="4" w:space="0"/>
              <w:left w:val="single" w:color="auto" w:sz="4" w:space="0"/>
              <w:bottom w:val="single" w:color="auto" w:sz="4" w:space="0"/>
              <w:right w:val="single" w:color="auto" w:sz="4" w:space="0"/>
            </w:tcBorders>
            <w:noWrap/>
            <w:vAlign w:val="center"/>
          </w:tcPr>
          <w:p w14:paraId="0E96EB7E">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厂区围墙</w:t>
            </w:r>
          </w:p>
        </w:tc>
        <w:tc>
          <w:tcPr>
            <w:tcW w:w="635" w:type="pct"/>
            <w:tcBorders>
              <w:top w:val="single" w:color="auto" w:sz="4" w:space="0"/>
              <w:left w:val="single" w:color="auto" w:sz="4" w:space="0"/>
              <w:bottom w:val="single" w:color="auto" w:sz="4" w:space="0"/>
              <w:right w:val="single" w:color="auto" w:sz="4" w:space="0"/>
            </w:tcBorders>
            <w:noWrap/>
            <w:vAlign w:val="center"/>
          </w:tcPr>
          <w:p w14:paraId="429DE894">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7.4m</w:t>
            </w:r>
          </w:p>
        </w:tc>
        <w:tc>
          <w:tcPr>
            <w:tcW w:w="631" w:type="pct"/>
            <w:tcBorders>
              <w:top w:val="single" w:color="auto" w:sz="4" w:space="0"/>
              <w:left w:val="single" w:color="auto" w:sz="4" w:space="0"/>
              <w:bottom w:val="single" w:color="auto" w:sz="4" w:space="0"/>
              <w:right w:val="nil"/>
            </w:tcBorders>
            <w:noWrap/>
            <w:vAlign w:val="center"/>
          </w:tcPr>
          <w:p w14:paraId="3131B23E">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0CD0D0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bottom w:val="single" w:color="auto" w:sz="4" w:space="0"/>
              <w:right w:val="single" w:color="auto" w:sz="4" w:space="0"/>
            </w:tcBorders>
            <w:noWrap/>
            <w:vAlign w:val="center"/>
          </w:tcPr>
          <w:p w14:paraId="75223F01">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p>
        </w:tc>
        <w:tc>
          <w:tcPr>
            <w:tcW w:w="1931" w:type="pct"/>
            <w:vMerge w:val="continue"/>
            <w:tcBorders>
              <w:top w:val="single" w:color="auto" w:sz="4" w:space="0"/>
              <w:left w:val="single" w:color="auto" w:sz="4" w:space="0"/>
              <w:bottom w:val="single" w:color="auto" w:sz="4" w:space="0"/>
              <w:right w:val="single" w:color="auto" w:sz="4" w:space="0"/>
            </w:tcBorders>
            <w:noWrap/>
            <w:vAlign w:val="center"/>
          </w:tcPr>
          <w:p w14:paraId="1F63AA02">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tcBorders>
              <w:top w:val="single" w:color="auto" w:sz="4" w:space="0"/>
              <w:left w:val="single" w:color="auto" w:sz="4" w:space="0"/>
              <w:bottom w:val="single" w:color="auto" w:sz="4" w:space="0"/>
              <w:right w:val="single" w:color="auto" w:sz="4" w:space="0"/>
            </w:tcBorders>
            <w:noWrap/>
            <w:vAlign w:val="center"/>
          </w:tcPr>
          <w:p w14:paraId="720647A9">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南</w:t>
            </w:r>
          </w:p>
        </w:tc>
        <w:tc>
          <w:tcPr>
            <w:tcW w:w="643" w:type="pct"/>
            <w:tcBorders>
              <w:top w:val="single" w:color="auto" w:sz="4" w:space="0"/>
              <w:left w:val="single" w:color="auto" w:sz="4" w:space="0"/>
              <w:bottom w:val="single" w:color="auto" w:sz="4" w:space="0"/>
              <w:right w:val="single" w:color="auto" w:sz="4" w:space="0"/>
            </w:tcBorders>
            <w:noWrap/>
            <w:vAlign w:val="center"/>
          </w:tcPr>
          <w:p w14:paraId="6F081E8B">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厂区围墙</w:t>
            </w:r>
          </w:p>
        </w:tc>
        <w:tc>
          <w:tcPr>
            <w:tcW w:w="635" w:type="pct"/>
            <w:tcBorders>
              <w:top w:val="single" w:color="auto" w:sz="4" w:space="0"/>
              <w:left w:val="single" w:color="auto" w:sz="4" w:space="0"/>
              <w:bottom w:val="single" w:color="auto" w:sz="4" w:space="0"/>
              <w:right w:val="single" w:color="auto" w:sz="4" w:space="0"/>
            </w:tcBorders>
            <w:noWrap/>
            <w:vAlign w:val="center"/>
          </w:tcPr>
          <w:p w14:paraId="3D160F82">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8.2m</w:t>
            </w:r>
          </w:p>
        </w:tc>
        <w:tc>
          <w:tcPr>
            <w:tcW w:w="631" w:type="pct"/>
            <w:tcBorders>
              <w:top w:val="single" w:color="auto" w:sz="4" w:space="0"/>
              <w:left w:val="single" w:color="auto" w:sz="4" w:space="0"/>
              <w:bottom w:val="single" w:color="auto" w:sz="4" w:space="0"/>
              <w:right w:val="nil"/>
            </w:tcBorders>
            <w:noWrap/>
            <w:vAlign w:val="center"/>
          </w:tcPr>
          <w:p w14:paraId="48C97D50">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06BDED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restart"/>
            <w:tcBorders>
              <w:top w:val="single" w:color="auto" w:sz="4" w:space="0"/>
              <w:left w:val="nil"/>
              <w:bottom w:val="single" w:color="auto" w:sz="4" w:space="0"/>
              <w:right w:val="single" w:color="auto" w:sz="4" w:space="0"/>
            </w:tcBorders>
            <w:noWrap/>
            <w:vAlign w:val="center"/>
          </w:tcPr>
          <w:p w14:paraId="6753EABD">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Style w:val="40"/>
                <w:rFonts w:hint="default" w:ascii="Times New Roman" w:hAnsi="Times New Roman" w:eastAsia="宋体" w:cs="Times New Roman"/>
                <w:color w:val="auto"/>
                <w:highlight w:val="none"/>
              </w:rPr>
              <w:t>2</w:t>
            </w:r>
          </w:p>
        </w:tc>
        <w:tc>
          <w:tcPr>
            <w:tcW w:w="1931" w:type="pct"/>
            <w:vMerge w:val="restart"/>
            <w:tcBorders>
              <w:top w:val="single" w:color="auto" w:sz="4" w:space="0"/>
              <w:left w:val="single" w:color="auto" w:sz="4" w:space="0"/>
              <w:bottom w:val="single" w:color="auto" w:sz="4" w:space="0"/>
              <w:right w:val="single" w:color="auto" w:sz="4" w:space="0"/>
            </w:tcBorders>
            <w:noWrap/>
            <w:vAlign w:val="center"/>
          </w:tcPr>
          <w:p w14:paraId="4BC75E35">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废品库（戊类仓库，耐火等级二级）</w:t>
            </w:r>
          </w:p>
        </w:tc>
        <w:tc>
          <w:tcPr>
            <w:tcW w:w="658" w:type="pct"/>
            <w:tcBorders>
              <w:top w:val="single" w:color="auto" w:sz="4" w:space="0"/>
              <w:left w:val="single" w:color="auto" w:sz="4" w:space="0"/>
              <w:bottom w:val="single" w:color="auto" w:sz="4" w:space="0"/>
              <w:right w:val="single" w:color="auto" w:sz="4" w:space="0"/>
            </w:tcBorders>
            <w:noWrap/>
            <w:vAlign w:val="center"/>
          </w:tcPr>
          <w:p w14:paraId="4D6A1CB4">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东</w:t>
            </w:r>
          </w:p>
        </w:tc>
        <w:tc>
          <w:tcPr>
            <w:tcW w:w="643" w:type="pct"/>
            <w:tcBorders>
              <w:top w:val="single" w:color="auto" w:sz="4" w:space="0"/>
              <w:left w:val="single" w:color="auto" w:sz="4" w:space="0"/>
              <w:bottom w:val="single" w:color="auto" w:sz="4" w:space="0"/>
              <w:right w:val="single" w:color="auto" w:sz="4" w:space="0"/>
            </w:tcBorders>
            <w:noWrap/>
            <w:vAlign w:val="center"/>
          </w:tcPr>
          <w:p w14:paraId="155549F4">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污水池</w:t>
            </w:r>
          </w:p>
        </w:tc>
        <w:tc>
          <w:tcPr>
            <w:tcW w:w="635" w:type="pct"/>
            <w:tcBorders>
              <w:top w:val="single" w:color="auto" w:sz="4" w:space="0"/>
              <w:left w:val="single" w:color="auto" w:sz="4" w:space="0"/>
              <w:bottom w:val="single" w:color="auto" w:sz="4" w:space="0"/>
              <w:right w:val="single" w:color="auto" w:sz="4" w:space="0"/>
            </w:tcBorders>
            <w:noWrap/>
            <w:vAlign w:val="center"/>
          </w:tcPr>
          <w:p w14:paraId="2CD947D8">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9.3</w:t>
            </w:r>
          </w:p>
        </w:tc>
        <w:tc>
          <w:tcPr>
            <w:tcW w:w="631" w:type="pct"/>
            <w:tcBorders>
              <w:top w:val="single" w:color="auto" w:sz="4" w:space="0"/>
              <w:left w:val="single" w:color="auto" w:sz="4" w:space="0"/>
              <w:bottom w:val="single" w:color="auto" w:sz="4" w:space="0"/>
              <w:right w:val="nil"/>
            </w:tcBorders>
            <w:noWrap/>
            <w:vAlign w:val="center"/>
          </w:tcPr>
          <w:p w14:paraId="697B4053">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4A9BB1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bottom w:val="single" w:color="auto" w:sz="4" w:space="0"/>
              <w:right w:val="single" w:color="auto" w:sz="4" w:space="0"/>
            </w:tcBorders>
            <w:noWrap/>
            <w:vAlign w:val="center"/>
          </w:tcPr>
          <w:p w14:paraId="57164F5C">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1931" w:type="pct"/>
            <w:vMerge w:val="continue"/>
            <w:tcBorders>
              <w:top w:val="single" w:color="auto" w:sz="4" w:space="0"/>
              <w:left w:val="single" w:color="auto" w:sz="4" w:space="0"/>
              <w:bottom w:val="single" w:color="auto" w:sz="4" w:space="0"/>
              <w:right w:val="single" w:color="auto" w:sz="4" w:space="0"/>
            </w:tcBorders>
            <w:noWrap/>
            <w:vAlign w:val="center"/>
          </w:tcPr>
          <w:p w14:paraId="73C8E47C">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tcBorders>
              <w:top w:val="single" w:color="auto" w:sz="4" w:space="0"/>
              <w:left w:val="single" w:color="auto" w:sz="4" w:space="0"/>
              <w:bottom w:val="single" w:color="auto" w:sz="4" w:space="0"/>
              <w:right w:val="single" w:color="auto" w:sz="4" w:space="0"/>
            </w:tcBorders>
            <w:noWrap/>
            <w:vAlign w:val="center"/>
          </w:tcPr>
          <w:p w14:paraId="4972197F">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东北侧</w:t>
            </w:r>
          </w:p>
        </w:tc>
        <w:tc>
          <w:tcPr>
            <w:tcW w:w="643" w:type="pct"/>
            <w:tcBorders>
              <w:top w:val="single" w:color="auto" w:sz="4" w:space="0"/>
              <w:left w:val="single" w:color="auto" w:sz="4" w:space="0"/>
              <w:bottom w:val="single" w:color="auto" w:sz="4" w:space="0"/>
              <w:right w:val="single" w:color="auto" w:sz="4" w:space="0"/>
            </w:tcBorders>
            <w:noWrap/>
            <w:vAlign w:val="center"/>
          </w:tcPr>
          <w:p w14:paraId="0AF351C5">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气柜</w:t>
            </w:r>
          </w:p>
        </w:tc>
        <w:tc>
          <w:tcPr>
            <w:tcW w:w="635" w:type="pct"/>
            <w:tcBorders>
              <w:top w:val="single" w:color="auto" w:sz="4" w:space="0"/>
              <w:left w:val="single" w:color="auto" w:sz="4" w:space="0"/>
              <w:bottom w:val="single" w:color="auto" w:sz="4" w:space="0"/>
              <w:right w:val="single" w:color="auto" w:sz="4" w:space="0"/>
            </w:tcBorders>
            <w:noWrap/>
            <w:vAlign w:val="center"/>
          </w:tcPr>
          <w:p w14:paraId="6569EAD9">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25.7</w:t>
            </w:r>
          </w:p>
        </w:tc>
        <w:tc>
          <w:tcPr>
            <w:tcW w:w="631" w:type="pct"/>
            <w:tcBorders>
              <w:top w:val="single" w:color="auto" w:sz="4" w:space="0"/>
              <w:left w:val="single" w:color="auto" w:sz="4" w:space="0"/>
              <w:bottom w:val="single" w:color="auto" w:sz="4" w:space="0"/>
              <w:right w:val="nil"/>
            </w:tcBorders>
            <w:noWrap/>
            <w:vAlign w:val="center"/>
          </w:tcPr>
          <w:p w14:paraId="2667BA79">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7ACA83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bottom w:val="single" w:color="auto" w:sz="4" w:space="0"/>
              <w:right w:val="single" w:color="auto" w:sz="4" w:space="0"/>
            </w:tcBorders>
            <w:noWrap/>
            <w:vAlign w:val="center"/>
          </w:tcPr>
          <w:p w14:paraId="3DD9EAF3">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1931" w:type="pct"/>
            <w:vMerge w:val="continue"/>
            <w:tcBorders>
              <w:top w:val="single" w:color="auto" w:sz="4" w:space="0"/>
              <w:left w:val="single" w:color="auto" w:sz="4" w:space="0"/>
              <w:bottom w:val="single" w:color="auto" w:sz="4" w:space="0"/>
              <w:right w:val="single" w:color="auto" w:sz="4" w:space="0"/>
            </w:tcBorders>
            <w:noWrap/>
            <w:vAlign w:val="center"/>
          </w:tcPr>
          <w:p w14:paraId="021925C0">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tcBorders>
              <w:top w:val="single" w:color="auto" w:sz="4" w:space="0"/>
              <w:left w:val="single" w:color="auto" w:sz="4" w:space="0"/>
              <w:bottom w:val="single" w:color="auto" w:sz="4" w:space="0"/>
              <w:right w:val="single" w:color="auto" w:sz="4" w:space="0"/>
            </w:tcBorders>
            <w:noWrap/>
            <w:vAlign w:val="center"/>
          </w:tcPr>
          <w:p w14:paraId="778BCD71">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南</w:t>
            </w:r>
          </w:p>
        </w:tc>
        <w:tc>
          <w:tcPr>
            <w:tcW w:w="643" w:type="pct"/>
            <w:tcBorders>
              <w:top w:val="single" w:color="auto" w:sz="4" w:space="0"/>
              <w:left w:val="single" w:color="auto" w:sz="4" w:space="0"/>
              <w:bottom w:val="single" w:color="auto" w:sz="4" w:space="0"/>
              <w:right w:val="single" w:color="auto" w:sz="4" w:space="0"/>
            </w:tcBorders>
            <w:noWrap/>
            <w:vAlign w:val="center"/>
          </w:tcPr>
          <w:p w14:paraId="407B02F1">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货车平台</w:t>
            </w:r>
          </w:p>
        </w:tc>
        <w:tc>
          <w:tcPr>
            <w:tcW w:w="635" w:type="pct"/>
            <w:tcBorders>
              <w:top w:val="single" w:color="auto" w:sz="4" w:space="0"/>
              <w:left w:val="single" w:color="auto" w:sz="4" w:space="0"/>
              <w:bottom w:val="single" w:color="auto" w:sz="4" w:space="0"/>
              <w:right w:val="single" w:color="auto" w:sz="4" w:space="0"/>
            </w:tcBorders>
            <w:noWrap/>
            <w:vAlign w:val="center"/>
          </w:tcPr>
          <w:p w14:paraId="36F76D76">
            <w:pPr>
              <w:keepNext w:val="0"/>
              <w:keepLines w:val="0"/>
              <w:suppressLineNumbers w:val="0"/>
              <w:snapToGrid w:val="0"/>
              <w:spacing w:before="0" w:beforeAutospacing="0" w:after="0" w:afterAutospacing="0" w:line="240" w:lineRule="auto"/>
              <w:ind w:left="0" w:right="0"/>
              <w:jc w:val="center"/>
              <w:rPr>
                <w:rFonts w:hint="default" w:ascii="Times New Roman" w:hAnsi="Times New Roman" w:cs="Times New Roman"/>
                <w:bCs/>
                <w:color w:val="auto"/>
                <w:kern w:val="0"/>
                <w:szCs w:val="21"/>
                <w:highlight w:val="none"/>
              </w:rPr>
            </w:pPr>
            <w:r>
              <w:rPr>
                <w:rFonts w:hint="default" w:ascii="Times New Roman" w:hAnsi="Times New Roman" w:cs="Times New Roman"/>
                <w:bCs/>
                <w:color w:val="auto"/>
                <w:kern w:val="0"/>
                <w:szCs w:val="21"/>
                <w:highlight w:val="none"/>
              </w:rPr>
              <w:t>19.1</w:t>
            </w:r>
          </w:p>
        </w:tc>
        <w:tc>
          <w:tcPr>
            <w:tcW w:w="631" w:type="pct"/>
            <w:tcBorders>
              <w:top w:val="single" w:color="auto" w:sz="4" w:space="0"/>
              <w:left w:val="single" w:color="auto" w:sz="4" w:space="0"/>
              <w:bottom w:val="single" w:color="auto" w:sz="4" w:space="0"/>
              <w:right w:val="nil"/>
            </w:tcBorders>
            <w:noWrap/>
            <w:vAlign w:val="center"/>
          </w:tcPr>
          <w:p w14:paraId="36FBDF2D">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415603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restart"/>
            <w:tcBorders>
              <w:top w:val="single" w:color="auto" w:sz="4" w:space="0"/>
              <w:left w:val="nil"/>
              <w:bottom w:val="single" w:color="auto" w:sz="4" w:space="0"/>
              <w:right w:val="single" w:color="auto" w:sz="4" w:space="0"/>
            </w:tcBorders>
            <w:noWrap/>
            <w:vAlign w:val="center"/>
          </w:tcPr>
          <w:p w14:paraId="593A82A9">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3</w:t>
            </w:r>
          </w:p>
        </w:tc>
        <w:tc>
          <w:tcPr>
            <w:tcW w:w="1931" w:type="pct"/>
            <w:vMerge w:val="restart"/>
            <w:tcBorders>
              <w:top w:val="single" w:color="auto" w:sz="4" w:space="0"/>
              <w:left w:val="single" w:color="auto" w:sz="4" w:space="0"/>
              <w:bottom w:val="single" w:color="auto" w:sz="4" w:space="0"/>
              <w:right w:val="single" w:color="auto" w:sz="4" w:space="0"/>
            </w:tcBorders>
            <w:noWrap/>
            <w:vAlign w:val="center"/>
          </w:tcPr>
          <w:p w14:paraId="5B414667">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气柜（1×2000m</w:t>
            </w:r>
            <w:r>
              <w:rPr>
                <w:rFonts w:hint="default" w:ascii="Times New Roman" w:hAnsi="Times New Roman" w:eastAsia="宋体" w:cs="Times New Roman"/>
                <w:bCs/>
                <w:color w:val="auto"/>
                <w:kern w:val="0"/>
                <w:szCs w:val="21"/>
                <w:highlight w:val="none"/>
                <w:vertAlign w:val="superscript"/>
              </w:rPr>
              <w:t>3</w:t>
            </w:r>
            <w:r>
              <w:rPr>
                <w:rFonts w:hint="default" w:ascii="Times New Roman" w:hAnsi="Times New Roman" w:eastAsia="宋体" w:cs="Times New Roman"/>
                <w:bCs/>
                <w:color w:val="auto"/>
                <w:kern w:val="0"/>
                <w:szCs w:val="21"/>
                <w:highlight w:val="none"/>
              </w:rPr>
              <w:t>）</w:t>
            </w:r>
          </w:p>
        </w:tc>
        <w:tc>
          <w:tcPr>
            <w:tcW w:w="658" w:type="pct"/>
            <w:tcBorders>
              <w:top w:val="single" w:color="auto" w:sz="4" w:space="0"/>
              <w:left w:val="single" w:color="auto" w:sz="4" w:space="0"/>
              <w:bottom w:val="single" w:color="auto" w:sz="4" w:space="0"/>
              <w:right w:val="single" w:color="auto" w:sz="4" w:space="0"/>
            </w:tcBorders>
            <w:noWrap/>
            <w:vAlign w:val="center"/>
          </w:tcPr>
          <w:p w14:paraId="7DD36E0F">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南</w:t>
            </w:r>
          </w:p>
        </w:tc>
        <w:tc>
          <w:tcPr>
            <w:tcW w:w="643" w:type="pct"/>
            <w:tcBorders>
              <w:top w:val="single" w:color="auto" w:sz="4" w:space="0"/>
              <w:left w:val="single" w:color="auto" w:sz="4" w:space="0"/>
              <w:bottom w:val="single" w:color="auto" w:sz="4" w:space="0"/>
              <w:right w:val="single" w:color="auto" w:sz="4" w:space="0"/>
            </w:tcBorders>
            <w:shd w:val="clear" w:color="auto" w:fill="auto"/>
            <w:noWrap/>
            <w:vAlign w:val="center"/>
          </w:tcPr>
          <w:p w14:paraId="76697727">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污水池</w:t>
            </w:r>
          </w:p>
        </w:tc>
        <w:tc>
          <w:tcPr>
            <w:tcW w:w="635" w:type="pct"/>
            <w:tcBorders>
              <w:top w:val="single" w:color="auto" w:sz="4" w:space="0"/>
              <w:left w:val="single" w:color="auto" w:sz="4" w:space="0"/>
              <w:bottom w:val="single" w:color="auto" w:sz="4" w:space="0"/>
              <w:right w:val="single" w:color="auto" w:sz="4" w:space="0"/>
            </w:tcBorders>
            <w:shd w:val="clear" w:color="auto" w:fill="auto"/>
            <w:noWrap/>
            <w:vAlign w:val="center"/>
          </w:tcPr>
          <w:p w14:paraId="3D425662">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5.7</w:t>
            </w:r>
          </w:p>
        </w:tc>
        <w:tc>
          <w:tcPr>
            <w:tcW w:w="631" w:type="pct"/>
            <w:tcBorders>
              <w:top w:val="single" w:color="auto" w:sz="4" w:space="0"/>
              <w:left w:val="single" w:color="auto" w:sz="4" w:space="0"/>
              <w:bottom w:val="single" w:color="auto" w:sz="4" w:space="0"/>
              <w:right w:val="nil"/>
            </w:tcBorders>
            <w:noWrap/>
            <w:vAlign w:val="center"/>
          </w:tcPr>
          <w:p w14:paraId="06181118">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r w14:paraId="1CBA56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499" w:type="pct"/>
            <w:vMerge w:val="continue"/>
            <w:tcBorders>
              <w:top w:val="single" w:color="auto" w:sz="4" w:space="0"/>
              <w:left w:val="nil"/>
              <w:right w:val="single" w:color="auto" w:sz="4" w:space="0"/>
            </w:tcBorders>
            <w:noWrap/>
            <w:vAlign w:val="center"/>
          </w:tcPr>
          <w:p w14:paraId="546DD58B">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1931" w:type="pct"/>
            <w:vMerge w:val="continue"/>
            <w:tcBorders>
              <w:top w:val="single" w:color="auto" w:sz="4" w:space="0"/>
              <w:left w:val="single" w:color="auto" w:sz="4" w:space="0"/>
              <w:right w:val="single" w:color="auto" w:sz="4" w:space="0"/>
            </w:tcBorders>
            <w:noWrap/>
            <w:vAlign w:val="center"/>
          </w:tcPr>
          <w:p w14:paraId="489011A2">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p>
        </w:tc>
        <w:tc>
          <w:tcPr>
            <w:tcW w:w="658" w:type="pct"/>
            <w:tcBorders>
              <w:top w:val="single" w:color="auto" w:sz="4" w:space="0"/>
              <w:left w:val="single" w:color="auto" w:sz="4" w:space="0"/>
              <w:right w:val="single" w:color="auto" w:sz="4" w:space="0"/>
            </w:tcBorders>
            <w:noWrap/>
            <w:vAlign w:val="center"/>
          </w:tcPr>
          <w:p w14:paraId="222E3D7A">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西南</w:t>
            </w:r>
          </w:p>
        </w:tc>
        <w:tc>
          <w:tcPr>
            <w:tcW w:w="643" w:type="pct"/>
            <w:tcBorders>
              <w:top w:val="single" w:color="auto" w:sz="4" w:space="0"/>
              <w:left w:val="single" w:color="auto" w:sz="4" w:space="0"/>
              <w:right w:val="single" w:color="auto" w:sz="4" w:space="0"/>
            </w:tcBorders>
            <w:noWrap/>
            <w:vAlign w:val="center"/>
          </w:tcPr>
          <w:p w14:paraId="0BFD366E">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货车平台</w:t>
            </w:r>
          </w:p>
        </w:tc>
        <w:tc>
          <w:tcPr>
            <w:tcW w:w="635" w:type="pct"/>
            <w:tcBorders>
              <w:top w:val="single" w:color="auto" w:sz="4" w:space="0"/>
              <w:left w:val="single" w:color="auto" w:sz="4" w:space="0"/>
              <w:right w:val="single" w:color="auto" w:sz="4" w:space="0"/>
            </w:tcBorders>
            <w:noWrap/>
            <w:vAlign w:val="center"/>
          </w:tcPr>
          <w:p w14:paraId="57AF1003">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14.3</w:t>
            </w:r>
          </w:p>
        </w:tc>
        <w:tc>
          <w:tcPr>
            <w:tcW w:w="631" w:type="pct"/>
            <w:tcBorders>
              <w:top w:val="single" w:color="auto" w:sz="4" w:space="0"/>
              <w:left w:val="single" w:color="auto" w:sz="4" w:space="0"/>
              <w:right w:val="nil"/>
            </w:tcBorders>
            <w:noWrap/>
            <w:vAlign w:val="center"/>
          </w:tcPr>
          <w:p w14:paraId="58CDE700">
            <w:pPr>
              <w:keepNext w:val="0"/>
              <w:keepLines w:val="0"/>
              <w:suppressLineNumbers w:val="0"/>
              <w:snapToGrid w:val="0"/>
              <w:spacing w:before="0" w:beforeAutospacing="0" w:after="0" w:afterAutospacing="0" w:line="240" w:lineRule="auto"/>
              <w:ind w:left="0" w:right="0"/>
              <w:jc w:val="center"/>
              <w:rPr>
                <w:rFonts w:hint="default" w:ascii="Times New Roman" w:hAnsi="Times New Roman" w:eastAsia="宋体" w:cs="Times New Roman"/>
                <w:bCs/>
                <w:color w:val="auto"/>
                <w:kern w:val="0"/>
                <w:szCs w:val="21"/>
                <w:highlight w:val="none"/>
              </w:rPr>
            </w:pPr>
            <w:r>
              <w:rPr>
                <w:rFonts w:hint="default" w:ascii="Times New Roman" w:hAnsi="Times New Roman" w:eastAsia="宋体" w:cs="Times New Roman"/>
                <w:bCs/>
                <w:color w:val="auto"/>
                <w:kern w:val="0"/>
                <w:szCs w:val="21"/>
                <w:highlight w:val="none"/>
              </w:rPr>
              <w:t>/</w:t>
            </w:r>
          </w:p>
        </w:tc>
      </w:tr>
    </w:tbl>
    <w:p w14:paraId="149C6971">
      <w:pPr>
        <w:keepNext w:val="0"/>
        <w:keepLines w:val="0"/>
        <w:widowControl/>
        <w:numPr>
          <w:ilvl w:val="0"/>
          <w:numId w:val="0"/>
        </w:numPr>
        <w:suppressLineNumbers w:val="0"/>
        <w:spacing w:line="240" w:lineRule="auto"/>
        <w:jc w:val="center"/>
        <w:rPr>
          <w:rFonts w:hint="default" w:ascii="Times New Roman" w:hAnsi="Times New Roman" w:cs="Times New Roman"/>
          <w:color w:val="auto"/>
          <w:highlight w:val="none"/>
          <w:lang w:val="en-US" w:eastAsia="zh-CN"/>
        </w:rPr>
      </w:pPr>
    </w:p>
    <w:p w14:paraId="39BEE4C7">
      <w:pPr>
        <w:pStyle w:val="14"/>
        <w:ind w:firstLine="482"/>
        <w:rPr>
          <w:rFonts w:hint="default" w:ascii="Times New Roman" w:hAnsi="Times New Roman" w:cs="Times New Roman"/>
          <w:b/>
          <w:bCs/>
          <w:color w:val="auto"/>
          <w:sz w:val="24"/>
          <w:highlight w:val="none"/>
          <w:lang w:val="en-US" w:eastAsia="zh-CN"/>
        </w:rPr>
      </w:pPr>
      <w:r>
        <w:rPr>
          <w:rFonts w:hint="default" w:ascii="Times New Roman" w:hAnsi="Times New Roman" w:cs="Times New Roman"/>
          <w:b/>
          <w:bCs/>
          <w:color w:val="auto"/>
          <w:sz w:val="24"/>
          <w:highlight w:val="none"/>
          <w:lang w:val="en-US" w:eastAsia="zh-CN"/>
        </w:rPr>
        <w:t>3、环保设施布局</w:t>
      </w:r>
    </w:p>
    <w:p w14:paraId="61BB19A1">
      <w:pPr>
        <w:pStyle w:val="14"/>
        <w:ind w:firstLine="482"/>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本项目用地周边环境较空旷，距离周边建筑物较远，主要废气产生及处理设施位于主厂房，卫生防护距离内主要为</w:t>
      </w:r>
      <w:r>
        <w:rPr>
          <w:rFonts w:hint="eastAsia" w:ascii="Times New Roman" w:hAnsi="Times New Roman" w:cs="Times New Roman"/>
          <w:color w:val="auto"/>
          <w:sz w:val="24"/>
          <w:highlight w:val="none"/>
          <w:lang w:val="en-US" w:eastAsia="zh-CN"/>
        </w:rPr>
        <w:t>垃圾</w:t>
      </w:r>
      <w:r>
        <w:rPr>
          <w:rFonts w:hint="default" w:ascii="Times New Roman" w:hAnsi="Times New Roman" w:cs="Times New Roman"/>
          <w:color w:val="auto"/>
          <w:sz w:val="24"/>
          <w:highlight w:val="none"/>
          <w:lang w:val="en-US" w:eastAsia="zh-CN"/>
        </w:rPr>
        <w:t>填埋场、道路，无敏感点；主要产噪设备位于主厂房内，墙体隔声效果明显。</w:t>
      </w:r>
    </w:p>
    <w:p w14:paraId="3BC7E7C5">
      <w:pPr>
        <w:pStyle w:val="14"/>
        <w:ind w:firstLine="482"/>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综上，本项目生产布局明确，环保设施布置合理。</w:t>
      </w:r>
    </w:p>
    <w:p w14:paraId="66809B7F">
      <w:pPr>
        <w:pStyle w:val="14"/>
        <w:ind w:firstLine="482"/>
        <w:rPr>
          <w:rFonts w:hint="default" w:ascii="Times New Roman" w:hAnsi="Times New Roman" w:cs="Times New Roman"/>
          <w:b/>
          <w:bCs/>
          <w:color w:val="auto"/>
          <w:sz w:val="24"/>
          <w:highlight w:val="none"/>
          <w:lang w:val="en-US" w:eastAsia="zh-CN"/>
        </w:rPr>
      </w:pPr>
      <w:r>
        <w:rPr>
          <w:rFonts w:hint="default" w:ascii="Times New Roman" w:hAnsi="Times New Roman" w:cs="Times New Roman"/>
          <w:b/>
          <w:bCs/>
          <w:color w:val="auto"/>
          <w:sz w:val="24"/>
          <w:highlight w:val="none"/>
          <w:lang w:val="en-US" w:eastAsia="zh-CN"/>
        </w:rPr>
        <w:t>4、总平面布置合理性</w:t>
      </w:r>
    </w:p>
    <w:p w14:paraId="47ECBD9C">
      <w:pPr>
        <w:pStyle w:val="14"/>
        <w:ind w:firstLine="482"/>
        <w:rPr>
          <w:rFonts w:hint="default" w:ascii="Times New Roman" w:hAnsi="Times New Roman" w:cs="Times New Roman"/>
          <w:color w:val="auto"/>
          <w:sz w:val="24"/>
          <w:highlight w:val="none"/>
          <w:lang w:val="en-US" w:eastAsia="zh-CN"/>
        </w:rPr>
      </w:pPr>
      <w:r>
        <w:rPr>
          <w:rFonts w:hint="default" w:ascii="Times New Roman" w:hAnsi="Times New Roman" w:cs="Times New Roman"/>
          <w:color w:val="auto"/>
          <w:sz w:val="24"/>
          <w:highlight w:val="none"/>
          <w:lang w:val="en-US" w:eastAsia="zh-CN"/>
        </w:rPr>
        <w:t>经分析，全厂平面布置在满足工艺流程通顺、管线短捷的前提下，充分考虑地形、风向及物料流向等因素。项目总图布置考虑满足生产工艺要求，确保工艺生产流程顺直，物料管线短捷，减少投资；满足水、电、气等公用工程外线接入条件，最大限度地有利于环境保护工作的开展。总体而言，本项目总平面布局已从环保角度进行优化，对外环境无明显影响，项目总图布置从环保角度合理。</w:t>
      </w:r>
    </w:p>
    <w:p w14:paraId="57A9B2C0">
      <w:pPr>
        <w:pStyle w:val="14"/>
        <w:ind w:firstLine="482"/>
        <w:rPr>
          <w:rFonts w:hint="default" w:ascii="Times New Roman" w:hAnsi="Times New Roman" w:cs="Times New Roman"/>
          <w:color w:val="auto"/>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bidi="ar"/>
        </w:rPr>
        <w:t>项目</w:t>
      </w:r>
      <w:r>
        <w:rPr>
          <w:rFonts w:hint="default" w:ascii="Times New Roman" w:hAnsi="Times New Roman" w:cs="Times New Roman"/>
          <w:color w:val="auto"/>
          <w:sz w:val="24"/>
          <w:szCs w:val="24"/>
          <w:highlight w:val="none"/>
          <w:lang w:val="en-US" w:eastAsia="zh-CN"/>
        </w:rPr>
        <w:t>平面布置图详见附图4。</w:t>
      </w:r>
    </w:p>
    <w:p w14:paraId="4F23B672">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劳动定员与工作制度</w:t>
      </w:r>
    </w:p>
    <w:p w14:paraId="0D93F8FA">
      <w:pPr>
        <w:pStyle w:val="14"/>
        <w:ind w:firstLine="482"/>
        <w:rPr>
          <w:rFonts w:hint="default" w:ascii="Times New Roman" w:hAnsi="Times New Roman" w:cs="Times New Roman"/>
          <w:b/>
          <w:color w:val="auto"/>
          <w:highlight w:val="none"/>
          <w:lang w:val="en-US" w:eastAsia="zh-CN"/>
        </w:rPr>
      </w:pPr>
      <w:r>
        <w:rPr>
          <w:rFonts w:hint="default" w:ascii="Times New Roman" w:hAnsi="Times New Roman" w:cs="Times New Roman"/>
          <w:b w:val="0"/>
          <w:bCs/>
          <w:color w:val="auto"/>
          <w:highlight w:val="none"/>
          <w:lang w:val="en-US" w:eastAsia="zh-CN"/>
        </w:rPr>
        <w:t>本</w:t>
      </w:r>
      <w:r>
        <w:rPr>
          <w:rFonts w:hint="default" w:ascii="Times New Roman" w:hAnsi="Times New Roman" w:cs="Times New Roman"/>
          <w:b w:val="0"/>
          <w:bCs/>
          <w:color w:val="auto"/>
          <w:highlight w:val="none"/>
        </w:rPr>
        <w:t>项目</w:t>
      </w:r>
      <w:r>
        <w:rPr>
          <w:rFonts w:hint="default" w:ascii="Times New Roman" w:hAnsi="Times New Roman" w:cs="Times New Roman"/>
          <w:b w:val="0"/>
          <w:bCs/>
          <w:color w:val="auto"/>
          <w:highlight w:val="none"/>
          <w:lang w:val="en-US" w:eastAsia="zh-CN"/>
        </w:rPr>
        <w:t>劳动定员37人；项目建成后年生产365天，每天3班24h工作制，年运行8760h。</w:t>
      </w:r>
    </w:p>
    <w:p w14:paraId="5A5B34B9">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项目实施进度安排</w:t>
      </w:r>
    </w:p>
    <w:p w14:paraId="342EE75D">
      <w:pPr>
        <w:pStyle w:val="14"/>
        <w:ind w:firstLine="480"/>
        <w:rPr>
          <w:rFonts w:hint="default" w:ascii="Times New Roman" w:hAnsi="Times New Roman" w:cs="Times New Roman" w:eastAsiaTheme="minorEastAsia"/>
          <w:color w:val="auto"/>
          <w:highlight w:val="none"/>
          <w:lang w:eastAsia="zh-CN"/>
        </w:rPr>
      </w:pPr>
      <w:r>
        <w:rPr>
          <w:rFonts w:hint="default" w:ascii="Times New Roman" w:hAnsi="Times New Roman" w:cs="Times New Roman"/>
          <w:b w:val="0"/>
          <w:bCs w:val="0"/>
          <w:color w:val="auto"/>
          <w:sz w:val="24"/>
          <w:highlight w:val="none"/>
          <w:lang w:val="en-US" w:eastAsia="zh-CN"/>
        </w:rPr>
        <w:t>目前，本项目已完成“三通一平”建设工作即已进行场地平整，水源、电源引入本项目用地红线以内、入场道路已修通，同时建设有施工临时生产用房等临时建筑，预计 2025 年2月正式开工建设，2025年6月</w:t>
      </w:r>
      <w:r>
        <w:rPr>
          <w:rFonts w:hint="default" w:ascii="Times New Roman" w:hAnsi="Times New Roman" w:cs="Times New Roman"/>
          <w:color w:val="auto"/>
          <w:highlight w:val="none"/>
        </w:rPr>
        <w:t>建成并投入使用，计划建设工期</w:t>
      </w:r>
      <w:r>
        <w:rPr>
          <w:rFonts w:hint="default" w:ascii="Times New Roman" w:hAnsi="Times New Roman" w:cs="Times New Roman"/>
          <w:color w:val="auto"/>
          <w:highlight w:val="none"/>
          <w:lang w:val="en-US" w:eastAsia="zh-CN"/>
        </w:rPr>
        <w:t>4</w:t>
      </w:r>
      <w:r>
        <w:rPr>
          <w:rFonts w:hint="default" w:ascii="Times New Roman" w:hAnsi="Times New Roman" w:cs="Times New Roman"/>
          <w:color w:val="auto"/>
          <w:highlight w:val="none"/>
        </w:rPr>
        <w:t>个月</w:t>
      </w:r>
      <w:r>
        <w:rPr>
          <w:rFonts w:hint="default" w:ascii="Times New Roman" w:hAnsi="Times New Roman" w:cs="Times New Roman"/>
          <w:color w:val="auto"/>
          <w:highlight w:val="none"/>
          <w:lang w:eastAsia="zh-CN"/>
        </w:rPr>
        <w:t>。</w:t>
      </w:r>
    </w:p>
    <w:p w14:paraId="1C8DA00A">
      <w:pPr>
        <w:pStyle w:val="3"/>
        <w:spacing w:before="156" w:after="156"/>
        <w:rPr>
          <w:rFonts w:hint="default" w:ascii="Times New Roman" w:hAnsi="Times New Roman" w:cs="Times New Roman"/>
          <w:color w:val="auto"/>
          <w:highlight w:val="none"/>
        </w:rPr>
      </w:pPr>
      <w:bookmarkStart w:id="68" w:name="_Toc6227"/>
      <w:bookmarkStart w:id="69" w:name="_Toc6407"/>
      <w:bookmarkStart w:id="70" w:name="_Toc7947"/>
      <w:r>
        <w:rPr>
          <w:rFonts w:hint="default" w:ascii="Times New Roman" w:hAnsi="Times New Roman" w:cs="Times New Roman"/>
          <w:color w:val="auto"/>
          <w:highlight w:val="none"/>
        </w:rPr>
        <w:t>施工期工程分析</w:t>
      </w:r>
      <w:bookmarkEnd w:id="68"/>
      <w:bookmarkEnd w:id="69"/>
      <w:bookmarkEnd w:id="70"/>
    </w:p>
    <w:p w14:paraId="0F40CDB5">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施工期工艺流程</w:t>
      </w:r>
    </w:p>
    <w:p w14:paraId="15D858F0">
      <w:pPr>
        <w:pStyle w:val="14"/>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本项目施工期间在基础工程、主体工程、装饰工程、设备安装等工序将产生噪声、扬尘、固体废弃物、少量污水和废气污染物，由于本项目工程量较小，施工工期短，施工期对周围环境影响较小。</w:t>
      </w:r>
    </w:p>
    <w:p w14:paraId="3E213EE7">
      <w:pPr>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施工期的工艺流程及产污位置如下图：</w:t>
      </w:r>
    </w:p>
    <w:p w14:paraId="341C9948">
      <w:pPr>
        <w:ind w:firstLine="174" w:firstLineChars="83"/>
        <w:jc w:val="center"/>
        <w:rPr>
          <w:rFonts w:hint="default" w:ascii="Times New Roman" w:hAnsi="Times New Roman" w:cs="Times New Roman"/>
          <w:b/>
          <w:color w:val="auto"/>
          <w:highlight w:val="none"/>
        </w:rPr>
      </w:pPr>
      <w:r>
        <w:rPr>
          <w:rFonts w:hint="default" w:ascii="Times New Roman" w:hAnsi="Times New Roman" w:cs="Times New Roman"/>
          <w:color w:val="auto"/>
          <w:highlight w:val="none"/>
        </w:rPr>
        <w:object>
          <v:shape id="_x0000_i1026" o:spt="75" type="#_x0000_t75" style="height:196.75pt;width:457.95pt;" o:ole="t" filled="f" o:preferrelative="t" stroked="f" coordsize="21600,21600">
            <v:path/>
            <v:fill on="f" focussize="0,0"/>
            <v:stroke on="f" joinstyle="miter"/>
            <v:imagedata r:id="rId51" o:title=""/>
            <o:lock v:ext="edit" aspectratio="t"/>
            <w10:wrap type="none"/>
            <w10:anchorlock/>
          </v:shape>
          <o:OLEObject Type="Embed" ProgID="Equation.3" ShapeID="_x0000_i1026" DrawAspect="Content" ObjectID="_1468075726" r:id="rId50">
            <o:LockedField>false</o:LockedField>
          </o:OLEObject>
        </w:object>
      </w:r>
      <w:r>
        <w:rPr>
          <w:rFonts w:hint="default" w:ascii="Times New Roman" w:hAnsi="Times New Roman" w:cs="Times New Roman"/>
          <w:b/>
          <w:color w:val="auto"/>
          <w:highlight w:val="none"/>
        </w:rPr>
        <w:t>图</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3.2</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noBreakHyphen/>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图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cs="Times New Roman"/>
          <w:color w:val="auto"/>
          <w:highlight w:val="none"/>
          <w:lang w:val="en-US" w:eastAsia="zh-CN"/>
        </w:rPr>
        <w:t xml:space="preserve"> </w:t>
      </w:r>
      <w:r>
        <w:rPr>
          <w:rFonts w:hint="default" w:ascii="Times New Roman" w:hAnsi="Times New Roman" w:cs="Times New Roman"/>
          <w:b/>
          <w:color w:val="auto"/>
          <w:highlight w:val="none"/>
        </w:rPr>
        <w:t>施工期的工艺流程及产污位置图</w:t>
      </w:r>
    </w:p>
    <w:p w14:paraId="6C388542">
      <w:pPr>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施工期</w:t>
      </w:r>
      <w:r>
        <w:rPr>
          <w:rFonts w:hint="default" w:ascii="Times New Roman" w:hAnsi="Times New Roman" w:cs="Times New Roman"/>
          <w:color w:val="auto"/>
          <w:sz w:val="24"/>
          <w:szCs w:val="24"/>
          <w:highlight w:val="none"/>
          <w:lang w:val="en-US" w:eastAsia="zh-CN"/>
        </w:rPr>
        <w:t>污染因素</w:t>
      </w:r>
      <w:r>
        <w:rPr>
          <w:rFonts w:hint="default" w:ascii="Times New Roman" w:hAnsi="Times New Roman" w:cs="Times New Roman"/>
          <w:color w:val="auto"/>
          <w:sz w:val="24"/>
          <w:szCs w:val="24"/>
          <w:highlight w:val="none"/>
        </w:rPr>
        <w:t>主要包括土建阶段场地扬尘</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施工废水、</w:t>
      </w:r>
      <w:r>
        <w:rPr>
          <w:rFonts w:hint="default" w:ascii="Times New Roman" w:hAnsi="Times New Roman" w:cs="Times New Roman"/>
          <w:color w:val="auto"/>
          <w:sz w:val="24"/>
          <w:szCs w:val="24"/>
          <w:highlight w:val="none"/>
        </w:rPr>
        <w:t>各种施工机械和车辆运输产生的作业噪声</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建筑垃圾</w:t>
      </w:r>
      <w:r>
        <w:rPr>
          <w:rFonts w:hint="default" w:ascii="Times New Roman" w:hAnsi="Times New Roman" w:cs="Times New Roman"/>
          <w:color w:val="auto"/>
          <w:sz w:val="24"/>
          <w:szCs w:val="24"/>
          <w:highlight w:val="none"/>
          <w:lang w:val="en-US" w:eastAsia="zh-CN"/>
        </w:rPr>
        <w:t>以及施工人员产生的生活废水和生活垃圾</w:t>
      </w:r>
      <w:r>
        <w:rPr>
          <w:rFonts w:hint="default" w:ascii="Times New Roman" w:hAnsi="Times New Roman" w:cs="Times New Roman"/>
          <w:color w:val="auto"/>
          <w:sz w:val="24"/>
          <w:szCs w:val="24"/>
          <w:highlight w:val="none"/>
        </w:rPr>
        <w:t>。</w:t>
      </w:r>
    </w:p>
    <w:p w14:paraId="47CB54B6">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施工期主要污染物产生及防治措施</w:t>
      </w:r>
    </w:p>
    <w:p w14:paraId="4C67B32C">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施工期扬尘的产生及防治措施</w:t>
      </w:r>
    </w:p>
    <w:p w14:paraId="5DAA434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1、污染源分析</w:t>
      </w:r>
    </w:p>
    <w:p w14:paraId="2E13DC77">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根据国内外有关研究资料，施工扬尘起尘量与许多因素有关。本工程主要起尘量包括：挖土机开挖起尘量、施工渣土堆场起尘量和运输车辆起尘量。施工期产生的扬尘对建设区周围环境空气产生影响。</w:t>
      </w:r>
    </w:p>
    <w:p w14:paraId="46013A4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工场扬尘的主要来源是运输车辆行驶，约占扬尘总量60%。扬尘量的大小与天气干燥程度、道路路况、车辆行驶速度、风速大小有关。一般情况下，在自然风作用下，道路扬尘影响范围在100m以内。在大风天气，扬尘量及影响范围将有所扩大。施工中的渣土、砂料等，若堆放时被覆不当或装卸运输时散落，也都会造成施工扬尘，影响范围在100m左右。</w:t>
      </w:r>
    </w:p>
    <w:p w14:paraId="2163925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2、防治措施</w:t>
      </w:r>
    </w:p>
    <w:p w14:paraId="45BF1146">
      <w:pPr>
        <w:pStyle w:val="14"/>
        <w:ind w:firstLine="482"/>
        <w:rPr>
          <w:rFonts w:hint="default" w:ascii="Times New Roman" w:hAnsi="Times New Roman" w:cs="Times New Roman"/>
          <w:color w:val="auto"/>
          <w:highlight w:val="none"/>
        </w:rPr>
      </w:pPr>
      <w:r>
        <w:rPr>
          <w:rFonts w:hint="default" w:ascii="Times New Roman" w:hAnsi="Times New Roman" w:cs="Times New Roman"/>
          <w:color w:val="auto"/>
          <w:highlight w:val="none"/>
        </w:rPr>
        <w:t>建设单位应要求工程施工单位制定施工期环境管理计划，加强管理，按进度、有计划地进行文明施工，</w:t>
      </w:r>
      <w:r>
        <w:rPr>
          <w:rFonts w:hint="default" w:ascii="Times New Roman" w:hAnsi="Times New Roman" w:cs="Times New Roman"/>
          <w:color w:val="auto"/>
          <w:highlight w:val="none"/>
          <w:lang w:eastAsia="zh-CN"/>
        </w:rPr>
        <w:t>严格按照</w:t>
      </w:r>
      <w:r>
        <w:rPr>
          <w:rFonts w:hint="default" w:ascii="Times New Roman" w:hAnsi="Times New Roman" w:cs="Times New Roman"/>
          <w:color w:val="auto"/>
          <w:highlight w:val="none"/>
        </w:rPr>
        <w:t>《中华人民共和国大气污染防治法》、《四川省蓝天保卫行动方案》 （2017-2020年）、《四川省打赢蓝天保卫战实施方案》（川府发2019[4]号）等文件相关规定做好扬尘防治工作，严格施工扬尘监管，严格落实“六必须、六不准”（必须围档作业、必须硬化道路、必须设置冲洗设施、必须及时洒水作业、必须落实保洁人员、必须定时清扫施工现场、不准车辆带泥出门、不准运渣车辆冒顶装载、不准高空抛撒建筑垃圾、不准现场搅拌混凝土、不准场地积水、不准现场焚烧废弃物）和六个百分百（工地周边100%围挡、物料堆放100%覆盖、出入车辆100%冲洗、施工现场地面100%硬化、拆迁工地100%湿法作业、渣土车辆100%密闭运输）</w:t>
      </w:r>
      <w:r>
        <w:rPr>
          <w:rFonts w:hint="default" w:ascii="Times New Roman" w:hAnsi="Times New Roman" w:cs="Times New Roman"/>
          <w:color w:val="auto"/>
          <w:highlight w:val="none"/>
          <w:lang w:eastAsia="zh-CN"/>
        </w:rPr>
        <w:t>的</w:t>
      </w:r>
      <w:r>
        <w:rPr>
          <w:rFonts w:hint="default" w:ascii="Times New Roman" w:hAnsi="Times New Roman" w:cs="Times New Roman"/>
          <w:color w:val="auto"/>
          <w:highlight w:val="none"/>
        </w:rPr>
        <w:t>管控要求</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环评要求</w:t>
      </w:r>
      <w:r>
        <w:rPr>
          <w:rFonts w:hint="default" w:ascii="Times New Roman" w:hAnsi="Times New Roman" w:cs="Times New Roman"/>
          <w:color w:val="auto"/>
          <w:highlight w:val="none"/>
        </w:rPr>
        <w:t>建设单位采取以下措施：</w:t>
      </w:r>
    </w:p>
    <w:p w14:paraId="20E3079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①要求施工单位文明施工，定期对地面及施工道路洒水，每天定时洒水达到有效防尘；</w:t>
      </w:r>
    </w:p>
    <w:p w14:paraId="23F8E2F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②施工运输车辆，车厢应严密清洁，尽量减少渣土运输时洒落在地面上，并对撒落在路面的渣土及时清除，清理时做到先洒水后清扫，避免产生扬尘对周边居民正常生活造成影响；</w:t>
      </w:r>
    </w:p>
    <w:p w14:paraId="574AC76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③在施工场地对施工车辆必须实施限速行驶，同时施工现场运输道路采用硬化路面；</w:t>
      </w:r>
    </w:p>
    <w:p w14:paraId="01899C7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④建材堆放地点要相对集中，应堆放在项目施工场地上设置的材料堆放间处，减少建材的露天堆放时间，对建材使用毡布覆盖；</w:t>
      </w:r>
    </w:p>
    <w:p w14:paraId="1AA33D5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⑤自卸车、垃圾运输车、拉土车等运输车辆不允许超载，选择对周围环境影响较小的运输路线，定时对运输路线进行清扫，运输车辆出场时必须封闭，避免在运输过程中的抛洒现象；</w:t>
      </w:r>
    </w:p>
    <w:p w14:paraId="37BDC02C">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⑥禁止在大风天进行渣土堆放作业，临时废弃土石方及时清运；</w:t>
      </w:r>
    </w:p>
    <w:p w14:paraId="2399456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⑦合理选择运输路线，选择环境影响最小的路线至指定的场地，尽量减少经过居住区、学校、医院次数，避免对其的影响；</w:t>
      </w:r>
    </w:p>
    <w:p w14:paraId="3F91573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⑧加强对施工人员的环保教育，提高全体施工人员的环保意识，坚持文明施工、科学施工、减少施工期的大气污染。</w:t>
      </w:r>
    </w:p>
    <w:p w14:paraId="62734C37">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本项目周围无集中居民区、学校、医院等环境敏感点，且周围树木茂密，在采取有效的扬尘治理措施的前提下，对周围大气环境的影响较小。</w:t>
      </w:r>
    </w:p>
    <w:p w14:paraId="7D71C377">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施工期废水的产生及防治措施</w:t>
      </w:r>
    </w:p>
    <w:p w14:paraId="4A0ACB3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1、污染源分析</w:t>
      </w:r>
    </w:p>
    <w:p w14:paraId="39A80DF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施工期废水主要为工地施工人员生活污水和施工</w:t>
      </w:r>
      <w:r>
        <w:rPr>
          <w:rFonts w:hint="default" w:ascii="Times New Roman" w:hAnsi="Times New Roman" w:cs="Times New Roman"/>
          <w:color w:val="auto"/>
          <w:highlight w:val="none"/>
          <w:lang w:val="en-US" w:eastAsia="zh-CN"/>
        </w:rPr>
        <w:t>生产</w:t>
      </w:r>
      <w:r>
        <w:rPr>
          <w:rFonts w:hint="default" w:ascii="Times New Roman" w:hAnsi="Times New Roman" w:cs="Times New Roman"/>
          <w:color w:val="auto"/>
          <w:highlight w:val="none"/>
        </w:rPr>
        <w:t>废水。</w:t>
      </w:r>
    </w:p>
    <w:p w14:paraId="5A23283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（1）施工生活污水</w:t>
      </w:r>
    </w:p>
    <w:p w14:paraId="2293D60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本项目建设施工期间，施工高峰时工地施工及管理人员合计约</w:t>
      </w:r>
      <w:r>
        <w:rPr>
          <w:rFonts w:hint="default" w:ascii="Times New Roman" w:hAnsi="Times New Roman" w:cs="Times New Roman"/>
          <w:color w:val="auto"/>
          <w:highlight w:val="none"/>
          <w:lang w:val="en-US" w:eastAsia="zh-CN"/>
        </w:rPr>
        <w:t>1</w:t>
      </w:r>
      <w:r>
        <w:rPr>
          <w:rFonts w:hint="default" w:ascii="Times New Roman" w:hAnsi="Times New Roman" w:cs="Times New Roman"/>
          <w:color w:val="auto"/>
          <w:highlight w:val="none"/>
        </w:rPr>
        <w:t>0人。施工期间，工地不设简易住宿和食堂，生活污水按30L/人•天计，产生量为</w:t>
      </w:r>
      <w:r>
        <w:rPr>
          <w:rFonts w:hint="default" w:ascii="Times New Roman" w:hAnsi="Times New Roman" w:cs="Times New Roman"/>
          <w:color w:val="auto"/>
          <w:highlight w:val="none"/>
          <w:lang w:val="en-US" w:eastAsia="zh-CN"/>
        </w:rPr>
        <w:t>0.3</w:t>
      </w:r>
      <w:r>
        <w:rPr>
          <w:rFonts w:hint="default" w:ascii="Times New Roman" w:hAnsi="Times New Roman" w:cs="Times New Roman"/>
          <w:color w:val="auto"/>
          <w:highlight w:val="none"/>
        </w:rPr>
        <w:t>m</w:t>
      </w:r>
      <w:r>
        <w:rPr>
          <w:rFonts w:hint="default" w:ascii="Times New Roman" w:hAnsi="Times New Roman" w:cs="Times New Roman"/>
          <w:color w:val="auto"/>
          <w:highlight w:val="none"/>
          <w:vertAlign w:val="superscript"/>
        </w:rPr>
        <w:t>3</w:t>
      </w:r>
      <w:r>
        <w:rPr>
          <w:rFonts w:hint="default" w:ascii="Times New Roman" w:hAnsi="Times New Roman" w:cs="Times New Roman"/>
          <w:color w:val="auto"/>
          <w:highlight w:val="none"/>
        </w:rPr>
        <w:t>/d。</w:t>
      </w:r>
    </w:p>
    <w:p w14:paraId="2A096979">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w:t>
      </w:r>
      <w:r>
        <w:rPr>
          <w:rFonts w:hint="default" w:ascii="Times New Roman" w:hAnsi="Times New Roman" w:cs="Times New Roman"/>
          <w:color w:val="auto"/>
          <w:highlight w:val="none"/>
          <w:lang w:val="en-US" w:eastAsia="zh-CN"/>
        </w:rPr>
        <w:t>施工生产</w:t>
      </w:r>
      <w:r>
        <w:rPr>
          <w:rFonts w:hint="default" w:ascii="Times New Roman" w:hAnsi="Times New Roman" w:cs="Times New Roman"/>
          <w:color w:val="auto"/>
          <w:highlight w:val="none"/>
        </w:rPr>
        <w:t>废水</w:t>
      </w:r>
    </w:p>
    <w:p w14:paraId="5EC040F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施工期间清洗砂石等产生的建筑施工废水，产生量为</w:t>
      </w:r>
      <w:r>
        <w:rPr>
          <w:rFonts w:hint="default" w:ascii="Times New Roman" w:hAnsi="Times New Roman" w:cs="Times New Roman"/>
          <w:color w:val="auto"/>
          <w:highlight w:val="none"/>
          <w:lang w:val="en-US" w:eastAsia="zh-CN"/>
        </w:rPr>
        <w:t>2</w:t>
      </w:r>
      <w:r>
        <w:rPr>
          <w:rFonts w:hint="default" w:ascii="Times New Roman" w:hAnsi="Times New Roman" w:cs="Times New Roman"/>
          <w:color w:val="auto"/>
          <w:highlight w:val="none"/>
        </w:rPr>
        <w:t>m</w:t>
      </w:r>
      <w:r>
        <w:rPr>
          <w:rFonts w:hint="default" w:ascii="Times New Roman" w:hAnsi="Times New Roman" w:cs="Times New Roman"/>
          <w:color w:val="auto"/>
          <w:highlight w:val="none"/>
          <w:vertAlign w:val="superscript"/>
        </w:rPr>
        <w:t>3</w:t>
      </w:r>
      <w:r>
        <w:rPr>
          <w:rFonts w:hint="default" w:ascii="Times New Roman" w:hAnsi="Times New Roman" w:cs="Times New Roman"/>
          <w:color w:val="auto"/>
          <w:highlight w:val="none"/>
        </w:rPr>
        <w:t>/d</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该类废水含大量泥砂，悬浮物浓度较高。</w:t>
      </w:r>
    </w:p>
    <w:p w14:paraId="6F77D75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2、治理措施</w:t>
      </w:r>
    </w:p>
    <w:p w14:paraId="3BE678E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施工期间产生的建筑施工废水，修建沉淀池，经沉淀处理后循环使用。施工人员</w:t>
      </w:r>
      <w:r>
        <w:rPr>
          <w:rFonts w:hint="default" w:ascii="Times New Roman" w:hAnsi="Times New Roman" w:cs="Times New Roman"/>
          <w:color w:val="auto"/>
          <w:highlight w:val="none"/>
          <w:lang w:val="en-US" w:eastAsia="zh-CN"/>
        </w:rPr>
        <w:t>生活污水依托周边已有设施解决</w:t>
      </w:r>
      <w:r>
        <w:rPr>
          <w:rFonts w:hint="default" w:ascii="Times New Roman" w:hAnsi="Times New Roman" w:cs="Times New Roman"/>
          <w:color w:val="auto"/>
          <w:highlight w:val="none"/>
        </w:rPr>
        <w:t>。</w:t>
      </w:r>
    </w:p>
    <w:p w14:paraId="3EC5004C">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施工期噪声的产生及防治措施</w:t>
      </w:r>
    </w:p>
    <w:p w14:paraId="54C07E9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1、污染源分析</w:t>
      </w:r>
    </w:p>
    <w:p w14:paraId="6D110CF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本项目施工期噪声源主要为各种施工机械和机具、装载机、运输车辆等。其强度详见下表。</w:t>
      </w:r>
    </w:p>
    <w:p w14:paraId="50297C1C">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lang w:val="en-US" w:eastAsia="zh-CN"/>
        </w:rPr>
        <w:t>3.2-1</w:t>
      </w:r>
      <w:r>
        <w:rPr>
          <w:rFonts w:hint="default" w:ascii="Times New Roman" w:hAnsi="Times New Roman" w:cs="Times New Roman"/>
          <w:color w:val="auto"/>
          <w:highlight w:val="none"/>
        </w:rPr>
        <w:t xml:space="preserve">  施工机械噪声声源</w:t>
      </w:r>
    </w:p>
    <w:tbl>
      <w:tblPr>
        <w:tblStyle w:val="35"/>
        <w:tblW w:w="9072"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987"/>
        <w:gridCol w:w="3752"/>
        <w:gridCol w:w="3333"/>
      </w:tblGrid>
      <w:tr w14:paraId="1B07879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1987" w:type="dxa"/>
            <w:tcBorders>
              <w:tl2br w:val="nil"/>
              <w:tr2bl w:val="nil"/>
            </w:tcBorders>
            <w:vAlign w:val="center"/>
          </w:tcPr>
          <w:p w14:paraId="649F3652">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
                <w:bCs w:val="0"/>
                <w:color w:val="auto"/>
                <w:kern w:val="0"/>
                <w:sz w:val="20"/>
                <w:szCs w:val="20"/>
                <w:highlight w:val="none"/>
              </w:rPr>
            </w:pPr>
            <w:r>
              <w:rPr>
                <w:rFonts w:hint="default" w:ascii="Times New Roman" w:hAnsi="Times New Roman" w:eastAsia="宋体" w:cs="Times New Roman"/>
                <w:b/>
                <w:bCs w:val="0"/>
                <w:color w:val="auto"/>
                <w:kern w:val="0"/>
                <w:sz w:val="20"/>
                <w:szCs w:val="20"/>
                <w:highlight w:val="none"/>
              </w:rPr>
              <w:t>施工阶段</w:t>
            </w:r>
          </w:p>
        </w:tc>
        <w:tc>
          <w:tcPr>
            <w:tcW w:w="3752" w:type="dxa"/>
            <w:tcBorders>
              <w:tl2br w:val="nil"/>
              <w:tr2bl w:val="nil"/>
            </w:tcBorders>
            <w:vAlign w:val="center"/>
          </w:tcPr>
          <w:p w14:paraId="340C2C42">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
                <w:bCs w:val="0"/>
                <w:color w:val="auto"/>
                <w:kern w:val="0"/>
                <w:sz w:val="20"/>
                <w:szCs w:val="20"/>
                <w:highlight w:val="none"/>
              </w:rPr>
            </w:pPr>
            <w:r>
              <w:rPr>
                <w:rFonts w:hint="default" w:ascii="Times New Roman" w:hAnsi="Times New Roman" w:eastAsia="宋体" w:cs="Times New Roman"/>
                <w:b/>
                <w:bCs w:val="0"/>
                <w:color w:val="auto"/>
                <w:kern w:val="0"/>
                <w:sz w:val="20"/>
                <w:szCs w:val="20"/>
                <w:highlight w:val="none"/>
              </w:rPr>
              <w:t>声源</w:t>
            </w:r>
          </w:p>
        </w:tc>
        <w:tc>
          <w:tcPr>
            <w:tcW w:w="3333" w:type="dxa"/>
            <w:tcBorders>
              <w:tl2br w:val="nil"/>
              <w:tr2bl w:val="nil"/>
            </w:tcBorders>
            <w:vAlign w:val="center"/>
          </w:tcPr>
          <w:p w14:paraId="480F0D6A">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
                <w:bCs w:val="0"/>
                <w:color w:val="auto"/>
                <w:kern w:val="0"/>
                <w:sz w:val="20"/>
                <w:szCs w:val="20"/>
                <w:highlight w:val="none"/>
              </w:rPr>
            </w:pPr>
            <w:r>
              <w:rPr>
                <w:rFonts w:hint="default" w:ascii="Times New Roman" w:hAnsi="Times New Roman" w:eastAsia="宋体" w:cs="Times New Roman"/>
                <w:b/>
                <w:bCs w:val="0"/>
                <w:color w:val="auto"/>
                <w:kern w:val="0"/>
                <w:sz w:val="20"/>
                <w:szCs w:val="20"/>
                <w:highlight w:val="none"/>
              </w:rPr>
              <w:t>声源强度[dB</w:t>
            </w:r>
            <w:r>
              <w:rPr>
                <w:rFonts w:hint="default" w:ascii="Times New Roman" w:hAnsi="Times New Roman" w:eastAsia="宋体" w:cs="Times New Roman"/>
                <w:b/>
                <w:bCs w:val="0"/>
                <w:color w:val="auto"/>
                <w:kern w:val="0"/>
                <w:sz w:val="20"/>
                <w:szCs w:val="20"/>
                <w:highlight w:val="none"/>
                <w:lang w:eastAsia="zh-CN"/>
              </w:rPr>
              <w:t>（</w:t>
            </w:r>
            <w:r>
              <w:rPr>
                <w:rFonts w:hint="default" w:ascii="Times New Roman" w:hAnsi="Times New Roman" w:eastAsia="宋体" w:cs="Times New Roman"/>
                <w:b/>
                <w:bCs w:val="0"/>
                <w:color w:val="auto"/>
                <w:kern w:val="0"/>
                <w:sz w:val="20"/>
                <w:szCs w:val="20"/>
                <w:highlight w:val="none"/>
              </w:rPr>
              <w:t>A</w:t>
            </w:r>
            <w:r>
              <w:rPr>
                <w:rFonts w:hint="default" w:ascii="Times New Roman" w:hAnsi="Times New Roman" w:eastAsia="宋体" w:cs="Times New Roman"/>
                <w:b/>
                <w:bCs w:val="0"/>
                <w:color w:val="auto"/>
                <w:kern w:val="0"/>
                <w:sz w:val="20"/>
                <w:szCs w:val="20"/>
                <w:highlight w:val="none"/>
                <w:lang w:eastAsia="zh-CN"/>
              </w:rPr>
              <w:t>）</w:t>
            </w:r>
            <w:r>
              <w:rPr>
                <w:rFonts w:hint="default" w:ascii="Times New Roman" w:hAnsi="Times New Roman" w:eastAsia="宋体" w:cs="Times New Roman"/>
                <w:b/>
                <w:bCs w:val="0"/>
                <w:color w:val="auto"/>
                <w:kern w:val="0"/>
                <w:sz w:val="20"/>
                <w:szCs w:val="20"/>
                <w:highlight w:val="none"/>
              </w:rPr>
              <w:t>]</w:t>
            </w:r>
          </w:p>
        </w:tc>
      </w:tr>
      <w:tr w14:paraId="20574FF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87" w:type="dxa"/>
            <w:vMerge w:val="restart"/>
            <w:tcBorders>
              <w:tl2br w:val="nil"/>
              <w:tr2bl w:val="nil"/>
            </w:tcBorders>
            <w:vAlign w:val="center"/>
          </w:tcPr>
          <w:p w14:paraId="2679AB60">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土石方阶段</w:t>
            </w:r>
          </w:p>
        </w:tc>
        <w:tc>
          <w:tcPr>
            <w:tcW w:w="3752" w:type="dxa"/>
            <w:tcBorders>
              <w:tl2br w:val="nil"/>
              <w:tr2bl w:val="nil"/>
            </w:tcBorders>
            <w:vAlign w:val="center"/>
          </w:tcPr>
          <w:p w14:paraId="0BC22FCE">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挖土机</w:t>
            </w:r>
          </w:p>
        </w:tc>
        <w:tc>
          <w:tcPr>
            <w:tcW w:w="3333" w:type="dxa"/>
            <w:tcBorders>
              <w:tl2br w:val="nil"/>
              <w:tr2bl w:val="nil"/>
            </w:tcBorders>
            <w:vAlign w:val="center"/>
          </w:tcPr>
          <w:p w14:paraId="539C3E41">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78~96</w:t>
            </w:r>
          </w:p>
        </w:tc>
      </w:tr>
      <w:tr w14:paraId="4BAD200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87" w:type="dxa"/>
            <w:vMerge w:val="continue"/>
            <w:tcBorders>
              <w:tl2br w:val="nil"/>
              <w:tr2bl w:val="nil"/>
            </w:tcBorders>
            <w:vAlign w:val="center"/>
          </w:tcPr>
          <w:p w14:paraId="52E2C82F">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p>
        </w:tc>
        <w:tc>
          <w:tcPr>
            <w:tcW w:w="3752" w:type="dxa"/>
            <w:tcBorders>
              <w:tl2br w:val="nil"/>
              <w:tr2bl w:val="nil"/>
            </w:tcBorders>
            <w:vAlign w:val="center"/>
          </w:tcPr>
          <w:p w14:paraId="36D8DE20">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装载机、卡车</w:t>
            </w:r>
          </w:p>
        </w:tc>
        <w:tc>
          <w:tcPr>
            <w:tcW w:w="3333" w:type="dxa"/>
            <w:tcBorders>
              <w:tl2br w:val="nil"/>
              <w:tr2bl w:val="nil"/>
            </w:tcBorders>
            <w:vAlign w:val="center"/>
          </w:tcPr>
          <w:p w14:paraId="4C1C25F0">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84~89</w:t>
            </w:r>
          </w:p>
        </w:tc>
      </w:tr>
      <w:tr w14:paraId="4762D9D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87" w:type="dxa"/>
            <w:vMerge w:val="restart"/>
            <w:tcBorders>
              <w:tl2br w:val="nil"/>
              <w:tr2bl w:val="nil"/>
            </w:tcBorders>
            <w:vAlign w:val="center"/>
          </w:tcPr>
          <w:p w14:paraId="03A5E920">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结构阶段</w:t>
            </w:r>
          </w:p>
        </w:tc>
        <w:tc>
          <w:tcPr>
            <w:tcW w:w="3752" w:type="dxa"/>
            <w:tcBorders>
              <w:tl2br w:val="nil"/>
              <w:tr2bl w:val="nil"/>
            </w:tcBorders>
            <w:vAlign w:val="center"/>
          </w:tcPr>
          <w:p w14:paraId="7D01269F">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混凝土输送泵</w:t>
            </w:r>
          </w:p>
        </w:tc>
        <w:tc>
          <w:tcPr>
            <w:tcW w:w="3333" w:type="dxa"/>
            <w:tcBorders>
              <w:tl2br w:val="nil"/>
              <w:tr2bl w:val="nil"/>
            </w:tcBorders>
            <w:vAlign w:val="center"/>
          </w:tcPr>
          <w:p w14:paraId="6D427881">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90~100</w:t>
            </w:r>
          </w:p>
        </w:tc>
      </w:tr>
      <w:tr w14:paraId="1908C01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87" w:type="dxa"/>
            <w:vMerge w:val="continue"/>
            <w:tcBorders>
              <w:tl2br w:val="nil"/>
              <w:tr2bl w:val="nil"/>
            </w:tcBorders>
            <w:vAlign w:val="center"/>
          </w:tcPr>
          <w:p w14:paraId="1EFCEE7B">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p>
        </w:tc>
        <w:tc>
          <w:tcPr>
            <w:tcW w:w="3752" w:type="dxa"/>
            <w:tcBorders>
              <w:tl2br w:val="nil"/>
              <w:tr2bl w:val="nil"/>
            </w:tcBorders>
            <w:vAlign w:val="center"/>
          </w:tcPr>
          <w:p w14:paraId="18C55D34">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振捣器</w:t>
            </w:r>
          </w:p>
        </w:tc>
        <w:tc>
          <w:tcPr>
            <w:tcW w:w="3333" w:type="dxa"/>
            <w:tcBorders>
              <w:tl2br w:val="nil"/>
              <w:tr2bl w:val="nil"/>
            </w:tcBorders>
            <w:vAlign w:val="center"/>
          </w:tcPr>
          <w:p w14:paraId="6A45B33B">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100~105</w:t>
            </w:r>
          </w:p>
        </w:tc>
      </w:tr>
      <w:tr w14:paraId="01FE60A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87" w:type="dxa"/>
            <w:vMerge w:val="continue"/>
            <w:tcBorders>
              <w:tl2br w:val="nil"/>
              <w:tr2bl w:val="nil"/>
            </w:tcBorders>
            <w:vAlign w:val="center"/>
          </w:tcPr>
          <w:p w14:paraId="2A5BA6F5">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p>
        </w:tc>
        <w:tc>
          <w:tcPr>
            <w:tcW w:w="3752" w:type="dxa"/>
            <w:tcBorders>
              <w:tl2br w:val="nil"/>
              <w:tr2bl w:val="nil"/>
            </w:tcBorders>
            <w:vAlign w:val="center"/>
          </w:tcPr>
          <w:p w14:paraId="761F118D">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电锯</w:t>
            </w:r>
          </w:p>
        </w:tc>
        <w:tc>
          <w:tcPr>
            <w:tcW w:w="3333" w:type="dxa"/>
            <w:tcBorders>
              <w:tl2br w:val="nil"/>
              <w:tr2bl w:val="nil"/>
            </w:tcBorders>
            <w:vAlign w:val="center"/>
          </w:tcPr>
          <w:p w14:paraId="6656061A">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100~105</w:t>
            </w:r>
          </w:p>
        </w:tc>
      </w:tr>
      <w:tr w14:paraId="1FAA593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87" w:type="dxa"/>
            <w:vMerge w:val="restart"/>
            <w:tcBorders>
              <w:tl2br w:val="nil"/>
              <w:tr2bl w:val="nil"/>
            </w:tcBorders>
            <w:vAlign w:val="center"/>
          </w:tcPr>
          <w:p w14:paraId="7462BFDC">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设备安装阶段</w:t>
            </w:r>
          </w:p>
        </w:tc>
        <w:tc>
          <w:tcPr>
            <w:tcW w:w="3752" w:type="dxa"/>
            <w:tcBorders>
              <w:tl2br w:val="nil"/>
              <w:tr2bl w:val="nil"/>
            </w:tcBorders>
            <w:vAlign w:val="center"/>
          </w:tcPr>
          <w:p w14:paraId="15DE609B">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电钻、手工钻等</w:t>
            </w:r>
          </w:p>
        </w:tc>
        <w:tc>
          <w:tcPr>
            <w:tcW w:w="3333" w:type="dxa"/>
            <w:tcBorders>
              <w:tl2br w:val="nil"/>
              <w:tr2bl w:val="nil"/>
            </w:tcBorders>
            <w:vAlign w:val="center"/>
          </w:tcPr>
          <w:p w14:paraId="317E3677">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100~105</w:t>
            </w:r>
          </w:p>
        </w:tc>
      </w:tr>
      <w:tr w14:paraId="329049F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87" w:type="dxa"/>
            <w:vMerge w:val="continue"/>
            <w:tcBorders>
              <w:tl2br w:val="nil"/>
              <w:tr2bl w:val="nil"/>
            </w:tcBorders>
            <w:vAlign w:val="center"/>
          </w:tcPr>
          <w:p w14:paraId="7B3B3413">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p>
        </w:tc>
        <w:tc>
          <w:tcPr>
            <w:tcW w:w="3752" w:type="dxa"/>
            <w:tcBorders>
              <w:tl2br w:val="nil"/>
              <w:tr2bl w:val="nil"/>
            </w:tcBorders>
            <w:vAlign w:val="center"/>
          </w:tcPr>
          <w:p w14:paraId="0A853C96">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电锤</w:t>
            </w:r>
          </w:p>
        </w:tc>
        <w:tc>
          <w:tcPr>
            <w:tcW w:w="3333" w:type="dxa"/>
            <w:tcBorders>
              <w:tl2br w:val="nil"/>
              <w:tr2bl w:val="nil"/>
            </w:tcBorders>
            <w:vAlign w:val="center"/>
          </w:tcPr>
          <w:p w14:paraId="2F7ADA4A">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100~105</w:t>
            </w:r>
          </w:p>
        </w:tc>
      </w:tr>
      <w:tr w14:paraId="0362CE2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987" w:type="dxa"/>
            <w:vMerge w:val="continue"/>
            <w:tcBorders>
              <w:tl2br w:val="nil"/>
              <w:tr2bl w:val="nil"/>
            </w:tcBorders>
            <w:vAlign w:val="center"/>
          </w:tcPr>
          <w:p w14:paraId="2165514A">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p>
        </w:tc>
        <w:tc>
          <w:tcPr>
            <w:tcW w:w="3752" w:type="dxa"/>
            <w:tcBorders>
              <w:tl2br w:val="nil"/>
              <w:tr2bl w:val="nil"/>
            </w:tcBorders>
            <w:vAlign w:val="center"/>
          </w:tcPr>
          <w:p w14:paraId="661774A1">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无齿锯</w:t>
            </w:r>
          </w:p>
        </w:tc>
        <w:tc>
          <w:tcPr>
            <w:tcW w:w="3333" w:type="dxa"/>
            <w:tcBorders>
              <w:tl2br w:val="nil"/>
              <w:tr2bl w:val="nil"/>
            </w:tcBorders>
            <w:vAlign w:val="center"/>
          </w:tcPr>
          <w:p w14:paraId="4838A538">
            <w:pPr>
              <w:keepNext w:val="0"/>
              <w:keepLines w:val="0"/>
              <w:suppressLineNumbers w:val="0"/>
              <w:adjustRightInd w:val="0"/>
              <w:spacing w:before="0" w:beforeAutospacing="0" w:after="0" w:afterAutospacing="0" w:line="240" w:lineRule="auto"/>
              <w:ind w:left="0" w:right="0"/>
              <w:jc w:val="center"/>
              <w:textAlignment w:val="baseline"/>
              <w:rPr>
                <w:rFonts w:hint="default" w:ascii="Times New Roman" w:hAnsi="Times New Roman" w:eastAsia="宋体" w:cs="Times New Roman"/>
                <w:bCs/>
                <w:color w:val="auto"/>
                <w:kern w:val="0"/>
                <w:sz w:val="20"/>
                <w:szCs w:val="20"/>
                <w:highlight w:val="none"/>
              </w:rPr>
            </w:pPr>
            <w:r>
              <w:rPr>
                <w:rFonts w:hint="default" w:ascii="Times New Roman" w:hAnsi="Times New Roman" w:eastAsia="宋体" w:cs="Times New Roman"/>
                <w:bCs/>
                <w:color w:val="auto"/>
                <w:kern w:val="0"/>
                <w:sz w:val="20"/>
                <w:szCs w:val="20"/>
                <w:highlight w:val="none"/>
              </w:rPr>
              <w:t>105</w:t>
            </w:r>
          </w:p>
        </w:tc>
      </w:tr>
    </w:tbl>
    <w:p w14:paraId="008BBF7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2、防治措施</w:t>
      </w:r>
    </w:p>
    <w:p w14:paraId="7E5E4AB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本项目周围无集中居民区、学校、医院等环境敏感点。为了降低施工噪声的影响，施工单位应采取如下措施：</w:t>
      </w:r>
    </w:p>
    <w:p w14:paraId="1A855D3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①合理布局施工场地，将高噪声</w:t>
      </w:r>
      <w:r>
        <w:rPr>
          <w:rFonts w:hint="default" w:ascii="Times New Roman" w:hAnsi="Times New Roman" w:cs="Times New Roman"/>
          <w:color w:val="auto"/>
          <w:highlight w:val="none"/>
          <w:lang w:eastAsia="zh-CN"/>
        </w:rPr>
        <w:t>设备尽量</w:t>
      </w:r>
      <w:r>
        <w:rPr>
          <w:rFonts w:hint="default" w:ascii="Times New Roman" w:hAnsi="Times New Roman" w:cs="Times New Roman"/>
          <w:color w:val="auto"/>
          <w:highlight w:val="none"/>
        </w:rPr>
        <w:t>布置于</w:t>
      </w:r>
      <w:r>
        <w:rPr>
          <w:rFonts w:hint="default" w:ascii="Times New Roman" w:hAnsi="Times New Roman" w:cs="Times New Roman"/>
          <w:color w:val="auto"/>
          <w:highlight w:val="none"/>
          <w:lang w:val="en-US" w:eastAsia="zh-CN"/>
        </w:rPr>
        <w:t>场地中部</w:t>
      </w:r>
      <w:r>
        <w:rPr>
          <w:rFonts w:hint="default" w:ascii="Times New Roman" w:hAnsi="Times New Roman" w:cs="Times New Roman"/>
          <w:color w:val="auto"/>
          <w:highlight w:val="none"/>
        </w:rPr>
        <w:t>；</w:t>
      </w:r>
    </w:p>
    <w:p w14:paraId="13EA198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②合理安排施工时间，将强噪声作业尽量安排在白天进行，严禁夜间高噪声设备施工；</w:t>
      </w:r>
    </w:p>
    <w:p w14:paraId="0264A85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③施工现场提倡文明施工，建立健全控制人为噪声的管理制度，尽量减少人为的大声喧哗，增强全体施工人员的防噪声扰民的自觉意识；</w:t>
      </w:r>
    </w:p>
    <w:p w14:paraId="30B138E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④运输材料及设备时，必须轻拿轻放，严禁野蛮装卸，并在装卸点铺垫草包等降噪物体；大型物件装卸，应当使用起吊设备，严禁汽车自卸；</w:t>
      </w:r>
    </w:p>
    <w:p w14:paraId="708EDB2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⑤材料运输等汽车进场安排专人指挥，场内禁止运输车辆鸣笛；材料装卸采用人工传递，严禁抛掷或汽车一次性下料；</w:t>
      </w:r>
    </w:p>
    <w:p w14:paraId="445F872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⑥建材、施工机械器具、建渣等的运输尽量选择影响最小的路线，途经敏感点时减速慢行，严禁鸣笛；</w:t>
      </w:r>
    </w:p>
    <w:p w14:paraId="677E696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⑦项目施工管理由专人负责，并设定专门负责人定期对该区的施工噪声污染防治措施以及环保管理进行检查和核实，严格按照国家、</w:t>
      </w:r>
      <w:r>
        <w:rPr>
          <w:rFonts w:hint="default" w:ascii="Times New Roman" w:hAnsi="Times New Roman" w:cs="Times New Roman"/>
          <w:color w:val="auto"/>
          <w:highlight w:val="none"/>
          <w:lang w:val="en-US" w:eastAsia="zh-CN"/>
        </w:rPr>
        <w:t>地方</w:t>
      </w:r>
      <w:r>
        <w:rPr>
          <w:rFonts w:hint="default" w:ascii="Times New Roman" w:hAnsi="Times New Roman" w:cs="Times New Roman"/>
          <w:color w:val="auto"/>
          <w:highlight w:val="none"/>
        </w:rPr>
        <w:t>的施工噪声防治和管理规范中的相关规程要求进行治理，尽量减少施工噪声对外环境的影响程度。</w:t>
      </w:r>
    </w:p>
    <w:p w14:paraId="656721D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采取上述措施后，施工期间的厂界噪声能够满足《建筑施工场界环境噪声排放标准》（GB12523-2011）标准要求。</w:t>
      </w:r>
    </w:p>
    <w:p w14:paraId="1E2C1329">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施工期固体废物产生及处置</w:t>
      </w:r>
    </w:p>
    <w:p w14:paraId="5209589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1、污染源分析</w:t>
      </w:r>
    </w:p>
    <w:p w14:paraId="59B2C324">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项目施工高峰时施工人员及工地管理人员约</w:t>
      </w:r>
      <w:r>
        <w:rPr>
          <w:rFonts w:hint="default" w:ascii="Times New Roman" w:hAnsi="Times New Roman" w:cs="Times New Roman"/>
          <w:color w:val="auto"/>
          <w:highlight w:val="none"/>
          <w:lang w:val="en-US" w:eastAsia="zh-CN"/>
        </w:rPr>
        <w:t>1</w:t>
      </w:r>
      <w:r>
        <w:rPr>
          <w:rFonts w:hint="default" w:ascii="Times New Roman" w:hAnsi="Times New Roman" w:cs="Times New Roman"/>
          <w:color w:val="auto"/>
          <w:highlight w:val="none"/>
        </w:rPr>
        <w:t>0人，工地生活垃圾按0.2 kg/d•人计，产生量为</w:t>
      </w:r>
      <w:r>
        <w:rPr>
          <w:rFonts w:hint="default" w:ascii="Times New Roman" w:hAnsi="Times New Roman" w:cs="Times New Roman"/>
          <w:color w:val="auto"/>
          <w:highlight w:val="none"/>
          <w:lang w:val="en-US" w:eastAsia="zh-CN"/>
        </w:rPr>
        <w:t>2</w:t>
      </w:r>
      <w:r>
        <w:rPr>
          <w:rFonts w:hint="default" w:ascii="Times New Roman" w:hAnsi="Times New Roman" w:cs="Times New Roman"/>
          <w:color w:val="auto"/>
          <w:highlight w:val="none"/>
        </w:rPr>
        <w:t>kg/d。施工期产生的建筑垃圾，其成分主要有土、渣土、废钢筋、废铁丝和各种废钢配件、金属管线废料、废竹木、木屑、刨花、散落的砂浆和混凝土、碎砖和碎混凝土块、石子和块石等。</w:t>
      </w:r>
    </w:p>
    <w:p w14:paraId="72109B04">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项目</w:t>
      </w:r>
      <w:r>
        <w:rPr>
          <w:rFonts w:hint="default" w:ascii="Times New Roman" w:hAnsi="Times New Roman" w:cs="Times New Roman"/>
          <w:color w:val="auto"/>
          <w:highlight w:val="none"/>
          <w:lang w:val="en-US" w:eastAsia="zh-CN"/>
        </w:rPr>
        <w:t>场地西南高东北低，</w:t>
      </w:r>
      <w:r>
        <w:rPr>
          <w:rFonts w:hint="default" w:ascii="Times New Roman" w:hAnsi="Times New Roman" w:cs="Times New Roman"/>
          <w:color w:val="auto"/>
          <w:highlight w:val="none"/>
        </w:rPr>
        <w:t>施工期</w:t>
      </w:r>
      <w:r>
        <w:rPr>
          <w:rFonts w:hint="default" w:ascii="Times New Roman" w:hAnsi="Times New Roman" w:cs="Times New Roman"/>
          <w:color w:val="auto"/>
          <w:highlight w:val="none"/>
          <w:lang w:val="en-US" w:eastAsia="zh-CN"/>
        </w:rPr>
        <w:t>需</w:t>
      </w:r>
      <w:r>
        <w:rPr>
          <w:rFonts w:hint="default" w:ascii="Times New Roman" w:hAnsi="Times New Roman" w:cs="Times New Roman"/>
          <w:color w:val="auto"/>
          <w:highlight w:val="none"/>
        </w:rPr>
        <w:t>挖方约</w:t>
      </w:r>
      <w:r>
        <w:rPr>
          <w:rFonts w:hint="default" w:ascii="Times New Roman" w:hAnsi="Times New Roman" w:cs="Times New Roman"/>
          <w:color w:val="auto"/>
          <w:highlight w:val="none"/>
          <w:lang w:val="en-US" w:eastAsia="zh-CN"/>
        </w:rPr>
        <w:t>7000</w:t>
      </w:r>
      <w:r>
        <w:rPr>
          <w:rFonts w:hint="default" w:ascii="Times New Roman" w:hAnsi="Times New Roman" w:cs="Times New Roman"/>
          <w:color w:val="auto"/>
          <w:highlight w:val="none"/>
        </w:rPr>
        <w:t>m</w:t>
      </w:r>
      <w:r>
        <w:rPr>
          <w:rFonts w:hint="default" w:ascii="Times New Roman" w:hAnsi="Times New Roman" w:cs="Times New Roman"/>
          <w:color w:val="auto"/>
          <w:highlight w:val="none"/>
          <w:vertAlign w:val="superscript"/>
        </w:rPr>
        <w:t>3</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需填方约7000</w:t>
      </w:r>
      <w:r>
        <w:rPr>
          <w:rFonts w:hint="default" w:ascii="Times New Roman" w:hAnsi="Times New Roman" w:cs="Times New Roman"/>
          <w:color w:val="auto"/>
          <w:highlight w:val="none"/>
        </w:rPr>
        <w:t>m</w:t>
      </w:r>
      <w:r>
        <w:rPr>
          <w:rFonts w:hint="default" w:ascii="Times New Roman" w:hAnsi="Times New Roman" w:cs="Times New Roman"/>
          <w:color w:val="auto"/>
          <w:highlight w:val="none"/>
          <w:vertAlign w:val="superscript"/>
        </w:rPr>
        <w:t>3</w:t>
      </w:r>
      <w:r>
        <w:rPr>
          <w:rFonts w:hint="default" w:ascii="Times New Roman" w:hAnsi="Times New Roman" w:cs="Times New Roman"/>
          <w:color w:val="auto"/>
          <w:highlight w:val="none"/>
          <w:lang w:val="en-US" w:eastAsia="zh-CN"/>
        </w:rPr>
        <w:t>，</w:t>
      </w:r>
      <w:r>
        <w:rPr>
          <w:rFonts w:hint="default" w:ascii="Times New Roman" w:hAnsi="Times New Roman" w:cs="Times New Roman"/>
          <w:color w:val="auto"/>
          <w:highlight w:val="none"/>
        </w:rPr>
        <w:t>本项目土石方能实现区域挖填平衡，无弃土方产生。</w:t>
      </w:r>
    </w:p>
    <w:p w14:paraId="27D7C101">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2、治理措施</w:t>
      </w:r>
    </w:p>
    <w:p w14:paraId="629263E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建筑废渣集中收集堆放，废包装材料、管材回收利用或由废品回收站收购，废石材和废装修材料运到城建部门指定的建筑垃圾点堆放</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生活垃圾</w:t>
      </w:r>
      <w:r>
        <w:rPr>
          <w:rFonts w:hint="default" w:ascii="Times New Roman" w:hAnsi="Times New Roman" w:cs="Times New Roman"/>
          <w:color w:val="auto"/>
          <w:highlight w:val="none"/>
          <w:lang w:val="en-US" w:eastAsia="zh-CN"/>
        </w:rPr>
        <w:t>袋装</w:t>
      </w:r>
      <w:r>
        <w:rPr>
          <w:rFonts w:hint="default" w:ascii="Times New Roman" w:hAnsi="Times New Roman" w:cs="Times New Roman"/>
          <w:color w:val="auto"/>
          <w:highlight w:val="none"/>
        </w:rPr>
        <w:t>统一收集投放至生活垃圾中转站，由环卫部门统一清运。</w:t>
      </w:r>
    </w:p>
    <w:p w14:paraId="38B69A94">
      <w:pPr>
        <w:pStyle w:val="3"/>
        <w:spacing w:before="156" w:after="156"/>
        <w:rPr>
          <w:rFonts w:hint="default" w:ascii="Times New Roman" w:hAnsi="Times New Roman" w:cs="Times New Roman"/>
          <w:color w:val="auto"/>
          <w:highlight w:val="none"/>
        </w:rPr>
      </w:pPr>
      <w:bookmarkStart w:id="71" w:name="_Toc19073"/>
      <w:bookmarkStart w:id="72" w:name="_Toc21797"/>
      <w:bookmarkStart w:id="73" w:name="_Toc32396"/>
      <w:r>
        <w:rPr>
          <w:rFonts w:hint="default" w:ascii="Times New Roman" w:hAnsi="Times New Roman" w:cs="Times New Roman"/>
          <w:color w:val="auto"/>
          <w:highlight w:val="none"/>
        </w:rPr>
        <w:t>运营期工程分析</w:t>
      </w:r>
      <w:bookmarkEnd w:id="71"/>
      <w:bookmarkEnd w:id="72"/>
      <w:bookmarkEnd w:id="73"/>
    </w:p>
    <w:p w14:paraId="0E0EE689">
      <w:pPr>
        <w:pStyle w:val="4"/>
        <w:keepNext/>
        <w:keepLines/>
        <w:pageBreakBefore w:val="0"/>
        <w:widowControl w:val="0"/>
        <w:kinsoku/>
        <w:wordWrap/>
        <w:overflowPunct/>
        <w:topLinePunct w:val="0"/>
        <w:autoSpaceDE/>
        <w:autoSpaceDN/>
        <w:bidi w:val="0"/>
        <w:adjustRightInd/>
        <w:snapToGrid/>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生活垃圾无害化工艺比选</w:t>
      </w:r>
    </w:p>
    <w:p w14:paraId="64D81736">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lang w:eastAsia="zh-CN"/>
        </w:rPr>
      </w:pPr>
      <w:r>
        <w:rPr>
          <w:rFonts w:hint="default" w:ascii="Times New Roman" w:hAnsi="Times New Roman" w:eastAsia="宋体" w:cs="Times New Roman"/>
          <w:color w:val="auto"/>
          <w:sz w:val="24"/>
          <w:szCs w:val="22"/>
          <w:highlight w:val="none"/>
        </w:rPr>
        <w:t>城市生活垃圾是城市日常生活中或者为城市日常生活提供服务活动中产生的固体废物。生活垃圾成分复杂，含有大量有机质，产生大量细菌及恶臭，有机酸溶解金属产生重金属污染物，还有大量不易分解的有机物，如塑料、橡胶等物质，并受经济发展水平、能源结构、自然条件及传统习惯因素的影响，垃圾处理很难有统一的模式。从国外多种处理方式的情况看，垃圾处理有以下趋势</w:t>
      </w:r>
      <w:r>
        <w:rPr>
          <w:rFonts w:hint="default" w:ascii="Times New Roman" w:hAnsi="Times New Roman" w:eastAsia="宋体" w:cs="Times New Roman"/>
          <w:color w:val="auto"/>
          <w:sz w:val="24"/>
          <w:szCs w:val="22"/>
          <w:highlight w:val="none"/>
          <w:lang w:eastAsia="zh-CN"/>
        </w:rPr>
        <w:t>：</w:t>
      </w:r>
    </w:p>
    <w:p w14:paraId="59302D50">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1、</w:t>
      </w:r>
      <w:r>
        <w:rPr>
          <w:rFonts w:hint="default" w:ascii="Times New Roman" w:hAnsi="Times New Roman" w:eastAsia="宋体" w:cs="Times New Roman"/>
          <w:color w:val="auto"/>
          <w:sz w:val="24"/>
          <w:szCs w:val="22"/>
          <w:highlight w:val="none"/>
        </w:rPr>
        <w:t>工业发达国家由于能源、土地资源日益紧张，焚烧处理比例逐渐增多；</w:t>
      </w:r>
    </w:p>
    <w:p w14:paraId="0B9F3E2C">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2、</w:t>
      </w:r>
      <w:r>
        <w:rPr>
          <w:rFonts w:hint="default" w:ascii="Times New Roman" w:hAnsi="Times New Roman" w:eastAsia="宋体" w:cs="Times New Roman"/>
          <w:color w:val="auto"/>
          <w:sz w:val="24"/>
          <w:szCs w:val="22"/>
          <w:highlight w:val="none"/>
        </w:rPr>
        <w:t>卫生填埋作为垃圾的最终处置手段一直占有较大比例，而且随着环保标准的日益严格，对填埋场的设计要求也会越来越高；</w:t>
      </w:r>
    </w:p>
    <w:p w14:paraId="0529B893">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3、</w:t>
      </w:r>
      <w:r>
        <w:rPr>
          <w:rFonts w:hint="default" w:ascii="Times New Roman" w:hAnsi="Times New Roman" w:eastAsia="宋体" w:cs="Times New Roman"/>
          <w:color w:val="auto"/>
          <w:sz w:val="24"/>
          <w:szCs w:val="22"/>
          <w:highlight w:val="none"/>
        </w:rPr>
        <w:t>其它一些新技术，如热分解焚烧、熔融、有机复合肥技术等，正不断取得进展。</w:t>
      </w:r>
    </w:p>
    <w:p w14:paraId="09EC6D14">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rPr>
        <w:t>从应用技术看，垃圾处理主要有</w:t>
      </w:r>
      <w:r>
        <w:rPr>
          <w:rFonts w:hint="default" w:ascii="Times New Roman" w:hAnsi="Times New Roman" w:eastAsia="宋体" w:cs="Times New Roman"/>
          <w:b/>
          <w:bCs/>
          <w:color w:val="auto"/>
          <w:sz w:val="24"/>
          <w:szCs w:val="22"/>
          <w:highlight w:val="none"/>
        </w:rPr>
        <w:t>填埋、焚烧、堆肥、绝氧热分解焚烧及生活垃圾中转及综合减量</w:t>
      </w:r>
      <w:r>
        <w:rPr>
          <w:rFonts w:hint="default" w:ascii="Times New Roman" w:hAnsi="Times New Roman" w:eastAsia="宋体" w:cs="Times New Roman"/>
          <w:color w:val="auto"/>
          <w:sz w:val="24"/>
          <w:szCs w:val="22"/>
          <w:highlight w:val="none"/>
        </w:rPr>
        <w:t>等方式。</w:t>
      </w:r>
    </w:p>
    <w:p w14:paraId="4249D7FE">
      <w:pPr>
        <w:pStyle w:val="5"/>
        <w:pageBreakBefore w:val="0"/>
        <w:widowControl w:val="0"/>
        <w:kinsoku/>
        <w:wordWrap/>
        <w:overflowPunct/>
        <w:topLinePunct w:val="0"/>
        <w:autoSpaceDE/>
        <w:autoSpaceDN/>
        <w:bidi w:val="0"/>
        <w:snapToGrid/>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垃圾卫生填埋（第一代技术）</w:t>
      </w:r>
    </w:p>
    <w:p w14:paraId="1D0C175A">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rPr>
        <w:t>卫生填埋是从传统的垃圾堆填发展起来的。卫生填埋技术不同于传统的露天堆放和简易填埋，它是经过科学的选址、必要的场地防护处理和具有严格的运行管理制度的一种垃圾最终处置方法。卫生填埋技术的核心是防止填埋垃圾中的有害物质对处置场周围的环境造成污染。其中，最重要的有害因素是垃圾渗滤液以及垃圾中有机成分厌氧分解所产生的沼气。卫生填埋技术所采用的防护措施主要是包括地表水控制系统、地下水控制系统、渗滤液控制系统、导气系统以及覆盖系统等。</w:t>
      </w:r>
    </w:p>
    <w:p w14:paraId="36C35631">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rPr>
        <w:t>垃圾卫生填埋的优点为：最初投资低，适用性强，可接纳各种城市生活废弃物，处理能力大；建设投资除征地费不好确定外，一般而言，生产性投资较少，运行费用低，不受垃圾成份变化的影响，如有适当的土地可资利用，垃圾填埋处理是一种最为经济的城市垃圾处理方式。因此，卫生填埋是目前国外及国内采用最多的城市垃圾处置的方法。但产生以下问题：</w:t>
      </w:r>
    </w:p>
    <w:p w14:paraId="566B7E16">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1、</w:t>
      </w:r>
      <w:r>
        <w:rPr>
          <w:rFonts w:hint="default" w:ascii="Times New Roman" w:hAnsi="Times New Roman" w:eastAsia="宋体" w:cs="Times New Roman"/>
          <w:color w:val="auto"/>
          <w:sz w:val="24"/>
          <w:szCs w:val="22"/>
          <w:highlight w:val="none"/>
        </w:rPr>
        <w:t>设计填埋量远远赶不上垃圾产生量的迅猛增长；</w:t>
      </w:r>
    </w:p>
    <w:p w14:paraId="271B8C1A">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2、</w:t>
      </w:r>
      <w:r>
        <w:rPr>
          <w:rFonts w:hint="default" w:ascii="Times New Roman" w:hAnsi="Times New Roman" w:eastAsia="宋体" w:cs="Times New Roman"/>
          <w:color w:val="auto"/>
          <w:sz w:val="24"/>
          <w:szCs w:val="22"/>
          <w:highlight w:val="none"/>
        </w:rPr>
        <w:t>填埋场大量占用土地资源，不断需求大面积的土地，且生命周期短，一般是10年，投资较大，且人口经济的持续增长而造成的生活垃圾量早已超出国内大部分填埋场的使用容限，扩容、封场、搬迁、开新址已是各级政府的重点课题；</w:t>
      </w:r>
    </w:p>
    <w:p w14:paraId="49E60B43">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3、</w:t>
      </w:r>
      <w:r>
        <w:rPr>
          <w:rFonts w:hint="default" w:ascii="Times New Roman" w:hAnsi="Times New Roman" w:eastAsia="宋体" w:cs="Times New Roman"/>
          <w:color w:val="auto"/>
          <w:sz w:val="24"/>
          <w:szCs w:val="22"/>
          <w:highlight w:val="none"/>
        </w:rPr>
        <w:t>早期技术问题，国内填埋场约70%基本没有考虑城镇的发展速度及环境问题，没有采用国外先进技术，没铺设防渗衬垫，污染极易渗透地层，造成严重地下水资源的污染；而且该片土地的商业价值基本没有；</w:t>
      </w:r>
    </w:p>
    <w:p w14:paraId="133B019E">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4、</w:t>
      </w:r>
      <w:r>
        <w:rPr>
          <w:rFonts w:hint="default" w:ascii="Times New Roman" w:hAnsi="Times New Roman" w:eastAsia="宋体" w:cs="Times New Roman"/>
          <w:color w:val="auto"/>
          <w:sz w:val="24"/>
          <w:szCs w:val="22"/>
          <w:highlight w:val="none"/>
        </w:rPr>
        <w:t>进场垃圾压缩度不够，基本没采用国外技术压缩成块，场内臭气熏天，严重污染周边地区空气；</w:t>
      </w:r>
    </w:p>
    <w:p w14:paraId="3E17DF18">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5、</w:t>
      </w:r>
      <w:r>
        <w:rPr>
          <w:rFonts w:hint="default" w:ascii="Times New Roman" w:hAnsi="Times New Roman" w:eastAsia="宋体" w:cs="Times New Roman"/>
          <w:color w:val="auto"/>
          <w:sz w:val="24"/>
          <w:szCs w:val="22"/>
          <w:highlight w:val="none"/>
        </w:rPr>
        <w:t>我国垃圾分类</w:t>
      </w:r>
      <w:r>
        <w:rPr>
          <w:rFonts w:hint="default" w:ascii="Times New Roman" w:hAnsi="Times New Roman" w:eastAsia="宋体" w:cs="Times New Roman"/>
          <w:color w:val="auto"/>
          <w:sz w:val="24"/>
          <w:szCs w:val="22"/>
          <w:highlight w:val="none"/>
          <w:lang w:val="en-US" w:eastAsia="zh-CN"/>
        </w:rPr>
        <w:t>不成熟</w:t>
      </w:r>
      <w:r>
        <w:rPr>
          <w:rFonts w:hint="default" w:ascii="Times New Roman" w:hAnsi="Times New Roman" w:eastAsia="宋体" w:cs="Times New Roman"/>
          <w:color w:val="auto"/>
          <w:sz w:val="24"/>
          <w:szCs w:val="22"/>
          <w:highlight w:val="none"/>
        </w:rPr>
        <w:t>，产生的沼气纯度不高，不能作能源，仅能排放到空气中，容易造成火灾；</w:t>
      </w:r>
    </w:p>
    <w:p w14:paraId="52CFCFAF">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lang w:val="en-US" w:eastAsia="zh-CN"/>
        </w:rPr>
        <w:t>6、</w:t>
      </w:r>
      <w:r>
        <w:rPr>
          <w:rFonts w:hint="default" w:ascii="Times New Roman" w:hAnsi="Times New Roman" w:eastAsia="宋体" w:cs="Times New Roman"/>
          <w:color w:val="auto"/>
          <w:sz w:val="24"/>
          <w:szCs w:val="22"/>
          <w:highlight w:val="none"/>
        </w:rPr>
        <w:t>占地面积较大，如果在设计、施工中，对填埋场的防渗措施做不好，易造成对地下水的污染；</w:t>
      </w:r>
    </w:p>
    <w:p w14:paraId="73474CBD">
      <w:pPr>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sz w:val="24"/>
          <w:szCs w:val="22"/>
          <w:highlight w:val="none"/>
        </w:rPr>
        <w:t>由以上可见，从世界环保角度来说，除建筑及不可降解工业垃圾外，填埋场未来将必然逐步减少。</w:t>
      </w:r>
    </w:p>
    <w:p w14:paraId="0D2ABD1F">
      <w:pPr>
        <w:pStyle w:val="5"/>
        <w:pageBreakBefore w:val="0"/>
        <w:widowControl w:val="0"/>
        <w:kinsoku/>
        <w:wordWrap/>
        <w:overflowPunct/>
        <w:topLinePunct w:val="0"/>
        <w:autoSpaceDE/>
        <w:autoSpaceDN/>
        <w:bidi w:val="0"/>
        <w:snapToGrid/>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垃圾堆肥处理</w:t>
      </w:r>
    </w:p>
    <w:p w14:paraId="2899DA1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堆肥处理法是在控制的条件下（好氧或厌氧），借助微生物的生化作用，将垃圾中的天然有机物分解、腐熟，转化为稳定的腐殖质土。这种方法对以厨余等类成份为主的垃圾有较大的作用，但原生生活垃圾中无机物和难以生化降解的橡胶、塑料、合成纤维等的有机物还有较大的数量，必须分拣后才可以采用堆肥法，而且，未经分拣堆肥，制成的肥料重金属含量多少仍为未知数，如金属含量高，则有机肥市场狭窄。</w:t>
      </w:r>
    </w:p>
    <w:p w14:paraId="21923A5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在我国城市垃圾处理中，堆肥方式是最早也是在早期阶段使用最多的方式，那时，大部分垃圾堆肥处理场采用敞开式静态堆肥。20世纪80年代以来，我国陆续开发了机械化程度较高的动态堆肥技术。目前，从普及程度看，堆肥处理在国内城市各种垃圾处理方式中，是仅次于填埋方式的一种重要方式。针对我国固体废物的特点，我国多家研究机构研究开发出多种有机固体废物的堆肥化技术，并发展包括配套的预处理技术、堆肥化技术在内的城市垃圾综合集成处理工艺技术。</w:t>
      </w:r>
    </w:p>
    <w:p w14:paraId="767BEAD8">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近年来，城市垃圾堆肥化作为实现垃圾资源化、减量化的重要途径，在沉寂多年后又开始引起人们注意。一些新的堆肥化技术相继出现，大量堆肥场在建设。但是在运行中受到非技术的经济因素的制约，主要表现在： </w:t>
      </w:r>
    </w:p>
    <w:p w14:paraId="0B64224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我国城市混合收集的垃圾杂质含量高，为保证产品质量采用复杂的分离过程，导致产品成本过高。如果没有政府的补贴，很难正常运行下去，而垃圾中含有的玻璃成分，很难完全分离，为堆肥产品的应用带来限制；</w:t>
      </w:r>
    </w:p>
    <w:p w14:paraId="7CF13FC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2、一般堆肥场的粗堆肥产品只能作为土壤改良剂，销路取决于堆肥场所在地区土壤条件的适宜性。在黏性土壤地区，特别是南方的红黄粘土、砖红黏土、紫色土地区有较好的销路；</w:t>
      </w:r>
    </w:p>
    <w:p w14:paraId="418963CE">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3、堆肥场产品的经济服务半径一般较小，同时肥效较差，因此堆肥产品通常只能就近销售；而利用其制造的复合肥，也在与一般化肥和复合肥的竞争中不占优势；</w:t>
      </w:r>
    </w:p>
    <w:p w14:paraId="702BD145">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4、堆肥产品销售有其季节性，而垃圾堆肥处理则是连续性的，生产与销售之间存在的这种“时间差”，将使垃圾堆肥厂的运行带来困难；</w:t>
      </w:r>
    </w:p>
    <w:p w14:paraId="51C1188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5、堆肥产品很难达到无害化的要求，不能保证彻底杀灭病菌以避免二次污染，同时，难以克服重金属成分的迁移问题。</w:t>
      </w:r>
    </w:p>
    <w:p w14:paraId="04B8ABAF">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与卫生填埋相比，此方法占地相对较少，垃圾减量较大，其堆肥的产品可用作农肥并可回收部分投资，但对垃圾的成分有一定的要求，操作管理较卫生填埋法复杂、设备费用高，运行费用也较高，对堆肥厂周围的环境也会产生不良气味的影响。肥料生产受市场销售影响大，占总量30%左右的非堆肥物仍然需要填埋。此方法的采用很大程度取决于当地农业肥料使用习惯和市场，还应考虑对堆肥残渣填埋处置的方案和投资。</w:t>
      </w:r>
    </w:p>
    <w:p w14:paraId="79A63A40">
      <w:pPr>
        <w:pStyle w:val="5"/>
        <w:pageBreakBefore w:val="0"/>
        <w:widowControl w:val="0"/>
        <w:kinsoku/>
        <w:wordWrap/>
        <w:overflowPunct/>
        <w:topLinePunct w:val="0"/>
        <w:autoSpaceDE/>
        <w:autoSpaceDN/>
        <w:bidi w:val="0"/>
        <w:snapToGrid/>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氧化焚烧（第二代技术）</w:t>
      </w:r>
    </w:p>
    <w:p w14:paraId="2E4FAA1D">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垃圾焚烧法是一种将生活垃圾直接高温热处理技术，在焚烧炉内有机废物与空气发生氧化燃烧反应，垃圾中的可燃物质及有毒、有害物质在高温下氧化、热解而被破坏，是一种可以同时达到减量化和资源化的处理技术，是一种一次性投资很大的处理方法。焚烧法的流程是通过分选设备从入厂的垃圾中分选适合焚烧的部分（如纸张、厨余等）送入垃圾焚烧炉焚烧，焚烧后产生的灰渣和剩余的垃圾一起送填埋场作卫生填埋处置。</w:t>
      </w:r>
    </w:p>
    <w:p w14:paraId="707756F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焚烧是目前世界很多国家广泛采用的城市垃圾处理技术。大型项目配备有热能回收与利用装置。由于顺应了回收能源的要求，正逐渐上升为焚烧处理的主流。根据目前大部分正在运营的大型垃圾处理厂的运行情况，焚烧法存在的问题是：</w:t>
      </w:r>
    </w:p>
    <w:p w14:paraId="11AA066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1、一次投资费用高，需要良好训练的技术人员进行操作和管理，设备投资和运行费用较高。</w:t>
      </w:r>
    </w:p>
    <w:p w14:paraId="7A3E8C4A">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2、在运行过程中，会产生大量的二恶英、二氧化硫、氮氧化合物等有毒物质，处理不好会造成严重的二次污染。</w:t>
      </w:r>
    </w:p>
    <w:p w14:paraId="715C81A8">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3、直接焚烧技术是先产生污染源，后净化处理的工艺，处理效果如达到国家有关标准，其成本特高，</w:t>
      </w:r>
    </w:p>
    <w:p w14:paraId="435AB9C9">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4、一般讲，当垃圾热值低于5000kJ/kg时，焚烧法就不是一种合适的方法，因为此时垃圾不能维持自身燃烧；</w:t>
      </w:r>
    </w:p>
    <w:p w14:paraId="01697D6A">
      <w:pPr>
        <w:keepNext w:val="0"/>
        <w:keepLines w:val="0"/>
        <w:widowControl/>
        <w:suppressLineNumbers w:val="0"/>
        <w:ind w:firstLine="480" w:firstLineChars="200"/>
        <w:jc w:val="left"/>
        <w:rPr>
          <w:rFonts w:hint="default" w:ascii="Times New Roman" w:hAnsi="Times New Roman" w:eastAsia="宋体" w:cs="Times New Roman"/>
          <w:color w:val="auto"/>
          <w:sz w:val="24"/>
          <w:szCs w:val="22"/>
          <w:highlight w:val="none"/>
        </w:rPr>
      </w:pPr>
      <w:r>
        <w:rPr>
          <w:rFonts w:hint="default" w:ascii="Times New Roman" w:hAnsi="Times New Roman" w:eastAsia="宋体" w:cs="Times New Roman"/>
          <w:color w:val="auto"/>
          <w:kern w:val="0"/>
          <w:sz w:val="24"/>
          <w:szCs w:val="24"/>
          <w:highlight w:val="none"/>
          <w:lang w:val="en-US" w:eastAsia="zh-CN" w:bidi="ar"/>
        </w:rPr>
        <w:t>进厂垃圾同样会产生大量不可分解的物质仍需填埋，成本不低，各种机电工程设备的日常运作所需的油、电、费用、大量维修、维护、设备折旧，技术工人的不断培训和维系，再续投资负担大。</w:t>
      </w:r>
    </w:p>
    <w:p w14:paraId="38283011">
      <w:pPr>
        <w:pStyle w:val="5"/>
        <w:pageBreakBefore w:val="0"/>
        <w:widowControl w:val="0"/>
        <w:kinsoku/>
        <w:wordWrap/>
        <w:overflowPunct/>
        <w:topLinePunct w:val="0"/>
        <w:autoSpaceDE/>
        <w:autoSpaceDN/>
        <w:bidi w:val="0"/>
        <w:snapToGrid/>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热分解焚烧综合处理技术（第三代技术）</w:t>
      </w:r>
    </w:p>
    <w:p w14:paraId="1E13FF9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热分解焚烧综合处理技术，得到了诺贝尔奖得主、环保领域专家丹卡门的高度认可。近年来，热分解焚烧技术和设备发展十分迅速，在欧、美、日等发达国家已进入了实用化、工程化和商业化推广阶段。</w:t>
      </w:r>
    </w:p>
    <w:p w14:paraId="2292129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1、技术原理</w:t>
      </w:r>
    </w:p>
    <w:p w14:paraId="2F53DE38">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热分解又称为热解和裂解，俗称干馏，是把有机固体废物在无氧或缺氧条件下加热分解的过程，包括大分子的键断裂，异构化和小分子的聚合等反应，最后使之分解为三种资源：</w:t>
      </w:r>
    </w:p>
    <w:p w14:paraId="6A05736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（1）以氢气、一氧化碳、甲烷等低分子碳氢化合物为主的可燃性气体；</w:t>
      </w:r>
    </w:p>
    <w:p w14:paraId="2B22125A">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（2）在常温下为液态的包括乙酸、丙酮、甲醇等化合物在内的燃料油；</w:t>
      </w:r>
    </w:p>
    <w:p w14:paraId="0C5B2C9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（3）纯碳与土砂等混合形成的炭黑。</w:t>
      </w:r>
    </w:p>
    <w:p w14:paraId="65A1A92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通式如下：有机固体废物热解（H2、CH4、CO、CO2等）气体+（有机酸、焦油等）有机液体+炭黑。</w:t>
      </w:r>
    </w:p>
    <w:p w14:paraId="6895C4F9">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2、技术优势</w:t>
      </w:r>
    </w:p>
    <w:p w14:paraId="4200B7B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（1）工艺能耗低，设备易于操作，可广泛应用于城市生活垃圾、农村植物茎蔓、工业造纸废料、市政污泥处理、土壤改良等有机废弃物处置的多个领域；</w:t>
      </w:r>
    </w:p>
    <w:p w14:paraId="41B83A7D">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（2）整个热分解焚烧处理过程，无需煤炭、柴油等任何燃料助燃，烟气排放量仅为传统焚烧技术的千分之一；</w:t>
      </w:r>
    </w:p>
    <w:p w14:paraId="2A7E4DCA">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在运行过程中，因反应釜内为绝氧，故垃圾在热分解过程中，阻断了二恶英、二氧化硫、氮氧化合物等有毒物质的前置生成条件，从而不会产生二恶英、二氧化硫、氮氧化合物等有毒物质，避免了对大气的二次污染；</w:t>
      </w:r>
    </w:p>
    <w:p w14:paraId="2D30A994">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（4）减量化明显，处理后垃圾减量95%，相比直接填埋节约占地90%以上；</w:t>
      </w:r>
    </w:p>
    <w:p w14:paraId="7935613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（5）经热分解焚烧后的固体物质，理化性能稳定，杜绝垃圾堆放发酵后的臭气排放，以及有害液体渗漏对大气及地下水的二次污染；</w:t>
      </w:r>
    </w:p>
    <w:p w14:paraId="1B98C4BE">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6）副产品炭黑利用空间广阔：碳含量较高，具有良好的可燃性能，是一种新型高级燃料；活化性较强，是做吸附活性碳的理想材料；同时较好地保留N、P、K等微量营养元素，是一种稀缺的土壤修复改良剂，可疏松土壤、吸附固化重金属、并可迟缓氮磷钾元素的挥发、旱涝保收、可使农作物增产20%以上；</w:t>
      </w:r>
    </w:p>
    <w:p w14:paraId="2C4757D6">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（7）副产品可燃性气体可直接用于发电、供暖等供厂区日常运营使用。</w:t>
      </w:r>
    </w:p>
    <w:p w14:paraId="2DBB0042">
      <w:pPr>
        <w:pStyle w:val="5"/>
        <w:pageBreakBefore w:val="0"/>
        <w:widowControl w:val="0"/>
        <w:kinsoku/>
        <w:wordWrap/>
        <w:overflowPunct/>
        <w:topLinePunct w:val="0"/>
        <w:autoSpaceDE/>
        <w:autoSpaceDN/>
        <w:bidi w:val="0"/>
        <w:snapToGrid/>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生活垃圾处理工艺的比较</w:t>
      </w:r>
    </w:p>
    <w:p w14:paraId="5406196B">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环保事业是服务和奉献的事业。环保从业企业主要是从环保业务政府补贴、消费者付费和资源化利用方面获得收益，从而保证企业的可持续发展，以不断推出新技术、新工艺、新设备，满足日益提高的环保要求。</w:t>
      </w:r>
    </w:p>
    <w:p w14:paraId="37A482A8">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从工艺技术看，各种工艺技术都有其优缺点，适用不同规模、环境、处理物等的垃圾处理处置。以下是各种工艺技术的对比描述：</w:t>
      </w:r>
    </w:p>
    <w:p w14:paraId="7FDC801C">
      <w:pPr>
        <w:pStyle w:val="14"/>
        <w:numPr>
          <w:ilvl w:val="0"/>
          <w:numId w:val="14"/>
        </w:numPr>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各种生活垃圾处理工艺技术比较</w:t>
      </w:r>
    </w:p>
    <w:p w14:paraId="1DFC2D5F">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3.3</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1</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各种生活垃圾处理工艺技术比较分析</w:t>
      </w:r>
    </w:p>
    <w:tbl>
      <w:tblPr>
        <w:tblStyle w:val="35"/>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007"/>
        <w:gridCol w:w="1846"/>
        <w:gridCol w:w="1910"/>
        <w:gridCol w:w="1965"/>
        <w:gridCol w:w="2556"/>
      </w:tblGrid>
      <w:tr w14:paraId="13AAC53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542" w:type="pct"/>
            <w:tcBorders>
              <w:tl2br w:val="nil"/>
              <w:tr2bl w:val="nil"/>
            </w:tcBorders>
            <w:shd w:val="clear" w:color="auto" w:fill="auto"/>
            <w:vAlign w:val="center"/>
          </w:tcPr>
          <w:p w14:paraId="0B2473A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shd w:val="clear" w:color="auto" w:fill="FFFFFF"/>
              </w:rPr>
            </w:pPr>
            <w:r>
              <w:rPr>
                <w:rFonts w:hint="default" w:ascii="Times New Roman" w:hAnsi="Times New Roman" w:cs="Times New Roman"/>
                <w:b/>
                <w:color w:val="auto"/>
                <w:sz w:val="20"/>
                <w:szCs w:val="20"/>
                <w:highlight w:val="none"/>
                <w:shd w:val="clear" w:color="auto" w:fill="FFFFFF"/>
              </w:rPr>
              <w:t>比较</w:t>
            </w:r>
          </w:p>
          <w:p w14:paraId="3F07118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shd w:val="clear" w:color="auto" w:fill="FFFFFF"/>
              </w:rPr>
            </w:pPr>
            <w:r>
              <w:rPr>
                <w:rFonts w:hint="default" w:ascii="Times New Roman" w:hAnsi="Times New Roman" w:cs="Times New Roman"/>
                <w:b/>
                <w:color w:val="auto"/>
                <w:sz w:val="20"/>
                <w:szCs w:val="20"/>
                <w:highlight w:val="none"/>
                <w:shd w:val="clear" w:color="auto" w:fill="FFFFFF"/>
              </w:rPr>
              <w:t>项目</w:t>
            </w:r>
          </w:p>
        </w:tc>
        <w:tc>
          <w:tcPr>
            <w:tcW w:w="994" w:type="pct"/>
            <w:tcBorders>
              <w:tl2br w:val="nil"/>
              <w:tr2bl w:val="nil"/>
            </w:tcBorders>
            <w:shd w:val="clear" w:color="auto" w:fill="auto"/>
            <w:vAlign w:val="center"/>
          </w:tcPr>
          <w:p w14:paraId="4DFF3EA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shd w:val="clear" w:color="auto" w:fill="FFFFFF"/>
              </w:rPr>
            </w:pPr>
            <w:r>
              <w:rPr>
                <w:rFonts w:hint="default" w:ascii="Times New Roman" w:hAnsi="Times New Roman" w:cs="Times New Roman"/>
                <w:b/>
                <w:color w:val="auto"/>
                <w:sz w:val="20"/>
                <w:szCs w:val="20"/>
                <w:highlight w:val="none"/>
                <w:shd w:val="clear" w:color="auto" w:fill="FFFFFF"/>
              </w:rPr>
              <w:t>卫生填埋</w:t>
            </w:r>
          </w:p>
        </w:tc>
        <w:tc>
          <w:tcPr>
            <w:tcW w:w="1028" w:type="pct"/>
            <w:tcBorders>
              <w:tl2br w:val="nil"/>
              <w:tr2bl w:val="nil"/>
            </w:tcBorders>
            <w:shd w:val="clear" w:color="auto" w:fill="auto"/>
            <w:vAlign w:val="center"/>
          </w:tcPr>
          <w:p w14:paraId="280C10A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shd w:val="clear" w:color="auto" w:fill="FFFFFF"/>
              </w:rPr>
            </w:pPr>
            <w:r>
              <w:rPr>
                <w:rFonts w:hint="default" w:ascii="Times New Roman" w:hAnsi="Times New Roman" w:cs="Times New Roman"/>
                <w:b/>
                <w:color w:val="auto"/>
                <w:sz w:val="20"/>
                <w:szCs w:val="20"/>
                <w:highlight w:val="none"/>
                <w:shd w:val="clear" w:color="auto" w:fill="FFFFFF"/>
              </w:rPr>
              <w:t>生物堆肥</w:t>
            </w:r>
          </w:p>
        </w:tc>
        <w:tc>
          <w:tcPr>
            <w:tcW w:w="1058" w:type="pct"/>
            <w:tcBorders>
              <w:tl2br w:val="nil"/>
              <w:tr2bl w:val="nil"/>
            </w:tcBorders>
            <w:shd w:val="clear" w:color="auto" w:fill="auto"/>
            <w:vAlign w:val="center"/>
          </w:tcPr>
          <w:p w14:paraId="4A142C0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shd w:val="clear" w:color="auto" w:fill="FFFFFF"/>
              </w:rPr>
            </w:pPr>
            <w:r>
              <w:rPr>
                <w:rFonts w:hint="default" w:ascii="Times New Roman" w:hAnsi="Times New Roman" w:cs="Times New Roman"/>
                <w:b/>
                <w:color w:val="auto"/>
                <w:sz w:val="20"/>
                <w:szCs w:val="20"/>
                <w:highlight w:val="none"/>
                <w:shd w:val="clear" w:color="auto" w:fill="FFFFFF"/>
              </w:rPr>
              <w:t>焚烧氧化</w:t>
            </w:r>
          </w:p>
        </w:tc>
        <w:tc>
          <w:tcPr>
            <w:tcW w:w="1376" w:type="pct"/>
            <w:tcBorders>
              <w:tl2br w:val="nil"/>
              <w:tr2bl w:val="nil"/>
            </w:tcBorders>
            <w:shd w:val="clear" w:color="auto" w:fill="auto"/>
            <w:vAlign w:val="center"/>
          </w:tcPr>
          <w:p w14:paraId="6EC20AB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shd w:val="clear" w:color="auto" w:fill="FFFFFF"/>
              </w:rPr>
            </w:pPr>
            <w:r>
              <w:rPr>
                <w:rFonts w:hint="default" w:ascii="Times New Roman" w:hAnsi="Times New Roman" w:cs="Times New Roman"/>
                <w:b/>
                <w:color w:val="auto"/>
                <w:sz w:val="20"/>
                <w:szCs w:val="20"/>
                <w:highlight w:val="none"/>
                <w:shd w:val="clear" w:color="auto" w:fill="FFFFFF"/>
              </w:rPr>
              <w:t>热分解焚烧</w:t>
            </w:r>
          </w:p>
        </w:tc>
      </w:tr>
      <w:tr w14:paraId="0BC4D4A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7164745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技术可靠性</w:t>
            </w:r>
          </w:p>
        </w:tc>
        <w:tc>
          <w:tcPr>
            <w:tcW w:w="994" w:type="pct"/>
            <w:tcBorders>
              <w:tl2br w:val="nil"/>
              <w:tr2bl w:val="nil"/>
            </w:tcBorders>
            <w:vAlign w:val="center"/>
          </w:tcPr>
          <w:p w14:paraId="160AAF8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可靠，属于传统处理方法</w:t>
            </w:r>
          </w:p>
        </w:tc>
        <w:tc>
          <w:tcPr>
            <w:tcW w:w="1028" w:type="pct"/>
            <w:tcBorders>
              <w:tl2br w:val="nil"/>
              <w:tr2bl w:val="nil"/>
            </w:tcBorders>
            <w:vAlign w:val="center"/>
          </w:tcPr>
          <w:p w14:paraId="2392DF2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可靠，实践经验丰富</w:t>
            </w:r>
          </w:p>
        </w:tc>
        <w:tc>
          <w:tcPr>
            <w:tcW w:w="1058" w:type="pct"/>
            <w:tcBorders>
              <w:tl2br w:val="nil"/>
              <w:tr2bl w:val="nil"/>
            </w:tcBorders>
            <w:vAlign w:val="center"/>
          </w:tcPr>
          <w:p w14:paraId="764DF00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较可靠，技术成熟</w:t>
            </w:r>
          </w:p>
        </w:tc>
        <w:tc>
          <w:tcPr>
            <w:tcW w:w="1376" w:type="pct"/>
            <w:tcBorders>
              <w:tl2br w:val="nil"/>
              <w:tr2bl w:val="nil"/>
            </w:tcBorders>
            <w:vAlign w:val="center"/>
          </w:tcPr>
          <w:p w14:paraId="35403EB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先进，技术复杂程度高</w:t>
            </w:r>
          </w:p>
        </w:tc>
      </w:tr>
      <w:tr w14:paraId="758C376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24C77AA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选址要求</w:t>
            </w:r>
          </w:p>
        </w:tc>
        <w:tc>
          <w:tcPr>
            <w:tcW w:w="994" w:type="pct"/>
            <w:tcBorders>
              <w:tl2br w:val="nil"/>
              <w:tr2bl w:val="nil"/>
            </w:tcBorders>
            <w:vAlign w:val="center"/>
          </w:tcPr>
          <w:p w14:paraId="1E0C3B0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困难，综合考虑地形、运输等条件，防止地表水和地下水污染</w:t>
            </w:r>
          </w:p>
        </w:tc>
        <w:tc>
          <w:tcPr>
            <w:tcW w:w="1028" w:type="pct"/>
            <w:tcBorders>
              <w:tl2br w:val="nil"/>
              <w:tr2bl w:val="nil"/>
            </w:tcBorders>
            <w:vAlign w:val="center"/>
          </w:tcPr>
          <w:p w14:paraId="776B652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较易，避开居民密集区，气味影响半径小于200m，运输距离适中</w:t>
            </w:r>
          </w:p>
        </w:tc>
        <w:tc>
          <w:tcPr>
            <w:tcW w:w="1058" w:type="pct"/>
            <w:tcBorders>
              <w:tl2br w:val="nil"/>
              <w:tr2bl w:val="nil"/>
            </w:tcBorders>
            <w:vAlign w:val="center"/>
          </w:tcPr>
          <w:p w14:paraId="41FE986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可靠近市区建设，运输距离较小，但容易引起本地民众不满，影响社会稳定</w:t>
            </w:r>
          </w:p>
        </w:tc>
        <w:tc>
          <w:tcPr>
            <w:tcW w:w="1376" w:type="pct"/>
            <w:tcBorders>
              <w:tl2br w:val="nil"/>
              <w:tr2bl w:val="nil"/>
            </w:tcBorders>
            <w:vAlign w:val="center"/>
          </w:tcPr>
          <w:p w14:paraId="0532CDE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可靠近市区建设，运距小，因排放低，基本无异味，不会影响社会稳定</w:t>
            </w:r>
          </w:p>
        </w:tc>
      </w:tr>
      <w:tr w14:paraId="343A02D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4F0BFE6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占地面积</w:t>
            </w:r>
          </w:p>
        </w:tc>
        <w:tc>
          <w:tcPr>
            <w:tcW w:w="994" w:type="pct"/>
            <w:tcBorders>
              <w:tl2br w:val="nil"/>
              <w:tr2bl w:val="nil"/>
            </w:tcBorders>
            <w:vAlign w:val="center"/>
          </w:tcPr>
          <w:p w14:paraId="5745E1E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700-1000m</w:t>
            </w:r>
            <w:r>
              <w:rPr>
                <w:rFonts w:hint="default" w:ascii="Times New Roman" w:hAnsi="Times New Roman" w:cs="Times New Roman"/>
                <w:color w:val="auto"/>
                <w:sz w:val="20"/>
                <w:szCs w:val="20"/>
                <w:highlight w:val="none"/>
                <w:shd w:val="clear" w:color="auto" w:fill="FFFFFF"/>
                <w:vertAlign w:val="superscript"/>
              </w:rPr>
              <w:t>2</w:t>
            </w:r>
            <w:r>
              <w:rPr>
                <w:rFonts w:hint="default" w:ascii="Times New Roman" w:hAnsi="Times New Roman" w:cs="Times New Roman"/>
                <w:color w:val="auto"/>
                <w:sz w:val="20"/>
                <w:szCs w:val="20"/>
                <w:highlight w:val="none"/>
                <w:shd w:val="clear" w:color="auto" w:fill="FFFFFF"/>
              </w:rPr>
              <w:t>/t</w:t>
            </w:r>
          </w:p>
        </w:tc>
        <w:tc>
          <w:tcPr>
            <w:tcW w:w="1028" w:type="pct"/>
            <w:tcBorders>
              <w:tl2br w:val="nil"/>
              <w:tr2bl w:val="nil"/>
            </w:tcBorders>
            <w:vAlign w:val="center"/>
          </w:tcPr>
          <w:p w14:paraId="1FC0532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110-150m</w:t>
            </w:r>
            <w:r>
              <w:rPr>
                <w:rFonts w:hint="default" w:ascii="Times New Roman" w:hAnsi="Times New Roman" w:cs="Times New Roman"/>
                <w:color w:val="auto"/>
                <w:sz w:val="20"/>
                <w:szCs w:val="20"/>
                <w:highlight w:val="none"/>
                <w:shd w:val="clear" w:color="auto" w:fill="FFFFFF"/>
                <w:vertAlign w:val="superscript"/>
              </w:rPr>
              <w:t>2</w:t>
            </w:r>
            <w:r>
              <w:rPr>
                <w:rFonts w:hint="default" w:ascii="Times New Roman" w:hAnsi="Times New Roman" w:cs="Times New Roman"/>
                <w:color w:val="auto"/>
                <w:sz w:val="20"/>
                <w:szCs w:val="20"/>
                <w:highlight w:val="none"/>
                <w:shd w:val="clear" w:color="auto" w:fill="FFFFFF"/>
              </w:rPr>
              <w:t>/t</w:t>
            </w:r>
          </w:p>
        </w:tc>
        <w:tc>
          <w:tcPr>
            <w:tcW w:w="1058" w:type="pct"/>
            <w:tcBorders>
              <w:tl2br w:val="nil"/>
              <w:tr2bl w:val="nil"/>
            </w:tcBorders>
            <w:vAlign w:val="center"/>
          </w:tcPr>
          <w:p w14:paraId="2604681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200-300m</w:t>
            </w:r>
            <w:r>
              <w:rPr>
                <w:rFonts w:hint="default" w:ascii="Times New Roman" w:hAnsi="Times New Roman" w:cs="Times New Roman"/>
                <w:color w:val="auto"/>
                <w:sz w:val="20"/>
                <w:szCs w:val="20"/>
                <w:highlight w:val="none"/>
                <w:shd w:val="clear" w:color="auto" w:fill="FFFFFF"/>
                <w:vertAlign w:val="superscript"/>
              </w:rPr>
              <w:t>2</w:t>
            </w:r>
            <w:r>
              <w:rPr>
                <w:rFonts w:hint="default" w:ascii="Times New Roman" w:hAnsi="Times New Roman" w:cs="Times New Roman"/>
                <w:color w:val="auto"/>
                <w:sz w:val="20"/>
                <w:szCs w:val="20"/>
                <w:highlight w:val="none"/>
                <w:shd w:val="clear" w:color="auto" w:fill="FFFFFF"/>
              </w:rPr>
              <w:t>/（t/d）</w:t>
            </w:r>
          </w:p>
        </w:tc>
        <w:tc>
          <w:tcPr>
            <w:tcW w:w="1376" w:type="pct"/>
            <w:tcBorders>
              <w:tl2br w:val="nil"/>
              <w:tr2bl w:val="nil"/>
            </w:tcBorders>
            <w:vAlign w:val="center"/>
          </w:tcPr>
          <w:p w14:paraId="059FCB7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200-300m</w:t>
            </w:r>
            <w:r>
              <w:rPr>
                <w:rFonts w:hint="default" w:ascii="Times New Roman" w:hAnsi="Times New Roman" w:cs="Times New Roman"/>
                <w:color w:val="auto"/>
                <w:sz w:val="20"/>
                <w:szCs w:val="20"/>
                <w:highlight w:val="none"/>
                <w:shd w:val="clear" w:color="auto" w:fill="FFFFFF"/>
                <w:vertAlign w:val="superscript"/>
              </w:rPr>
              <w:t>2</w:t>
            </w:r>
            <w:r>
              <w:rPr>
                <w:rFonts w:hint="default" w:ascii="Times New Roman" w:hAnsi="Times New Roman" w:cs="Times New Roman"/>
                <w:color w:val="auto"/>
                <w:sz w:val="20"/>
                <w:szCs w:val="20"/>
                <w:highlight w:val="none"/>
                <w:shd w:val="clear" w:color="auto" w:fill="FFFFFF"/>
              </w:rPr>
              <w:t>/（t/d）</w:t>
            </w:r>
          </w:p>
        </w:tc>
      </w:tr>
      <w:tr w14:paraId="1FF113E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55641FD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投资规模</w:t>
            </w:r>
          </w:p>
        </w:tc>
        <w:tc>
          <w:tcPr>
            <w:tcW w:w="994" w:type="pct"/>
            <w:tcBorders>
              <w:tl2br w:val="nil"/>
              <w:tr2bl w:val="nil"/>
            </w:tcBorders>
            <w:vAlign w:val="center"/>
          </w:tcPr>
          <w:p w14:paraId="595AEE4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18-27元/t</w:t>
            </w:r>
          </w:p>
        </w:tc>
        <w:tc>
          <w:tcPr>
            <w:tcW w:w="1028" w:type="pct"/>
            <w:tcBorders>
              <w:tl2br w:val="nil"/>
              <w:tr2bl w:val="nil"/>
            </w:tcBorders>
            <w:vAlign w:val="center"/>
          </w:tcPr>
          <w:p w14:paraId="482413D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25-36元/t</w:t>
            </w:r>
          </w:p>
        </w:tc>
        <w:tc>
          <w:tcPr>
            <w:tcW w:w="1058" w:type="pct"/>
            <w:tcBorders>
              <w:tl2br w:val="nil"/>
              <w:tr2bl w:val="nil"/>
            </w:tcBorders>
            <w:vAlign w:val="center"/>
          </w:tcPr>
          <w:p w14:paraId="0524AC6A">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50-70万元/（t/d）</w:t>
            </w:r>
          </w:p>
        </w:tc>
        <w:tc>
          <w:tcPr>
            <w:tcW w:w="1376" w:type="pct"/>
            <w:tcBorders>
              <w:tl2br w:val="nil"/>
              <w:tr2bl w:val="nil"/>
            </w:tcBorders>
            <w:vAlign w:val="center"/>
          </w:tcPr>
          <w:p w14:paraId="097EE54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30-50万元/（t/d）</w:t>
            </w:r>
          </w:p>
        </w:tc>
      </w:tr>
      <w:tr w14:paraId="7856805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7651A90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处置成本</w:t>
            </w:r>
          </w:p>
        </w:tc>
        <w:tc>
          <w:tcPr>
            <w:tcW w:w="994" w:type="pct"/>
            <w:tcBorders>
              <w:tl2br w:val="nil"/>
              <w:tr2bl w:val="nil"/>
            </w:tcBorders>
            <w:vAlign w:val="center"/>
          </w:tcPr>
          <w:p w14:paraId="455EBA1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35-55元/t</w:t>
            </w:r>
          </w:p>
        </w:tc>
        <w:tc>
          <w:tcPr>
            <w:tcW w:w="1028" w:type="pct"/>
            <w:tcBorders>
              <w:tl2br w:val="nil"/>
              <w:tr2bl w:val="nil"/>
            </w:tcBorders>
            <w:vAlign w:val="center"/>
          </w:tcPr>
          <w:p w14:paraId="278FA6C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50-80元/t</w:t>
            </w:r>
          </w:p>
        </w:tc>
        <w:tc>
          <w:tcPr>
            <w:tcW w:w="1058" w:type="pct"/>
            <w:tcBorders>
              <w:tl2br w:val="nil"/>
              <w:tr2bl w:val="nil"/>
            </w:tcBorders>
            <w:vAlign w:val="center"/>
          </w:tcPr>
          <w:p w14:paraId="5F2A508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200元/t左右</w:t>
            </w:r>
          </w:p>
        </w:tc>
        <w:tc>
          <w:tcPr>
            <w:tcW w:w="1376" w:type="pct"/>
            <w:tcBorders>
              <w:tl2br w:val="nil"/>
              <w:tr2bl w:val="nil"/>
            </w:tcBorders>
            <w:vAlign w:val="center"/>
          </w:tcPr>
          <w:p w14:paraId="7AB2FE9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200元/t左右</w:t>
            </w:r>
          </w:p>
        </w:tc>
      </w:tr>
      <w:tr w14:paraId="67BB694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5684F47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运行安全性</w:t>
            </w:r>
          </w:p>
        </w:tc>
        <w:tc>
          <w:tcPr>
            <w:tcW w:w="994" w:type="pct"/>
            <w:tcBorders>
              <w:tl2br w:val="nil"/>
              <w:tr2bl w:val="nil"/>
            </w:tcBorders>
            <w:vAlign w:val="center"/>
          </w:tcPr>
          <w:p w14:paraId="541EF92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较好</w:t>
            </w:r>
          </w:p>
        </w:tc>
        <w:tc>
          <w:tcPr>
            <w:tcW w:w="1028" w:type="pct"/>
            <w:tcBorders>
              <w:tl2br w:val="nil"/>
              <w:tr2bl w:val="nil"/>
            </w:tcBorders>
            <w:vAlign w:val="center"/>
          </w:tcPr>
          <w:p w14:paraId="4C7DC04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好</w:t>
            </w:r>
          </w:p>
        </w:tc>
        <w:tc>
          <w:tcPr>
            <w:tcW w:w="1058" w:type="pct"/>
            <w:tcBorders>
              <w:tl2br w:val="nil"/>
              <w:tr2bl w:val="nil"/>
            </w:tcBorders>
            <w:vAlign w:val="center"/>
          </w:tcPr>
          <w:p w14:paraId="47AE04B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好</w:t>
            </w:r>
          </w:p>
        </w:tc>
        <w:tc>
          <w:tcPr>
            <w:tcW w:w="1376" w:type="pct"/>
            <w:tcBorders>
              <w:tl2br w:val="nil"/>
              <w:tr2bl w:val="nil"/>
            </w:tcBorders>
            <w:vAlign w:val="center"/>
          </w:tcPr>
          <w:p w14:paraId="13DB677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好</w:t>
            </w:r>
          </w:p>
        </w:tc>
      </w:tr>
      <w:tr w14:paraId="7F401B2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126BC80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适用条件</w:t>
            </w:r>
          </w:p>
        </w:tc>
        <w:tc>
          <w:tcPr>
            <w:tcW w:w="994" w:type="pct"/>
            <w:tcBorders>
              <w:tl2br w:val="nil"/>
              <w:tr2bl w:val="nil"/>
            </w:tcBorders>
            <w:vAlign w:val="center"/>
          </w:tcPr>
          <w:p w14:paraId="0491B4B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无机物＞60%，含水率＜30%，密度大于0.5t/m</w:t>
            </w:r>
            <w:r>
              <w:rPr>
                <w:rFonts w:hint="default" w:ascii="Times New Roman" w:hAnsi="Times New Roman" w:cs="Times New Roman"/>
                <w:color w:val="auto"/>
                <w:sz w:val="20"/>
                <w:szCs w:val="20"/>
                <w:highlight w:val="none"/>
                <w:shd w:val="clear" w:color="auto" w:fill="FFFFFF"/>
                <w:vertAlign w:val="superscript"/>
              </w:rPr>
              <w:t>3</w:t>
            </w:r>
          </w:p>
        </w:tc>
        <w:tc>
          <w:tcPr>
            <w:tcW w:w="1028" w:type="pct"/>
            <w:tcBorders>
              <w:tl2br w:val="nil"/>
              <w:tr2bl w:val="nil"/>
            </w:tcBorders>
            <w:vAlign w:val="center"/>
          </w:tcPr>
          <w:p w14:paraId="6A9C6A7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从无害化角度看，垃圾中可生物降解有机物≥10%，从肥效出发，应＞40%</w:t>
            </w:r>
          </w:p>
        </w:tc>
        <w:tc>
          <w:tcPr>
            <w:tcW w:w="1058" w:type="pct"/>
            <w:tcBorders>
              <w:tl2br w:val="nil"/>
              <w:tr2bl w:val="nil"/>
            </w:tcBorders>
            <w:vAlign w:val="center"/>
          </w:tcPr>
          <w:p w14:paraId="079CDF2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垃圾低位热值＞1200Kcal/kg，才能无需添加辅助燃料</w:t>
            </w:r>
          </w:p>
        </w:tc>
        <w:tc>
          <w:tcPr>
            <w:tcW w:w="1376" w:type="pct"/>
            <w:tcBorders>
              <w:tl2br w:val="nil"/>
              <w:tr2bl w:val="nil"/>
            </w:tcBorders>
            <w:vAlign w:val="center"/>
          </w:tcPr>
          <w:p w14:paraId="4103408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进场垃圾单位热值达到1000Kcal/kg，即可使用</w:t>
            </w:r>
          </w:p>
        </w:tc>
      </w:tr>
      <w:tr w14:paraId="340205A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2F71934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管理要求</w:t>
            </w:r>
          </w:p>
        </w:tc>
        <w:tc>
          <w:tcPr>
            <w:tcW w:w="994" w:type="pct"/>
            <w:tcBorders>
              <w:tl2br w:val="nil"/>
              <w:tr2bl w:val="nil"/>
            </w:tcBorders>
            <w:vAlign w:val="center"/>
          </w:tcPr>
          <w:p w14:paraId="07DDAE2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一般</w:t>
            </w:r>
          </w:p>
        </w:tc>
        <w:tc>
          <w:tcPr>
            <w:tcW w:w="1028" w:type="pct"/>
            <w:tcBorders>
              <w:tl2br w:val="nil"/>
              <w:tr2bl w:val="nil"/>
            </w:tcBorders>
            <w:vAlign w:val="center"/>
          </w:tcPr>
          <w:p w14:paraId="31CCDAE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较高</w:t>
            </w:r>
          </w:p>
        </w:tc>
        <w:tc>
          <w:tcPr>
            <w:tcW w:w="1058" w:type="pct"/>
            <w:tcBorders>
              <w:tl2br w:val="nil"/>
              <w:tr2bl w:val="nil"/>
            </w:tcBorders>
            <w:vAlign w:val="center"/>
          </w:tcPr>
          <w:p w14:paraId="35078DD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高</w:t>
            </w:r>
          </w:p>
        </w:tc>
        <w:tc>
          <w:tcPr>
            <w:tcW w:w="1376" w:type="pct"/>
            <w:tcBorders>
              <w:tl2br w:val="nil"/>
              <w:tr2bl w:val="nil"/>
            </w:tcBorders>
            <w:vAlign w:val="center"/>
          </w:tcPr>
          <w:p w14:paraId="1B12514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高</w:t>
            </w:r>
          </w:p>
        </w:tc>
      </w:tr>
      <w:tr w14:paraId="34C5CBA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188DD88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产品市场</w:t>
            </w:r>
          </w:p>
        </w:tc>
        <w:tc>
          <w:tcPr>
            <w:tcW w:w="994" w:type="pct"/>
            <w:tcBorders>
              <w:tl2br w:val="nil"/>
              <w:tr2bl w:val="nil"/>
            </w:tcBorders>
            <w:vAlign w:val="center"/>
          </w:tcPr>
          <w:p w14:paraId="2B9C25E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次生沼气可发电或供热</w:t>
            </w:r>
          </w:p>
        </w:tc>
        <w:tc>
          <w:tcPr>
            <w:tcW w:w="1028" w:type="pct"/>
            <w:tcBorders>
              <w:tl2br w:val="nil"/>
              <w:tr2bl w:val="nil"/>
            </w:tcBorders>
            <w:vAlign w:val="center"/>
          </w:tcPr>
          <w:p w14:paraId="5EB7A3A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堆肥产品单一，品质不稳定，市场需求小</w:t>
            </w:r>
          </w:p>
        </w:tc>
        <w:tc>
          <w:tcPr>
            <w:tcW w:w="1058" w:type="pct"/>
            <w:tcBorders>
              <w:tl2br w:val="nil"/>
              <w:tr2bl w:val="nil"/>
            </w:tcBorders>
            <w:vAlign w:val="center"/>
          </w:tcPr>
          <w:p w14:paraId="154118F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残渣量20%，需填埋无市场；如发电，发电量300kwh/t，但上网门槛高，需符合电力规划，政策规定需300t/d规模以上</w:t>
            </w:r>
          </w:p>
        </w:tc>
        <w:tc>
          <w:tcPr>
            <w:tcW w:w="1376" w:type="pct"/>
            <w:tcBorders>
              <w:tl2br w:val="nil"/>
              <w:tr2bl w:val="nil"/>
            </w:tcBorders>
            <w:vAlign w:val="center"/>
          </w:tcPr>
          <w:p w14:paraId="292C412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炭黑10-16%，热值2800Kcal/kg，可做炭基肥基料，也可做燃料；裂解气除作裂解能源外，富余气体可发电，上网或做厂用电，用于非重要孤立负荷电源</w:t>
            </w:r>
          </w:p>
        </w:tc>
      </w:tr>
      <w:tr w14:paraId="44F3038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1CE05B9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最终处置</w:t>
            </w:r>
          </w:p>
        </w:tc>
        <w:tc>
          <w:tcPr>
            <w:tcW w:w="994" w:type="pct"/>
            <w:tcBorders>
              <w:tl2br w:val="nil"/>
              <w:tr2bl w:val="nil"/>
            </w:tcBorders>
            <w:vAlign w:val="center"/>
          </w:tcPr>
          <w:p w14:paraId="09ACCED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填埋场满后，需对陈腐垃圾二次处理；考虑安全和环境影响，需处置填埋气；渗滤液溢流需处置（尤其是埋场位置低、雨水多时）</w:t>
            </w:r>
          </w:p>
        </w:tc>
        <w:tc>
          <w:tcPr>
            <w:tcW w:w="1028" w:type="pct"/>
            <w:tcBorders>
              <w:tl2br w:val="nil"/>
              <w:tr2bl w:val="nil"/>
            </w:tcBorders>
            <w:vAlign w:val="center"/>
          </w:tcPr>
          <w:p w14:paraId="7FEF38B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堆肥前无机筛分物需另作处置，约为20-25%；生物肥料库存占地</w:t>
            </w:r>
          </w:p>
        </w:tc>
        <w:tc>
          <w:tcPr>
            <w:tcW w:w="1058" w:type="pct"/>
            <w:tcBorders>
              <w:tl2br w:val="nil"/>
              <w:tr2bl w:val="nil"/>
            </w:tcBorders>
            <w:vAlign w:val="center"/>
          </w:tcPr>
          <w:p w14:paraId="2239C13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残渣填埋；焚烧粉尘和烟气排放需进行达标处理；渗滤液达标处理</w:t>
            </w:r>
          </w:p>
        </w:tc>
        <w:tc>
          <w:tcPr>
            <w:tcW w:w="1376" w:type="pct"/>
            <w:tcBorders>
              <w:tl2br w:val="nil"/>
              <w:tr2bl w:val="nil"/>
            </w:tcBorders>
            <w:vAlign w:val="center"/>
          </w:tcPr>
          <w:p w14:paraId="2C965BB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人工拣选或筛分的无机物，或资源化（2%）或填埋（3%）；炭黑资源化（10-16%）处理；渗滤液达标处理</w:t>
            </w:r>
          </w:p>
        </w:tc>
      </w:tr>
      <w:tr w14:paraId="089B627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20913A5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地表水污染</w:t>
            </w:r>
          </w:p>
        </w:tc>
        <w:tc>
          <w:tcPr>
            <w:tcW w:w="994" w:type="pct"/>
            <w:tcBorders>
              <w:tl2br w:val="nil"/>
              <w:tr2bl w:val="nil"/>
            </w:tcBorders>
            <w:vAlign w:val="center"/>
          </w:tcPr>
          <w:p w14:paraId="0A2840E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需完善的渗滤液处理设施，成本高，维护期短，不易达标</w:t>
            </w:r>
          </w:p>
        </w:tc>
        <w:tc>
          <w:tcPr>
            <w:tcW w:w="1028" w:type="pct"/>
            <w:tcBorders>
              <w:tl2br w:val="nil"/>
              <w:tr2bl w:val="nil"/>
            </w:tcBorders>
            <w:vAlign w:val="center"/>
          </w:tcPr>
          <w:p w14:paraId="4BA0A54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污染概率小，污水量少，初步处理可排入城市市政污水管网</w:t>
            </w:r>
          </w:p>
        </w:tc>
        <w:tc>
          <w:tcPr>
            <w:tcW w:w="1058" w:type="pct"/>
            <w:tcBorders>
              <w:tl2br w:val="nil"/>
              <w:tr2bl w:val="nil"/>
            </w:tcBorders>
            <w:vAlign w:val="center"/>
          </w:tcPr>
          <w:p w14:paraId="5C2F023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炉渣填埋对地表水的影响同“卫生填埋”，但无有机物影响</w:t>
            </w:r>
          </w:p>
        </w:tc>
        <w:tc>
          <w:tcPr>
            <w:tcW w:w="1376" w:type="pct"/>
            <w:tcBorders>
              <w:tl2br w:val="nil"/>
              <w:tr2bl w:val="nil"/>
            </w:tcBorders>
            <w:vAlign w:val="center"/>
          </w:tcPr>
          <w:p w14:paraId="4A78071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人工拣选无机物（石头、砖块）填埋同“焚烧”</w:t>
            </w:r>
          </w:p>
        </w:tc>
      </w:tr>
      <w:tr w14:paraId="640AA1D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5CD4089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地下水污染</w:t>
            </w:r>
          </w:p>
        </w:tc>
        <w:tc>
          <w:tcPr>
            <w:tcW w:w="994" w:type="pct"/>
            <w:tcBorders>
              <w:tl2br w:val="nil"/>
              <w:tr2bl w:val="nil"/>
            </w:tcBorders>
            <w:vAlign w:val="center"/>
          </w:tcPr>
          <w:p w14:paraId="30D9A66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场地防渗，投资大，可靠性差，一旦渗漏，难以处置</w:t>
            </w:r>
          </w:p>
        </w:tc>
        <w:tc>
          <w:tcPr>
            <w:tcW w:w="1028" w:type="pct"/>
            <w:tcBorders>
              <w:tl2br w:val="nil"/>
              <w:tr2bl w:val="nil"/>
            </w:tcBorders>
            <w:vAlign w:val="center"/>
          </w:tcPr>
          <w:p w14:paraId="5C0A98B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可能性小</w:t>
            </w:r>
          </w:p>
        </w:tc>
        <w:tc>
          <w:tcPr>
            <w:tcW w:w="1058" w:type="pct"/>
            <w:tcBorders>
              <w:tl2br w:val="nil"/>
              <w:tr2bl w:val="nil"/>
            </w:tcBorders>
            <w:vAlign w:val="center"/>
          </w:tcPr>
          <w:p w14:paraId="38139A7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可能性小</w:t>
            </w:r>
          </w:p>
        </w:tc>
        <w:tc>
          <w:tcPr>
            <w:tcW w:w="1376" w:type="pct"/>
            <w:tcBorders>
              <w:tl2br w:val="nil"/>
              <w:tr2bl w:val="nil"/>
            </w:tcBorders>
            <w:vAlign w:val="center"/>
          </w:tcPr>
          <w:p w14:paraId="42D771B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可能性小</w:t>
            </w:r>
          </w:p>
        </w:tc>
      </w:tr>
      <w:tr w14:paraId="69842F4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0BF5AD5A">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大气污染</w:t>
            </w:r>
          </w:p>
        </w:tc>
        <w:tc>
          <w:tcPr>
            <w:tcW w:w="994" w:type="pct"/>
            <w:tcBorders>
              <w:tl2br w:val="nil"/>
              <w:tr2bl w:val="nil"/>
            </w:tcBorders>
            <w:vAlign w:val="center"/>
          </w:tcPr>
          <w:p w14:paraId="6166FA2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较大</w:t>
            </w:r>
          </w:p>
          <w:p w14:paraId="0935FE7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可用导气、覆盖、隔离带等措施进行控制</w:t>
            </w:r>
          </w:p>
        </w:tc>
        <w:tc>
          <w:tcPr>
            <w:tcW w:w="1028" w:type="pct"/>
            <w:tcBorders>
              <w:tl2br w:val="nil"/>
              <w:tr2bl w:val="nil"/>
            </w:tcBorders>
            <w:vAlign w:val="center"/>
          </w:tcPr>
          <w:p w14:paraId="38191AB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轻微</w:t>
            </w:r>
          </w:p>
          <w:p w14:paraId="2D5E8B4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可设除臭装置和隔离带</w:t>
            </w:r>
          </w:p>
        </w:tc>
        <w:tc>
          <w:tcPr>
            <w:tcW w:w="1058" w:type="pct"/>
            <w:tcBorders>
              <w:tl2br w:val="nil"/>
              <w:tr2bl w:val="nil"/>
            </w:tcBorders>
            <w:vAlign w:val="center"/>
          </w:tcPr>
          <w:p w14:paraId="242734F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可能性较大</w:t>
            </w:r>
          </w:p>
          <w:p w14:paraId="58881CB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应对烟气进行降尘、脱硫脱硝处理，重点改善燃烧技术，降低二噁英产出量</w:t>
            </w:r>
          </w:p>
        </w:tc>
        <w:tc>
          <w:tcPr>
            <w:tcW w:w="1376" w:type="pct"/>
            <w:tcBorders>
              <w:tl2br w:val="nil"/>
              <w:tr2bl w:val="nil"/>
            </w:tcBorders>
            <w:vAlign w:val="center"/>
          </w:tcPr>
          <w:p w14:paraId="6515F81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轻微</w:t>
            </w:r>
          </w:p>
          <w:p w14:paraId="140AFCC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烟气排放几乎为零</w:t>
            </w:r>
          </w:p>
        </w:tc>
      </w:tr>
      <w:tr w14:paraId="2820F0A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49004B6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土壤污染</w:t>
            </w:r>
          </w:p>
        </w:tc>
        <w:tc>
          <w:tcPr>
            <w:tcW w:w="994" w:type="pct"/>
            <w:tcBorders>
              <w:tl2br w:val="nil"/>
              <w:tr2bl w:val="nil"/>
            </w:tcBorders>
            <w:vAlign w:val="center"/>
          </w:tcPr>
          <w:p w14:paraId="7F463F8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限于填埋场区域</w:t>
            </w:r>
          </w:p>
        </w:tc>
        <w:tc>
          <w:tcPr>
            <w:tcW w:w="1028" w:type="pct"/>
            <w:tcBorders>
              <w:tl2br w:val="nil"/>
              <w:tr2bl w:val="nil"/>
            </w:tcBorders>
            <w:vAlign w:val="center"/>
          </w:tcPr>
          <w:p w14:paraId="6186FE1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需控制堆肥的重金属含量和PH值</w:t>
            </w:r>
          </w:p>
        </w:tc>
        <w:tc>
          <w:tcPr>
            <w:tcW w:w="1058" w:type="pct"/>
            <w:tcBorders>
              <w:tl2br w:val="nil"/>
              <w:tr2bl w:val="nil"/>
            </w:tcBorders>
            <w:vAlign w:val="center"/>
          </w:tcPr>
          <w:p w14:paraId="13DCF4F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控制灰渣不进入土壤区</w:t>
            </w:r>
          </w:p>
        </w:tc>
        <w:tc>
          <w:tcPr>
            <w:tcW w:w="1376" w:type="pct"/>
            <w:tcBorders>
              <w:tl2br w:val="nil"/>
              <w:tr2bl w:val="nil"/>
            </w:tcBorders>
            <w:vAlign w:val="center"/>
          </w:tcPr>
          <w:p w14:paraId="7E35193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如做炭基肥，炭黑对土壤有修复作用，并可吸附土壤中的重金属</w:t>
            </w:r>
          </w:p>
        </w:tc>
      </w:tr>
      <w:tr w14:paraId="2C4D19B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7306836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环保措施</w:t>
            </w:r>
          </w:p>
        </w:tc>
        <w:tc>
          <w:tcPr>
            <w:tcW w:w="994" w:type="pct"/>
            <w:tcBorders>
              <w:tl2br w:val="nil"/>
              <w:tr2bl w:val="nil"/>
            </w:tcBorders>
            <w:vAlign w:val="center"/>
          </w:tcPr>
          <w:p w14:paraId="733460D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场地防渗，分层压实，填埋气导排，渗滤液处理</w:t>
            </w:r>
          </w:p>
        </w:tc>
        <w:tc>
          <w:tcPr>
            <w:tcW w:w="1028" w:type="pct"/>
            <w:tcBorders>
              <w:tl2br w:val="nil"/>
              <w:tr2bl w:val="nil"/>
            </w:tcBorders>
            <w:vAlign w:val="center"/>
          </w:tcPr>
          <w:p w14:paraId="009AAA8A">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场地防渗，棚顶防雨，同时降低恶臭，远离居民区</w:t>
            </w:r>
          </w:p>
        </w:tc>
        <w:tc>
          <w:tcPr>
            <w:tcW w:w="1058" w:type="pct"/>
            <w:tcBorders>
              <w:tl2br w:val="nil"/>
              <w:tr2bl w:val="nil"/>
            </w:tcBorders>
            <w:vAlign w:val="center"/>
          </w:tcPr>
          <w:p w14:paraId="58A45F5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除尘和烟气处理设备确保可靠运行，垃圾暂存仓防渗处理及系统的臭气收集处理系统完善</w:t>
            </w:r>
          </w:p>
        </w:tc>
        <w:tc>
          <w:tcPr>
            <w:tcW w:w="1376" w:type="pct"/>
            <w:tcBorders>
              <w:tl2br w:val="nil"/>
              <w:tr2bl w:val="nil"/>
            </w:tcBorders>
            <w:vAlign w:val="center"/>
          </w:tcPr>
          <w:p w14:paraId="7797BFD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垃圾暂存仓防渗处理及系统的臭气收集处理系统完善</w:t>
            </w:r>
          </w:p>
        </w:tc>
      </w:tr>
      <w:tr w14:paraId="04961EC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2" w:type="pct"/>
            <w:tcBorders>
              <w:tl2br w:val="nil"/>
              <w:tr2bl w:val="nil"/>
            </w:tcBorders>
            <w:vAlign w:val="center"/>
          </w:tcPr>
          <w:p w14:paraId="23AADB4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主要风险</w:t>
            </w:r>
          </w:p>
        </w:tc>
        <w:tc>
          <w:tcPr>
            <w:tcW w:w="994" w:type="pct"/>
            <w:tcBorders>
              <w:tl2br w:val="nil"/>
              <w:tr2bl w:val="nil"/>
            </w:tcBorders>
            <w:vAlign w:val="center"/>
          </w:tcPr>
          <w:p w14:paraId="2D59A7E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沼气聚集后可能引起火灾或爆炸，场地渗漏或渗滤液二次污染</w:t>
            </w:r>
          </w:p>
        </w:tc>
        <w:tc>
          <w:tcPr>
            <w:tcW w:w="1028" w:type="pct"/>
            <w:tcBorders>
              <w:tl2br w:val="nil"/>
              <w:tr2bl w:val="nil"/>
            </w:tcBorders>
            <w:vAlign w:val="center"/>
          </w:tcPr>
          <w:p w14:paraId="7DB519A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选址避免在低洼地，防止洪水和暴风雨冲击堆场导致对环境的污染</w:t>
            </w:r>
          </w:p>
        </w:tc>
        <w:tc>
          <w:tcPr>
            <w:tcW w:w="1058" w:type="pct"/>
            <w:tcBorders>
              <w:tl2br w:val="nil"/>
              <w:tr2bl w:val="nil"/>
            </w:tcBorders>
            <w:vAlign w:val="center"/>
          </w:tcPr>
          <w:p w14:paraId="380E212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有可能排放污染，臭气处理及防渗措施不当导致大气污染或地下水污染</w:t>
            </w:r>
          </w:p>
        </w:tc>
        <w:tc>
          <w:tcPr>
            <w:tcW w:w="1376" w:type="pct"/>
            <w:tcBorders>
              <w:tl2br w:val="nil"/>
              <w:tr2bl w:val="nil"/>
            </w:tcBorders>
            <w:vAlign w:val="center"/>
          </w:tcPr>
          <w:p w14:paraId="087D280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shd w:val="clear" w:color="auto" w:fill="FFFFFF"/>
              </w:rPr>
            </w:pPr>
            <w:r>
              <w:rPr>
                <w:rFonts w:hint="default" w:ascii="Times New Roman" w:hAnsi="Times New Roman" w:cs="Times New Roman"/>
                <w:color w:val="auto"/>
                <w:sz w:val="20"/>
                <w:szCs w:val="20"/>
                <w:highlight w:val="none"/>
                <w:shd w:val="clear" w:color="auto" w:fill="FFFFFF"/>
              </w:rPr>
              <w:t>臭气处理及防渗措施不当导致大气污染或地下水污染</w:t>
            </w:r>
          </w:p>
        </w:tc>
      </w:tr>
    </w:tbl>
    <w:p w14:paraId="58624154">
      <w:pPr>
        <w:pStyle w:val="14"/>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2、焚烧氧化与热分解焚烧工艺比较</w:t>
      </w:r>
    </w:p>
    <w:p w14:paraId="34730BAF">
      <w:pPr>
        <w:pStyle w:val="14"/>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除上表的通用比较外，焚烧氧化和热分解焚烧处理有机废弃物采用的工艺是两个不同的方向，虽然同样能达到减量化和稳定化的目的，但在无害化、资源化以及综合经济性方面，两者的差异较大，具体见下表：</w:t>
      </w:r>
    </w:p>
    <w:p w14:paraId="7BDF6CCE">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3.3</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2</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焚烧氧化与热分解焚烧工艺比较分析</w:t>
      </w:r>
    </w:p>
    <w:tbl>
      <w:tblPr>
        <w:tblStyle w:val="35"/>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698"/>
        <w:gridCol w:w="1064"/>
        <w:gridCol w:w="3585"/>
        <w:gridCol w:w="3937"/>
      </w:tblGrid>
      <w:tr w14:paraId="0986B43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trPr>
        <w:tc>
          <w:tcPr>
            <w:tcW w:w="949" w:type="pct"/>
            <w:gridSpan w:val="2"/>
            <w:tcBorders>
              <w:tl2br w:val="nil"/>
              <w:tr2bl w:val="nil"/>
            </w:tcBorders>
            <w:shd w:val="clear" w:color="auto" w:fill="auto"/>
            <w:vAlign w:val="center"/>
          </w:tcPr>
          <w:p w14:paraId="2AE77B3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对比项目</w:t>
            </w:r>
          </w:p>
        </w:tc>
        <w:tc>
          <w:tcPr>
            <w:tcW w:w="1930" w:type="pct"/>
            <w:tcBorders>
              <w:tl2br w:val="nil"/>
              <w:tr2bl w:val="nil"/>
            </w:tcBorders>
            <w:shd w:val="clear" w:color="auto" w:fill="auto"/>
            <w:vAlign w:val="center"/>
          </w:tcPr>
          <w:p w14:paraId="61F9C23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焚烧氧化处理技术</w:t>
            </w:r>
          </w:p>
        </w:tc>
        <w:tc>
          <w:tcPr>
            <w:tcW w:w="2119" w:type="pct"/>
            <w:tcBorders>
              <w:tl2br w:val="nil"/>
              <w:tr2bl w:val="nil"/>
            </w:tcBorders>
            <w:shd w:val="clear" w:color="auto" w:fill="auto"/>
            <w:vAlign w:val="center"/>
          </w:tcPr>
          <w:p w14:paraId="65F2DF6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热分解焚烧处理技术</w:t>
            </w:r>
          </w:p>
        </w:tc>
      </w:tr>
      <w:tr w14:paraId="4DCB5D8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49" w:type="pct"/>
            <w:gridSpan w:val="2"/>
            <w:tcBorders>
              <w:tl2br w:val="nil"/>
              <w:tr2bl w:val="nil"/>
            </w:tcBorders>
            <w:shd w:val="clear" w:color="auto" w:fill="auto"/>
            <w:vAlign w:val="center"/>
          </w:tcPr>
          <w:p w14:paraId="3607582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稳定化</w:t>
            </w:r>
          </w:p>
        </w:tc>
        <w:tc>
          <w:tcPr>
            <w:tcW w:w="1930" w:type="pct"/>
            <w:tcBorders>
              <w:tl2br w:val="nil"/>
              <w:tr2bl w:val="nil"/>
            </w:tcBorders>
            <w:shd w:val="clear" w:color="auto" w:fill="auto"/>
            <w:vAlign w:val="center"/>
          </w:tcPr>
          <w:p w14:paraId="53E48DF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灰渣：稳定填埋</w:t>
            </w:r>
          </w:p>
          <w:p w14:paraId="6AC8CAD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粉尘及烟气：脱硫脱硝后稳定。</w:t>
            </w:r>
          </w:p>
        </w:tc>
        <w:tc>
          <w:tcPr>
            <w:tcW w:w="2119" w:type="pct"/>
            <w:tcBorders>
              <w:tl2br w:val="nil"/>
              <w:tr2bl w:val="nil"/>
            </w:tcBorders>
            <w:shd w:val="clear" w:color="auto" w:fill="auto"/>
            <w:vAlign w:val="center"/>
          </w:tcPr>
          <w:p w14:paraId="7135712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拣选无机物：稳定填埋（砖头、碎玻璃等），资源化利用（铁、有色金属、玻璃瓶、塑料）</w:t>
            </w:r>
          </w:p>
          <w:p w14:paraId="5EA16BE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炭黑：稳定</w:t>
            </w:r>
          </w:p>
          <w:p w14:paraId="64D5E77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裂解气：燃烧后CO</w:t>
            </w:r>
            <w:r>
              <w:rPr>
                <w:rFonts w:hint="default" w:ascii="Times New Roman" w:hAnsi="Times New Roman" w:cs="Times New Roman"/>
                <w:color w:val="auto"/>
                <w:sz w:val="20"/>
                <w:szCs w:val="20"/>
                <w:highlight w:val="none"/>
                <w:vertAlign w:val="subscript"/>
              </w:rPr>
              <w:t>2</w:t>
            </w:r>
            <w:r>
              <w:rPr>
                <w:rFonts w:hint="default" w:ascii="Times New Roman" w:hAnsi="Times New Roman" w:cs="Times New Roman"/>
                <w:color w:val="auto"/>
                <w:sz w:val="20"/>
                <w:szCs w:val="20"/>
                <w:highlight w:val="none"/>
              </w:rPr>
              <w:t>等，稳定。</w:t>
            </w:r>
          </w:p>
        </w:tc>
      </w:tr>
      <w:tr w14:paraId="5ED7D71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49" w:type="pct"/>
            <w:gridSpan w:val="2"/>
            <w:tcBorders>
              <w:tl2br w:val="nil"/>
              <w:tr2bl w:val="nil"/>
            </w:tcBorders>
            <w:shd w:val="clear" w:color="auto" w:fill="auto"/>
            <w:vAlign w:val="center"/>
          </w:tcPr>
          <w:p w14:paraId="2F8488C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减量化</w:t>
            </w:r>
          </w:p>
        </w:tc>
        <w:tc>
          <w:tcPr>
            <w:tcW w:w="1930" w:type="pct"/>
            <w:tcBorders>
              <w:tl2br w:val="nil"/>
              <w:tr2bl w:val="nil"/>
            </w:tcBorders>
            <w:shd w:val="clear" w:color="auto" w:fill="auto"/>
            <w:vAlign w:val="center"/>
          </w:tcPr>
          <w:p w14:paraId="1F96BCF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减量88-92%（灰渣：8-12%，如加煤助燃增加20%，使减量化降低）</w:t>
            </w:r>
          </w:p>
        </w:tc>
        <w:tc>
          <w:tcPr>
            <w:tcW w:w="2119" w:type="pct"/>
            <w:tcBorders>
              <w:tl2br w:val="nil"/>
              <w:tr2bl w:val="nil"/>
            </w:tcBorders>
            <w:shd w:val="clear" w:color="auto" w:fill="auto"/>
            <w:vAlign w:val="center"/>
          </w:tcPr>
          <w:p w14:paraId="1361B33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减量95%</w:t>
            </w:r>
          </w:p>
        </w:tc>
      </w:tr>
      <w:tr w14:paraId="1BEF39C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restart"/>
            <w:tcBorders>
              <w:tl2br w:val="nil"/>
              <w:tr2bl w:val="nil"/>
            </w:tcBorders>
            <w:shd w:val="clear" w:color="auto" w:fill="auto"/>
            <w:vAlign w:val="center"/>
          </w:tcPr>
          <w:p w14:paraId="559B80E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无害化</w:t>
            </w:r>
          </w:p>
        </w:tc>
        <w:tc>
          <w:tcPr>
            <w:tcW w:w="573" w:type="pct"/>
            <w:tcBorders>
              <w:tl2br w:val="nil"/>
              <w:tr2bl w:val="nil"/>
            </w:tcBorders>
            <w:shd w:val="clear" w:color="auto" w:fill="auto"/>
            <w:vAlign w:val="center"/>
          </w:tcPr>
          <w:p w14:paraId="704D297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大气排放</w:t>
            </w:r>
          </w:p>
        </w:tc>
        <w:tc>
          <w:tcPr>
            <w:tcW w:w="1930" w:type="pct"/>
            <w:tcBorders>
              <w:tl2br w:val="nil"/>
              <w:tr2bl w:val="nil"/>
            </w:tcBorders>
            <w:shd w:val="clear" w:color="auto" w:fill="auto"/>
            <w:vAlign w:val="center"/>
          </w:tcPr>
          <w:p w14:paraId="4F69C3D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处理过程中产生大量的含有二噁英、重金属的烟尘及飞灰不能适应越来越严格的环保要求。</w:t>
            </w:r>
          </w:p>
        </w:tc>
        <w:tc>
          <w:tcPr>
            <w:tcW w:w="2119" w:type="pct"/>
            <w:tcBorders>
              <w:tl2br w:val="nil"/>
              <w:tr2bl w:val="nil"/>
            </w:tcBorders>
            <w:shd w:val="clear" w:color="auto" w:fill="auto"/>
            <w:vAlign w:val="center"/>
          </w:tcPr>
          <w:p w14:paraId="25CB2EA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因热源来自燃烧裂解气，烟尘较少，无飞灰，重金属固化，可满足越来越严格的国际和国内环保标准。</w:t>
            </w:r>
          </w:p>
        </w:tc>
      </w:tr>
      <w:tr w14:paraId="57508BC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14:paraId="41581C8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p>
        </w:tc>
        <w:tc>
          <w:tcPr>
            <w:tcW w:w="573" w:type="pct"/>
            <w:tcBorders>
              <w:tl2br w:val="nil"/>
              <w:tr2bl w:val="nil"/>
            </w:tcBorders>
            <w:vAlign w:val="center"/>
          </w:tcPr>
          <w:p w14:paraId="00966A8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污水排放</w:t>
            </w:r>
          </w:p>
        </w:tc>
        <w:tc>
          <w:tcPr>
            <w:tcW w:w="1930" w:type="pct"/>
            <w:tcBorders>
              <w:tl2br w:val="nil"/>
              <w:tr2bl w:val="nil"/>
            </w:tcBorders>
            <w:vAlign w:val="center"/>
          </w:tcPr>
          <w:p w14:paraId="6C65C61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渗滤液及工艺用水处理后排放量小</w:t>
            </w:r>
            <w:r>
              <w:rPr>
                <w:rFonts w:hint="default" w:ascii="Times New Roman" w:hAnsi="Times New Roman" w:cs="Times New Roman"/>
                <w:color w:val="auto"/>
                <w:sz w:val="20"/>
                <w:szCs w:val="20"/>
                <w:highlight w:val="none"/>
                <w:lang w:eastAsia="zh-CN"/>
              </w:rPr>
              <w:t>。</w:t>
            </w:r>
          </w:p>
        </w:tc>
        <w:tc>
          <w:tcPr>
            <w:tcW w:w="2119" w:type="pct"/>
            <w:tcBorders>
              <w:tl2br w:val="nil"/>
              <w:tr2bl w:val="nil"/>
            </w:tcBorders>
            <w:vAlign w:val="center"/>
          </w:tcPr>
          <w:p w14:paraId="76A9E86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渗滤液及工艺用水处理后排放量小</w:t>
            </w:r>
            <w:r>
              <w:rPr>
                <w:rFonts w:hint="default" w:ascii="Times New Roman" w:hAnsi="Times New Roman" w:cs="Times New Roman"/>
                <w:color w:val="auto"/>
                <w:sz w:val="20"/>
                <w:szCs w:val="20"/>
                <w:highlight w:val="none"/>
                <w:lang w:eastAsia="zh-CN"/>
              </w:rPr>
              <w:t>。</w:t>
            </w:r>
          </w:p>
        </w:tc>
      </w:tr>
      <w:tr w14:paraId="6D8EEDD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14:paraId="268EAB2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p>
        </w:tc>
        <w:tc>
          <w:tcPr>
            <w:tcW w:w="573" w:type="pct"/>
            <w:tcBorders>
              <w:tl2br w:val="nil"/>
              <w:tr2bl w:val="nil"/>
            </w:tcBorders>
            <w:vAlign w:val="center"/>
          </w:tcPr>
          <w:p w14:paraId="0AA05B9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固体排放</w:t>
            </w:r>
          </w:p>
        </w:tc>
        <w:tc>
          <w:tcPr>
            <w:tcW w:w="1930" w:type="pct"/>
            <w:tcBorders>
              <w:tl2br w:val="nil"/>
              <w:tr2bl w:val="nil"/>
            </w:tcBorders>
            <w:vAlign w:val="center"/>
          </w:tcPr>
          <w:p w14:paraId="583EEF1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炉渣，污染土壤。</w:t>
            </w:r>
          </w:p>
        </w:tc>
        <w:tc>
          <w:tcPr>
            <w:tcW w:w="2119" w:type="pct"/>
            <w:tcBorders>
              <w:tl2br w:val="nil"/>
              <w:tr2bl w:val="nil"/>
            </w:tcBorders>
            <w:vAlign w:val="center"/>
          </w:tcPr>
          <w:p w14:paraId="7C6D7AE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处理充分，固体废弃物为炭黑，资源化利用</w:t>
            </w:r>
            <w:r>
              <w:rPr>
                <w:rFonts w:hint="default" w:ascii="Times New Roman" w:hAnsi="Times New Roman" w:cs="Times New Roman"/>
                <w:color w:val="auto"/>
                <w:sz w:val="20"/>
                <w:szCs w:val="20"/>
                <w:highlight w:val="none"/>
                <w:lang w:eastAsia="zh-CN"/>
              </w:rPr>
              <w:t>。</w:t>
            </w:r>
          </w:p>
        </w:tc>
      </w:tr>
      <w:tr w14:paraId="187C695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49" w:type="pct"/>
            <w:gridSpan w:val="2"/>
            <w:tcBorders>
              <w:tl2br w:val="nil"/>
              <w:tr2bl w:val="nil"/>
            </w:tcBorders>
            <w:vAlign w:val="center"/>
          </w:tcPr>
          <w:p w14:paraId="4D7A936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资源化</w:t>
            </w:r>
          </w:p>
        </w:tc>
        <w:tc>
          <w:tcPr>
            <w:tcW w:w="1930" w:type="pct"/>
            <w:tcBorders>
              <w:tl2br w:val="nil"/>
              <w:tr2bl w:val="nil"/>
            </w:tcBorders>
            <w:vAlign w:val="center"/>
          </w:tcPr>
          <w:p w14:paraId="385F379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垃圾发电（服从规划及规模要求，部分垃圾需加20%煤作为助燃，需消耗资源）：300kwh/t</w:t>
            </w:r>
          </w:p>
          <w:p w14:paraId="2DF8D14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eastAsiaTheme="minorEastAsia"/>
                <w:color w:val="auto"/>
                <w:sz w:val="20"/>
                <w:szCs w:val="20"/>
                <w:highlight w:val="none"/>
                <w:lang w:eastAsia="zh-CN"/>
              </w:rPr>
            </w:pPr>
            <w:r>
              <w:rPr>
                <w:rFonts w:hint="default" w:ascii="Times New Roman" w:hAnsi="Times New Roman" w:cs="Times New Roman"/>
                <w:color w:val="auto"/>
                <w:sz w:val="20"/>
                <w:szCs w:val="20"/>
                <w:highlight w:val="none"/>
              </w:rPr>
              <w:t>单独焚烧：县市乡镇级焚烧厂，规模小（10-500t/d），无资源化利用，点火启动需要大量木材；有二次燃烧技术的工艺，为达标排放，二燃室需喷烧柴油，消耗资源</w:t>
            </w:r>
            <w:r>
              <w:rPr>
                <w:rFonts w:hint="default" w:ascii="Times New Roman" w:hAnsi="Times New Roman" w:cs="Times New Roman"/>
                <w:color w:val="auto"/>
                <w:sz w:val="20"/>
                <w:szCs w:val="20"/>
                <w:highlight w:val="none"/>
                <w:lang w:eastAsia="zh-CN"/>
              </w:rPr>
              <w:t>。</w:t>
            </w:r>
          </w:p>
        </w:tc>
        <w:tc>
          <w:tcPr>
            <w:tcW w:w="2119" w:type="pct"/>
            <w:tcBorders>
              <w:tl2br w:val="nil"/>
              <w:tr2bl w:val="nil"/>
            </w:tcBorders>
            <w:vAlign w:val="center"/>
          </w:tcPr>
          <w:p w14:paraId="7F59F2F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拣选无机物：铁、有色金属、玻璃瓶、塑料等，资源循环利用；</w:t>
            </w:r>
          </w:p>
          <w:p w14:paraId="79A1244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炭黑：用作炭基肥（1200元/t）或燃料（热值2800Kcal/kg）</w:t>
            </w:r>
          </w:p>
          <w:p w14:paraId="05F817F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剩余裂解气：发电或供热。</w:t>
            </w:r>
          </w:p>
        </w:tc>
      </w:tr>
      <w:tr w14:paraId="16275B8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restart"/>
            <w:tcBorders>
              <w:tl2br w:val="nil"/>
              <w:tr2bl w:val="nil"/>
            </w:tcBorders>
            <w:vAlign w:val="center"/>
          </w:tcPr>
          <w:p w14:paraId="19FD925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经济性</w:t>
            </w:r>
          </w:p>
        </w:tc>
        <w:tc>
          <w:tcPr>
            <w:tcW w:w="573" w:type="pct"/>
            <w:tcBorders>
              <w:tl2br w:val="nil"/>
              <w:tr2bl w:val="nil"/>
            </w:tcBorders>
            <w:vAlign w:val="center"/>
          </w:tcPr>
          <w:p w14:paraId="52AA779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b/>
                <w:color w:val="auto"/>
                <w:sz w:val="20"/>
                <w:szCs w:val="20"/>
                <w:highlight w:val="none"/>
              </w:rPr>
              <w:t>运行成本</w:t>
            </w:r>
          </w:p>
        </w:tc>
        <w:tc>
          <w:tcPr>
            <w:tcW w:w="1930" w:type="pct"/>
            <w:tcBorders>
              <w:tl2br w:val="nil"/>
              <w:tr2bl w:val="nil"/>
            </w:tcBorders>
            <w:vAlign w:val="center"/>
          </w:tcPr>
          <w:p w14:paraId="2B9A785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eastAsiaTheme="minorEastAsia"/>
                <w:color w:val="auto"/>
                <w:sz w:val="20"/>
                <w:szCs w:val="20"/>
                <w:highlight w:val="none"/>
                <w:lang w:eastAsia="zh-CN"/>
              </w:rPr>
            </w:pPr>
            <w:r>
              <w:rPr>
                <w:rFonts w:hint="default" w:ascii="Times New Roman" w:hAnsi="Times New Roman" w:cs="Times New Roman"/>
                <w:color w:val="auto"/>
                <w:sz w:val="20"/>
                <w:szCs w:val="20"/>
                <w:highlight w:val="none"/>
              </w:rPr>
              <w:t>需增加辅助处理设施（如对氮氧化物、二噁英等处理）设备运行成本高</w:t>
            </w:r>
            <w:r>
              <w:rPr>
                <w:rFonts w:hint="default" w:ascii="Times New Roman" w:hAnsi="Times New Roman" w:cs="Times New Roman"/>
                <w:color w:val="auto"/>
                <w:sz w:val="20"/>
                <w:szCs w:val="20"/>
                <w:highlight w:val="none"/>
                <w:lang w:eastAsia="zh-CN"/>
              </w:rPr>
              <w:t>。</w:t>
            </w:r>
          </w:p>
        </w:tc>
        <w:tc>
          <w:tcPr>
            <w:tcW w:w="2119" w:type="pct"/>
            <w:tcBorders>
              <w:tl2br w:val="nil"/>
              <w:tr2bl w:val="nil"/>
            </w:tcBorders>
            <w:vAlign w:val="center"/>
          </w:tcPr>
          <w:p w14:paraId="71BD720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废气产生量较小，设备运行成本较低</w:t>
            </w:r>
            <w:r>
              <w:rPr>
                <w:rFonts w:hint="default" w:ascii="Times New Roman" w:hAnsi="Times New Roman" w:cs="Times New Roman"/>
                <w:color w:val="auto"/>
                <w:sz w:val="20"/>
                <w:szCs w:val="20"/>
                <w:highlight w:val="none"/>
                <w:lang w:eastAsia="zh-CN"/>
              </w:rPr>
              <w:t>。</w:t>
            </w:r>
          </w:p>
        </w:tc>
      </w:tr>
      <w:tr w14:paraId="1B348D6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14:paraId="2B304DF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p>
        </w:tc>
        <w:tc>
          <w:tcPr>
            <w:tcW w:w="573" w:type="pct"/>
            <w:tcBorders>
              <w:tl2br w:val="nil"/>
              <w:tr2bl w:val="nil"/>
            </w:tcBorders>
            <w:vAlign w:val="center"/>
          </w:tcPr>
          <w:p w14:paraId="6577E24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投资占地</w:t>
            </w:r>
          </w:p>
        </w:tc>
        <w:tc>
          <w:tcPr>
            <w:tcW w:w="1930" w:type="pct"/>
            <w:tcBorders>
              <w:tl2br w:val="nil"/>
              <w:tr2bl w:val="nil"/>
            </w:tcBorders>
            <w:vAlign w:val="center"/>
          </w:tcPr>
          <w:p w14:paraId="6FD5D02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设备投资大（50-70万元/</w:t>
            </w:r>
            <w:r>
              <w:rPr>
                <w:rFonts w:hint="eastAsia" w:ascii="Times New Roman" w:hAnsi="Times New Roman" w:cs="Times New Roman"/>
                <w:color w:val="auto"/>
                <w:sz w:val="20"/>
                <w:szCs w:val="20"/>
                <w:highlight w:val="none"/>
                <w:lang w:eastAsia="zh-CN"/>
              </w:rPr>
              <w:t>（</w:t>
            </w:r>
            <w:r>
              <w:rPr>
                <w:rFonts w:hint="default" w:ascii="Times New Roman" w:hAnsi="Times New Roman" w:cs="Times New Roman"/>
                <w:color w:val="auto"/>
                <w:sz w:val="20"/>
                <w:szCs w:val="20"/>
                <w:highlight w:val="none"/>
              </w:rPr>
              <w:t>t/d），设备使用寿命10-15年。</w:t>
            </w:r>
          </w:p>
        </w:tc>
        <w:tc>
          <w:tcPr>
            <w:tcW w:w="2119" w:type="pct"/>
            <w:tcBorders>
              <w:tl2br w:val="nil"/>
              <w:tr2bl w:val="nil"/>
            </w:tcBorders>
            <w:vAlign w:val="center"/>
          </w:tcPr>
          <w:p w14:paraId="5D8ADA9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设备投资小、占地少（30-50万元/（t/d）），设备使用寿命20年以上</w:t>
            </w:r>
            <w:r>
              <w:rPr>
                <w:rFonts w:hint="default" w:ascii="Times New Roman" w:hAnsi="Times New Roman" w:cs="Times New Roman"/>
                <w:color w:val="auto"/>
                <w:sz w:val="20"/>
                <w:szCs w:val="20"/>
                <w:highlight w:val="none"/>
                <w:lang w:eastAsia="zh-CN"/>
              </w:rPr>
              <w:t>。</w:t>
            </w:r>
          </w:p>
        </w:tc>
      </w:tr>
      <w:tr w14:paraId="60C2F14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14:paraId="72296A4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p>
        </w:tc>
        <w:tc>
          <w:tcPr>
            <w:tcW w:w="573" w:type="pct"/>
            <w:tcBorders>
              <w:tl2br w:val="nil"/>
              <w:tr2bl w:val="nil"/>
            </w:tcBorders>
            <w:vAlign w:val="center"/>
          </w:tcPr>
          <w:p w14:paraId="423BFA6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b/>
                <w:color w:val="auto"/>
                <w:sz w:val="20"/>
                <w:szCs w:val="20"/>
                <w:highlight w:val="none"/>
              </w:rPr>
              <w:t>能效利用率</w:t>
            </w:r>
          </w:p>
        </w:tc>
        <w:tc>
          <w:tcPr>
            <w:tcW w:w="1930" w:type="pct"/>
            <w:tcBorders>
              <w:tl2br w:val="nil"/>
              <w:tr2bl w:val="nil"/>
            </w:tcBorders>
            <w:vAlign w:val="center"/>
          </w:tcPr>
          <w:p w14:paraId="4A58EB9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生产能效较低，热利用率80%以下，装置只可以发电，小规模的焚烧项目难以利用余热。</w:t>
            </w:r>
          </w:p>
        </w:tc>
        <w:tc>
          <w:tcPr>
            <w:tcW w:w="2119" w:type="pct"/>
            <w:tcBorders>
              <w:tl2br w:val="nil"/>
              <w:tr2bl w:val="nil"/>
            </w:tcBorders>
            <w:vAlign w:val="center"/>
          </w:tcPr>
          <w:p w14:paraId="5F7CD9A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装置生产能效较高，处理热利用率85-90%，可以制造固体炭黑，裂解余气发电或供热。</w:t>
            </w:r>
          </w:p>
        </w:tc>
      </w:tr>
      <w:tr w14:paraId="612632E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376" w:type="pct"/>
            <w:vMerge w:val="continue"/>
            <w:tcBorders>
              <w:tl2br w:val="nil"/>
              <w:tr2bl w:val="nil"/>
            </w:tcBorders>
            <w:vAlign w:val="center"/>
          </w:tcPr>
          <w:p w14:paraId="10B2A08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p>
        </w:tc>
        <w:tc>
          <w:tcPr>
            <w:tcW w:w="573" w:type="pct"/>
            <w:tcBorders>
              <w:tl2br w:val="nil"/>
              <w:tr2bl w:val="nil"/>
            </w:tcBorders>
            <w:vAlign w:val="center"/>
          </w:tcPr>
          <w:p w14:paraId="70FC631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b/>
                <w:color w:val="auto"/>
                <w:sz w:val="20"/>
                <w:szCs w:val="20"/>
                <w:highlight w:val="none"/>
              </w:rPr>
              <w:t>经济效益</w:t>
            </w:r>
          </w:p>
        </w:tc>
        <w:tc>
          <w:tcPr>
            <w:tcW w:w="1930" w:type="pct"/>
            <w:tcBorders>
              <w:tl2br w:val="nil"/>
              <w:tr2bl w:val="nil"/>
            </w:tcBorders>
            <w:vAlign w:val="center"/>
          </w:tcPr>
          <w:p w14:paraId="03495BC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常规焚烧发电最多只能达到每吨垃圾发电300kwh，经济效益较低；如因规模原因只单一焚烧，无经济性可言。</w:t>
            </w:r>
          </w:p>
        </w:tc>
        <w:tc>
          <w:tcPr>
            <w:tcW w:w="2119" w:type="pct"/>
            <w:tcBorders>
              <w:tl2br w:val="nil"/>
              <w:tr2bl w:val="nil"/>
            </w:tcBorders>
            <w:vAlign w:val="center"/>
          </w:tcPr>
          <w:p w14:paraId="057EA76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热解装置每吨垃圾可以产生固体炭黑100-160kg，热值2800Kcal/kg以上，可燃气体400m</w:t>
            </w:r>
            <w:r>
              <w:rPr>
                <w:rFonts w:hint="default" w:ascii="Times New Roman" w:hAnsi="Times New Roman" w:cs="Times New Roman"/>
                <w:color w:val="auto"/>
                <w:sz w:val="20"/>
                <w:szCs w:val="20"/>
                <w:highlight w:val="none"/>
                <w:vertAlign w:val="superscript"/>
              </w:rPr>
              <w:t>3</w:t>
            </w:r>
            <w:r>
              <w:rPr>
                <w:rFonts w:hint="default" w:ascii="Times New Roman" w:hAnsi="Times New Roman" w:cs="Times New Roman"/>
                <w:color w:val="auto"/>
                <w:sz w:val="20"/>
                <w:szCs w:val="20"/>
                <w:highlight w:val="none"/>
              </w:rPr>
              <w:t>，热值3000Kcal/Nm</w:t>
            </w:r>
            <w:r>
              <w:rPr>
                <w:rFonts w:hint="default" w:ascii="Times New Roman" w:hAnsi="Times New Roman" w:cs="Times New Roman"/>
                <w:color w:val="auto"/>
                <w:sz w:val="20"/>
                <w:szCs w:val="20"/>
                <w:highlight w:val="none"/>
                <w:vertAlign w:val="superscript"/>
              </w:rPr>
              <w:t>3</w:t>
            </w:r>
            <w:r>
              <w:rPr>
                <w:rFonts w:hint="default" w:ascii="Times New Roman" w:hAnsi="Times New Roman" w:cs="Times New Roman"/>
                <w:color w:val="auto"/>
                <w:sz w:val="20"/>
                <w:szCs w:val="20"/>
                <w:highlight w:val="none"/>
              </w:rPr>
              <w:t>。</w:t>
            </w:r>
          </w:p>
        </w:tc>
      </w:tr>
      <w:tr w14:paraId="7EFBBE4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49" w:type="pct"/>
            <w:gridSpan w:val="2"/>
            <w:tcBorders>
              <w:tl2br w:val="nil"/>
              <w:tr2bl w:val="nil"/>
            </w:tcBorders>
            <w:shd w:val="clear" w:color="auto" w:fill="auto"/>
            <w:vAlign w:val="center"/>
          </w:tcPr>
          <w:p w14:paraId="4704AC6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lang w:val="en-US" w:eastAsia="zh-CN"/>
              </w:rPr>
              <w:t>环境</w:t>
            </w:r>
            <w:r>
              <w:rPr>
                <w:rFonts w:hint="default" w:ascii="Times New Roman" w:hAnsi="Times New Roman" w:cs="Times New Roman"/>
                <w:b/>
                <w:color w:val="auto"/>
                <w:sz w:val="20"/>
                <w:szCs w:val="20"/>
                <w:highlight w:val="none"/>
              </w:rPr>
              <w:t>友好</w:t>
            </w:r>
          </w:p>
        </w:tc>
        <w:tc>
          <w:tcPr>
            <w:tcW w:w="1930" w:type="pct"/>
            <w:tcBorders>
              <w:tl2br w:val="nil"/>
              <w:tr2bl w:val="nil"/>
            </w:tcBorders>
            <w:shd w:val="clear" w:color="auto" w:fill="auto"/>
            <w:vAlign w:val="center"/>
          </w:tcPr>
          <w:p w14:paraId="67217FB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本工艺：焚烧生活垃圾</w:t>
            </w:r>
          </w:p>
          <w:p w14:paraId="43FE6F6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无论较大处理量的垃圾发电厂，还是小规模的垃圾焚烧项目，其本质是直接对垃圾进行氧化处理，也就是燃烧。这种工艺本身决定了会有大量的灰分和有害气体排放，即使采用投资大、维护成本高的除尘和烟气处理系统处理达标排放，社会稳定敏感性也非常强，周围居民抵触情绪难以消解。</w:t>
            </w:r>
          </w:p>
        </w:tc>
        <w:tc>
          <w:tcPr>
            <w:tcW w:w="2119" w:type="pct"/>
            <w:tcBorders>
              <w:tl2br w:val="nil"/>
              <w:tr2bl w:val="nil"/>
            </w:tcBorders>
            <w:shd w:val="clear" w:color="auto" w:fill="auto"/>
            <w:vAlign w:val="center"/>
          </w:tcPr>
          <w:p w14:paraId="0120066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本工艺：烧热分解后产生的可燃气体</w:t>
            </w:r>
          </w:p>
          <w:p w14:paraId="60B4062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因为采用热分解后产生的可燃气体，燃烧作为热源，大气排放物成分等同于天然气燃烧后的排放成分（天然气被认为是清洁能源），灰分和有害气体大量减少，没有“垃圾焚烧”的恶名，对社会稳定不敏感，是</w:t>
            </w:r>
            <w:r>
              <w:rPr>
                <w:rFonts w:hint="default" w:ascii="Times New Roman" w:hAnsi="Times New Roman" w:cs="Times New Roman"/>
                <w:color w:val="auto"/>
                <w:sz w:val="20"/>
                <w:szCs w:val="20"/>
                <w:highlight w:val="none"/>
                <w:lang w:val="en-US" w:eastAsia="zh-CN"/>
              </w:rPr>
              <w:t>环境</w:t>
            </w:r>
            <w:r>
              <w:rPr>
                <w:rFonts w:hint="default" w:ascii="Times New Roman" w:hAnsi="Times New Roman" w:cs="Times New Roman"/>
                <w:color w:val="auto"/>
                <w:sz w:val="20"/>
                <w:szCs w:val="20"/>
                <w:highlight w:val="none"/>
              </w:rPr>
              <w:t>友好型工艺。</w:t>
            </w:r>
          </w:p>
        </w:tc>
      </w:tr>
      <w:tr w14:paraId="3298EC7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49" w:type="pct"/>
            <w:gridSpan w:val="2"/>
            <w:tcBorders>
              <w:tl2br w:val="nil"/>
              <w:tr2bl w:val="nil"/>
            </w:tcBorders>
            <w:shd w:val="clear" w:color="auto" w:fill="auto"/>
            <w:vAlign w:val="center"/>
          </w:tcPr>
          <w:p w14:paraId="6C47901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技术来源</w:t>
            </w:r>
          </w:p>
        </w:tc>
        <w:tc>
          <w:tcPr>
            <w:tcW w:w="1930" w:type="pct"/>
            <w:tcBorders>
              <w:tl2br w:val="nil"/>
              <w:tr2bl w:val="nil"/>
            </w:tcBorders>
            <w:shd w:val="clear" w:color="auto" w:fill="auto"/>
            <w:vAlign w:val="center"/>
          </w:tcPr>
          <w:p w14:paraId="6D3B94F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能寻得合格国内供应商或进口。</w:t>
            </w:r>
          </w:p>
        </w:tc>
        <w:tc>
          <w:tcPr>
            <w:tcW w:w="2119" w:type="pct"/>
            <w:tcBorders>
              <w:tl2br w:val="nil"/>
              <w:tr2bl w:val="nil"/>
            </w:tcBorders>
            <w:shd w:val="clear" w:color="auto" w:fill="auto"/>
            <w:vAlign w:val="center"/>
          </w:tcPr>
          <w:p w14:paraId="37C4D46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所有设备全部都是国内自有技术，能寻得合格的供应商。</w:t>
            </w:r>
          </w:p>
        </w:tc>
      </w:tr>
      <w:tr w14:paraId="2C8D852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49" w:type="pct"/>
            <w:gridSpan w:val="2"/>
            <w:tcBorders>
              <w:tl2br w:val="nil"/>
              <w:tr2bl w:val="nil"/>
            </w:tcBorders>
            <w:vAlign w:val="center"/>
          </w:tcPr>
          <w:p w14:paraId="7116CDB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b/>
                <w:color w:val="auto"/>
                <w:sz w:val="20"/>
                <w:szCs w:val="20"/>
                <w:highlight w:val="none"/>
              </w:rPr>
            </w:pPr>
            <w:r>
              <w:rPr>
                <w:rFonts w:hint="default" w:ascii="Times New Roman" w:hAnsi="Times New Roman" w:cs="Times New Roman"/>
                <w:b/>
                <w:color w:val="auto"/>
                <w:sz w:val="20"/>
                <w:szCs w:val="20"/>
                <w:highlight w:val="none"/>
              </w:rPr>
              <w:t>应用范围</w:t>
            </w:r>
          </w:p>
        </w:tc>
        <w:tc>
          <w:tcPr>
            <w:tcW w:w="1930" w:type="pct"/>
            <w:tcBorders>
              <w:tl2br w:val="nil"/>
              <w:tr2bl w:val="nil"/>
            </w:tcBorders>
            <w:vAlign w:val="center"/>
          </w:tcPr>
          <w:p w14:paraId="77B0C59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以城市生活垃圾为主。</w:t>
            </w:r>
          </w:p>
        </w:tc>
        <w:tc>
          <w:tcPr>
            <w:tcW w:w="2119" w:type="pct"/>
            <w:tcBorders>
              <w:tl2br w:val="nil"/>
              <w:tr2bl w:val="nil"/>
            </w:tcBorders>
            <w:vAlign w:val="center"/>
          </w:tcPr>
          <w:p w14:paraId="05E1197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jc w:val="center"/>
              <w:textAlignment w:val="auto"/>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可处理多种固体有机废弃物（生活垃圾、工业有机垃圾、医疗垃圾等危险性废物）。</w:t>
            </w:r>
          </w:p>
        </w:tc>
      </w:tr>
    </w:tbl>
    <w:p w14:paraId="23627684">
      <w:pPr>
        <w:pStyle w:val="14"/>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综上分析，本项目生活垃圾处理</w:t>
      </w:r>
      <w:r>
        <w:rPr>
          <w:rFonts w:hint="default" w:ascii="Times New Roman" w:hAnsi="Times New Roman" w:eastAsia="宋体" w:cs="Times New Roman"/>
          <w:b/>
          <w:bCs/>
          <w:color w:val="auto"/>
          <w:kern w:val="0"/>
          <w:sz w:val="24"/>
          <w:szCs w:val="24"/>
          <w:highlight w:val="none"/>
          <w:lang w:val="en-US" w:eastAsia="zh-CN" w:bidi="ar"/>
        </w:rPr>
        <w:t>拟采用热分解焚烧处理技术。</w:t>
      </w:r>
    </w:p>
    <w:p w14:paraId="145E6889">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热解工艺可行性及合理性分析</w:t>
      </w:r>
    </w:p>
    <w:p w14:paraId="1249EEF6">
      <w:pPr>
        <w:keepNext w:val="0"/>
        <w:keepLines w:val="0"/>
        <w:widowControl/>
        <w:suppressLineNumbers w:val="0"/>
        <w:ind w:firstLine="480" w:firstLineChars="200"/>
        <w:jc w:val="left"/>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①工艺可靠性</w:t>
      </w:r>
    </w:p>
    <w:p w14:paraId="09D6AEC8">
      <w:pPr>
        <w:keepNext w:val="0"/>
        <w:keepLines w:val="0"/>
        <w:widowControl/>
        <w:suppressLineNumbers w:val="0"/>
        <w:ind w:firstLine="480" w:firstLineChars="200"/>
        <w:jc w:val="left"/>
        <w:rPr>
          <w:rFonts w:hint="eastAsia" w:ascii="Times New Roman" w:hAnsi="Times New Roman" w:cs="Times New Roman" w:eastAsiaTheme="minorEastAsia"/>
          <w:color w:val="auto"/>
          <w:sz w:val="24"/>
          <w:szCs w:val="24"/>
          <w:highlight w:val="none"/>
          <w:lang w:eastAsia="zh-CN"/>
        </w:rPr>
      </w:pPr>
      <w:r>
        <w:rPr>
          <w:rFonts w:hint="default" w:ascii="Times New Roman" w:hAnsi="Times New Roman" w:cs="Times New Roman"/>
          <w:color w:val="auto"/>
          <w:sz w:val="24"/>
          <w:szCs w:val="24"/>
          <w:highlight w:val="none"/>
        </w:rPr>
        <w:t>热解方式由于供热方式、产物状态、热解炉结构等方面的不同，可进行不同的分类。按热解温度的不同，分为高温热解、中温热解和低温热解；按供热方式不同，分为直接（内部）供热和间接（外部）供热；按热解炉的结构不同，分为固定床、流化床、移动床和旋转炉等；按热解产物的聚集状态不同，可分为气化方式、液化方式和炭化方式； 按热解与燃烧反应是否在同一设备中进行，热解又分为单塔式和双塔式。</w:t>
      </w:r>
      <w:r>
        <w:rPr>
          <w:rFonts w:hint="eastAsia" w:ascii="Times New Roman" w:hAnsi="Times New Roman" w:cs="Times New Roman"/>
          <w:color w:val="auto"/>
          <w:sz w:val="24"/>
          <w:szCs w:val="24"/>
          <w:highlight w:val="none"/>
          <w:lang w:val="en-US" w:eastAsia="zh-CN"/>
        </w:rPr>
        <w:t>一般来说，</w:t>
      </w:r>
      <w:r>
        <w:rPr>
          <w:rFonts w:hint="default" w:ascii="Times New Roman" w:hAnsi="Times New Roman" w:cs="Times New Roman"/>
          <w:color w:val="auto"/>
          <w:sz w:val="24"/>
          <w:szCs w:val="24"/>
          <w:highlight w:val="none"/>
        </w:rPr>
        <w:t>热解工艺通常按热解温度或供热方式分类</w:t>
      </w:r>
      <w:r>
        <w:rPr>
          <w:rFonts w:hint="eastAsia" w:ascii="Times New Roman" w:hAnsi="Times New Roman" w:cs="Times New Roman"/>
          <w:color w:val="auto"/>
          <w:sz w:val="24"/>
          <w:szCs w:val="24"/>
          <w:highlight w:val="none"/>
          <w:lang w:eastAsia="zh-CN"/>
        </w:rPr>
        <w:t>。</w:t>
      </w:r>
    </w:p>
    <w:p w14:paraId="36DA4373">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w:t>
      </w:r>
      <w:r>
        <w:rPr>
          <w:rFonts w:hint="eastAsia" w:ascii="Times New Roman" w:hAnsi="Times New Roman" w:cs="Times New Roman"/>
          <w:color w:val="auto"/>
          <w:sz w:val="24"/>
          <w:szCs w:val="24"/>
          <w:highlight w:val="none"/>
          <w:lang w:val="en-US" w:eastAsia="zh-CN"/>
        </w:rPr>
        <w:t>采取热解工艺</w:t>
      </w:r>
      <w:r>
        <w:rPr>
          <w:rFonts w:hint="default" w:ascii="Times New Roman" w:hAnsi="Times New Roman" w:cs="Times New Roman"/>
          <w:color w:val="auto"/>
          <w:sz w:val="24"/>
          <w:szCs w:val="24"/>
          <w:highlight w:val="none"/>
        </w:rPr>
        <w:t>为高温热解（热解温度 850℃~950℃)</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按照供热方式分类为间接加热法</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间接加热法是将被热解的物料与直接供热介质在热解反应器（或热解炉） 中分离开来的一种方式，通常也称做外热式热解。间接加热法优点在于可适应垃圾成分的剧烈变化，燃烧的废气不进入产品气体中，热解气的品位较高，可当成燃气直接燃烧利用。</w:t>
      </w:r>
    </w:p>
    <w:p w14:paraId="22F62D76">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在无氧条件下将生活垃圾进行分解、气化、还原，在末端烧掉的是气体而非固体，所产生的烟气量比直接焚烧的少，烟气中污染物含量较少，热解气可实现循环利用，实现垃圾能量循环，减少辅助燃料使用，降低处理成本，实现资源化综合效益。</w:t>
      </w:r>
    </w:p>
    <w:p w14:paraId="7C353347">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本项目抑制二噁英类的途径为三点： ①减少了二噁英类前驱物的生成；②热解发生在还原性气氛中，垃圾中的 Cu、Fe 等金属不易生成促进二噁英类形成的催化剂；③热解气净化后全部用于燃烧室燃烧，热解气燃烧温度高，将二噁英类物质进行分解。对本项目而言，具体过程抑制二噁英类生成的原理如下：二噁英类产生的前提条件是有机氯或无机氯、氧气以及过渡金属阳离子的存在。热解过程处于还原性气氛，切断了氧源，二噁英类从源头上得到了抑制，另外由于缺氧，使得二噁英类前驱物的生成量相对减少。同时，以Cu</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为代表的过渡金属阳离子对二噁英类的生成具有较强的催化性能。但热解回转窑内Cu、Fe等金属由于处于还原性气氛而无法氧化，使得二噁英类的生成 从催化剂这个角度弱化。热解产生的可燃气体的高温燃烧过程进行的是小分子 (CH</w:t>
      </w:r>
      <w:r>
        <w:rPr>
          <w:rFonts w:hint="default" w:ascii="Times New Roman" w:hAnsi="Times New Roman" w:cs="Times New Roman"/>
          <w:color w:val="auto"/>
          <w:sz w:val="24"/>
          <w:szCs w:val="24"/>
          <w:highlight w:val="none"/>
          <w:vertAlign w:val="subscript"/>
        </w:rPr>
        <w:t>4</w:t>
      </w:r>
      <w:r>
        <w:rPr>
          <w:rFonts w:hint="default" w:ascii="Times New Roman" w:hAnsi="Times New Roman" w:cs="Times New Roman"/>
          <w:color w:val="auto"/>
          <w:sz w:val="24"/>
          <w:szCs w:val="24"/>
          <w:highlight w:val="none"/>
        </w:rPr>
        <w:t>、CO、H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)燃气充分的气相燃烧</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未燃烬的碳含量较少，不具备生成二噁英类所需碳源，由于燃烧温度可达 950℃-1150℃</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且停留时间为5s，能将二噁英类和来自热解空气内的少量前驱物分解。</w:t>
      </w:r>
    </w:p>
    <w:p w14:paraId="6AC3828A">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热解工艺处理生活垃圾在内地应用普遍，比如：</w:t>
      </w:r>
    </w:p>
    <w:p w14:paraId="7BF3AA17">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（1）九寨沟首个垃圾集中处理中心采用立式旋转热解气化炉，日处理生活垃圾150 吨、餐厨垃圾20吨、医疗废物1吨，所有垃圾在这里经过发酵、破碎、热解之后，都将实现无害化处理。</w:t>
      </w:r>
    </w:p>
    <w:p w14:paraId="6EA87A0D">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（2）广东雷州市乌石镇日处理100吨垃圾热解装置自 2021 年投用近一年来，垃圾综合处理技术和处理能效表现优异，惠及当地及周边地域共23万居民群众，取得良好成效，项目设备采用一段卧式干燥筒+两段卧式反应釜的三角形组合布置结构，针对生活垃圾进行绝氧热解处理。</w:t>
      </w:r>
    </w:p>
    <w:p w14:paraId="3134C1FD">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3）2020年6月1日，福建龙迪洁能科技有限公司负责的固体生活垃圾（含餐厨垃圾）热解气化发电项目正式运营，垃圾处理量达65吨/天，该项目采用热解气化炉，目前项目已通过竣工环境保护验收，报告已在网上公示。生产工艺流程：生活垃圾（含餐厨垃圾）垃圾运到处理场后，由垃圾运输车把垃圾倒入封闭式的垃圾预处理车间，经过破碎、磁选、脱水、烘干、压块。餐厨垃圾先经固液分离、隔油，分离出来的餐厨渣送入生活垃圾一起二次脱水、烘干、再一起把烘干垃圾压缩成块。块状垃圾进入气化炉，通过高温裂解、氧化、固态还原，生成一氧化碳、甲烷、氢气等混合可燃气体。混合可燃气经过除尘、除焦等过滤净化成为纯净的可燃气体以达到燃气内燃发电机发电要求。净化后的可燃气体直供燃气内燃机发电系统发电，发电机的尾气经余热利用系统进入烘干机进行垃圾烘干热能利用。当垃圾烘干系统热风风量不够时，双模气柜的可燃气经燃烧器燃烧后进入烘干系统，因其排放与可燃气经燃气发电机燃烧工况基本一致。尾气采 用“旋风除尘+水喷淋塔+ 除雾塔+等离子催化器+UV光氧催化器+活性炭吸附 塔”处理后排放。</w:t>
      </w:r>
    </w:p>
    <w:p w14:paraId="4EF6BC7A">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（4）青海省河南县优干宁镇“河南县生活垃圾资源化利用及无害化处置项目环境影响报告书”已于2020年11月18日取得黄南藏族自治州生态环境局出具的环评批复（黄环发[2020]132号，目前项目已正常运行，</w:t>
      </w:r>
      <w:r>
        <w:rPr>
          <w:rFonts w:hint="eastAsia" w:ascii="Times New Roman" w:hAnsi="Times New Roman" w:cs="Times New Roman"/>
          <w:color w:val="auto"/>
          <w:sz w:val="24"/>
          <w:szCs w:val="24"/>
          <w:highlight w:val="none"/>
          <w:lang w:val="en-US" w:eastAsia="zh-CN"/>
        </w:rPr>
        <w:t>并通过</w:t>
      </w:r>
      <w:r>
        <w:rPr>
          <w:rFonts w:hint="default" w:ascii="Times New Roman" w:hAnsi="Times New Roman" w:cs="Times New Roman"/>
          <w:color w:val="auto"/>
          <w:sz w:val="24"/>
          <w:szCs w:val="24"/>
          <w:highlight w:val="none"/>
        </w:rPr>
        <w:t>竣工环保验收，该项目原料为生活垃圾，采用无氧热解工艺，热解温度在850℃</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热解设备使用回转窑，项目工艺流程与本项目基本一致，项目热解还原烟气净化采用“二燃室低氮燃烧器＋急冷冷却+脱酸除雾+活性炭喷射+布袋除尘”工艺，净化烟气由45m高烟囱高空排放。</w:t>
      </w:r>
    </w:p>
    <w:p w14:paraId="7038A453">
      <w:pPr>
        <w:keepNext w:val="0"/>
        <w:keepLines w:val="0"/>
        <w:widowControl/>
        <w:suppressLineNumbers w:val="0"/>
        <w:ind w:firstLine="480" w:firstLineChars="200"/>
        <w:jc w:val="left"/>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②技术设备成熟性</w:t>
      </w:r>
    </w:p>
    <w:p w14:paraId="1783F034">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采用间接加热式回转窑，能够连续进料、出料，有利于实现自动控制和稳定运行，结构紧凑，采用自身产生的热解气体，实现部分能量循环，减量化、无害化效果好，根据《工业和信息化部关于加快推进环保装备制造业发展的指导意见》（工信部节[2017]250  号），本项目固体废物处理处置装备属于重点推广中的有机固废绝氧热解技术装备。</w:t>
      </w:r>
    </w:p>
    <w:p w14:paraId="4BC3DDCA">
      <w:pPr>
        <w:keepNext w:val="0"/>
        <w:keepLines w:val="0"/>
        <w:widowControl/>
        <w:suppressLineNumbers w:val="0"/>
        <w:ind w:firstLine="480" w:firstLineChars="200"/>
        <w:jc w:val="left"/>
        <w:rPr>
          <w:rFonts w:hint="eastAsia"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rPr>
        <w:t>本项目所采用设备已在青海省河南县优干宁镇《河南县生活垃圾资源化利用 及无害化处置项目》使用，该项目环境影响报告书已于2020 年 11 月 18 日取得黄南藏族自治州生态环境局出具的环评批复（黄环发[2020]132号，目前项目已正常运行，</w:t>
      </w:r>
      <w:r>
        <w:rPr>
          <w:rFonts w:hint="eastAsia" w:ascii="Times New Roman" w:hAnsi="Times New Roman" w:cs="Times New Roman"/>
          <w:color w:val="auto"/>
          <w:sz w:val="24"/>
          <w:szCs w:val="24"/>
          <w:highlight w:val="none"/>
          <w:lang w:val="en-US" w:eastAsia="zh-CN"/>
        </w:rPr>
        <w:t>并通过</w:t>
      </w:r>
      <w:r>
        <w:rPr>
          <w:rFonts w:hint="default" w:ascii="Times New Roman" w:hAnsi="Times New Roman" w:cs="Times New Roman"/>
          <w:color w:val="auto"/>
          <w:sz w:val="24"/>
          <w:szCs w:val="24"/>
          <w:highlight w:val="none"/>
        </w:rPr>
        <w:t>竣工环保验收</w:t>
      </w:r>
      <w:r>
        <w:rPr>
          <w:rFonts w:hint="eastAsia" w:ascii="Times New Roman" w:hAnsi="Times New Roman" w:cs="Times New Roman"/>
          <w:color w:val="auto"/>
          <w:sz w:val="24"/>
          <w:szCs w:val="24"/>
          <w:highlight w:val="none"/>
          <w:lang w:eastAsia="zh-CN"/>
        </w:rPr>
        <w:t>。</w:t>
      </w:r>
    </w:p>
    <w:p w14:paraId="58E036FC">
      <w:pPr>
        <w:pStyle w:val="4"/>
        <w:keepNext/>
        <w:keepLines/>
        <w:pageBreakBefore w:val="0"/>
        <w:widowControl w:val="0"/>
        <w:kinsoku/>
        <w:wordWrap/>
        <w:overflowPunct/>
        <w:topLinePunct w:val="0"/>
        <w:autoSpaceDE/>
        <w:autoSpaceDN/>
        <w:bidi w:val="0"/>
        <w:adjustRightInd/>
        <w:snapToGrid/>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热解工艺原理</w:t>
      </w:r>
    </w:p>
    <w:p w14:paraId="11873E2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b w:val="0"/>
          <w:bCs w:val="0"/>
          <w:color w:val="auto"/>
          <w:sz w:val="24"/>
          <w:szCs w:val="24"/>
          <w:highlight w:val="none"/>
        </w:rPr>
        <w:t>本项目在无氧条件下将生活垃圾进行分解、气化、还原，在末端烧掉的</w:t>
      </w:r>
      <w:r>
        <w:rPr>
          <w:rFonts w:hint="default" w:ascii="Times New Roman" w:hAnsi="Times New Roman" w:cs="Times New Roman"/>
          <w:b w:val="0"/>
          <w:bCs w:val="0"/>
          <w:color w:val="auto"/>
          <w:sz w:val="24"/>
          <w:szCs w:val="24"/>
          <w:highlight w:val="none"/>
          <w:lang w:val="en-US" w:eastAsia="zh-CN"/>
        </w:rPr>
        <w:t>是热解气</w:t>
      </w:r>
      <w:r>
        <w:rPr>
          <w:rFonts w:hint="default" w:ascii="Times New Roman" w:hAnsi="Times New Roman" w:cs="Times New Roman"/>
          <w:b w:val="0"/>
          <w:bCs w:val="0"/>
          <w:color w:val="auto"/>
          <w:sz w:val="24"/>
          <w:szCs w:val="24"/>
          <w:highlight w:val="none"/>
        </w:rPr>
        <w:t>而非固体，所产生的烟气量比直接焚烧少，烟气中污染物含量较少，热解气可实现循环利用，实现垃圾能量循环，减少辅助燃料使用，降低处理成本，实现资源化综合效益。</w:t>
      </w:r>
    </w:p>
    <w:p w14:paraId="1039B735">
      <w:pPr>
        <w:pStyle w:val="4"/>
        <w:keepNext/>
        <w:keepLines/>
        <w:pageBreakBefore w:val="0"/>
        <w:widowControl w:val="0"/>
        <w:kinsoku/>
        <w:wordWrap/>
        <w:overflowPunct/>
        <w:topLinePunct w:val="0"/>
        <w:autoSpaceDE/>
        <w:autoSpaceDN/>
        <w:bidi w:val="0"/>
        <w:adjustRightInd/>
        <w:snapToGrid/>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运营期工艺流程</w:t>
      </w:r>
    </w:p>
    <w:p w14:paraId="0A87807E">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总工艺流程</w:t>
      </w:r>
    </w:p>
    <w:p w14:paraId="20640F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cs="Times New Roman" w:eastAsiaTheme="minorEastAsia"/>
          <w:color w:val="auto"/>
          <w:sz w:val="24"/>
          <w:szCs w:val="24"/>
          <w:highlight w:val="none"/>
          <w:lang w:val="en-US" w:eastAsia="zh-CN"/>
        </w:rPr>
        <w:t>本项目为生活垃圾无害化处理项目，拟采用绝氧热分解焚烧工艺，处理剑阁县生活垃圾，处理规模为180t/d。</w:t>
      </w:r>
    </w:p>
    <w:p w14:paraId="676ACB30">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生活垃圾预处理系统（进料、破碎、烘干）</w:t>
      </w:r>
    </w:p>
    <w:p w14:paraId="02889E47">
      <w:pPr>
        <w:adjustRightInd w:val="0"/>
        <w:snapToGrid w:val="0"/>
        <w:spacing w:line="360" w:lineRule="auto"/>
        <w:ind w:firstLine="480" w:firstLineChars="200"/>
        <w:rPr>
          <w:rFonts w:hint="default" w:ascii="Times New Roman" w:hAnsi="Times New Roman" w:eastAsia="宋体" w:cs="Times New Roman"/>
          <w:b/>
          <w:bCs/>
          <w:color w:val="auto"/>
          <w:sz w:val="24"/>
          <w:szCs w:val="22"/>
          <w:highlight w:val="none"/>
          <w:lang w:val="en-US" w:eastAsia="zh-CN"/>
        </w:rPr>
      </w:pPr>
      <w:r>
        <w:rPr>
          <w:rFonts w:hint="default" w:ascii="Times New Roman" w:hAnsi="Times New Roman" w:eastAsia="宋体" w:cs="Times New Roman"/>
          <w:b/>
          <w:bCs/>
          <w:color w:val="auto"/>
          <w:sz w:val="24"/>
          <w:szCs w:val="22"/>
          <w:highlight w:val="none"/>
          <w:lang w:val="en-US" w:eastAsia="zh-CN"/>
        </w:rPr>
        <w:t>1、进料</w:t>
      </w:r>
    </w:p>
    <w:p w14:paraId="0D8358B7">
      <w:pPr>
        <w:adjustRightInd w:val="0"/>
        <w:snapToGrid w:val="0"/>
        <w:spacing w:line="360" w:lineRule="auto"/>
        <w:ind w:firstLine="480" w:firstLineChars="200"/>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城市生活垃圾通过垃圾运输车外运进入站内经地磅称重后，进入气闸间（进入前打开气闸间卷帘门，关闭暂存仓下料门；进入后关闭气闸间卷帘门，打开暂存仓下料门），将垃圾直接倒入主厂房东侧垃圾封闭式暂存仓中，通过莲花抓斗和抓斗行车轨道将垃圾抓取到链板上，通过链板输送至预处理车间分选平台。</w:t>
      </w:r>
    </w:p>
    <w:p w14:paraId="6B4B0301">
      <w:pPr>
        <w:adjustRightInd w:val="0"/>
        <w:snapToGrid w:val="0"/>
        <w:spacing w:line="360" w:lineRule="auto"/>
        <w:ind w:firstLine="480" w:firstLineChars="200"/>
        <w:rPr>
          <w:rFonts w:hint="default" w:ascii="Times New Roman" w:hAnsi="Times New Roman" w:eastAsia="宋体" w:cs="Times New Roman"/>
          <w:b/>
          <w:bCs/>
          <w:color w:val="auto"/>
          <w:sz w:val="24"/>
          <w:szCs w:val="22"/>
          <w:highlight w:val="none"/>
          <w:lang w:val="en-US" w:eastAsia="zh-CN"/>
        </w:rPr>
      </w:pPr>
      <w:r>
        <w:rPr>
          <w:rFonts w:hint="default" w:ascii="Times New Roman" w:hAnsi="Times New Roman" w:eastAsia="宋体" w:cs="Times New Roman"/>
          <w:b/>
          <w:bCs/>
          <w:color w:val="auto"/>
          <w:sz w:val="24"/>
          <w:szCs w:val="22"/>
          <w:highlight w:val="none"/>
          <w:lang w:val="en-US" w:eastAsia="zh-CN"/>
        </w:rPr>
        <w:t>2、破碎</w:t>
      </w:r>
    </w:p>
    <w:p w14:paraId="6B542769">
      <w:pPr>
        <w:adjustRightInd w:val="0"/>
        <w:snapToGrid w:val="0"/>
        <w:spacing w:line="360" w:lineRule="auto"/>
        <w:ind w:firstLine="480" w:firstLineChars="200"/>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预处理车间密闭，并采用微负压系统。分选平台的垃圾通过分选皮带送入和磁选机</w:t>
      </w:r>
      <w:r>
        <w:rPr>
          <w:rFonts w:hint="default" w:ascii="Times New Roman" w:hAnsi="Times New Roman" w:eastAsia="宋体" w:cs="Times New Roman"/>
          <w:b w:val="0"/>
          <w:bCs w:val="0"/>
          <w:color w:val="auto"/>
          <w:sz w:val="24"/>
          <w:szCs w:val="22"/>
          <w:highlight w:val="none"/>
          <w:lang w:val="en-US" w:eastAsia="zh-CN"/>
        </w:rPr>
        <w:t>和</w:t>
      </w:r>
      <w:r>
        <w:rPr>
          <w:rFonts w:hint="default" w:ascii="Times New Roman" w:hAnsi="Times New Roman" w:eastAsia="宋体" w:cs="Times New Roman"/>
          <w:b w:val="0"/>
          <w:bCs w:val="0"/>
          <w:color w:val="auto"/>
          <w:sz w:val="24"/>
          <w:szCs w:val="22"/>
          <w:highlight w:val="none"/>
        </w:rPr>
        <w:t>破碎机，经磁选机剔除垃圾中的铁制品后，破碎机将垃圾破碎60mm以下（一级破碎），再经</w:t>
      </w:r>
      <w:r>
        <w:rPr>
          <w:rFonts w:hint="default" w:ascii="Times New Roman" w:hAnsi="Times New Roman" w:eastAsia="宋体" w:cs="Times New Roman"/>
          <w:b w:val="0"/>
          <w:bCs w:val="0"/>
          <w:color w:val="auto"/>
          <w:sz w:val="24"/>
          <w:szCs w:val="22"/>
          <w:highlight w:val="none"/>
          <w:lang w:val="en-US" w:eastAsia="zh-CN"/>
        </w:rPr>
        <w:t>磁选机和</w:t>
      </w:r>
      <w:r>
        <w:rPr>
          <w:rFonts w:hint="default" w:ascii="Times New Roman" w:hAnsi="Times New Roman" w:eastAsia="宋体" w:cs="Times New Roman"/>
          <w:b w:val="0"/>
          <w:bCs w:val="0"/>
          <w:color w:val="auto"/>
          <w:sz w:val="24"/>
          <w:szCs w:val="22"/>
          <w:highlight w:val="none"/>
        </w:rPr>
        <w:t>破碎机（二级破碎）破碎至30mm以下</w:t>
      </w:r>
      <w:r>
        <w:rPr>
          <w:rFonts w:hint="default" w:ascii="Times New Roman" w:hAnsi="Times New Roman" w:eastAsia="宋体" w:cs="Times New Roman"/>
          <w:b w:val="0"/>
          <w:bCs w:val="0"/>
          <w:color w:val="auto"/>
          <w:sz w:val="24"/>
          <w:szCs w:val="22"/>
          <w:highlight w:val="none"/>
          <w:lang w:eastAsia="zh-CN"/>
        </w:rPr>
        <w:t>，</w:t>
      </w:r>
      <w:r>
        <w:rPr>
          <w:rFonts w:hint="default" w:ascii="Times New Roman" w:hAnsi="Times New Roman" w:eastAsia="宋体" w:cs="Times New Roman"/>
          <w:b w:val="0"/>
          <w:bCs w:val="0"/>
          <w:color w:val="auto"/>
          <w:sz w:val="24"/>
          <w:szCs w:val="22"/>
          <w:highlight w:val="none"/>
        </w:rPr>
        <w:t>其余物料通过皮带输送机送入挤压机中，通过挤压机挤压进入缓存仓，由逆流烘干系统进行热风干燥。</w:t>
      </w:r>
    </w:p>
    <w:p w14:paraId="6AA4D873">
      <w:pPr>
        <w:adjustRightInd w:val="0"/>
        <w:snapToGrid w:val="0"/>
        <w:spacing w:line="360" w:lineRule="auto"/>
        <w:ind w:firstLine="480" w:firstLineChars="200"/>
        <w:rPr>
          <w:rFonts w:hint="default" w:ascii="Times New Roman" w:hAnsi="Times New Roman" w:eastAsia="宋体" w:cs="Times New Roman"/>
          <w:b/>
          <w:bCs/>
          <w:color w:val="auto"/>
          <w:sz w:val="24"/>
          <w:szCs w:val="22"/>
          <w:highlight w:val="none"/>
          <w:lang w:val="en-US" w:eastAsia="zh-CN"/>
        </w:rPr>
      </w:pPr>
      <w:r>
        <w:rPr>
          <w:rFonts w:hint="default" w:ascii="Times New Roman" w:hAnsi="Times New Roman" w:eastAsia="宋体" w:cs="Times New Roman"/>
          <w:b/>
          <w:bCs/>
          <w:color w:val="auto"/>
          <w:sz w:val="24"/>
          <w:szCs w:val="22"/>
          <w:highlight w:val="none"/>
          <w:lang w:val="en-US" w:eastAsia="zh-CN"/>
        </w:rPr>
        <w:t>3、烘干</w:t>
      </w:r>
    </w:p>
    <w:p w14:paraId="4CEB2EAA">
      <w:pPr>
        <w:adjustRightInd w:val="0"/>
        <w:snapToGrid w:val="0"/>
        <w:spacing w:line="360" w:lineRule="auto"/>
        <w:ind w:firstLine="480" w:firstLineChars="200"/>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利用缓存仓热风系统（包括风机、管道和换热器）</w:t>
      </w:r>
      <w:r>
        <w:rPr>
          <w:rFonts w:hint="default" w:ascii="Times New Roman" w:hAnsi="Times New Roman" w:eastAsia="宋体" w:cs="Times New Roman"/>
          <w:b w:val="0"/>
          <w:bCs w:val="0"/>
          <w:color w:val="auto"/>
          <w:sz w:val="24"/>
          <w:szCs w:val="22"/>
          <w:highlight w:val="none"/>
          <w:lang w:val="en-US" w:eastAsia="zh-CN"/>
        </w:rPr>
        <w:t>对</w:t>
      </w:r>
      <w:r>
        <w:rPr>
          <w:rFonts w:hint="default" w:ascii="Times New Roman" w:hAnsi="Times New Roman" w:eastAsia="宋体" w:cs="Times New Roman"/>
          <w:b w:val="0"/>
          <w:bCs w:val="0"/>
          <w:color w:val="auto"/>
          <w:sz w:val="24"/>
          <w:szCs w:val="22"/>
          <w:highlight w:val="none"/>
        </w:rPr>
        <w:t>进行破碎后的垃圾脱水</w:t>
      </w:r>
      <w:r>
        <w:rPr>
          <w:rFonts w:hint="default" w:ascii="Times New Roman" w:hAnsi="Times New Roman" w:eastAsia="宋体" w:cs="Times New Roman"/>
          <w:b w:val="0"/>
          <w:bCs w:val="0"/>
          <w:color w:val="auto"/>
          <w:sz w:val="24"/>
          <w:szCs w:val="22"/>
          <w:highlight w:val="none"/>
          <w:lang w:eastAsia="zh-CN"/>
        </w:rPr>
        <w:t>。</w:t>
      </w:r>
      <w:r>
        <w:rPr>
          <w:rFonts w:hint="default" w:ascii="Times New Roman" w:hAnsi="Times New Roman" w:eastAsia="宋体" w:cs="Times New Roman"/>
          <w:b w:val="0"/>
          <w:bCs w:val="0"/>
          <w:color w:val="auto"/>
          <w:sz w:val="24"/>
          <w:szCs w:val="22"/>
          <w:highlight w:val="none"/>
        </w:rPr>
        <w:t>空气经送风机送入空气预热器，被热解气（净化后）燃烧烟气间接（不接触）加热至 70℃，从缓存仓垃圾堆底部通入热风对垃圾进行干燥，缓存仓顶部设置引风管道将气体引入臭气处理系统处理。</w:t>
      </w:r>
      <w:r>
        <w:rPr>
          <w:rFonts w:hint="default" w:ascii="Times New Roman" w:hAnsi="Times New Roman" w:eastAsia="宋体" w:cs="Times New Roman"/>
          <w:b w:val="0"/>
          <w:bCs w:val="0"/>
          <w:color w:val="auto"/>
          <w:sz w:val="24"/>
          <w:szCs w:val="22"/>
          <w:highlight w:val="none"/>
          <w:lang w:val="en-US" w:eastAsia="zh-CN"/>
        </w:rPr>
        <w:t>烘干后</w:t>
      </w:r>
      <w:r>
        <w:rPr>
          <w:rFonts w:hint="default" w:ascii="Times New Roman" w:hAnsi="Times New Roman" w:eastAsia="宋体" w:cs="Times New Roman"/>
          <w:b w:val="0"/>
          <w:bCs w:val="0"/>
          <w:color w:val="auto"/>
          <w:sz w:val="24"/>
          <w:szCs w:val="22"/>
          <w:highlight w:val="none"/>
        </w:rPr>
        <w:t>垃圾通过缓存仓的莲花抓斗和抓斗行车轨道抓取到提升机，通过提升机提升到二层主机车间进行热解处理。</w:t>
      </w:r>
    </w:p>
    <w:p w14:paraId="3A95DFF9">
      <w:pPr>
        <w:adjustRightInd w:val="0"/>
        <w:snapToGrid w:val="0"/>
        <w:spacing w:line="360" w:lineRule="auto"/>
        <w:ind w:firstLine="480" w:firstLineChars="200"/>
        <w:rPr>
          <w:rFonts w:hint="default" w:ascii="Times New Roman" w:hAnsi="Times New Roman" w:eastAsia="宋体" w:cs="Times New Roman"/>
          <w:b w:val="0"/>
          <w:bCs w:val="0"/>
          <w:color w:val="auto"/>
          <w:sz w:val="24"/>
          <w:szCs w:val="22"/>
          <w:highlight w:val="none"/>
          <w:lang w:val="en-US" w:eastAsia="zh-CN"/>
        </w:rPr>
      </w:pPr>
      <w:r>
        <w:rPr>
          <w:rFonts w:hint="default" w:ascii="Times New Roman" w:hAnsi="Times New Roman" w:eastAsia="宋体" w:cs="Times New Roman"/>
          <w:b w:val="0"/>
          <w:bCs w:val="0"/>
          <w:color w:val="auto"/>
          <w:sz w:val="24"/>
          <w:szCs w:val="22"/>
          <w:highlight w:val="none"/>
        </w:rPr>
        <w:t>热风干燥后的臭气、车间其他臭气和热风一起引至热解燃烧系统燃烧。</w:t>
      </w:r>
    </w:p>
    <w:p w14:paraId="72303FCD">
      <w:pPr>
        <w:adjustRightInd w:val="0"/>
        <w:snapToGrid w:val="0"/>
        <w:spacing w:line="360" w:lineRule="auto"/>
        <w:ind w:firstLine="480" w:firstLineChars="200"/>
        <w:rPr>
          <w:rFonts w:hint="default" w:ascii="Times New Roman" w:hAnsi="Times New Roman" w:eastAsia="宋体" w:cs="Times New Roman"/>
          <w:b/>
          <w:bCs/>
          <w:color w:val="auto"/>
          <w:sz w:val="24"/>
          <w:szCs w:val="22"/>
          <w:highlight w:val="none"/>
          <w:lang w:val="en-US" w:eastAsia="zh-CN"/>
        </w:rPr>
      </w:pPr>
      <w:r>
        <w:rPr>
          <w:rFonts w:hint="default" w:ascii="Times New Roman" w:hAnsi="Times New Roman" w:eastAsia="宋体" w:cs="Times New Roman"/>
          <w:b/>
          <w:bCs/>
          <w:color w:val="auto"/>
          <w:sz w:val="24"/>
          <w:szCs w:val="22"/>
          <w:highlight w:val="none"/>
          <w:lang w:val="en-US" w:eastAsia="zh-CN"/>
        </w:rPr>
        <w:t>余热烘干系统（逆流烘干系统/缓存仓热风系统）主要设备和功能：</w:t>
      </w:r>
    </w:p>
    <w:p w14:paraId="3FA0C2C1">
      <w:pPr>
        <w:adjustRightInd w:val="0"/>
        <w:snapToGrid w:val="0"/>
        <w:spacing w:line="360" w:lineRule="auto"/>
        <w:ind w:firstLine="480" w:firstLineChars="200"/>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主要设备：余热换热器，供风风机</w:t>
      </w:r>
      <w:r>
        <w:rPr>
          <w:rFonts w:hint="default" w:ascii="Times New Roman" w:hAnsi="Times New Roman" w:eastAsia="宋体" w:cs="Times New Roman"/>
          <w:b w:val="0"/>
          <w:bCs w:val="0"/>
          <w:color w:val="auto"/>
          <w:sz w:val="24"/>
          <w:szCs w:val="22"/>
          <w:highlight w:val="none"/>
          <w:lang w:eastAsia="zh-CN"/>
        </w:rPr>
        <w:t>、</w:t>
      </w:r>
      <w:r>
        <w:rPr>
          <w:rFonts w:hint="default" w:ascii="Times New Roman" w:hAnsi="Times New Roman" w:eastAsia="宋体" w:cs="Times New Roman"/>
          <w:b w:val="0"/>
          <w:bCs w:val="0"/>
          <w:color w:val="auto"/>
          <w:sz w:val="24"/>
          <w:szCs w:val="22"/>
          <w:highlight w:val="none"/>
          <w:lang w:val="en-US" w:eastAsia="zh-CN"/>
        </w:rPr>
        <w:t>管道</w:t>
      </w:r>
      <w:r>
        <w:rPr>
          <w:rFonts w:hint="default" w:ascii="Times New Roman" w:hAnsi="Times New Roman" w:eastAsia="宋体" w:cs="Times New Roman"/>
          <w:b w:val="0"/>
          <w:bCs w:val="0"/>
          <w:color w:val="auto"/>
          <w:sz w:val="24"/>
          <w:szCs w:val="22"/>
          <w:highlight w:val="none"/>
        </w:rPr>
        <w:t>。</w:t>
      </w:r>
    </w:p>
    <w:p w14:paraId="680E60B8">
      <w:pPr>
        <w:adjustRightInd w:val="0"/>
        <w:snapToGrid w:val="0"/>
        <w:spacing w:line="360" w:lineRule="auto"/>
        <w:ind w:firstLine="480" w:firstLineChars="200"/>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主要功能：利用余热烘干预处理后的垃圾</w:t>
      </w:r>
    </w:p>
    <w:p w14:paraId="75050D61">
      <w:pPr>
        <w:adjustRightInd w:val="0"/>
        <w:snapToGrid w:val="0"/>
        <w:spacing w:line="360" w:lineRule="auto"/>
        <w:ind w:firstLine="480" w:firstLineChars="200"/>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（1）利用换热器将助燃空气换热后的烟气进行二次换热，可将烘干空气加热到100℃左右，在经过冷空气风机进行自动调配使烘干空气温度控制在50℃左右</w:t>
      </w:r>
    </w:p>
    <w:p w14:paraId="54CEAD55">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（2）余热烘干与热分解炉为配套设计，烘干系统脱水率可达到50%以上，工艺成熟可靠，操作简单，故障率低。</w:t>
      </w:r>
    </w:p>
    <w:p w14:paraId="273ABE36">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 w:val="0"/>
          <w:bCs w:val="0"/>
          <w:color w:val="auto"/>
          <w:sz w:val="24"/>
          <w:szCs w:val="22"/>
          <w:highlight w:val="none"/>
          <w:lang w:eastAsia="zh-CN"/>
        </w:rPr>
      </w:pPr>
      <w:r>
        <w:rPr>
          <w:rFonts w:hint="default" w:ascii="Times New Roman" w:hAnsi="Times New Roman" w:eastAsia="宋体" w:cs="Times New Roman"/>
          <w:b w:val="0"/>
          <w:bCs w:val="0"/>
          <w:color w:val="auto"/>
          <w:sz w:val="24"/>
          <w:szCs w:val="22"/>
          <w:highlight w:val="none"/>
        </w:rPr>
        <w:t>（3）余热烘干系统进气口前端链接空气换热器，换热器采用波纹管式换热，产品成熟可靠，换热效率高</w:t>
      </w:r>
      <w:r>
        <w:rPr>
          <w:rFonts w:hint="default" w:ascii="Times New Roman" w:hAnsi="Times New Roman" w:eastAsia="宋体" w:cs="Times New Roman"/>
          <w:b w:val="0"/>
          <w:bCs w:val="0"/>
          <w:color w:val="auto"/>
          <w:sz w:val="24"/>
          <w:szCs w:val="22"/>
          <w:highlight w:val="none"/>
          <w:lang w:eastAsia="zh-CN"/>
        </w:rPr>
        <w:t>。</w:t>
      </w:r>
    </w:p>
    <w:p w14:paraId="264DD796">
      <w:pPr>
        <w:pStyle w:val="5"/>
        <w:pageBreakBefore w:val="0"/>
        <w:widowControl w:val="0"/>
        <w:kinsoku/>
        <w:wordWrap/>
        <w:overflowPunct/>
        <w:topLinePunct w:val="0"/>
        <w:autoSpaceDE/>
        <w:autoSpaceDN/>
        <w:bidi w:val="0"/>
        <w:snapToGrid w:val="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热分解焚烧系统</w:t>
      </w:r>
    </w:p>
    <w:p w14:paraId="0070F954">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
          <w:bCs/>
          <w:color w:val="auto"/>
          <w:sz w:val="24"/>
          <w:szCs w:val="22"/>
          <w:highlight w:val="none"/>
          <w:lang w:val="en-US" w:eastAsia="zh-CN"/>
        </w:rPr>
      </w:pPr>
      <w:r>
        <w:rPr>
          <w:rFonts w:hint="default" w:ascii="Times New Roman" w:hAnsi="Times New Roman" w:eastAsia="宋体" w:cs="Times New Roman"/>
          <w:b/>
          <w:bCs/>
          <w:color w:val="auto"/>
          <w:sz w:val="24"/>
          <w:szCs w:val="22"/>
          <w:highlight w:val="none"/>
          <w:lang w:val="en-US" w:eastAsia="zh-CN"/>
        </w:rPr>
        <w:t>1、热分解工艺流程</w:t>
      </w:r>
    </w:p>
    <w:p w14:paraId="3FB1203E">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eastAsia="宋体" w:cs="Times New Roman"/>
          <w:b w:val="0"/>
          <w:bCs w:val="0"/>
          <w:color w:val="auto"/>
          <w:sz w:val="24"/>
          <w:szCs w:val="22"/>
          <w:highlight w:val="none"/>
        </w:rPr>
        <w:t>热分解焚烧技术为间接焚烧技术，预处理后的垃圾通过提升机送入主机车间螺旋进料器，经过螺旋进料器输送至热分解主机反应釜内。</w:t>
      </w:r>
      <w:r>
        <w:rPr>
          <w:rFonts w:hint="default" w:ascii="Times New Roman" w:hAnsi="Times New Roman" w:cs="Times New Roman"/>
          <w:color w:val="auto"/>
          <w:sz w:val="24"/>
          <w:szCs w:val="24"/>
          <w:highlight w:val="none"/>
        </w:rPr>
        <w:t>垃圾在</w:t>
      </w:r>
      <w:r>
        <w:rPr>
          <w:rFonts w:hint="default" w:ascii="Times New Roman" w:hAnsi="Times New Roman" w:eastAsia="宋体" w:cs="Times New Roman"/>
          <w:b w:val="0"/>
          <w:bCs w:val="0"/>
          <w:color w:val="auto"/>
          <w:sz w:val="24"/>
          <w:szCs w:val="22"/>
          <w:highlight w:val="none"/>
        </w:rPr>
        <w:t>热分解主机</w:t>
      </w:r>
      <w:r>
        <w:rPr>
          <w:rFonts w:hint="default" w:ascii="Times New Roman" w:hAnsi="Times New Roman" w:cs="Times New Roman"/>
          <w:color w:val="auto"/>
          <w:sz w:val="24"/>
          <w:szCs w:val="24"/>
          <w:highlight w:val="none"/>
        </w:rPr>
        <w:t>反应釜内持续的吸收热量发生热分解反应</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垃圾</w:t>
      </w:r>
      <w:r>
        <w:rPr>
          <w:rFonts w:hint="default" w:ascii="Times New Roman" w:hAnsi="Times New Roman" w:cs="Times New Roman"/>
          <w:color w:val="auto"/>
          <w:sz w:val="24"/>
          <w:szCs w:val="24"/>
          <w:highlight w:val="none"/>
        </w:rPr>
        <w:t>经过炉床的机械运动缓慢的将垃圾输送至冷却出料系统，燃</w:t>
      </w:r>
      <w:r>
        <w:rPr>
          <w:rFonts w:hint="default" w:ascii="Times New Roman" w:hAnsi="Times New Roman" w:cs="Times New Roman"/>
          <w:color w:val="auto"/>
          <w:sz w:val="24"/>
          <w:szCs w:val="24"/>
          <w:highlight w:val="none"/>
          <w:lang w:val="en-US" w:eastAsia="zh-CN"/>
        </w:rPr>
        <w:t>烧室内被加热至850℃，气体停留时间≥5s。</w:t>
      </w:r>
    </w:p>
    <w:p w14:paraId="6450E00C">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热分解又称为干馏，是把有机固体废物在无氧或缺氧条件下加热分解的过程，包括大分子的键断裂，异构化和小分子的聚合等反应，最后使之分解为三种资源：</w:t>
      </w:r>
      <w:r>
        <w:rPr>
          <w:rFonts w:hint="default" w:ascii="Times New Roman" w:hAnsi="Times New Roman" w:cs="Times New Roman"/>
          <w:color w:val="auto"/>
          <w:sz w:val="24"/>
          <w:szCs w:val="24"/>
          <w:highlight w:val="none"/>
        </w:rPr>
        <w:t>（1）以氢气、一氧化碳、甲烷等低分子碳氢化合物为主的可燃性气体</w:t>
      </w:r>
      <w:r>
        <w:rPr>
          <w:rFonts w:hint="default" w:ascii="Times New Roman" w:hAnsi="Times New Roman" w:eastAsia="宋体" w:cs="Times New Roman"/>
          <w:b w:val="0"/>
          <w:bCs w:val="0"/>
          <w:color w:val="auto"/>
          <w:sz w:val="24"/>
          <w:szCs w:val="22"/>
          <w:highlight w:val="none"/>
        </w:rPr>
        <w:t>（H</w:t>
      </w:r>
      <w:r>
        <w:rPr>
          <w:rFonts w:hint="default" w:ascii="Times New Roman" w:hAnsi="Times New Roman" w:eastAsia="宋体" w:cs="Times New Roman"/>
          <w:b w:val="0"/>
          <w:bCs w:val="0"/>
          <w:color w:val="auto"/>
          <w:sz w:val="24"/>
          <w:szCs w:val="22"/>
          <w:highlight w:val="none"/>
          <w:vertAlign w:val="subscript"/>
        </w:rPr>
        <w:t>2</w:t>
      </w:r>
      <w:r>
        <w:rPr>
          <w:rFonts w:hint="default" w:ascii="Times New Roman" w:hAnsi="Times New Roman" w:eastAsia="宋体" w:cs="Times New Roman"/>
          <w:b w:val="0"/>
          <w:bCs w:val="0"/>
          <w:color w:val="auto"/>
          <w:sz w:val="24"/>
          <w:szCs w:val="22"/>
          <w:highlight w:val="none"/>
        </w:rPr>
        <w:t>、CH</w:t>
      </w:r>
      <w:r>
        <w:rPr>
          <w:rFonts w:hint="default" w:ascii="Times New Roman" w:hAnsi="Times New Roman" w:eastAsia="宋体" w:cs="Times New Roman"/>
          <w:b w:val="0"/>
          <w:bCs w:val="0"/>
          <w:color w:val="auto"/>
          <w:sz w:val="24"/>
          <w:szCs w:val="22"/>
          <w:highlight w:val="none"/>
          <w:vertAlign w:val="subscript"/>
        </w:rPr>
        <w:t>4</w:t>
      </w:r>
      <w:r>
        <w:rPr>
          <w:rFonts w:hint="default" w:ascii="Times New Roman" w:hAnsi="Times New Roman" w:eastAsia="宋体" w:cs="Times New Roman"/>
          <w:b w:val="0"/>
          <w:bCs w:val="0"/>
          <w:color w:val="auto"/>
          <w:sz w:val="24"/>
          <w:szCs w:val="22"/>
          <w:highlight w:val="none"/>
        </w:rPr>
        <w:t>、CO、CO</w:t>
      </w:r>
      <w:r>
        <w:rPr>
          <w:rFonts w:hint="default" w:ascii="Times New Roman" w:hAnsi="Times New Roman" w:eastAsia="宋体" w:cs="Times New Roman"/>
          <w:b w:val="0"/>
          <w:bCs w:val="0"/>
          <w:color w:val="auto"/>
          <w:sz w:val="24"/>
          <w:szCs w:val="22"/>
          <w:highlight w:val="none"/>
          <w:vertAlign w:val="subscript"/>
        </w:rPr>
        <w:t>2</w:t>
      </w:r>
      <w:r>
        <w:rPr>
          <w:rFonts w:hint="default" w:ascii="Times New Roman" w:hAnsi="Times New Roman" w:eastAsia="宋体" w:cs="Times New Roman"/>
          <w:b w:val="0"/>
          <w:bCs w:val="0"/>
          <w:color w:val="auto"/>
          <w:sz w:val="24"/>
          <w:szCs w:val="22"/>
          <w:highlight w:val="none"/>
        </w:rPr>
        <w:t>等）</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（2）在常温下为液态的包括乙酸、丙酮、甲醇等化合物在内的燃料油</w:t>
      </w:r>
      <w:r>
        <w:rPr>
          <w:rFonts w:hint="default" w:ascii="Times New Roman" w:hAnsi="Times New Roman" w:eastAsia="宋体" w:cs="Times New Roman"/>
          <w:b w:val="0"/>
          <w:bCs w:val="0"/>
          <w:color w:val="auto"/>
          <w:sz w:val="24"/>
          <w:szCs w:val="22"/>
          <w:highlight w:val="none"/>
        </w:rPr>
        <w:t>（有机酸、焦油等）</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（3）纯碳与土砂等混合形成的炭黑渣</w:t>
      </w:r>
      <w:r>
        <w:rPr>
          <w:rFonts w:hint="default" w:ascii="Times New Roman" w:hAnsi="Times New Roman" w:eastAsia="宋体" w:cs="Times New Roman"/>
          <w:b w:val="0"/>
          <w:bCs w:val="0"/>
          <w:color w:val="auto"/>
          <w:sz w:val="24"/>
          <w:szCs w:val="22"/>
          <w:highlight w:val="none"/>
        </w:rPr>
        <w:t>。</w:t>
      </w:r>
    </w:p>
    <w:p w14:paraId="068939ED">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rPr>
        <w:t>热分解过程中无空气参入，故热分解反应所产生的可燃气体热值较高，可达到12MJ</w:t>
      </w:r>
      <w:r>
        <w:rPr>
          <w:rFonts w:hint="default"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18MJ左右，可作为燃气直接利用</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因此，</w:t>
      </w:r>
      <w:r>
        <w:rPr>
          <w:rFonts w:hint="default" w:ascii="Times New Roman" w:hAnsi="Times New Roman" w:cs="Times New Roman"/>
          <w:color w:val="auto"/>
          <w:sz w:val="24"/>
          <w:szCs w:val="24"/>
          <w:highlight w:val="none"/>
        </w:rPr>
        <w:t>热解气通入气体净化间的</w:t>
      </w:r>
      <w:r>
        <w:rPr>
          <w:rFonts w:hint="default" w:ascii="Times New Roman" w:hAnsi="Times New Roman" w:cs="Times New Roman"/>
          <w:color w:val="auto"/>
          <w:sz w:val="24"/>
          <w:szCs w:val="24"/>
          <w:highlight w:val="none"/>
          <w:lang w:val="en-US" w:eastAsia="zh-CN"/>
        </w:rPr>
        <w:t>热分解气</w:t>
      </w:r>
      <w:r>
        <w:rPr>
          <w:rFonts w:hint="default" w:ascii="Times New Roman" w:hAnsi="Times New Roman" w:cs="Times New Roman"/>
          <w:color w:val="auto"/>
          <w:sz w:val="24"/>
          <w:szCs w:val="24"/>
          <w:highlight w:val="none"/>
        </w:rPr>
        <w:t>净化系统净化后储存于厂区东北侧气柜</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2</w:t>
      </w:r>
      <w:r>
        <w:rPr>
          <w:rFonts w:hint="default" w:ascii="Times New Roman" w:hAnsi="Times New Roman" w:cs="Times New Roman"/>
          <w:color w:val="auto"/>
          <w:kern w:val="0"/>
          <w:sz w:val="24"/>
          <w:szCs w:val="24"/>
          <w:highlight w:val="none"/>
        </w:rPr>
        <w:t>000m</w:t>
      </w:r>
      <w:r>
        <w:rPr>
          <w:rFonts w:hint="default" w:ascii="Times New Roman" w:hAnsi="Times New Roman" w:cs="Times New Roman"/>
          <w:color w:val="auto"/>
          <w:kern w:val="0"/>
          <w:sz w:val="24"/>
          <w:szCs w:val="24"/>
          <w:highlight w:val="none"/>
          <w:vertAlign w:val="superscript"/>
        </w:rPr>
        <w:t>3</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中，通过管道全部返回热解燃烧系统作为燃料供热</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焦油储存于焦油罐回喷至垃圾缓存仓；</w:t>
      </w:r>
      <w:r>
        <w:rPr>
          <w:rFonts w:hint="default" w:ascii="Times New Roman" w:hAnsi="Times New Roman" w:cs="Times New Roman"/>
          <w:color w:val="auto"/>
          <w:sz w:val="24"/>
          <w:szCs w:val="24"/>
          <w:highlight w:val="none"/>
          <w:lang w:val="en-US" w:eastAsia="zh-CN"/>
        </w:rPr>
        <w:t>热分解过程</w:t>
      </w:r>
      <w:r>
        <w:rPr>
          <w:rFonts w:hint="default" w:ascii="Times New Roman" w:hAnsi="Times New Roman" w:cs="Times New Roman"/>
          <w:color w:val="auto"/>
          <w:sz w:val="24"/>
          <w:szCs w:val="24"/>
          <w:highlight w:val="none"/>
        </w:rPr>
        <w:t>生产的炭黑通过冷却出料机冷却后，经过滚筒筛筛选后通过炭仓出料系统推入炭渣加工区集炭密封罐储存后送入炭渣加工系统冲压成型后外售</w:t>
      </w:r>
      <w:r>
        <w:rPr>
          <w:rFonts w:hint="default" w:ascii="Times New Roman" w:hAnsi="Times New Roman" w:cs="Times New Roman"/>
          <w:color w:val="auto"/>
          <w:sz w:val="24"/>
          <w:szCs w:val="24"/>
          <w:highlight w:val="none"/>
          <w:lang w:eastAsia="zh-CN"/>
        </w:rPr>
        <w:t>。</w:t>
      </w:r>
    </w:p>
    <w:p w14:paraId="7052D510">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 w:val="0"/>
          <w:bCs w:val="0"/>
          <w:color w:val="auto"/>
          <w:sz w:val="24"/>
          <w:szCs w:val="22"/>
          <w:highlight w:val="none"/>
        </w:rPr>
      </w:pPr>
      <w:r>
        <w:rPr>
          <w:rFonts w:hint="default" w:ascii="Times New Roman" w:hAnsi="Times New Roman" w:eastAsia="宋体" w:cs="Times New Roman"/>
          <w:b w:val="0"/>
          <w:bCs w:val="0"/>
          <w:color w:val="auto"/>
          <w:sz w:val="24"/>
          <w:szCs w:val="22"/>
          <w:highlight w:val="none"/>
        </w:rPr>
        <w:t>热分解处理的整个过程中所产生的废气量要比垃圾直接燃烧所产生的废气量要少，是垃圾直接焚烧的千分之一，从而降低了后续废气处理的运行成本。</w:t>
      </w:r>
    </w:p>
    <w:p w14:paraId="21C6EB8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2、热分解供热</w:t>
      </w:r>
    </w:p>
    <w:p w14:paraId="5297E1E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b w:val="0"/>
          <w:bCs w:val="0"/>
          <w:color w:val="auto"/>
          <w:sz w:val="24"/>
          <w:szCs w:val="24"/>
          <w:highlight w:val="none"/>
        </w:rPr>
      </w:pPr>
      <w:r>
        <w:rPr>
          <w:rFonts w:hint="default" w:ascii="Times New Roman" w:hAnsi="Times New Roman" w:cs="Times New Roman"/>
          <w:color w:val="auto"/>
          <w:sz w:val="24"/>
          <w:szCs w:val="24"/>
          <w:highlight w:val="none"/>
        </w:rPr>
        <w:t>热解车间设置</w:t>
      </w:r>
      <w:r>
        <w:rPr>
          <w:rFonts w:hint="default" w:ascii="Times New Roman" w:hAnsi="Times New Roman" w:cs="Times New Roman"/>
          <w:color w:val="auto"/>
          <w:sz w:val="24"/>
          <w:szCs w:val="24"/>
          <w:highlight w:val="none"/>
          <w:lang w:val="en-US" w:eastAsia="zh-CN"/>
        </w:rPr>
        <w:t>1</w:t>
      </w:r>
      <w:r>
        <w:rPr>
          <w:rFonts w:hint="default" w:ascii="Times New Roman" w:hAnsi="Times New Roman" w:cs="Times New Roman"/>
          <w:color w:val="auto"/>
          <w:sz w:val="24"/>
          <w:szCs w:val="24"/>
          <w:highlight w:val="none"/>
        </w:rPr>
        <w:t>套热解设备</w:t>
      </w:r>
      <w:r>
        <w:rPr>
          <w:rFonts w:hint="default"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间接加热式回转窑，包括1台回转窑窑体和1套辅助燃烧器（由燃烧器本体、点火装置、控制装置等构成）</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燃烧产生的高温气体通过筒壁间接加热垃圾。在首次热解固体废物时，采用天然气助燃（天然气通过管道输送至天然气烧嘴在燃烧室内燃烧），使燃烧室内温度至额定运转温度（850℃~950℃），然后往反应釜内投入垃圾，以防止垃圾在反应釜内低温状态得不到充分热解造成运行工况不稳定。当燃烧室内温度不能达到850℃时，根据回转燃烧室内测温装置的反馈信息，辅助燃烧器的</w:t>
      </w:r>
      <w:r>
        <w:rPr>
          <w:rFonts w:hint="default" w:ascii="Times New Roman" w:hAnsi="Times New Roman" w:cs="Times New Roman"/>
          <w:b w:val="0"/>
          <w:bCs w:val="0"/>
          <w:color w:val="auto"/>
          <w:sz w:val="24"/>
          <w:szCs w:val="24"/>
          <w:highlight w:val="none"/>
        </w:rPr>
        <w:t>点火程序控制器开始动作，然后喷入辅助燃料点火来确保燃烧室内温度达到850℃。在正常生产过程中，燃烧系统通过燃烧净化后的热解气为热解提供能量，不需要额外消耗能源。</w:t>
      </w:r>
    </w:p>
    <w:p w14:paraId="323FD44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间接加热法是将被热解的物料与直接供热介质在热解反应釜中分离开来的一种方式，通常也称做外热式热解。间接加热法优点在于可适应垃圾成分的剧烈变化，燃烧的废气不进入产品气体中</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热解气的品位较高，可当成燃气直接燃烧利用。</w:t>
      </w:r>
    </w:p>
    <w:p w14:paraId="16F0D5D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4、自动控制系统</w:t>
      </w:r>
    </w:p>
    <w:p w14:paraId="7677B4BA">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焚烧系统采用集中控制方式，通过西门子S7-300系列PLC、威纶触摸屏、现场传感器组成系统控制功能（现场级和操作级）。西门子wincc组态软件构成的管理级和信息系统。由它们共同组成集散控制系统（DCS）。现场所有压力、温度、特殊声光均设置报警，并会对相应设备做出相应控制要求。通过传感器信号反馈，经PLC程序自动调整电机的启停及变频调速，实现整个运行过程的全自动化，使燃烧温度、进料重量和时间等得到稳定控制。</w:t>
      </w:r>
    </w:p>
    <w:p w14:paraId="0549065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燃烧控制通过对热解的温度监测，由自动调节阀控制燃气与空气流量达到理想的热分解温度。对内部压力通过变频风机加以调节。</w:t>
      </w:r>
    </w:p>
    <w:p w14:paraId="1BC5EA3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烟气检测通过现场仪表接入到集散控制系统，再通过网络接入监管网络。</w:t>
      </w:r>
    </w:p>
    <w:p w14:paraId="047AE0C9">
      <w:pPr>
        <w:pStyle w:val="5"/>
        <w:pageBreakBefore w:val="0"/>
        <w:widowControl w:val="0"/>
        <w:kinsoku/>
        <w:wordWrap/>
        <w:overflowPunct/>
        <w:topLinePunct w:val="0"/>
        <w:autoSpaceDE/>
        <w:autoSpaceDN/>
        <w:bidi w:val="0"/>
        <w:adjustRightInd/>
        <w:snapToGrid w:val="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炭渣加工</w:t>
      </w:r>
    </w:p>
    <w:p w14:paraId="591F0E3A">
      <w:pPr>
        <w:pageBreakBefore w:val="0"/>
        <w:widowControl w:val="0"/>
        <w:kinsoku/>
        <w:wordWrap/>
        <w:overflowPunct/>
        <w:topLinePunct w:val="0"/>
        <w:autoSpaceDE/>
        <w:autoSpaceDN/>
        <w:bidi w:val="0"/>
        <w:snapToGri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eastAsia="宋体" w:cs="Times New Roman"/>
          <w:color w:val="auto"/>
          <w:kern w:val="0"/>
          <w:sz w:val="24"/>
          <w:szCs w:val="24"/>
          <w:highlight w:val="none"/>
          <w:shd w:val="clear" w:color="auto" w:fill="FFFFFF"/>
          <w:lang w:eastAsia="zh-CN"/>
        </w:rPr>
        <w:t>炭渣加工区集炭密封罐中的炭黑通过密封式输送带送入碳粉料仓，通过密封式输送带送入</w:t>
      </w:r>
      <w:r>
        <w:rPr>
          <w:rFonts w:hint="default" w:ascii="Times New Roman" w:hAnsi="Times New Roman" w:eastAsia="宋体" w:cs="Times New Roman"/>
          <w:color w:val="auto"/>
          <w:kern w:val="0"/>
          <w:sz w:val="24"/>
          <w:szCs w:val="24"/>
          <w:highlight w:val="none"/>
          <w:shd w:val="clear" w:color="auto" w:fill="FFFFFF"/>
          <w:lang w:val="en-US" w:eastAsia="zh-CN"/>
        </w:rPr>
        <w:t>旋风</w:t>
      </w:r>
      <w:r>
        <w:rPr>
          <w:rFonts w:hint="default" w:ascii="Times New Roman" w:hAnsi="Times New Roman" w:eastAsia="宋体" w:cs="Times New Roman"/>
          <w:color w:val="auto"/>
          <w:kern w:val="0"/>
          <w:sz w:val="24"/>
          <w:szCs w:val="24"/>
          <w:highlight w:val="none"/>
          <w:shd w:val="clear" w:color="auto" w:fill="FFFFFF"/>
          <w:lang w:eastAsia="zh-CN"/>
        </w:rPr>
        <w:t>除尘粉碎机进行粉碎，粉碎后通过密封式输送带送入全密封式滚筒筛（孔径3mm）进行筛选分离，</w:t>
      </w:r>
      <w:r>
        <w:rPr>
          <w:rFonts w:hint="default" w:ascii="Times New Roman" w:hAnsi="Times New Roman" w:eastAsia="宋体" w:cs="Times New Roman"/>
          <w:color w:val="auto"/>
          <w:kern w:val="0"/>
          <w:sz w:val="24"/>
          <w:szCs w:val="24"/>
          <w:highlight w:val="none"/>
          <w:shd w:val="clear" w:color="auto" w:fill="FFFFFF"/>
          <w:lang w:val="en-US" w:eastAsia="zh-CN"/>
        </w:rPr>
        <w:t>筛上物返回粉碎机粉碎，</w:t>
      </w:r>
      <w:r>
        <w:rPr>
          <w:rFonts w:hint="default" w:ascii="Times New Roman" w:hAnsi="Times New Roman" w:eastAsia="宋体" w:cs="Times New Roman"/>
          <w:color w:val="auto"/>
          <w:kern w:val="0"/>
          <w:sz w:val="24"/>
          <w:szCs w:val="24"/>
          <w:highlight w:val="none"/>
          <w:shd w:val="clear" w:color="auto" w:fill="FFFFFF"/>
          <w:lang w:eastAsia="zh-CN"/>
        </w:rPr>
        <w:t>筛选分离后的炭黑通过密封式输送带送入搅拌系统，同时由粘合剂料仓往搅拌系统中加入</w:t>
      </w:r>
      <w:r>
        <w:rPr>
          <w:rFonts w:hint="default" w:ascii="Times New Roman" w:hAnsi="Times New Roman" w:eastAsia="宋体" w:cs="Times New Roman"/>
          <w:color w:val="auto"/>
          <w:kern w:val="0"/>
          <w:sz w:val="24"/>
          <w:szCs w:val="24"/>
          <w:highlight w:val="none"/>
          <w:shd w:val="clear" w:color="auto" w:fill="FFFFFF"/>
          <w:lang w:val="en-US" w:eastAsia="zh-CN"/>
        </w:rPr>
        <w:t>环保型</w:t>
      </w:r>
      <w:r>
        <w:rPr>
          <w:rFonts w:hint="default" w:ascii="Times New Roman" w:hAnsi="Times New Roman" w:eastAsia="宋体" w:cs="Times New Roman"/>
          <w:color w:val="auto"/>
          <w:kern w:val="0"/>
          <w:sz w:val="24"/>
          <w:szCs w:val="24"/>
          <w:highlight w:val="none"/>
          <w:shd w:val="clear" w:color="auto" w:fill="FFFFFF"/>
          <w:lang w:eastAsia="zh-CN"/>
        </w:rPr>
        <w:t>粘合剂（</w:t>
      </w:r>
      <w:r>
        <w:rPr>
          <w:rFonts w:hint="default" w:ascii="Times New Roman" w:hAnsi="Times New Roman" w:eastAsia="宋体" w:cs="Times New Roman"/>
          <w:color w:val="auto"/>
          <w:kern w:val="0"/>
          <w:sz w:val="24"/>
          <w:szCs w:val="24"/>
          <w:highlight w:val="none"/>
          <w:shd w:val="clear" w:color="auto" w:fill="FFFFFF"/>
          <w:lang w:val="en-US" w:eastAsia="zh-CN"/>
        </w:rPr>
        <w:t>主要成分为淀粉及膨润土，加入量约为碳粉的4%</w:t>
      </w:r>
      <w:r>
        <w:rPr>
          <w:rFonts w:hint="default" w:ascii="Times New Roman" w:hAnsi="Times New Roman" w:eastAsia="宋体" w:cs="Times New Roman"/>
          <w:color w:val="auto"/>
          <w:kern w:val="0"/>
          <w:sz w:val="24"/>
          <w:szCs w:val="24"/>
          <w:highlight w:val="none"/>
          <w:shd w:val="clear" w:color="auto" w:fill="FFFFFF"/>
          <w:lang w:eastAsia="zh-CN"/>
        </w:rPr>
        <w:t>），</w:t>
      </w:r>
      <w:r>
        <w:rPr>
          <w:rFonts w:hint="default" w:ascii="Times New Roman" w:hAnsi="Times New Roman" w:eastAsia="宋体" w:cs="Times New Roman"/>
          <w:color w:val="auto"/>
          <w:kern w:val="0"/>
          <w:sz w:val="24"/>
          <w:szCs w:val="24"/>
          <w:highlight w:val="none"/>
          <w:shd w:val="clear" w:color="auto" w:fill="FFFFFF"/>
          <w:lang w:val="en-US" w:eastAsia="zh-CN"/>
        </w:rPr>
        <w:t>粘合剂料仓和进料口均为封闭，</w:t>
      </w:r>
      <w:r>
        <w:rPr>
          <w:rFonts w:hint="default" w:ascii="Times New Roman" w:hAnsi="Times New Roman" w:eastAsia="宋体" w:cs="Times New Roman"/>
          <w:color w:val="auto"/>
          <w:kern w:val="0"/>
          <w:sz w:val="24"/>
          <w:szCs w:val="24"/>
          <w:highlight w:val="none"/>
          <w:shd w:val="clear" w:color="auto" w:fill="FFFFFF"/>
          <w:lang w:eastAsia="zh-CN"/>
        </w:rPr>
        <w:t>炭黑、粘合剂和水（</w:t>
      </w:r>
      <w:r>
        <w:rPr>
          <w:rFonts w:hint="default" w:ascii="Times New Roman" w:hAnsi="Times New Roman" w:eastAsia="宋体" w:cs="Times New Roman"/>
          <w:color w:val="auto"/>
          <w:kern w:val="0"/>
          <w:sz w:val="24"/>
          <w:szCs w:val="24"/>
          <w:highlight w:val="none"/>
          <w:shd w:val="clear" w:color="auto" w:fill="FFFFFF"/>
          <w:lang w:val="en-US" w:eastAsia="zh-CN"/>
        </w:rPr>
        <w:t>粘合剂与水比例约1:5</w:t>
      </w:r>
      <w:r>
        <w:rPr>
          <w:rFonts w:hint="default" w:ascii="Times New Roman" w:hAnsi="Times New Roman" w:eastAsia="宋体" w:cs="Times New Roman"/>
          <w:color w:val="auto"/>
          <w:kern w:val="0"/>
          <w:sz w:val="24"/>
          <w:szCs w:val="24"/>
          <w:highlight w:val="none"/>
          <w:shd w:val="clear" w:color="auto" w:fill="FFFFFF"/>
          <w:lang w:eastAsia="zh-CN"/>
        </w:rPr>
        <w:t>）在搅拌系统完成搅拌碾压，后通过密封式传送带送至双头料仓出料系统，通过强磁机对磁铁、异物进行吸附，最后进入冲棒机制成碳棒外售</w:t>
      </w:r>
      <w:r>
        <w:rPr>
          <w:rFonts w:hint="default" w:ascii="Times New Roman" w:hAnsi="Times New Roman" w:eastAsia="宋体" w:cs="Times New Roman"/>
          <w:color w:val="auto"/>
          <w:kern w:val="0"/>
          <w:sz w:val="24"/>
          <w:szCs w:val="24"/>
          <w:highlight w:val="none"/>
          <w:shd w:val="clear" w:color="auto" w:fill="FFFFFF"/>
        </w:rPr>
        <w:t>。</w:t>
      </w:r>
    </w:p>
    <w:p w14:paraId="26605683">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该工序产生粉碎粉尘，经粉碎机自带旋风除尘器处理后再车间无组织排放；出料系统中强磁机分选出的磁铁和异物，收集后外卖回收站。</w:t>
      </w:r>
    </w:p>
    <w:p w14:paraId="61A75DDD">
      <w:pPr>
        <w:pStyle w:val="14"/>
        <w:keepNext w:val="0"/>
        <w:keepLines w:val="0"/>
        <w:pageBreakBefore w:val="0"/>
        <w:widowControl w:val="0"/>
        <w:kinsoku w:val="0"/>
        <w:wordWrap/>
        <w:overflowPunct w:val="0"/>
        <w:topLinePunct w:val="0"/>
        <w:autoSpaceDE/>
        <w:autoSpaceDN/>
        <w:bidi w:val="0"/>
        <w:adjustRightInd/>
        <w:snapToGrid w:val="0"/>
        <w:spacing w:before="157" w:beforeLines="50" w:line="360" w:lineRule="auto"/>
        <w:ind w:left="215" w:firstLine="480"/>
        <w:jc w:val="center"/>
        <w:textAlignment w:val="auto"/>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object>
          <v:shape id="_x0000_i1027" o:spt="75" type="#_x0000_t75" style="height:472.5pt;width:334.5pt;" o:ole="t" filled="f" o:preferrelative="t" stroked="f" coordsize="21600,21600">
            <v:path/>
            <v:fill on="f" focussize="0,0"/>
            <v:stroke on="f"/>
            <v:imagedata r:id="rId53" o:title=""/>
            <o:lock v:ext="edit" aspectratio="f"/>
            <w10:wrap type="none"/>
            <w10:anchorlock/>
          </v:shape>
          <o:OLEObject Type="Embed" ProgID="Visio.Drawing.15" ShapeID="_x0000_i1027" DrawAspect="Content" ObjectID="_1468075727" r:id="rId52">
            <o:LockedField>false</o:LockedField>
          </o:OLEObject>
        </w:object>
      </w:r>
    </w:p>
    <w:p w14:paraId="149D9947">
      <w:pPr>
        <w:pStyle w:val="14"/>
        <w:keepNext w:val="0"/>
        <w:keepLines w:val="0"/>
        <w:pageBreakBefore w:val="0"/>
        <w:widowControl w:val="0"/>
        <w:kinsoku w:val="0"/>
        <w:wordWrap/>
        <w:overflowPunct w:val="0"/>
        <w:topLinePunct w:val="0"/>
        <w:autoSpaceDE/>
        <w:autoSpaceDN/>
        <w:bidi w:val="0"/>
        <w:adjustRightInd/>
        <w:snapToGrid w:val="0"/>
        <w:spacing w:before="157" w:beforeLines="50" w:line="360" w:lineRule="auto"/>
        <w:ind w:left="215" w:firstLine="480"/>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rPr>
        <w:t>图</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3.3</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noBreakHyphen/>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图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1</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sz w:val="21"/>
          <w:szCs w:val="21"/>
          <w:highlight w:val="none"/>
        </w:rPr>
        <w:t xml:space="preserve"> </w:t>
      </w:r>
      <w:r>
        <w:rPr>
          <w:rFonts w:hint="default" w:ascii="Times New Roman" w:hAnsi="Times New Roman" w:eastAsia="宋体" w:cs="Times New Roman"/>
          <w:b/>
          <w:bCs/>
          <w:color w:val="auto"/>
          <w:sz w:val="21"/>
          <w:szCs w:val="21"/>
          <w:highlight w:val="none"/>
          <w:lang w:val="en-US" w:eastAsia="zh-CN"/>
        </w:rPr>
        <w:t xml:space="preserve"> 炭黑加工系统工艺流程示意图</w:t>
      </w:r>
    </w:p>
    <w:p w14:paraId="699C1663">
      <w:pPr>
        <w:pStyle w:val="5"/>
        <w:pageBreakBefore w:val="0"/>
        <w:widowControl w:val="0"/>
        <w:kinsoku/>
        <w:wordWrap/>
        <w:overflowPunct/>
        <w:topLinePunct w:val="0"/>
        <w:autoSpaceDE/>
        <w:autoSpaceDN/>
        <w:bidi w:val="0"/>
        <w:adjustRightInd/>
        <w:snapToGrid w:val="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实时监测系统</w:t>
      </w:r>
    </w:p>
    <w:p w14:paraId="396EB56E">
      <w:pPr>
        <w:pageBreakBefore w:val="0"/>
        <w:widowControl w:val="0"/>
        <w:kinsoku/>
        <w:wordWrap/>
        <w:overflowPunct/>
        <w:topLinePunct w:val="0"/>
        <w:autoSpaceDE/>
        <w:autoSpaceDN/>
        <w:bidi w:val="0"/>
        <w:snapToGrid w:val="0"/>
        <w:spacing w:line="360" w:lineRule="auto"/>
        <w:ind w:firstLine="480" w:firstLineChars="200"/>
        <w:textAlignment w:val="auto"/>
        <w:rPr>
          <w:rFonts w:hint="default" w:ascii="Times New Roman" w:hAnsi="Times New Roman" w:eastAsia="宋体" w:cs="Times New Roman"/>
          <w:color w:val="auto"/>
          <w:kern w:val="0"/>
          <w:sz w:val="24"/>
          <w:szCs w:val="24"/>
          <w:highlight w:val="none"/>
          <w:shd w:val="clear" w:color="auto" w:fill="FFFFFF"/>
        </w:rPr>
      </w:pPr>
      <w:r>
        <w:rPr>
          <w:rFonts w:hint="default" w:ascii="Times New Roman" w:hAnsi="Times New Roman" w:eastAsia="宋体" w:cs="Times New Roman"/>
          <w:color w:val="auto"/>
          <w:kern w:val="0"/>
          <w:sz w:val="24"/>
          <w:szCs w:val="24"/>
          <w:highlight w:val="none"/>
          <w:shd w:val="clear" w:color="auto" w:fill="FFFFFF"/>
        </w:rPr>
        <w:t>实时</w:t>
      </w:r>
      <w:r>
        <w:rPr>
          <w:rFonts w:hint="default" w:ascii="Times New Roman" w:hAnsi="Times New Roman" w:eastAsia="宋体" w:cs="Times New Roman"/>
          <w:color w:val="auto"/>
          <w:kern w:val="0"/>
          <w:sz w:val="24"/>
          <w:szCs w:val="24"/>
          <w:highlight w:val="none"/>
          <w:shd w:val="clear" w:color="auto" w:fill="FFFFFF"/>
          <w:lang w:val="en-US" w:eastAsia="zh-CN"/>
        </w:rPr>
        <w:t>在线</w:t>
      </w:r>
      <w:r>
        <w:rPr>
          <w:rFonts w:hint="default" w:ascii="Times New Roman" w:hAnsi="Times New Roman" w:eastAsia="宋体" w:cs="Times New Roman"/>
          <w:color w:val="auto"/>
          <w:kern w:val="0"/>
          <w:sz w:val="24"/>
          <w:szCs w:val="24"/>
          <w:highlight w:val="none"/>
          <w:shd w:val="clear" w:color="auto" w:fill="FFFFFF"/>
        </w:rPr>
        <w:t>监测在主厂房监控室内，</w:t>
      </w:r>
      <w:r>
        <w:rPr>
          <w:rFonts w:hint="default" w:ascii="Times New Roman" w:hAnsi="Times New Roman" w:cs="Times New Roman"/>
          <w:color w:val="auto"/>
          <w:sz w:val="24"/>
          <w:szCs w:val="24"/>
          <w:highlight w:val="none"/>
        </w:rPr>
        <w:t>保证政府及群众可随时查看烟气排放的状态。</w:t>
      </w:r>
      <w:r>
        <w:rPr>
          <w:rFonts w:hint="default" w:ascii="Times New Roman" w:hAnsi="Times New Roman" w:eastAsia="宋体" w:cs="Times New Roman"/>
          <w:color w:val="auto"/>
          <w:kern w:val="0"/>
          <w:sz w:val="24"/>
          <w:szCs w:val="24"/>
          <w:highlight w:val="none"/>
          <w:shd w:val="clear" w:color="auto" w:fill="FFFFFF"/>
        </w:rPr>
        <w:t>涉及的工艺设备有全厂工业监视系统（1套）、热分解系统成套控制（1套）、废气排放监测（1套）、预处理控制（1套）。</w:t>
      </w:r>
    </w:p>
    <w:p w14:paraId="051DBA30">
      <w:pPr>
        <w:pageBreakBefore w:val="0"/>
        <w:widowControl w:val="0"/>
        <w:kinsoku/>
        <w:wordWrap/>
        <w:overflowPunct/>
        <w:topLinePunct w:val="0"/>
        <w:autoSpaceDE/>
        <w:autoSpaceDN/>
        <w:bidi w:val="0"/>
        <w:snapToGrid w:val="0"/>
        <w:ind w:firstLine="48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烟气净化系统由工业计算机自动控制</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监测信息均通过传感器传送至中央控制室，经计算机显示。</w:t>
      </w:r>
    </w:p>
    <w:p w14:paraId="286F548B">
      <w:pPr>
        <w:pageBreakBefore w:val="0"/>
        <w:widowControl w:val="0"/>
        <w:kinsoku/>
        <w:wordWrap/>
        <w:overflowPunct/>
        <w:topLinePunct w:val="0"/>
        <w:autoSpaceDE/>
        <w:autoSpaceDN/>
        <w:bidi w:val="0"/>
        <w:snapToGrid w:val="0"/>
        <w:ind w:firstLine="48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本系统的监测项目有：SO</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、NOx、HCl、HF、CO、CO</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、O</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、H</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O、NH</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、粉尘、烟气流量、烟气温度等。</w:t>
      </w:r>
    </w:p>
    <w:p w14:paraId="78212FEE">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物料平衡与水平衡</w:t>
      </w:r>
    </w:p>
    <w:p w14:paraId="65CCF1C2">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物料平衡</w:t>
      </w:r>
    </w:p>
    <w:p w14:paraId="5EA17D6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本项目物料平衡如下： </w:t>
      </w:r>
    </w:p>
    <w:p w14:paraId="7087A0E9">
      <w:pPr>
        <w:pStyle w:val="5"/>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热解气平衡</w:t>
      </w:r>
    </w:p>
    <w:p w14:paraId="74680565">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热解气平衡图见下图。</w:t>
      </w:r>
    </w:p>
    <w:p w14:paraId="2C489F2D">
      <w:pPr>
        <w:pStyle w:val="5"/>
        <w:pageBreakBefore w:val="0"/>
        <w:kinsoku/>
        <w:wordWrap/>
        <w:overflowPunct/>
        <w:topLinePunct w:val="0"/>
        <w:bidi w:val="0"/>
        <w:snapToGrid w:val="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水平衡</w:t>
      </w:r>
    </w:p>
    <w:p w14:paraId="68AB5DC7">
      <w:pPr>
        <w:keepNext w:val="0"/>
        <w:keepLines w:val="0"/>
        <w:widowControl/>
        <w:suppressLineNumbers w:val="0"/>
        <w:ind w:firstLine="480" w:firstLineChars="200"/>
        <w:jc w:val="left"/>
        <w:rPr>
          <w:rFonts w:hint="default" w:ascii="Times New Roman" w:hAnsi="Times New Roman" w:cs="Times New Roman"/>
          <w:color w:val="auto"/>
          <w:highlight w:val="none"/>
          <w:lang w:val="en-US" w:eastAsia="zh-CN"/>
        </w:rPr>
      </w:pPr>
      <w:r>
        <w:rPr>
          <w:rFonts w:hint="default" w:ascii="Times New Roman" w:hAnsi="Times New Roman" w:eastAsia="宋体" w:cs="Times New Roman"/>
          <w:color w:val="auto"/>
          <w:kern w:val="0"/>
          <w:sz w:val="24"/>
          <w:szCs w:val="24"/>
          <w:highlight w:val="none"/>
          <w:lang w:val="en-US" w:eastAsia="zh-CN" w:bidi="ar"/>
        </w:rPr>
        <w:t>具体水平衡见下图</w:t>
      </w:r>
      <w:r>
        <w:rPr>
          <w:rFonts w:hint="default" w:ascii="Times New Roman" w:hAnsi="Times New Roman" w:cs="Times New Roman"/>
          <w:color w:val="auto"/>
          <w:highlight w:val="none"/>
          <w:lang w:val="en-US" w:eastAsia="zh-CN"/>
        </w:rPr>
        <w:t>：</w:t>
      </w:r>
    </w:p>
    <w:p w14:paraId="38ACD271">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运营期污染因素分析</w:t>
      </w:r>
    </w:p>
    <w:p w14:paraId="44CC6B5B">
      <w:pPr>
        <w:keepNext w:val="0"/>
        <w:keepLines w:val="0"/>
        <w:widowControl/>
        <w:suppressLineNumbers w:val="0"/>
        <w:ind w:firstLine="480" w:firstLineChars="200"/>
        <w:jc w:val="left"/>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根据对项目生产工艺流程、生产设备和原辅材的分析，确定本项目在生产过程的污染环节如下</w:t>
      </w:r>
      <w:r>
        <w:rPr>
          <w:rFonts w:hint="default" w:ascii="Times New Roman" w:hAnsi="Times New Roman" w:cs="Times New Roman"/>
          <w:color w:val="auto"/>
          <w:kern w:val="2"/>
          <w:sz w:val="24"/>
          <w:szCs w:val="21"/>
          <w:highlight w:val="none"/>
          <w:lang w:val="en-US" w:eastAsia="zh-CN" w:bidi="ar-SA"/>
        </w:rPr>
        <w:t>：</w:t>
      </w:r>
    </w:p>
    <w:p w14:paraId="664E717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①废气：包括生活垃圾恶臭</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净化热解气燃烧</w:t>
      </w:r>
      <w:r>
        <w:rPr>
          <w:rFonts w:hint="default" w:ascii="Times New Roman" w:hAnsi="Times New Roman" w:cs="Times New Roman"/>
          <w:color w:val="auto"/>
          <w:highlight w:val="none"/>
          <w:lang w:val="en-US" w:eastAsia="zh-CN"/>
        </w:rPr>
        <w:t>烟气、</w:t>
      </w:r>
      <w:r>
        <w:rPr>
          <w:rFonts w:hint="default" w:ascii="Times New Roman" w:hAnsi="Times New Roman" w:cs="Times New Roman"/>
          <w:color w:val="auto"/>
          <w:highlight w:val="none"/>
        </w:rPr>
        <w:t>炭黑渣装卸及</w:t>
      </w:r>
      <w:r>
        <w:rPr>
          <w:rFonts w:hint="default" w:ascii="Times New Roman" w:hAnsi="Times New Roman" w:cs="Times New Roman"/>
          <w:color w:val="auto"/>
          <w:highlight w:val="none"/>
          <w:lang w:val="en-US" w:eastAsia="zh-CN"/>
        </w:rPr>
        <w:t>加工</w:t>
      </w:r>
      <w:r>
        <w:rPr>
          <w:rFonts w:hint="default" w:ascii="Times New Roman" w:hAnsi="Times New Roman" w:cs="Times New Roman"/>
          <w:color w:val="auto"/>
          <w:highlight w:val="none"/>
        </w:rPr>
        <w:t>粉尘、柴油发电机废气。</w:t>
      </w:r>
    </w:p>
    <w:p w14:paraId="72EA0C8C">
      <w:pPr>
        <w:pStyle w:val="14"/>
        <w:ind w:firstLine="480"/>
        <w:rPr>
          <w:rFonts w:hint="default" w:ascii="Times New Roman" w:hAnsi="Times New Roman" w:cs="Times New Roman" w:eastAsiaTheme="minorEastAsia"/>
          <w:color w:val="auto"/>
          <w:highlight w:val="none"/>
          <w:lang w:eastAsia="zh-CN"/>
        </w:rPr>
      </w:pPr>
      <w:r>
        <w:rPr>
          <w:rFonts w:hint="default" w:ascii="Times New Roman" w:hAnsi="Times New Roman" w:cs="Times New Roman"/>
          <w:color w:val="auto"/>
          <w:highlight w:val="none"/>
        </w:rPr>
        <w:t>②废水：包括生产废水和生活污水。其中生产废水包括</w:t>
      </w:r>
      <w:r>
        <w:rPr>
          <w:rFonts w:hint="default" w:ascii="Times New Roman" w:hAnsi="Times New Roman" w:cs="Times New Roman"/>
          <w:color w:val="auto"/>
          <w:sz w:val="24"/>
          <w:szCs w:val="24"/>
          <w:highlight w:val="none"/>
          <w:lang w:val="en-US" w:eastAsia="zh-CN"/>
        </w:rPr>
        <w:t>垃圾渗滤液、喷淋塔碱液喷淋废液、冲洗废水、冷却塔循环排污水、初期雨水、生活污水</w:t>
      </w:r>
      <w:r>
        <w:rPr>
          <w:rFonts w:hint="default" w:ascii="Times New Roman" w:hAnsi="Times New Roman" w:cs="Times New Roman"/>
          <w:color w:val="auto"/>
          <w:highlight w:val="none"/>
        </w:rPr>
        <w:t>等</w:t>
      </w:r>
      <w:r>
        <w:rPr>
          <w:rFonts w:hint="default" w:ascii="Times New Roman" w:hAnsi="Times New Roman" w:cs="Times New Roman"/>
          <w:color w:val="auto"/>
          <w:highlight w:val="none"/>
          <w:lang w:eastAsia="zh-CN"/>
        </w:rPr>
        <w:t>。</w:t>
      </w:r>
    </w:p>
    <w:p w14:paraId="3449B899">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③噪声：</w:t>
      </w:r>
      <w:r>
        <w:rPr>
          <w:rFonts w:hint="default" w:ascii="Times New Roman" w:hAnsi="Times New Roman" w:cs="Times New Roman"/>
          <w:color w:val="auto"/>
          <w:highlight w:val="none"/>
          <w:lang w:val="en-US" w:eastAsia="zh-CN"/>
        </w:rPr>
        <w:t>包括</w:t>
      </w:r>
      <w:r>
        <w:rPr>
          <w:rFonts w:hint="default" w:ascii="Times New Roman" w:hAnsi="Times New Roman" w:cs="Times New Roman"/>
          <w:color w:val="auto"/>
          <w:sz w:val="24"/>
          <w:szCs w:val="24"/>
          <w:highlight w:val="none"/>
          <w:lang w:val="en-US" w:eastAsia="zh-CN"/>
        </w:rPr>
        <w:t>破碎机、</w:t>
      </w:r>
      <w:r>
        <w:rPr>
          <w:rFonts w:hint="default" w:ascii="Times New Roman" w:hAnsi="Times New Roman" w:cs="Times New Roman"/>
          <w:color w:val="auto"/>
          <w:sz w:val="24"/>
          <w:szCs w:val="24"/>
          <w:highlight w:val="none"/>
        </w:rPr>
        <w:t>磁选机</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热分解焚烧设备</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风机</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冷却塔、水泵</w:t>
      </w:r>
      <w:r>
        <w:rPr>
          <w:rFonts w:hint="default" w:ascii="Times New Roman" w:hAnsi="Times New Roman" w:cs="Times New Roman"/>
          <w:color w:val="auto"/>
          <w:sz w:val="24"/>
          <w:szCs w:val="24"/>
          <w:highlight w:val="none"/>
        </w:rPr>
        <w:t>等设备运行</w:t>
      </w:r>
      <w:r>
        <w:rPr>
          <w:rFonts w:hint="default" w:ascii="Times New Roman" w:hAnsi="Times New Roman" w:cs="Times New Roman"/>
          <w:color w:val="auto"/>
          <w:highlight w:val="none"/>
        </w:rPr>
        <w:t>噪声和运输车辆噪声等。</w:t>
      </w:r>
    </w:p>
    <w:p w14:paraId="07F32BFE">
      <w:pPr>
        <w:pStyle w:val="14"/>
        <w:numPr>
          <w:ilvl w:val="0"/>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④固废：包括一般固废、危险废物。其中一般固废</w:t>
      </w:r>
      <w:r>
        <w:rPr>
          <w:rFonts w:hint="default" w:ascii="Times New Roman" w:hAnsi="Times New Roman" w:cs="Times New Roman"/>
          <w:color w:val="auto"/>
          <w:highlight w:val="none"/>
          <w:lang w:val="en-US" w:eastAsia="zh-CN"/>
        </w:rPr>
        <w:t>包括预处理分选无机物（废金属、</w:t>
      </w:r>
      <w:r>
        <w:rPr>
          <w:rFonts w:hint="default" w:ascii="Times New Roman" w:hAnsi="Times New Roman" w:eastAsia="宋体" w:cs="Times New Roman"/>
          <w:color w:val="auto"/>
          <w:kern w:val="0"/>
          <w:sz w:val="24"/>
          <w:szCs w:val="24"/>
          <w:highlight w:val="none"/>
          <w:lang w:val="en-US" w:eastAsia="zh-CN" w:bidi="ar"/>
        </w:rPr>
        <w:t>玻璃、陶瓷及砂石</w:t>
      </w:r>
      <w:r>
        <w:rPr>
          <w:rFonts w:hint="default" w:ascii="Times New Roman" w:hAnsi="Times New Roman" w:cs="Times New Roman"/>
          <w:color w:val="auto"/>
          <w:highlight w:val="none"/>
          <w:lang w:val="en-US" w:eastAsia="zh-CN"/>
        </w:rPr>
        <w:t>等）、</w:t>
      </w:r>
      <w:r>
        <w:rPr>
          <w:rFonts w:hint="default" w:ascii="Times New Roman" w:hAnsi="Times New Roman" w:cs="Times New Roman"/>
          <w:color w:val="auto"/>
          <w:highlight w:val="none"/>
        </w:rPr>
        <w:t>炭黑渣、碱液喷淋塔沉渣</w:t>
      </w:r>
      <w:r>
        <w:rPr>
          <w:rFonts w:hint="default" w:ascii="Times New Roman" w:hAnsi="Times New Roman" w:cs="Times New Roman"/>
          <w:color w:val="auto"/>
          <w:highlight w:val="none"/>
          <w:lang w:val="en-US" w:eastAsia="zh-CN"/>
        </w:rPr>
        <w:t>等；</w:t>
      </w:r>
      <w:r>
        <w:rPr>
          <w:rFonts w:hint="default" w:ascii="Times New Roman" w:hAnsi="Times New Roman" w:cs="Times New Roman"/>
          <w:color w:val="auto"/>
          <w:highlight w:val="none"/>
        </w:rPr>
        <w:t>危险废物包括飞灰、</w:t>
      </w:r>
      <w:r>
        <w:rPr>
          <w:rFonts w:hint="default" w:ascii="Times New Roman" w:hAnsi="Times New Roman" w:cs="Times New Roman"/>
          <w:color w:val="auto"/>
          <w:highlight w:val="none"/>
          <w:lang w:val="en-US" w:eastAsia="zh-CN"/>
        </w:rPr>
        <w:t>焦油、</w:t>
      </w:r>
      <w:r>
        <w:rPr>
          <w:rFonts w:hint="default" w:ascii="Times New Roman" w:hAnsi="Times New Roman" w:cs="Times New Roman"/>
          <w:color w:val="auto"/>
          <w:highlight w:val="none"/>
        </w:rPr>
        <w:t>废活性炭、废布袋、废机油</w:t>
      </w:r>
      <w:r>
        <w:rPr>
          <w:rFonts w:hint="default" w:ascii="Times New Roman" w:hAnsi="Times New Roman" w:cs="Times New Roman"/>
          <w:color w:val="auto"/>
          <w:highlight w:val="none"/>
          <w:lang w:val="en-US" w:eastAsia="zh-CN"/>
        </w:rPr>
        <w:t>及</w:t>
      </w:r>
      <w:r>
        <w:rPr>
          <w:rFonts w:hint="default" w:ascii="Times New Roman" w:hAnsi="Times New Roman" w:cs="Times New Roman"/>
          <w:color w:val="auto"/>
          <w:highlight w:val="none"/>
        </w:rPr>
        <w:t>废含油棉纱手套</w:t>
      </w:r>
      <w:r>
        <w:rPr>
          <w:rFonts w:hint="default" w:ascii="Times New Roman" w:hAnsi="Times New Roman" w:cs="Times New Roman"/>
          <w:color w:val="auto"/>
          <w:highlight w:val="none"/>
          <w:lang w:val="en-US" w:eastAsia="zh-CN"/>
        </w:rPr>
        <w:t>等</w:t>
      </w:r>
      <w:r>
        <w:rPr>
          <w:rFonts w:hint="default" w:ascii="Times New Roman" w:hAnsi="Times New Roman" w:cs="Times New Roman"/>
          <w:color w:val="auto"/>
          <w:highlight w:val="none"/>
        </w:rPr>
        <w:t>。</w:t>
      </w:r>
    </w:p>
    <w:p w14:paraId="6CDCFEAA">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运营期主要污染工序及污染物产生情况见下表：</w:t>
      </w:r>
    </w:p>
    <w:p w14:paraId="149A7A65">
      <w:pPr>
        <w:pStyle w:val="14"/>
        <w:spacing w:line="240" w:lineRule="auto"/>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b/>
          <w:bCs/>
          <w:color w:val="auto"/>
          <w:spacing w:val="-1"/>
          <w:sz w:val="21"/>
          <w:szCs w:val="21"/>
          <w:highlight w:val="none"/>
        </w:rPr>
        <w:t>表</w:t>
      </w:r>
      <w:r>
        <w:rPr>
          <w:rFonts w:hint="default" w:ascii="Times New Roman" w:hAnsi="Times New Roman" w:cs="Times New Roman"/>
          <w:color w:val="auto"/>
          <w:spacing w:val="-46"/>
          <w:sz w:val="21"/>
          <w:szCs w:val="21"/>
          <w:highlight w:val="none"/>
        </w:rPr>
        <w:t xml:space="preserve"> </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3.3</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3</w:t>
      </w:r>
      <w:r>
        <w:rPr>
          <w:rFonts w:hint="default" w:ascii="Times New Roman" w:hAnsi="Times New Roman" w:cs="Times New Roman"/>
          <w:b/>
          <w:bCs/>
          <w:color w:val="auto"/>
          <w:sz w:val="21"/>
          <w:szCs w:val="21"/>
          <w:highlight w:val="none"/>
        </w:rPr>
        <w:fldChar w:fldCharType="end"/>
      </w:r>
      <w:r>
        <w:rPr>
          <w:rFonts w:hint="default" w:ascii="Times New Roman" w:hAnsi="Times New Roman" w:eastAsia="宋体" w:cs="Times New Roman"/>
          <w:b/>
          <w:bCs/>
          <w:color w:val="auto"/>
          <w:spacing w:val="-1"/>
          <w:sz w:val="21"/>
          <w:szCs w:val="21"/>
          <w:highlight w:val="none"/>
          <w:lang w:val="en-US" w:eastAsia="zh-CN"/>
        </w:rPr>
        <w:t xml:space="preserve">  </w:t>
      </w:r>
      <w:r>
        <w:rPr>
          <w:rFonts w:hint="default" w:ascii="Times New Roman" w:hAnsi="Times New Roman" w:cs="Times New Roman"/>
          <w:b/>
          <w:bCs/>
          <w:color w:val="auto"/>
          <w:spacing w:val="-1"/>
          <w:sz w:val="21"/>
          <w:szCs w:val="21"/>
          <w:highlight w:val="none"/>
        </w:rPr>
        <w:t>产污环节</w:t>
      </w:r>
      <w:r>
        <w:rPr>
          <w:rFonts w:hint="default" w:ascii="Times New Roman" w:hAnsi="Times New Roman" w:cs="Times New Roman"/>
          <w:b/>
          <w:bCs/>
          <w:color w:val="auto"/>
          <w:spacing w:val="-1"/>
          <w:sz w:val="21"/>
          <w:szCs w:val="21"/>
          <w:highlight w:val="none"/>
          <w:lang w:val="en-US" w:eastAsia="zh-CN"/>
        </w:rPr>
        <w:t>汇总</w:t>
      </w:r>
      <w:r>
        <w:rPr>
          <w:rFonts w:hint="default" w:ascii="Times New Roman" w:hAnsi="Times New Roman" w:cs="Times New Roman"/>
          <w:b/>
          <w:bCs/>
          <w:color w:val="auto"/>
          <w:spacing w:val="-1"/>
          <w:sz w:val="21"/>
          <w:szCs w:val="21"/>
          <w:highlight w:val="none"/>
        </w:rPr>
        <w:t>表</w:t>
      </w:r>
    </w:p>
    <w:tbl>
      <w:tblPr>
        <w:tblStyle w:val="132"/>
        <w:tblW w:w="4997"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615"/>
        <w:gridCol w:w="1452"/>
        <w:gridCol w:w="648"/>
        <w:gridCol w:w="1350"/>
        <w:gridCol w:w="1949"/>
        <w:gridCol w:w="905"/>
        <w:gridCol w:w="2148"/>
      </w:tblGrid>
      <w:tr w14:paraId="4395153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blHeader/>
        </w:trPr>
        <w:tc>
          <w:tcPr>
            <w:tcW w:w="339" w:type="pct"/>
            <w:tcBorders>
              <w:tl2br w:val="nil"/>
              <w:tr2bl w:val="nil"/>
            </w:tcBorders>
            <w:vAlign w:val="center"/>
          </w:tcPr>
          <w:p w14:paraId="003D252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类型</w:t>
            </w:r>
          </w:p>
        </w:tc>
        <w:tc>
          <w:tcPr>
            <w:tcW w:w="800" w:type="pct"/>
            <w:tcBorders>
              <w:tl2br w:val="nil"/>
              <w:tr2bl w:val="nil"/>
            </w:tcBorders>
            <w:vAlign w:val="center"/>
          </w:tcPr>
          <w:p w14:paraId="5C3DD40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产生位置</w:t>
            </w:r>
          </w:p>
        </w:tc>
        <w:tc>
          <w:tcPr>
            <w:tcW w:w="357" w:type="pct"/>
            <w:tcBorders>
              <w:tl2br w:val="nil"/>
              <w:tr2bl w:val="nil"/>
            </w:tcBorders>
            <w:vAlign w:val="center"/>
          </w:tcPr>
          <w:p w14:paraId="32D7C0FF">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代号</w:t>
            </w:r>
          </w:p>
        </w:tc>
        <w:tc>
          <w:tcPr>
            <w:tcW w:w="744" w:type="pct"/>
            <w:tcBorders>
              <w:tl2br w:val="nil"/>
              <w:tr2bl w:val="nil"/>
            </w:tcBorders>
            <w:vAlign w:val="center"/>
          </w:tcPr>
          <w:p w14:paraId="31501D7F">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污染物名称</w:t>
            </w:r>
          </w:p>
        </w:tc>
        <w:tc>
          <w:tcPr>
            <w:tcW w:w="1074" w:type="pct"/>
            <w:tcBorders>
              <w:tl2br w:val="nil"/>
              <w:tr2bl w:val="nil"/>
            </w:tcBorders>
            <w:vAlign w:val="center"/>
          </w:tcPr>
          <w:p w14:paraId="73BEE1C3">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主要污染物</w:t>
            </w:r>
          </w:p>
        </w:tc>
        <w:tc>
          <w:tcPr>
            <w:tcW w:w="499" w:type="pct"/>
            <w:tcBorders>
              <w:tl2br w:val="nil"/>
              <w:tr2bl w:val="nil"/>
            </w:tcBorders>
            <w:vAlign w:val="center"/>
          </w:tcPr>
          <w:p w14:paraId="290E39C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排放</w:t>
            </w:r>
          </w:p>
          <w:p w14:paraId="6466F67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规律</w:t>
            </w:r>
          </w:p>
        </w:tc>
        <w:tc>
          <w:tcPr>
            <w:tcW w:w="1184" w:type="pct"/>
            <w:tcBorders>
              <w:tl2br w:val="nil"/>
              <w:tr2bl w:val="nil"/>
            </w:tcBorders>
            <w:vAlign w:val="center"/>
          </w:tcPr>
          <w:p w14:paraId="14CEA234">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bCs/>
                <w:color w:val="auto"/>
                <w:kern w:val="0"/>
                <w:sz w:val="20"/>
                <w:szCs w:val="20"/>
                <w:highlight w:val="none"/>
                <w:lang w:val="en-US" w:eastAsia="zh-CN" w:bidi="ar"/>
              </w:rPr>
            </w:pPr>
            <w:r>
              <w:rPr>
                <w:rFonts w:hint="default" w:ascii="Times New Roman" w:hAnsi="Times New Roman" w:eastAsia="宋体" w:cs="Times New Roman"/>
                <w:b/>
                <w:bCs/>
                <w:color w:val="auto"/>
                <w:kern w:val="0"/>
                <w:sz w:val="20"/>
                <w:szCs w:val="20"/>
                <w:highlight w:val="none"/>
                <w:lang w:val="en-US" w:eastAsia="zh-CN" w:bidi="ar"/>
              </w:rPr>
              <w:t>末端治理措施及排放方式</w:t>
            </w:r>
          </w:p>
        </w:tc>
      </w:tr>
      <w:tr w14:paraId="5E309CD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restart"/>
            <w:tcBorders>
              <w:tl2br w:val="nil"/>
              <w:tr2bl w:val="nil"/>
            </w:tcBorders>
            <w:vAlign w:val="center"/>
          </w:tcPr>
          <w:p w14:paraId="594290A6">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废气</w:t>
            </w:r>
          </w:p>
        </w:tc>
        <w:tc>
          <w:tcPr>
            <w:tcW w:w="800" w:type="pct"/>
            <w:tcBorders>
              <w:tl2br w:val="nil"/>
              <w:tr2bl w:val="nil"/>
            </w:tcBorders>
            <w:vAlign w:val="center"/>
          </w:tcPr>
          <w:p w14:paraId="5C07ED1E">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生活垃圾预处理车间</w:t>
            </w:r>
          </w:p>
        </w:tc>
        <w:tc>
          <w:tcPr>
            <w:tcW w:w="357" w:type="pct"/>
            <w:tcBorders>
              <w:tl2br w:val="nil"/>
              <w:tr2bl w:val="nil"/>
            </w:tcBorders>
            <w:vAlign w:val="center"/>
          </w:tcPr>
          <w:p w14:paraId="06D65C8B">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G1</w:t>
            </w:r>
          </w:p>
        </w:tc>
        <w:tc>
          <w:tcPr>
            <w:tcW w:w="744" w:type="pct"/>
            <w:tcBorders>
              <w:tl2br w:val="nil"/>
              <w:tr2bl w:val="nil"/>
            </w:tcBorders>
            <w:vAlign w:val="center"/>
          </w:tcPr>
          <w:p w14:paraId="676BCF3D">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生活垃圾恶臭</w:t>
            </w:r>
          </w:p>
        </w:tc>
        <w:tc>
          <w:tcPr>
            <w:tcW w:w="1074" w:type="pct"/>
            <w:tcBorders>
              <w:tl2br w:val="nil"/>
              <w:tr2bl w:val="nil"/>
            </w:tcBorders>
            <w:vAlign w:val="center"/>
          </w:tcPr>
          <w:p w14:paraId="4AD333B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NH</w:t>
            </w:r>
            <w:r>
              <w:rPr>
                <w:rFonts w:hint="default" w:ascii="Times New Roman" w:hAnsi="Times New Roman" w:eastAsia="宋体" w:cs="Times New Roman"/>
                <w:color w:val="auto"/>
                <w:kern w:val="0"/>
                <w:sz w:val="20"/>
                <w:szCs w:val="20"/>
                <w:highlight w:val="none"/>
                <w:vertAlign w:val="subscript"/>
                <w:lang w:val="en-US" w:eastAsia="zh-CN" w:bidi="ar"/>
              </w:rPr>
              <w:t>3</w:t>
            </w:r>
            <w:r>
              <w:rPr>
                <w:rFonts w:hint="default" w:ascii="Times New Roman" w:hAnsi="Times New Roman" w:eastAsia="宋体" w:cs="Times New Roman"/>
                <w:color w:val="auto"/>
                <w:kern w:val="0"/>
                <w:sz w:val="20"/>
                <w:szCs w:val="20"/>
                <w:highlight w:val="none"/>
                <w:lang w:val="en-US" w:eastAsia="zh-CN" w:bidi="ar"/>
              </w:rPr>
              <w:t>、H</w:t>
            </w:r>
            <w:r>
              <w:rPr>
                <w:rFonts w:hint="default" w:ascii="Times New Roman" w:hAnsi="Times New Roman" w:eastAsia="宋体" w:cs="Times New Roman"/>
                <w:color w:val="auto"/>
                <w:kern w:val="0"/>
                <w:sz w:val="20"/>
                <w:szCs w:val="20"/>
                <w:highlight w:val="none"/>
                <w:vertAlign w:val="subscript"/>
                <w:lang w:val="en-US" w:eastAsia="zh-CN" w:bidi="ar"/>
              </w:rPr>
              <w:t>2</w:t>
            </w:r>
            <w:r>
              <w:rPr>
                <w:rFonts w:hint="default" w:ascii="Times New Roman" w:hAnsi="Times New Roman" w:eastAsia="宋体" w:cs="Times New Roman"/>
                <w:color w:val="auto"/>
                <w:kern w:val="0"/>
                <w:sz w:val="20"/>
                <w:szCs w:val="20"/>
                <w:highlight w:val="none"/>
                <w:lang w:val="en-US" w:eastAsia="zh-CN" w:bidi="ar"/>
              </w:rPr>
              <w:t>S、臭气浓度</w:t>
            </w:r>
          </w:p>
        </w:tc>
        <w:tc>
          <w:tcPr>
            <w:tcW w:w="499" w:type="pct"/>
            <w:tcBorders>
              <w:tl2br w:val="nil"/>
              <w:tr2bl w:val="nil"/>
            </w:tcBorders>
            <w:vAlign w:val="center"/>
          </w:tcPr>
          <w:p w14:paraId="56BF0F1E">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连续</w:t>
            </w:r>
          </w:p>
        </w:tc>
        <w:tc>
          <w:tcPr>
            <w:tcW w:w="1184" w:type="pct"/>
            <w:tcBorders>
              <w:tl2br w:val="nil"/>
              <w:tr2bl w:val="nil"/>
            </w:tcBorders>
            <w:vAlign w:val="center"/>
          </w:tcPr>
          <w:p w14:paraId="5BD08060">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正常工况下，</w:t>
            </w:r>
            <w:r>
              <w:rPr>
                <w:rFonts w:hint="default" w:ascii="Times New Roman" w:hAnsi="Times New Roman" w:cs="Times New Roman"/>
                <w:color w:val="auto"/>
                <w:kern w:val="2"/>
                <w:sz w:val="20"/>
                <w:szCs w:val="20"/>
                <w:highlight w:val="none"/>
                <w:lang w:val="en-US" w:eastAsia="zh-CN" w:bidi="ar-SA"/>
              </w:rPr>
              <w:t>抽回分解气燃烧系统作为助燃用一次空气</w:t>
            </w:r>
            <w:r>
              <w:rPr>
                <w:rFonts w:hint="default" w:ascii="Times New Roman" w:hAnsi="Times New Roman" w:eastAsia="宋体" w:cs="Times New Roman"/>
                <w:color w:val="auto"/>
                <w:kern w:val="0"/>
                <w:sz w:val="20"/>
                <w:szCs w:val="20"/>
                <w:highlight w:val="none"/>
                <w:lang w:val="en-US" w:eastAsia="zh-CN" w:bidi="ar"/>
              </w:rPr>
              <w:t>；</w:t>
            </w:r>
            <w:r>
              <w:rPr>
                <w:rFonts w:hint="default" w:ascii="Times New Roman" w:hAnsi="Times New Roman" w:eastAsia="宋体" w:cs="Times New Roman"/>
                <w:b w:val="0"/>
                <w:bCs w:val="0"/>
                <w:color w:val="auto"/>
                <w:kern w:val="2"/>
                <w:sz w:val="20"/>
                <w:szCs w:val="20"/>
                <w:highlight w:val="none"/>
                <w:lang w:val="en-US" w:eastAsia="zh-CN" w:bidi="ar-SA"/>
              </w:rPr>
              <w:t>停工检修状态</w:t>
            </w:r>
            <w:r>
              <w:rPr>
                <w:rFonts w:hint="default" w:ascii="Times New Roman" w:hAnsi="Times New Roman" w:eastAsia="宋体" w:cs="Times New Roman"/>
                <w:color w:val="auto"/>
                <w:kern w:val="0"/>
                <w:sz w:val="20"/>
                <w:szCs w:val="20"/>
                <w:highlight w:val="none"/>
                <w:lang w:val="en-US" w:eastAsia="zh-CN" w:bidi="ar"/>
              </w:rPr>
              <w:t>，经</w:t>
            </w:r>
            <w:r>
              <w:rPr>
                <w:rFonts w:hint="default" w:ascii="Times New Roman" w:hAnsi="Times New Roman" w:cs="Times New Roman"/>
                <w:color w:val="auto"/>
                <w:kern w:val="2"/>
                <w:sz w:val="20"/>
                <w:szCs w:val="20"/>
                <w:highlight w:val="none"/>
                <w:lang w:val="en-US" w:eastAsia="zh-CN" w:bidi="ar-SA"/>
              </w:rPr>
              <w:t>活性炭吸附+光氧催化</w:t>
            </w:r>
            <w:r>
              <w:rPr>
                <w:rFonts w:hint="default" w:ascii="Times New Roman" w:hAnsi="Times New Roman" w:eastAsia="宋体" w:cs="Times New Roman"/>
                <w:color w:val="auto"/>
                <w:kern w:val="0"/>
                <w:sz w:val="20"/>
                <w:szCs w:val="20"/>
                <w:highlight w:val="none"/>
                <w:lang w:val="en-US" w:eastAsia="zh-CN" w:bidi="ar"/>
              </w:rPr>
              <w:t>后，通过 15m高排气筒排入大气</w:t>
            </w:r>
          </w:p>
        </w:tc>
      </w:tr>
      <w:tr w14:paraId="2C0362C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6E12AF93">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shd w:val="clear" w:color="auto" w:fill="auto"/>
            <w:vAlign w:val="center"/>
          </w:tcPr>
          <w:p w14:paraId="3E20F17D">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垃圾热解车间</w:t>
            </w:r>
          </w:p>
        </w:tc>
        <w:tc>
          <w:tcPr>
            <w:tcW w:w="357" w:type="pct"/>
            <w:tcBorders>
              <w:tl2br w:val="nil"/>
              <w:tr2bl w:val="nil"/>
            </w:tcBorders>
            <w:shd w:val="clear" w:color="auto" w:fill="auto"/>
            <w:vAlign w:val="center"/>
          </w:tcPr>
          <w:p w14:paraId="52044264">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G2</w:t>
            </w:r>
          </w:p>
        </w:tc>
        <w:tc>
          <w:tcPr>
            <w:tcW w:w="744" w:type="pct"/>
            <w:tcBorders>
              <w:tl2br w:val="nil"/>
              <w:tr2bl w:val="nil"/>
            </w:tcBorders>
            <w:shd w:val="clear" w:color="auto" w:fill="auto"/>
            <w:vAlign w:val="center"/>
          </w:tcPr>
          <w:p w14:paraId="265A230D">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净化热解气燃烧烟气</w:t>
            </w:r>
          </w:p>
        </w:tc>
        <w:tc>
          <w:tcPr>
            <w:tcW w:w="1074" w:type="pct"/>
            <w:tcBorders>
              <w:tl2br w:val="nil"/>
              <w:tr2bl w:val="nil"/>
            </w:tcBorders>
            <w:shd w:val="clear" w:color="auto" w:fill="auto"/>
            <w:vAlign w:val="center"/>
          </w:tcPr>
          <w:p w14:paraId="6FAA23D3">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颗粒物、SO</w:t>
            </w:r>
            <w:r>
              <w:rPr>
                <w:rFonts w:hint="default" w:ascii="Times New Roman" w:hAnsi="Times New Roman" w:eastAsia="宋体" w:cs="Times New Roman"/>
                <w:color w:val="auto"/>
                <w:kern w:val="0"/>
                <w:sz w:val="20"/>
                <w:szCs w:val="20"/>
                <w:highlight w:val="none"/>
                <w:vertAlign w:val="subscript"/>
                <w:lang w:val="en-US" w:eastAsia="zh-CN" w:bidi="ar"/>
              </w:rPr>
              <w:t>2</w:t>
            </w:r>
            <w:r>
              <w:rPr>
                <w:rFonts w:hint="default" w:ascii="Times New Roman" w:hAnsi="Times New Roman" w:eastAsia="宋体" w:cs="Times New Roman"/>
                <w:color w:val="auto"/>
                <w:kern w:val="0"/>
                <w:sz w:val="20"/>
                <w:szCs w:val="20"/>
                <w:highlight w:val="none"/>
                <w:lang w:val="en-US" w:eastAsia="zh-CN" w:bidi="ar"/>
              </w:rPr>
              <w:t>、HCl、NOx、CO、重金属（汞及其化合物、镉、铊及其化合物、锑、砷、铅、铬、钴、铜、锰、镍及其化合物）、二噁英类</w:t>
            </w:r>
          </w:p>
        </w:tc>
        <w:tc>
          <w:tcPr>
            <w:tcW w:w="499" w:type="pct"/>
            <w:tcBorders>
              <w:tl2br w:val="nil"/>
              <w:tr2bl w:val="nil"/>
            </w:tcBorders>
            <w:shd w:val="clear" w:color="auto" w:fill="auto"/>
            <w:vAlign w:val="center"/>
          </w:tcPr>
          <w:p w14:paraId="49D497DD">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连续</w:t>
            </w:r>
          </w:p>
        </w:tc>
        <w:tc>
          <w:tcPr>
            <w:tcW w:w="1184" w:type="pct"/>
            <w:tcBorders>
              <w:tl2br w:val="nil"/>
              <w:tr2bl w:val="nil"/>
            </w:tcBorders>
            <w:vAlign w:val="center"/>
          </w:tcPr>
          <w:p w14:paraId="6B4CAB8A">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垃圾热解气（净化后）燃烧废气采用“</w:t>
            </w:r>
            <w:r>
              <w:rPr>
                <w:rFonts w:hint="eastAsia" w:ascii="Times New Roman" w:hAnsi="Times New Roman" w:eastAsia="宋体" w:cs="Times New Roman"/>
                <w:color w:val="auto"/>
                <w:kern w:val="0"/>
                <w:sz w:val="20"/>
                <w:szCs w:val="20"/>
                <w:highlight w:val="none"/>
                <w:lang w:val="en-US" w:eastAsia="zh-CN" w:bidi="ar"/>
              </w:rPr>
              <w:t>SNCR+湿式喷淋脱酸除雾+活性炭吸附+布袋除尘</w:t>
            </w:r>
            <w:r>
              <w:rPr>
                <w:rFonts w:hint="default" w:ascii="Times New Roman" w:hAnsi="Times New Roman" w:eastAsia="宋体" w:cs="Times New Roman"/>
                <w:color w:val="auto"/>
                <w:kern w:val="0"/>
                <w:sz w:val="20"/>
                <w:szCs w:val="20"/>
                <w:highlight w:val="none"/>
                <w:lang w:val="en-US" w:eastAsia="zh-CN" w:bidi="ar"/>
              </w:rPr>
              <w:t>” 处理后通过1根 45m 高烟囱，排入大气</w:t>
            </w:r>
          </w:p>
        </w:tc>
      </w:tr>
      <w:tr w14:paraId="0A0C812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15CA5032">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shd w:val="clear" w:color="auto" w:fill="auto"/>
            <w:vAlign w:val="center"/>
          </w:tcPr>
          <w:p w14:paraId="52B658CC">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eastAsia" w:ascii="Times New Roman" w:hAnsi="Times New Roman" w:eastAsia="宋体" w:cs="Times New Roman"/>
                <w:color w:val="auto"/>
                <w:kern w:val="0"/>
                <w:sz w:val="20"/>
                <w:szCs w:val="20"/>
                <w:highlight w:val="none"/>
                <w:lang w:val="en-US" w:eastAsia="zh-CN" w:bidi="ar"/>
              </w:rPr>
              <w:t>炭渣加工区</w:t>
            </w:r>
          </w:p>
        </w:tc>
        <w:tc>
          <w:tcPr>
            <w:tcW w:w="357" w:type="pct"/>
            <w:tcBorders>
              <w:tl2br w:val="nil"/>
              <w:tr2bl w:val="nil"/>
            </w:tcBorders>
            <w:shd w:val="clear" w:color="auto" w:fill="auto"/>
            <w:vAlign w:val="center"/>
          </w:tcPr>
          <w:p w14:paraId="69E0654E">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G3</w:t>
            </w:r>
          </w:p>
        </w:tc>
        <w:tc>
          <w:tcPr>
            <w:tcW w:w="744" w:type="pct"/>
            <w:tcBorders>
              <w:tl2br w:val="nil"/>
              <w:tr2bl w:val="nil"/>
            </w:tcBorders>
            <w:shd w:val="clear" w:color="auto" w:fill="auto"/>
            <w:vAlign w:val="center"/>
          </w:tcPr>
          <w:p w14:paraId="591526D1">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炭黑渣装卸及加工粉尘</w:t>
            </w:r>
          </w:p>
        </w:tc>
        <w:tc>
          <w:tcPr>
            <w:tcW w:w="1074" w:type="pct"/>
            <w:tcBorders>
              <w:tl2br w:val="nil"/>
              <w:tr2bl w:val="nil"/>
            </w:tcBorders>
            <w:shd w:val="clear" w:color="auto" w:fill="auto"/>
            <w:vAlign w:val="center"/>
          </w:tcPr>
          <w:p w14:paraId="1E8A0368">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颗粒物</w:t>
            </w:r>
          </w:p>
        </w:tc>
        <w:tc>
          <w:tcPr>
            <w:tcW w:w="499" w:type="pct"/>
            <w:tcBorders>
              <w:tl2br w:val="nil"/>
              <w:tr2bl w:val="nil"/>
            </w:tcBorders>
            <w:shd w:val="clear" w:color="auto" w:fill="auto"/>
            <w:vAlign w:val="center"/>
          </w:tcPr>
          <w:p w14:paraId="311A8802">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连续</w:t>
            </w:r>
          </w:p>
        </w:tc>
        <w:tc>
          <w:tcPr>
            <w:tcW w:w="1184" w:type="pct"/>
            <w:tcBorders>
              <w:tl2br w:val="nil"/>
              <w:tr2bl w:val="nil"/>
            </w:tcBorders>
            <w:vAlign w:val="center"/>
          </w:tcPr>
          <w:p w14:paraId="29089A96">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无组织排至大气</w:t>
            </w:r>
          </w:p>
        </w:tc>
      </w:tr>
      <w:tr w14:paraId="4FA07D4C">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57DF599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7C5DFC38">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柴油发电机</w:t>
            </w:r>
          </w:p>
        </w:tc>
        <w:tc>
          <w:tcPr>
            <w:tcW w:w="357" w:type="pct"/>
            <w:tcBorders>
              <w:tl2br w:val="nil"/>
              <w:tr2bl w:val="nil"/>
            </w:tcBorders>
            <w:vAlign w:val="center"/>
          </w:tcPr>
          <w:p w14:paraId="2015EE53">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G4</w:t>
            </w:r>
          </w:p>
        </w:tc>
        <w:tc>
          <w:tcPr>
            <w:tcW w:w="744" w:type="pct"/>
            <w:tcBorders>
              <w:tl2br w:val="nil"/>
              <w:tr2bl w:val="nil"/>
            </w:tcBorders>
            <w:vAlign w:val="center"/>
          </w:tcPr>
          <w:p w14:paraId="22991CCF">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柴油发电机废气</w:t>
            </w:r>
          </w:p>
        </w:tc>
        <w:tc>
          <w:tcPr>
            <w:tcW w:w="1074" w:type="pct"/>
            <w:tcBorders>
              <w:tl2br w:val="nil"/>
              <w:tr2bl w:val="nil"/>
            </w:tcBorders>
            <w:vAlign w:val="center"/>
          </w:tcPr>
          <w:p w14:paraId="096C8A86">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b w:val="0"/>
                <w:bCs w:val="0"/>
                <w:color w:val="auto"/>
                <w:sz w:val="20"/>
                <w:szCs w:val="20"/>
                <w:highlight w:val="none"/>
                <w:lang w:val="en-US" w:eastAsia="zh-CN"/>
              </w:rPr>
              <w:t>CO、HC、NO</w:t>
            </w:r>
            <w:r>
              <w:rPr>
                <w:rFonts w:hint="default" w:ascii="Times New Roman" w:hAnsi="Times New Roman" w:eastAsia="宋体" w:cs="Times New Roman"/>
                <w:b w:val="0"/>
                <w:bCs w:val="0"/>
                <w:color w:val="auto"/>
                <w:sz w:val="20"/>
                <w:szCs w:val="20"/>
                <w:highlight w:val="none"/>
                <w:vertAlign w:val="subscript"/>
                <w:lang w:val="en-US" w:eastAsia="zh-CN"/>
              </w:rPr>
              <w:t>2</w:t>
            </w:r>
          </w:p>
        </w:tc>
        <w:tc>
          <w:tcPr>
            <w:tcW w:w="499" w:type="pct"/>
            <w:tcBorders>
              <w:tl2br w:val="nil"/>
              <w:tr2bl w:val="nil"/>
            </w:tcBorders>
            <w:vAlign w:val="center"/>
          </w:tcPr>
          <w:p w14:paraId="36408D3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偶发</w:t>
            </w:r>
          </w:p>
        </w:tc>
        <w:tc>
          <w:tcPr>
            <w:tcW w:w="1184" w:type="pct"/>
            <w:tcBorders>
              <w:tl2br w:val="nil"/>
              <w:tr2bl w:val="nil"/>
            </w:tcBorders>
            <w:vAlign w:val="center"/>
          </w:tcPr>
          <w:p w14:paraId="62B1F513">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无组织排至大气</w:t>
            </w:r>
          </w:p>
        </w:tc>
      </w:tr>
      <w:tr w14:paraId="6810407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restart"/>
            <w:tcBorders>
              <w:tl2br w:val="nil"/>
              <w:tr2bl w:val="nil"/>
            </w:tcBorders>
            <w:vAlign w:val="center"/>
          </w:tcPr>
          <w:p w14:paraId="770709E2">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p w14:paraId="0749F41A">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p w14:paraId="775311E6">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废水</w:t>
            </w:r>
          </w:p>
        </w:tc>
        <w:tc>
          <w:tcPr>
            <w:tcW w:w="800" w:type="pct"/>
            <w:tcBorders>
              <w:tl2br w:val="nil"/>
              <w:tr2bl w:val="nil"/>
            </w:tcBorders>
            <w:vAlign w:val="center"/>
          </w:tcPr>
          <w:p w14:paraId="23D37CCA">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生活垃圾暂存仓</w:t>
            </w:r>
          </w:p>
        </w:tc>
        <w:tc>
          <w:tcPr>
            <w:tcW w:w="357" w:type="pct"/>
            <w:tcBorders>
              <w:tl2br w:val="nil"/>
              <w:tr2bl w:val="nil"/>
            </w:tcBorders>
            <w:vAlign w:val="center"/>
          </w:tcPr>
          <w:p w14:paraId="3C2EA125">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W1</w:t>
            </w:r>
          </w:p>
        </w:tc>
        <w:tc>
          <w:tcPr>
            <w:tcW w:w="744" w:type="pct"/>
            <w:tcBorders>
              <w:tl2br w:val="nil"/>
              <w:tr2bl w:val="nil"/>
            </w:tcBorders>
            <w:vAlign w:val="center"/>
          </w:tcPr>
          <w:p w14:paraId="6911AD9C">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垃圾渗滤液</w:t>
            </w:r>
          </w:p>
        </w:tc>
        <w:tc>
          <w:tcPr>
            <w:tcW w:w="1074" w:type="pct"/>
            <w:tcBorders>
              <w:tl2br w:val="nil"/>
              <w:tr2bl w:val="nil"/>
            </w:tcBorders>
            <w:vAlign w:val="center"/>
          </w:tcPr>
          <w:p w14:paraId="7F5BAEA8">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pH、COD、氨氮、总氮、总磷、BOD</w:t>
            </w:r>
            <w:r>
              <w:rPr>
                <w:rFonts w:hint="default" w:ascii="Times New Roman" w:hAnsi="Times New Roman" w:eastAsia="宋体" w:cs="Times New Roman"/>
                <w:b w:val="0"/>
                <w:bCs w:val="0"/>
                <w:color w:val="auto"/>
                <w:kern w:val="0"/>
                <w:sz w:val="20"/>
                <w:szCs w:val="20"/>
                <w:highlight w:val="none"/>
                <w:vertAlign w:val="subscript"/>
                <w:lang w:val="en-US" w:eastAsia="zh-CN" w:bidi="ar"/>
              </w:rPr>
              <w:t>5</w:t>
            </w:r>
            <w:r>
              <w:rPr>
                <w:rFonts w:hint="default" w:ascii="Times New Roman" w:hAnsi="Times New Roman" w:eastAsia="宋体" w:cs="Times New Roman"/>
                <w:b w:val="0"/>
                <w:bCs w:val="0"/>
                <w:color w:val="auto"/>
                <w:kern w:val="0"/>
                <w:sz w:val="20"/>
                <w:szCs w:val="20"/>
                <w:highlight w:val="none"/>
                <w:lang w:val="en-US" w:eastAsia="zh-CN" w:bidi="ar"/>
              </w:rPr>
              <w:t>、总砷、总铅、总镉、总铬、六价铬、总汞、SS等</w:t>
            </w:r>
          </w:p>
        </w:tc>
        <w:tc>
          <w:tcPr>
            <w:tcW w:w="499" w:type="pct"/>
            <w:tcBorders>
              <w:tl2br w:val="nil"/>
              <w:tr2bl w:val="nil"/>
            </w:tcBorders>
            <w:vAlign w:val="center"/>
          </w:tcPr>
          <w:p w14:paraId="1D0AD9E0">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连续</w:t>
            </w:r>
          </w:p>
        </w:tc>
        <w:tc>
          <w:tcPr>
            <w:tcW w:w="1184" w:type="pct"/>
            <w:tcBorders>
              <w:bottom w:val="single" w:color="auto" w:sz="4" w:space="0"/>
              <w:tl2br w:val="nil"/>
              <w:tr2bl w:val="nil"/>
            </w:tcBorders>
            <w:vAlign w:val="center"/>
          </w:tcPr>
          <w:p w14:paraId="66A8541E">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垃圾渗滤液收集池（有效容积44m</w:t>
            </w:r>
            <w:r>
              <w:rPr>
                <w:rFonts w:hint="default" w:ascii="Times New Roman" w:hAnsi="Times New Roman" w:eastAsia="宋体" w:cs="Times New Roman"/>
                <w:b w:val="0"/>
                <w:bCs w:val="0"/>
                <w:color w:val="auto"/>
                <w:kern w:val="0"/>
                <w:sz w:val="20"/>
                <w:szCs w:val="20"/>
                <w:highlight w:val="none"/>
                <w:vertAlign w:val="superscript"/>
                <w:lang w:val="en-US" w:eastAsia="zh-CN" w:bidi="ar"/>
              </w:rPr>
              <w:t>3</w:t>
            </w:r>
            <w:r>
              <w:rPr>
                <w:rFonts w:hint="default" w:ascii="Times New Roman" w:hAnsi="Times New Roman" w:eastAsia="宋体" w:cs="Times New Roman"/>
                <w:b w:val="0"/>
                <w:bCs w:val="0"/>
                <w:color w:val="auto"/>
                <w:kern w:val="0"/>
                <w:sz w:val="20"/>
                <w:szCs w:val="20"/>
                <w:highlight w:val="none"/>
                <w:lang w:val="en-US" w:eastAsia="zh-CN" w:bidi="ar"/>
              </w:rPr>
              <w:t>）收集后进入污水池，经管道进入垃圾填埋场垃圾渗滤液处理站进行下一步处理</w:t>
            </w:r>
          </w:p>
        </w:tc>
      </w:tr>
      <w:tr w14:paraId="7FC2794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06429975">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7DB5F26B">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喷淋塔</w:t>
            </w:r>
          </w:p>
        </w:tc>
        <w:tc>
          <w:tcPr>
            <w:tcW w:w="357" w:type="pct"/>
            <w:tcBorders>
              <w:tl2br w:val="nil"/>
              <w:tr2bl w:val="nil"/>
            </w:tcBorders>
            <w:vAlign w:val="center"/>
          </w:tcPr>
          <w:p w14:paraId="1949016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W2</w:t>
            </w:r>
          </w:p>
        </w:tc>
        <w:tc>
          <w:tcPr>
            <w:tcW w:w="744" w:type="pct"/>
            <w:tcBorders>
              <w:tl2br w:val="nil"/>
              <w:tr2bl w:val="nil"/>
            </w:tcBorders>
            <w:vAlign w:val="center"/>
          </w:tcPr>
          <w:p w14:paraId="67AE762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cs="Times New Roman"/>
                <w:b w:val="0"/>
                <w:bCs w:val="0"/>
                <w:color w:val="auto"/>
                <w:sz w:val="20"/>
                <w:szCs w:val="20"/>
                <w:highlight w:val="none"/>
                <w:lang w:val="en-US" w:eastAsia="zh-CN"/>
              </w:rPr>
              <w:t>碱液喷淋废液</w:t>
            </w:r>
          </w:p>
        </w:tc>
        <w:tc>
          <w:tcPr>
            <w:tcW w:w="1074" w:type="pct"/>
            <w:tcBorders>
              <w:tl2br w:val="nil"/>
              <w:tr2bl w:val="nil"/>
            </w:tcBorders>
            <w:vAlign w:val="center"/>
          </w:tcPr>
          <w:p w14:paraId="5142289C">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pH、COD、硫化物、氟化物、氯化物等</w:t>
            </w:r>
          </w:p>
        </w:tc>
        <w:tc>
          <w:tcPr>
            <w:tcW w:w="499" w:type="pct"/>
            <w:tcBorders>
              <w:tl2br w:val="nil"/>
              <w:tr2bl w:val="nil"/>
            </w:tcBorders>
            <w:vAlign w:val="center"/>
          </w:tcPr>
          <w:p w14:paraId="72F9F6DE">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tcBorders>
              <w:top w:val="single" w:color="auto" w:sz="4" w:space="0"/>
              <w:bottom w:val="single" w:color="auto" w:sz="4" w:space="0"/>
              <w:tl2br w:val="nil"/>
              <w:tr2bl w:val="nil"/>
            </w:tcBorders>
            <w:vAlign w:val="center"/>
          </w:tcPr>
          <w:p w14:paraId="643FCF13">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收集进入污水池，经管道进入垃圾填埋场垃圾渗滤液处理站进行下一步处理</w:t>
            </w:r>
          </w:p>
        </w:tc>
      </w:tr>
      <w:tr w14:paraId="0BBF873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74AD019F">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780E8BFD">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cs="Times New Roman"/>
                <w:b w:val="0"/>
                <w:bCs w:val="0"/>
                <w:color w:val="auto"/>
                <w:sz w:val="20"/>
                <w:szCs w:val="20"/>
                <w:highlight w:val="none"/>
                <w:lang w:val="en-US" w:eastAsia="zh-CN"/>
              </w:rPr>
              <w:t>卸料</w:t>
            </w:r>
            <w:r>
              <w:rPr>
                <w:rFonts w:hint="default" w:ascii="Times New Roman" w:hAnsi="Times New Roman" w:cs="Times New Roman"/>
                <w:b w:val="0"/>
                <w:bCs w:val="0"/>
                <w:color w:val="auto"/>
                <w:sz w:val="20"/>
                <w:szCs w:val="20"/>
                <w:highlight w:val="none"/>
              </w:rPr>
              <w:t>场地</w:t>
            </w:r>
          </w:p>
        </w:tc>
        <w:tc>
          <w:tcPr>
            <w:tcW w:w="357" w:type="pct"/>
            <w:tcBorders>
              <w:tl2br w:val="nil"/>
              <w:tr2bl w:val="nil"/>
            </w:tcBorders>
            <w:vAlign w:val="center"/>
          </w:tcPr>
          <w:p w14:paraId="15F13F74">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W3</w:t>
            </w:r>
          </w:p>
        </w:tc>
        <w:tc>
          <w:tcPr>
            <w:tcW w:w="744" w:type="pct"/>
            <w:tcBorders>
              <w:tl2br w:val="nil"/>
              <w:tr2bl w:val="nil"/>
            </w:tcBorders>
            <w:vAlign w:val="center"/>
          </w:tcPr>
          <w:p w14:paraId="4BEB9AD6">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cs="Times New Roman"/>
                <w:b w:val="0"/>
                <w:bCs w:val="0"/>
                <w:color w:val="auto"/>
                <w:sz w:val="20"/>
                <w:szCs w:val="20"/>
                <w:highlight w:val="none"/>
                <w:lang w:val="en-US" w:eastAsia="zh-CN"/>
              </w:rPr>
              <w:t>冲洗废水</w:t>
            </w:r>
          </w:p>
        </w:tc>
        <w:tc>
          <w:tcPr>
            <w:tcW w:w="1074" w:type="pct"/>
            <w:tcBorders>
              <w:tl2br w:val="nil"/>
              <w:tr2bl w:val="nil"/>
            </w:tcBorders>
            <w:vAlign w:val="center"/>
          </w:tcPr>
          <w:p w14:paraId="1D48D764">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 xml:space="preserve"> COD、BOD</w:t>
            </w:r>
            <w:r>
              <w:rPr>
                <w:rFonts w:hint="default" w:ascii="Times New Roman" w:hAnsi="Times New Roman" w:eastAsia="宋体" w:cs="Times New Roman"/>
                <w:b w:val="0"/>
                <w:bCs w:val="0"/>
                <w:color w:val="auto"/>
                <w:kern w:val="0"/>
                <w:sz w:val="20"/>
                <w:szCs w:val="20"/>
                <w:highlight w:val="none"/>
                <w:vertAlign w:val="subscript"/>
                <w:lang w:val="en-US" w:eastAsia="zh-CN" w:bidi="ar"/>
              </w:rPr>
              <w:t>5</w:t>
            </w:r>
            <w:r>
              <w:rPr>
                <w:rFonts w:hint="default" w:ascii="Times New Roman" w:hAnsi="Times New Roman" w:eastAsia="宋体" w:cs="Times New Roman"/>
                <w:b w:val="0"/>
                <w:bCs w:val="0"/>
                <w:color w:val="auto"/>
                <w:kern w:val="0"/>
                <w:sz w:val="20"/>
                <w:szCs w:val="20"/>
                <w:highlight w:val="none"/>
                <w:lang w:val="en-US" w:eastAsia="zh-CN" w:bidi="ar"/>
              </w:rPr>
              <w:t>、SS、NH</w:t>
            </w:r>
            <w:r>
              <w:rPr>
                <w:rFonts w:hint="default" w:ascii="Times New Roman" w:hAnsi="Times New Roman" w:eastAsia="宋体" w:cs="Times New Roman"/>
                <w:b w:val="0"/>
                <w:bCs w:val="0"/>
                <w:color w:val="auto"/>
                <w:kern w:val="0"/>
                <w:sz w:val="20"/>
                <w:szCs w:val="20"/>
                <w:highlight w:val="none"/>
                <w:vertAlign w:val="subscript"/>
                <w:lang w:val="en-US" w:eastAsia="zh-CN" w:bidi="ar"/>
              </w:rPr>
              <w:t>3</w:t>
            </w:r>
            <w:r>
              <w:rPr>
                <w:rFonts w:hint="default" w:ascii="Times New Roman" w:hAnsi="Times New Roman" w:eastAsia="宋体" w:cs="Times New Roman"/>
                <w:b w:val="0"/>
                <w:bCs w:val="0"/>
                <w:color w:val="auto"/>
                <w:kern w:val="0"/>
                <w:sz w:val="20"/>
                <w:szCs w:val="20"/>
                <w:highlight w:val="none"/>
                <w:lang w:val="en-US" w:eastAsia="zh-CN" w:bidi="ar"/>
              </w:rPr>
              <w:t xml:space="preserve">-N等 </w:t>
            </w:r>
          </w:p>
        </w:tc>
        <w:tc>
          <w:tcPr>
            <w:tcW w:w="499" w:type="pct"/>
            <w:tcBorders>
              <w:tl2br w:val="nil"/>
              <w:tr2bl w:val="nil"/>
            </w:tcBorders>
            <w:vAlign w:val="center"/>
          </w:tcPr>
          <w:p w14:paraId="45077FCF">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tcBorders>
              <w:top w:val="single" w:color="auto" w:sz="4" w:space="0"/>
              <w:bottom w:val="single" w:color="auto" w:sz="4" w:space="0"/>
              <w:tl2br w:val="nil"/>
              <w:tr2bl w:val="nil"/>
            </w:tcBorders>
            <w:vAlign w:val="center"/>
          </w:tcPr>
          <w:p w14:paraId="7952F61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渗滤液收集池（有效容积44m</w:t>
            </w:r>
            <w:r>
              <w:rPr>
                <w:rFonts w:hint="default" w:ascii="Times New Roman" w:hAnsi="Times New Roman" w:eastAsia="宋体" w:cs="Times New Roman"/>
                <w:b w:val="0"/>
                <w:bCs w:val="0"/>
                <w:color w:val="auto"/>
                <w:kern w:val="0"/>
                <w:sz w:val="20"/>
                <w:szCs w:val="20"/>
                <w:highlight w:val="none"/>
                <w:vertAlign w:val="superscript"/>
                <w:lang w:val="en-US" w:eastAsia="zh-CN" w:bidi="ar"/>
              </w:rPr>
              <w:t>3</w:t>
            </w:r>
            <w:r>
              <w:rPr>
                <w:rFonts w:hint="default" w:ascii="Times New Roman" w:hAnsi="Times New Roman" w:eastAsia="宋体" w:cs="Times New Roman"/>
                <w:b w:val="0"/>
                <w:bCs w:val="0"/>
                <w:color w:val="auto"/>
                <w:kern w:val="0"/>
                <w:sz w:val="20"/>
                <w:szCs w:val="20"/>
                <w:highlight w:val="none"/>
                <w:lang w:val="en-US" w:eastAsia="zh-CN" w:bidi="ar"/>
              </w:rPr>
              <w:t>）收集后进入污水池，经管道进入垃圾填埋场垃圾渗滤液处理站进行下一步处理。</w:t>
            </w:r>
          </w:p>
        </w:tc>
      </w:tr>
      <w:tr w14:paraId="0D4013E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616C1B1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shd w:val="clear" w:color="auto" w:fill="auto"/>
            <w:vAlign w:val="center"/>
          </w:tcPr>
          <w:p w14:paraId="728CE16C">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冷却循环</w:t>
            </w:r>
          </w:p>
        </w:tc>
        <w:tc>
          <w:tcPr>
            <w:tcW w:w="357" w:type="pct"/>
            <w:tcBorders>
              <w:tl2br w:val="nil"/>
              <w:tr2bl w:val="nil"/>
            </w:tcBorders>
            <w:shd w:val="clear" w:color="auto" w:fill="auto"/>
            <w:vAlign w:val="center"/>
          </w:tcPr>
          <w:p w14:paraId="091A32C7">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W4</w:t>
            </w:r>
          </w:p>
        </w:tc>
        <w:tc>
          <w:tcPr>
            <w:tcW w:w="744" w:type="pct"/>
            <w:tcBorders>
              <w:tl2br w:val="nil"/>
              <w:tr2bl w:val="nil"/>
            </w:tcBorders>
            <w:shd w:val="clear" w:color="auto" w:fill="auto"/>
            <w:vAlign w:val="center"/>
          </w:tcPr>
          <w:p w14:paraId="35BAB717">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冷却塔循环排污水</w:t>
            </w:r>
          </w:p>
        </w:tc>
        <w:tc>
          <w:tcPr>
            <w:tcW w:w="1074" w:type="pct"/>
            <w:tcBorders>
              <w:tl2br w:val="nil"/>
              <w:tr2bl w:val="nil"/>
            </w:tcBorders>
            <w:shd w:val="clear" w:color="auto" w:fill="auto"/>
            <w:vAlign w:val="center"/>
          </w:tcPr>
          <w:p w14:paraId="42D3A031">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TDS、COD、SS等</w:t>
            </w:r>
          </w:p>
        </w:tc>
        <w:tc>
          <w:tcPr>
            <w:tcW w:w="499" w:type="pct"/>
            <w:tcBorders>
              <w:tl2br w:val="nil"/>
              <w:tr2bl w:val="nil"/>
            </w:tcBorders>
            <w:shd w:val="clear" w:color="auto" w:fill="auto"/>
            <w:vAlign w:val="center"/>
          </w:tcPr>
          <w:p w14:paraId="500FB305">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tcBorders>
              <w:top w:val="single" w:color="auto" w:sz="4" w:space="0"/>
              <w:bottom w:val="single" w:color="auto" w:sz="4" w:space="0"/>
              <w:tl2br w:val="nil"/>
              <w:tr2bl w:val="nil"/>
            </w:tcBorders>
            <w:vAlign w:val="center"/>
          </w:tcPr>
          <w:p w14:paraId="27BC2C3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回用于卸料场地冲洗用水</w:t>
            </w:r>
          </w:p>
        </w:tc>
      </w:tr>
      <w:tr w14:paraId="46F1176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02511A04">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shd w:val="clear" w:color="auto" w:fill="auto"/>
            <w:vAlign w:val="center"/>
          </w:tcPr>
          <w:p w14:paraId="39EF9CA0">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初期雨水</w:t>
            </w:r>
          </w:p>
        </w:tc>
        <w:tc>
          <w:tcPr>
            <w:tcW w:w="357" w:type="pct"/>
            <w:tcBorders>
              <w:tl2br w:val="nil"/>
              <w:tr2bl w:val="nil"/>
            </w:tcBorders>
            <w:shd w:val="clear" w:color="auto" w:fill="auto"/>
            <w:vAlign w:val="center"/>
          </w:tcPr>
          <w:p w14:paraId="50D28EBD">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W5</w:t>
            </w:r>
          </w:p>
        </w:tc>
        <w:tc>
          <w:tcPr>
            <w:tcW w:w="744" w:type="pct"/>
            <w:tcBorders>
              <w:tl2br w:val="nil"/>
              <w:tr2bl w:val="nil"/>
            </w:tcBorders>
            <w:shd w:val="clear" w:color="auto" w:fill="auto"/>
            <w:vAlign w:val="center"/>
          </w:tcPr>
          <w:p w14:paraId="51B83A6C">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初期雨水</w:t>
            </w:r>
          </w:p>
        </w:tc>
        <w:tc>
          <w:tcPr>
            <w:tcW w:w="1074" w:type="pct"/>
            <w:tcBorders>
              <w:tl2br w:val="nil"/>
              <w:tr2bl w:val="nil"/>
            </w:tcBorders>
            <w:shd w:val="clear" w:color="auto" w:fill="auto"/>
            <w:vAlign w:val="center"/>
          </w:tcPr>
          <w:p w14:paraId="678BE2A5">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COD、BOD</w:t>
            </w:r>
            <w:r>
              <w:rPr>
                <w:rFonts w:hint="default" w:ascii="Times New Roman" w:hAnsi="Times New Roman" w:eastAsia="宋体" w:cs="Times New Roman"/>
                <w:b w:val="0"/>
                <w:bCs w:val="0"/>
                <w:color w:val="auto"/>
                <w:kern w:val="0"/>
                <w:sz w:val="20"/>
                <w:szCs w:val="20"/>
                <w:highlight w:val="none"/>
                <w:vertAlign w:val="subscript"/>
                <w:lang w:val="en-US" w:eastAsia="zh-CN" w:bidi="ar"/>
              </w:rPr>
              <w:t>5</w:t>
            </w:r>
            <w:r>
              <w:rPr>
                <w:rFonts w:hint="default" w:ascii="Times New Roman" w:hAnsi="Times New Roman" w:eastAsia="宋体" w:cs="Times New Roman"/>
                <w:b w:val="0"/>
                <w:bCs w:val="0"/>
                <w:color w:val="auto"/>
                <w:kern w:val="0"/>
                <w:sz w:val="20"/>
                <w:szCs w:val="20"/>
                <w:highlight w:val="none"/>
                <w:lang w:val="en-US" w:eastAsia="zh-CN" w:bidi="ar"/>
              </w:rPr>
              <w:t>、SS、NH</w:t>
            </w:r>
            <w:r>
              <w:rPr>
                <w:rFonts w:hint="default" w:ascii="Times New Roman" w:hAnsi="Times New Roman" w:eastAsia="宋体" w:cs="Times New Roman"/>
                <w:b w:val="0"/>
                <w:bCs w:val="0"/>
                <w:color w:val="auto"/>
                <w:kern w:val="0"/>
                <w:sz w:val="20"/>
                <w:szCs w:val="20"/>
                <w:highlight w:val="none"/>
                <w:vertAlign w:val="subscript"/>
                <w:lang w:val="en-US" w:eastAsia="zh-CN" w:bidi="ar"/>
              </w:rPr>
              <w:t>3</w:t>
            </w:r>
            <w:r>
              <w:rPr>
                <w:rFonts w:hint="default" w:ascii="Times New Roman" w:hAnsi="Times New Roman" w:eastAsia="宋体" w:cs="Times New Roman"/>
                <w:b w:val="0"/>
                <w:bCs w:val="0"/>
                <w:color w:val="auto"/>
                <w:kern w:val="0"/>
                <w:sz w:val="20"/>
                <w:szCs w:val="20"/>
                <w:highlight w:val="none"/>
                <w:lang w:val="en-US" w:eastAsia="zh-CN" w:bidi="ar"/>
              </w:rPr>
              <w:t>-N等</w:t>
            </w:r>
          </w:p>
        </w:tc>
        <w:tc>
          <w:tcPr>
            <w:tcW w:w="499" w:type="pct"/>
            <w:tcBorders>
              <w:tl2br w:val="nil"/>
              <w:tr2bl w:val="nil"/>
            </w:tcBorders>
            <w:shd w:val="clear" w:color="auto" w:fill="auto"/>
            <w:vAlign w:val="center"/>
          </w:tcPr>
          <w:p w14:paraId="6B56CD72">
            <w:pPr>
              <w:keepNext w:val="0"/>
              <w:keepLines w:val="0"/>
              <w:widowControl/>
              <w:suppressLineNumbers w:val="0"/>
              <w:autoSpaceDE w:val="0"/>
              <w:autoSpaceDN w:val="0"/>
              <w:spacing w:before="0" w:beforeAutospacing="0" w:after="0" w:afterAutospacing="0" w:line="240" w:lineRule="auto"/>
              <w:ind w:left="0" w:leftChars="0" w:right="0" w:rightChars="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tcBorders>
              <w:top w:val="single" w:color="auto" w:sz="4" w:space="0"/>
              <w:bottom w:val="single" w:color="auto" w:sz="4" w:space="0"/>
              <w:tl2br w:val="nil"/>
              <w:tr2bl w:val="nil"/>
            </w:tcBorders>
            <w:vAlign w:val="center"/>
          </w:tcPr>
          <w:p w14:paraId="4254D4C2">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回用于卸料场地冲洗用水和绿化用水</w:t>
            </w:r>
          </w:p>
        </w:tc>
      </w:tr>
      <w:tr w14:paraId="789F714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7FC62962">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68C49173">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员工生产</w:t>
            </w:r>
          </w:p>
        </w:tc>
        <w:tc>
          <w:tcPr>
            <w:tcW w:w="357" w:type="pct"/>
            <w:tcBorders>
              <w:tl2br w:val="nil"/>
              <w:tr2bl w:val="nil"/>
            </w:tcBorders>
            <w:vAlign w:val="center"/>
          </w:tcPr>
          <w:p w14:paraId="22B9C4CB">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W6</w:t>
            </w:r>
          </w:p>
        </w:tc>
        <w:tc>
          <w:tcPr>
            <w:tcW w:w="744" w:type="pct"/>
            <w:tcBorders>
              <w:tl2br w:val="nil"/>
              <w:tr2bl w:val="nil"/>
            </w:tcBorders>
            <w:vAlign w:val="center"/>
          </w:tcPr>
          <w:p w14:paraId="4E6F5616">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生活污水</w:t>
            </w:r>
          </w:p>
        </w:tc>
        <w:tc>
          <w:tcPr>
            <w:tcW w:w="1074" w:type="pct"/>
            <w:tcBorders>
              <w:tl2br w:val="nil"/>
              <w:tr2bl w:val="nil"/>
            </w:tcBorders>
            <w:vAlign w:val="center"/>
          </w:tcPr>
          <w:p w14:paraId="4E22EDB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cs="Times New Roman"/>
                <w:b w:val="0"/>
                <w:bCs w:val="0"/>
                <w:color w:val="auto"/>
                <w:sz w:val="20"/>
                <w:szCs w:val="20"/>
                <w:highlight w:val="none"/>
              </w:rPr>
              <w:t>COD、BOD</w:t>
            </w:r>
            <w:r>
              <w:rPr>
                <w:rFonts w:hint="default" w:ascii="Times New Roman" w:hAnsi="Times New Roman" w:cs="Times New Roman"/>
                <w:b w:val="0"/>
                <w:bCs w:val="0"/>
                <w:color w:val="auto"/>
                <w:sz w:val="20"/>
                <w:szCs w:val="20"/>
                <w:highlight w:val="none"/>
                <w:vertAlign w:val="subscript"/>
              </w:rPr>
              <w:t>5</w:t>
            </w:r>
            <w:r>
              <w:rPr>
                <w:rFonts w:hint="default" w:ascii="Times New Roman" w:hAnsi="Times New Roman" w:cs="Times New Roman"/>
                <w:b w:val="0"/>
                <w:bCs w:val="0"/>
                <w:color w:val="auto"/>
                <w:sz w:val="20"/>
                <w:szCs w:val="20"/>
                <w:highlight w:val="none"/>
                <w:vertAlign w:val="subscript"/>
                <w:lang w:val="en-US" w:eastAsia="zh-CN"/>
              </w:rPr>
              <w:t xml:space="preserve"> </w:t>
            </w:r>
            <w:r>
              <w:rPr>
                <w:rFonts w:hint="default" w:ascii="Times New Roman" w:hAnsi="Times New Roman" w:cs="Times New Roman"/>
                <w:b w:val="0"/>
                <w:bCs w:val="0"/>
                <w:color w:val="auto"/>
                <w:sz w:val="20"/>
                <w:szCs w:val="20"/>
                <w:highlight w:val="none"/>
              </w:rPr>
              <w:t>、SS、NH</w:t>
            </w:r>
            <w:r>
              <w:rPr>
                <w:rFonts w:hint="default" w:ascii="Times New Roman" w:hAnsi="Times New Roman" w:cs="Times New Roman"/>
                <w:b w:val="0"/>
                <w:bCs w:val="0"/>
                <w:color w:val="auto"/>
                <w:sz w:val="20"/>
                <w:szCs w:val="20"/>
                <w:highlight w:val="none"/>
                <w:vertAlign w:val="subscript"/>
              </w:rPr>
              <w:t>3</w:t>
            </w:r>
            <w:r>
              <w:rPr>
                <w:rFonts w:hint="default" w:ascii="Times New Roman" w:hAnsi="Times New Roman" w:cs="Times New Roman"/>
                <w:b w:val="0"/>
                <w:bCs w:val="0"/>
                <w:color w:val="auto"/>
                <w:sz w:val="20"/>
                <w:szCs w:val="20"/>
                <w:highlight w:val="none"/>
              </w:rPr>
              <w:t>-N</w:t>
            </w:r>
            <w:r>
              <w:rPr>
                <w:rFonts w:hint="default" w:ascii="Times New Roman" w:hAnsi="Times New Roman" w:cs="Times New Roman"/>
                <w:b w:val="0"/>
                <w:bCs w:val="0"/>
                <w:color w:val="auto"/>
                <w:sz w:val="20"/>
                <w:szCs w:val="20"/>
                <w:highlight w:val="none"/>
                <w:lang w:val="en-US" w:eastAsia="zh-CN"/>
              </w:rPr>
              <w:t xml:space="preserve">等 </w:t>
            </w:r>
          </w:p>
        </w:tc>
        <w:tc>
          <w:tcPr>
            <w:tcW w:w="499" w:type="pct"/>
            <w:tcBorders>
              <w:tl2br w:val="nil"/>
              <w:tr2bl w:val="nil"/>
            </w:tcBorders>
            <w:vAlign w:val="center"/>
          </w:tcPr>
          <w:p w14:paraId="0EBBD61D">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w:t>
            </w:r>
          </w:p>
        </w:tc>
        <w:tc>
          <w:tcPr>
            <w:tcW w:w="1184" w:type="pct"/>
            <w:tcBorders>
              <w:top w:val="single" w:color="auto" w:sz="4" w:space="0"/>
              <w:tl2br w:val="nil"/>
              <w:tr2bl w:val="nil"/>
            </w:tcBorders>
            <w:vAlign w:val="center"/>
          </w:tcPr>
          <w:p w14:paraId="3CF09D8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val="en-US" w:eastAsia="zh-CN" w:bidi="ar"/>
              </w:rPr>
            </w:pPr>
            <w:r>
              <w:rPr>
                <w:rFonts w:hint="default" w:ascii="Times New Roman" w:hAnsi="Times New Roman" w:eastAsia="宋体" w:cs="Times New Roman"/>
                <w:b w:val="0"/>
                <w:bCs w:val="0"/>
                <w:color w:val="auto"/>
                <w:kern w:val="0"/>
                <w:sz w:val="20"/>
                <w:szCs w:val="20"/>
                <w:highlight w:val="none"/>
                <w:lang w:val="en-US" w:eastAsia="zh-CN" w:bidi="ar"/>
              </w:rPr>
              <w:t>化粪池预处理，经管道进入垃圾填埋场垃圾渗滤液处理站进行下一步处理</w:t>
            </w:r>
          </w:p>
        </w:tc>
      </w:tr>
      <w:tr w14:paraId="541292D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tcBorders>
              <w:tl2br w:val="nil"/>
              <w:tr2bl w:val="nil"/>
            </w:tcBorders>
            <w:vAlign w:val="center"/>
          </w:tcPr>
          <w:p w14:paraId="300370E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噪声</w:t>
            </w:r>
          </w:p>
        </w:tc>
        <w:tc>
          <w:tcPr>
            <w:tcW w:w="800" w:type="pct"/>
            <w:tcBorders>
              <w:tl2br w:val="nil"/>
              <w:tr2bl w:val="nil"/>
            </w:tcBorders>
            <w:vAlign w:val="center"/>
          </w:tcPr>
          <w:p w14:paraId="589DDC07">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主厂房</w:t>
            </w:r>
          </w:p>
        </w:tc>
        <w:tc>
          <w:tcPr>
            <w:tcW w:w="357" w:type="pct"/>
            <w:tcBorders>
              <w:tl2br w:val="nil"/>
              <w:tr2bl w:val="nil"/>
            </w:tcBorders>
            <w:vAlign w:val="center"/>
          </w:tcPr>
          <w:p w14:paraId="2A7814C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N</w:t>
            </w:r>
          </w:p>
        </w:tc>
        <w:tc>
          <w:tcPr>
            <w:tcW w:w="744" w:type="pct"/>
            <w:tcBorders>
              <w:tl2br w:val="nil"/>
              <w:tr2bl w:val="nil"/>
            </w:tcBorders>
            <w:vAlign w:val="center"/>
          </w:tcPr>
          <w:p w14:paraId="09C71636">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highlight w:val="none"/>
                <w:lang w:val="en-US" w:eastAsia="zh-CN"/>
              </w:rPr>
              <w:t>破碎机、</w:t>
            </w:r>
            <w:r>
              <w:rPr>
                <w:rFonts w:hint="default" w:ascii="Times New Roman" w:hAnsi="Times New Roman" w:cs="Times New Roman"/>
                <w:color w:val="auto"/>
                <w:kern w:val="0"/>
                <w:sz w:val="20"/>
                <w:szCs w:val="20"/>
                <w:highlight w:val="none"/>
              </w:rPr>
              <w:t>磁选机</w:t>
            </w:r>
            <w:r>
              <w:rPr>
                <w:rFonts w:hint="default" w:ascii="Times New Roman" w:hAnsi="Times New Roman" w:cs="Times New Roman"/>
                <w:color w:val="auto"/>
                <w:kern w:val="0"/>
                <w:sz w:val="20"/>
                <w:szCs w:val="20"/>
                <w:highlight w:val="none"/>
                <w:lang w:eastAsia="zh-CN"/>
              </w:rPr>
              <w:t>、</w:t>
            </w:r>
            <w:r>
              <w:rPr>
                <w:rFonts w:hint="default" w:ascii="Times New Roman" w:hAnsi="Times New Roman" w:cs="Times New Roman"/>
                <w:b w:val="0"/>
                <w:bCs w:val="0"/>
                <w:color w:val="auto"/>
                <w:kern w:val="0"/>
                <w:sz w:val="20"/>
                <w:szCs w:val="20"/>
                <w:highlight w:val="none"/>
              </w:rPr>
              <w:t>热分解焚烧设备</w:t>
            </w:r>
            <w:r>
              <w:rPr>
                <w:rFonts w:hint="default" w:ascii="Times New Roman" w:hAnsi="Times New Roman" w:cs="Times New Roman"/>
                <w:b w:val="0"/>
                <w:bCs w:val="0"/>
                <w:color w:val="auto"/>
                <w:kern w:val="0"/>
                <w:sz w:val="20"/>
                <w:szCs w:val="20"/>
                <w:highlight w:val="none"/>
                <w:lang w:eastAsia="zh-CN"/>
              </w:rPr>
              <w:t>、</w:t>
            </w:r>
            <w:r>
              <w:rPr>
                <w:rFonts w:hint="default" w:ascii="Times New Roman" w:hAnsi="Times New Roman" w:cs="Times New Roman"/>
                <w:color w:val="auto"/>
                <w:kern w:val="0"/>
                <w:sz w:val="20"/>
                <w:szCs w:val="20"/>
                <w:highlight w:val="none"/>
              </w:rPr>
              <w:t>风机</w:t>
            </w:r>
            <w:r>
              <w:rPr>
                <w:rFonts w:hint="default" w:ascii="Times New Roman" w:hAnsi="Times New Roman" w:cs="Times New Roman"/>
                <w:color w:val="auto"/>
                <w:kern w:val="0"/>
                <w:sz w:val="20"/>
                <w:szCs w:val="20"/>
                <w:highlight w:val="none"/>
                <w:lang w:eastAsia="zh-CN"/>
              </w:rPr>
              <w:t>、</w:t>
            </w:r>
            <w:r>
              <w:rPr>
                <w:rFonts w:hint="default" w:ascii="Times New Roman" w:hAnsi="Times New Roman" w:cs="Times New Roman"/>
                <w:color w:val="auto"/>
                <w:kern w:val="0"/>
                <w:sz w:val="20"/>
                <w:szCs w:val="20"/>
                <w:highlight w:val="none"/>
                <w:lang w:val="en-US" w:eastAsia="zh-CN"/>
              </w:rPr>
              <w:t>冷却塔、水泵</w:t>
            </w:r>
            <w:r>
              <w:rPr>
                <w:rFonts w:hint="default" w:ascii="Times New Roman" w:hAnsi="Times New Roman" w:eastAsia="宋体" w:cs="Times New Roman"/>
                <w:color w:val="auto"/>
                <w:kern w:val="0"/>
                <w:sz w:val="20"/>
                <w:szCs w:val="20"/>
                <w:highlight w:val="none"/>
                <w:lang w:val="en-US" w:eastAsia="zh-CN" w:bidi="ar"/>
              </w:rPr>
              <w:t>等</w:t>
            </w:r>
          </w:p>
        </w:tc>
        <w:tc>
          <w:tcPr>
            <w:tcW w:w="1074" w:type="pct"/>
            <w:tcBorders>
              <w:tl2br w:val="nil"/>
              <w:tr2bl w:val="nil"/>
            </w:tcBorders>
            <w:vAlign w:val="center"/>
          </w:tcPr>
          <w:p w14:paraId="6E6B7707">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等效A声级</w:t>
            </w:r>
          </w:p>
        </w:tc>
        <w:tc>
          <w:tcPr>
            <w:tcW w:w="499" w:type="pct"/>
            <w:tcBorders>
              <w:tl2br w:val="nil"/>
              <w:tr2bl w:val="nil"/>
            </w:tcBorders>
            <w:vAlign w:val="center"/>
          </w:tcPr>
          <w:p w14:paraId="7A11DA4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连续</w:t>
            </w:r>
          </w:p>
        </w:tc>
        <w:tc>
          <w:tcPr>
            <w:tcW w:w="1184" w:type="pct"/>
            <w:tcBorders>
              <w:tl2br w:val="nil"/>
              <w:tr2bl w:val="nil"/>
            </w:tcBorders>
            <w:vAlign w:val="center"/>
          </w:tcPr>
          <w:p w14:paraId="26975B22">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highlight w:val="none"/>
                <w:lang w:val="en-US" w:eastAsia="zh-CN"/>
              </w:rPr>
              <w:t>选用低噪声设备，合理布局，厂房隔声，消声、减震等措施</w:t>
            </w:r>
          </w:p>
        </w:tc>
      </w:tr>
      <w:tr w14:paraId="6D453DF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restart"/>
            <w:tcBorders>
              <w:tl2br w:val="nil"/>
              <w:tr2bl w:val="nil"/>
            </w:tcBorders>
            <w:vAlign w:val="center"/>
          </w:tcPr>
          <w:p w14:paraId="649C64CD">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固废</w:t>
            </w:r>
          </w:p>
        </w:tc>
        <w:tc>
          <w:tcPr>
            <w:tcW w:w="800" w:type="pct"/>
            <w:tcBorders>
              <w:tl2br w:val="nil"/>
              <w:tr2bl w:val="nil"/>
            </w:tcBorders>
            <w:vAlign w:val="center"/>
          </w:tcPr>
          <w:p w14:paraId="3172876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val="0"/>
                <w:bCs w:val="0"/>
                <w:color w:val="auto"/>
                <w:kern w:val="0"/>
                <w:sz w:val="20"/>
                <w:szCs w:val="20"/>
                <w:highlight w:val="none"/>
                <w:lang w:val="en-US" w:eastAsia="zh-CN"/>
              </w:rPr>
            </w:pPr>
            <w:r>
              <w:rPr>
                <w:rFonts w:hint="default" w:ascii="Times New Roman" w:hAnsi="Times New Roman" w:cs="Times New Roman"/>
                <w:b w:val="0"/>
                <w:bCs w:val="0"/>
                <w:color w:val="auto"/>
                <w:kern w:val="0"/>
                <w:sz w:val="20"/>
                <w:szCs w:val="20"/>
                <w:highlight w:val="none"/>
                <w:lang w:val="en-US" w:eastAsia="zh-CN"/>
              </w:rPr>
              <w:t>预处理车间</w:t>
            </w:r>
          </w:p>
        </w:tc>
        <w:tc>
          <w:tcPr>
            <w:tcW w:w="357" w:type="pct"/>
            <w:tcBorders>
              <w:tl2br w:val="nil"/>
              <w:tr2bl w:val="nil"/>
            </w:tcBorders>
            <w:vAlign w:val="center"/>
          </w:tcPr>
          <w:p w14:paraId="637C9580">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val="0"/>
                <w:bCs w:val="0"/>
                <w:color w:val="auto"/>
                <w:kern w:val="0"/>
                <w:sz w:val="20"/>
                <w:szCs w:val="20"/>
                <w:highlight w:val="none"/>
                <w:lang w:val="en-US" w:eastAsia="zh-CN"/>
              </w:rPr>
            </w:pPr>
            <w:r>
              <w:rPr>
                <w:rFonts w:hint="default" w:ascii="Times New Roman" w:hAnsi="Times New Roman" w:cs="Times New Roman"/>
                <w:b w:val="0"/>
                <w:bCs w:val="0"/>
                <w:color w:val="auto"/>
                <w:kern w:val="0"/>
                <w:sz w:val="20"/>
                <w:szCs w:val="20"/>
                <w:highlight w:val="none"/>
                <w:lang w:val="en-US" w:eastAsia="zh-CN"/>
              </w:rPr>
              <w:t>S1</w:t>
            </w:r>
          </w:p>
        </w:tc>
        <w:tc>
          <w:tcPr>
            <w:tcW w:w="744" w:type="pct"/>
            <w:tcBorders>
              <w:tl2br w:val="nil"/>
              <w:tr2bl w:val="nil"/>
            </w:tcBorders>
            <w:vAlign w:val="center"/>
          </w:tcPr>
          <w:p w14:paraId="29CC3B4C">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val="0"/>
                <w:bCs w:val="0"/>
                <w:color w:val="auto"/>
                <w:kern w:val="0"/>
                <w:sz w:val="20"/>
                <w:szCs w:val="20"/>
                <w:highlight w:val="none"/>
                <w:lang w:val="en-US" w:eastAsia="zh-CN"/>
              </w:rPr>
            </w:pPr>
            <w:r>
              <w:rPr>
                <w:rFonts w:hint="default" w:ascii="Times New Roman" w:hAnsi="Times New Roman" w:cs="Times New Roman"/>
                <w:b w:val="0"/>
                <w:bCs w:val="0"/>
                <w:color w:val="auto"/>
                <w:kern w:val="0"/>
                <w:sz w:val="20"/>
                <w:szCs w:val="20"/>
                <w:highlight w:val="none"/>
                <w:lang w:val="en-US" w:eastAsia="zh-CN"/>
              </w:rPr>
              <w:t>分选无机物</w:t>
            </w:r>
          </w:p>
        </w:tc>
        <w:tc>
          <w:tcPr>
            <w:tcW w:w="1074" w:type="pct"/>
            <w:tcBorders>
              <w:tl2br w:val="nil"/>
              <w:tr2bl w:val="nil"/>
            </w:tcBorders>
            <w:vAlign w:val="center"/>
          </w:tcPr>
          <w:p w14:paraId="3693330C">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val="0"/>
                <w:bCs w:val="0"/>
                <w:color w:val="auto"/>
                <w:kern w:val="0"/>
                <w:sz w:val="20"/>
                <w:szCs w:val="20"/>
                <w:highlight w:val="none"/>
                <w:lang w:val="en-US" w:eastAsia="zh-CN"/>
              </w:rPr>
            </w:pPr>
            <w:r>
              <w:rPr>
                <w:rFonts w:hint="default" w:ascii="Times New Roman" w:hAnsi="Times New Roman" w:cs="Times New Roman"/>
                <w:b w:val="0"/>
                <w:bCs w:val="0"/>
                <w:color w:val="auto"/>
                <w:kern w:val="0"/>
                <w:sz w:val="20"/>
                <w:szCs w:val="20"/>
                <w:highlight w:val="none"/>
                <w:lang w:val="en-US" w:eastAsia="zh-CN"/>
              </w:rPr>
              <w:t>废金属、玻璃、陶瓷及砂石等</w:t>
            </w:r>
          </w:p>
        </w:tc>
        <w:tc>
          <w:tcPr>
            <w:tcW w:w="499" w:type="pct"/>
            <w:tcBorders>
              <w:tl2br w:val="nil"/>
              <w:tr2bl w:val="nil"/>
            </w:tcBorders>
            <w:vAlign w:val="center"/>
          </w:tcPr>
          <w:p w14:paraId="5C962ED7">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val="0"/>
                <w:bCs w:val="0"/>
                <w:color w:val="auto"/>
                <w:kern w:val="0"/>
                <w:sz w:val="20"/>
                <w:szCs w:val="20"/>
                <w:highlight w:val="none"/>
                <w:lang w:val="en-US" w:eastAsia="zh-CN"/>
              </w:rPr>
            </w:pPr>
            <w:r>
              <w:rPr>
                <w:rFonts w:hint="default" w:ascii="Times New Roman" w:hAnsi="Times New Roman" w:cs="Times New Roman"/>
                <w:b w:val="0"/>
                <w:bCs w:val="0"/>
                <w:color w:val="auto"/>
                <w:kern w:val="0"/>
                <w:sz w:val="20"/>
                <w:szCs w:val="20"/>
                <w:highlight w:val="none"/>
                <w:lang w:val="en-US" w:eastAsia="zh-CN"/>
              </w:rPr>
              <w:t>间断</w:t>
            </w:r>
          </w:p>
        </w:tc>
        <w:tc>
          <w:tcPr>
            <w:tcW w:w="1184" w:type="pct"/>
            <w:tcBorders>
              <w:tl2br w:val="nil"/>
              <w:tr2bl w:val="nil"/>
            </w:tcBorders>
            <w:vAlign w:val="center"/>
          </w:tcPr>
          <w:p w14:paraId="5FCBB7FA">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部分回收，部分填埋</w:t>
            </w:r>
          </w:p>
        </w:tc>
      </w:tr>
      <w:tr w14:paraId="00E946F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09ADCA52">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6BF8480C">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垃圾热解</w:t>
            </w:r>
          </w:p>
        </w:tc>
        <w:tc>
          <w:tcPr>
            <w:tcW w:w="357" w:type="pct"/>
            <w:tcBorders>
              <w:tl2br w:val="nil"/>
              <w:tr2bl w:val="nil"/>
            </w:tcBorders>
            <w:vAlign w:val="center"/>
          </w:tcPr>
          <w:p w14:paraId="075BB892">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S2</w:t>
            </w:r>
          </w:p>
        </w:tc>
        <w:tc>
          <w:tcPr>
            <w:tcW w:w="744" w:type="pct"/>
            <w:tcBorders>
              <w:tl2br w:val="nil"/>
              <w:tr2bl w:val="nil"/>
            </w:tcBorders>
            <w:vAlign w:val="center"/>
          </w:tcPr>
          <w:p w14:paraId="7E3EB6E6">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val="0"/>
                <w:bCs w:val="0"/>
                <w:color w:val="auto"/>
                <w:kern w:val="0"/>
                <w:sz w:val="20"/>
                <w:szCs w:val="20"/>
                <w:highlight w:val="none"/>
                <w:lang w:val="en-US" w:eastAsia="zh-CN"/>
              </w:rPr>
            </w:pPr>
            <w:r>
              <w:rPr>
                <w:rFonts w:hint="default" w:ascii="Times New Roman" w:hAnsi="Times New Roman" w:cs="Times New Roman"/>
                <w:b w:val="0"/>
                <w:bCs w:val="0"/>
                <w:color w:val="auto"/>
                <w:kern w:val="0"/>
                <w:sz w:val="20"/>
                <w:szCs w:val="20"/>
                <w:highlight w:val="none"/>
                <w:lang w:val="en-US" w:eastAsia="zh-CN"/>
              </w:rPr>
              <w:t>炭黑渣</w:t>
            </w:r>
          </w:p>
        </w:tc>
        <w:tc>
          <w:tcPr>
            <w:tcW w:w="1074" w:type="pct"/>
            <w:tcBorders>
              <w:tl2br w:val="nil"/>
              <w:tr2bl w:val="nil"/>
            </w:tcBorders>
            <w:vAlign w:val="center"/>
          </w:tcPr>
          <w:p w14:paraId="552D1A7E">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val="0"/>
                <w:bCs w:val="0"/>
                <w:color w:val="auto"/>
                <w:kern w:val="0"/>
                <w:sz w:val="20"/>
                <w:szCs w:val="20"/>
                <w:highlight w:val="none"/>
                <w:lang w:val="en-US" w:eastAsia="zh-CN"/>
              </w:rPr>
            </w:pPr>
            <w:r>
              <w:rPr>
                <w:rFonts w:hint="default" w:ascii="Times New Roman" w:hAnsi="Times New Roman" w:cs="Times New Roman"/>
                <w:b w:val="0"/>
                <w:bCs w:val="0"/>
                <w:color w:val="auto"/>
                <w:kern w:val="0"/>
                <w:sz w:val="20"/>
                <w:szCs w:val="20"/>
                <w:highlight w:val="none"/>
                <w:lang w:val="en-US" w:eastAsia="zh-CN"/>
              </w:rPr>
              <w:t>纯碳与土砂等混合物</w:t>
            </w:r>
          </w:p>
        </w:tc>
        <w:tc>
          <w:tcPr>
            <w:tcW w:w="499" w:type="pct"/>
            <w:tcBorders>
              <w:tl2br w:val="nil"/>
              <w:tr2bl w:val="nil"/>
            </w:tcBorders>
            <w:vAlign w:val="center"/>
          </w:tcPr>
          <w:p w14:paraId="53CE5CE3">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tcBorders>
              <w:tl2br w:val="nil"/>
              <w:tr2bl w:val="nil"/>
            </w:tcBorders>
            <w:vAlign w:val="center"/>
          </w:tcPr>
          <w:p w14:paraId="6594D2B7">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经破碎、筛分、冲压成型成碳棒外售</w:t>
            </w:r>
          </w:p>
        </w:tc>
      </w:tr>
      <w:tr w14:paraId="227D3E7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2046EC54">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3BA56955">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碱液喷淋塔</w:t>
            </w:r>
          </w:p>
        </w:tc>
        <w:tc>
          <w:tcPr>
            <w:tcW w:w="357" w:type="pct"/>
            <w:tcBorders>
              <w:tl2br w:val="nil"/>
              <w:tr2bl w:val="nil"/>
            </w:tcBorders>
            <w:vAlign w:val="center"/>
          </w:tcPr>
          <w:p w14:paraId="66239FA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S3</w:t>
            </w:r>
          </w:p>
        </w:tc>
        <w:tc>
          <w:tcPr>
            <w:tcW w:w="744" w:type="pct"/>
            <w:tcBorders>
              <w:tl2br w:val="nil"/>
              <w:tr2bl w:val="nil"/>
            </w:tcBorders>
            <w:vAlign w:val="center"/>
          </w:tcPr>
          <w:p w14:paraId="67502419">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碱液喷淋塔沉渣</w:t>
            </w:r>
          </w:p>
        </w:tc>
        <w:tc>
          <w:tcPr>
            <w:tcW w:w="1074" w:type="pct"/>
            <w:tcBorders>
              <w:tl2br w:val="nil"/>
              <w:tr2bl w:val="nil"/>
            </w:tcBorders>
            <w:vAlign w:val="center"/>
          </w:tcPr>
          <w:p w14:paraId="1CA72B03">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沉渣</w:t>
            </w:r>
          </w:p>
        </w:tc>
        <w:tc>
          <w:tcPr>
            <w:tcW w:w="499" w:type="pct"/>
            <w:tcBorders>
              <w:tl2br w:val="nil"/>
              <w:tr2bl w:val="nil"/>
            </w:tcBorders>
            <w:vAlign w:val="center"/>
          </w:tcPr>
          <w:p w14:paraId="5AB9490C">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tcBorders>
              <w:tl2br w:val="nil"/>
              <w:tr2bl w:val="nil"/>
            </w:tcBorders>
            <w:vAlign w:val="center"/>
          </w:tcPr>
          <w:p w14:paraId="547D391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送至一般固废填埋场填埋处置</w:t>
            </w:r>
          </w:p>
        </w:tc>
      </w:tr>
      <w:tr w14:paraId="2441297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3CE33AFB">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4699C71F">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烟气净化</w:t>
            </w:r>
          </w:p>
        </w:tc>
        <w:tc>
          <w:tcPr>
            <w:tcW w:w="357" w:type="pct"/>
            <w:tcBorders>
              <w:tl2br w:val="nil"/>
              <w:tr2bl w:val="nil"/>
            </w:tcBorders>
            <w:vAlign w:val="center"/>
          </w:tcPr>
          <w:p w14:paraId="266912CA">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S4</w:t>
            </w:r>
          </w:p>
        </w:tc>
        <w:tc>
          <w:tcPr>
            <w:tcW w:w="744" w:type="pct"/>
            <w:tcBorders>
              <w:tl2br w:val="nil"/>
              <w:tr2bl w:val="nil"/>
            </w:tcBorders>
            <w:vAlign w:val="center"/>
          </w:tcPr>
          <w:p w14:paraId="7622E84C">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飞灰</w:t>
            </w:r>
          </w:p>
        </w:tc>
        <w:tc>
          <w:tcPr>
            <w:tcW w:w="1074" w:type="pct"/>
            <w:tcBorders>
              <w:tl2br w:val="nil"/>
              <w:tr2bl w:val="nil"/>
            </w:tcBorders>
            <w:vAlign w:val="center"/>
          </w:tcPr>
          <w:p w14:paraId="38F880BC">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飞灰</w:t>
            </w:r>
          </w:p>
        </w:tc>
        <w:tc>
          <w:tcPr>
            <w:tcW w:w="499" w:type="pct"/>
            <w:tcBorders>
              <w:tl2br w:val="nil"/>
              <w:tr2bl w:val="nil"/>
            </w:tcBorders>
            <w:vAlign w:val="center"/>
          </w:tcPr>
          <w:p w14:paraId="16127F23">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tcBorders>
              <w:tl2br w:val="nil"/>
              <w:tr2bl w:val="nil"/>
            </w:tcBorders>
            <w:vAlign w:val="center"/>
          </w:tcPr>
          <w:p w14:paraId="266A98ED">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垃圾填埋场填埋（经鉴别满足入场要求），否则纳入危险废物管理范畴，</w:t>
            </w:r>
            <w:r>
              <w:rPr>
                <w:rFonts w:hint="default" w:ascii="Times New Roman" w:hAnsi="Times New Roman" w:eastAsia="宋体" w:cs="Times New Roman"/>
                <w:color w:val="auto"/>
                <w:sz w:val="20"/>
                <w:szCs w:val="20"/>
                <w:highlight w:val="none"/>
                <w:lang w:val="en-US" w:eastAsia="zh-CN"/>
              </w:rPr>
              <w:t>危废暂存间暂存后</w:t>
            </w:r>
            <w:r>
              <w:rPr>
                <w:rFonts w:hint="default" w:ascii="Times New Roman" w:hAnsi="Times New Roman" w:eastAsia="宋体" w:cs="Times New Roman"/>
                <w:color w:val="auto"/>
                <w:kern w:val="0"/>
                <w:sz w:val="20"/>
                <w:szCs w:val="20"/>
                <w:highlight w:val="none"/>
                <w:lang w:val="en-US" w:eastAsia="zh-CN" w:bidi="ar"/>
              </w:rPr>
              <w:t>定期交由危废资质单位处置</w:t>
            </w:r>
          </w:p>
        </w:tc>
      </w:tr>
      <w:tr w14:paraId="56D4C57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23A959A7">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426D0563">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垃圾热解</w:t>
            </w:r>
          </w:p>
        </w:tc>
        <w:tc>
          <w:tcPr>
            <w:tcW w:w="357" w:type="pct"/>
            <w:tcBorders>
              <w:tl2br w:val="nil"/>
              <w:tr2bl w:val="nil"/>
            </w:tcBorders>
            <w:vAlign w:val="center"/>
          </w:tcPr>
          <w:p w14:paraId="732EFCB3">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S5</w:t>
            </w:r>
          </w:p>
        </w:tc>
        <w:tc>
          <w:tcPr>
            <w:tcW w:w="744" w:type="pct"/>
            <w:tcBorders>
              <w:tl2br w:val="nil"/>
              <w:tr2bl w:val="nil"/>
            </w:tcBorders>
            <w:vAlign w:val="center"/>
          </w:tcPr>
          <w:p w14:paraId="0E538F82">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焦油</w:t>
            </w:r>
          </w:p>
        </w:tc>
        <w:tc>
          <w:tcPr>
            <w:tcW w:w="1074" w:type="pct"/>
            <w:tcBorders>
              <w:tl2br w:val="nil"/>
              <w:tr2bl w:val="nil"/>
            </w:tcBorders>
            <w:vAlign w:val="center"/>
          </w:tcPr>
          <w:p w14:paraId="53F538AF">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矿物油</w:t>
            </w:r>
          </w:p>
        </w:tc>
        <w:tc>
          <w:tcPr>
            <w:tcW w:w="499" w:type="pct"/>
            <w:tcBorders>
              <w:tl2br w:val="nil"/>
              <w:tr2bl w:val="nil"/>
            </w:tcBorders>
            <w:vAlign w:val="center"/>
          </w:tcPr>
          <w:p w14:paraId="03187B2F">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vMerge w:val="restart"/>
            <w:tcBorders>
              <w:tl2br w:val="nil"/>
              <w:tr2bl w:val="nil"/>
            </w:tcBorders>
            <w:vAlign w:val="center"/>
          </w:tcPr>
          <w:p w14:paraId="32B5940A">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危废暂存间暂存，</w:t>
            </w:r>
            <w:r>
              <w:rPr>
                <w:rFonts w:hint="default" w:ascii="Times New Roman" w:hAnsi="Times New Roman" w:cs="Times New Roman"/>
                <w:color w:val="auto"/>
                <w:sz w:val="20"/>
                <w:szCs w:val="20"/>
                <w:highlight w:val="none"/>
                <w:lang w:val="en-US" w:eastAsia="zh-CN"/>
              </w:rPr>
              <w:t>定期交由危废资质单位处置</w:t>
            </w:r>
          </w:p>
        </w:tc>
      </w:tr>
      <w:tr w14:paraId="104F331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6638AF33">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6F3C2B51">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废气处理</w:t>
            </w:r>
          </w:p>
        </w:tc>
        <w:tc>
          <w:tcPr>
            <w:tcW w:w="357" w:type="pct"/>
            <w:tcBorders>
              <w:tl2br w:val="nil"/>
              <w:tr2bl w:val="nil"/>
            </w:tcBorders>
            <w:vAlign w:val="center"/>
          </w:tcPr>
          <w:p w14:paraId="5DE2F572">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S6</w:t>
            </w:r>
          </w:p>
        </w:tc>
        <w:tc>
          <w:tcPr>
            <w:tcW w:w="744" w:type="pct"/>
            <w:tcBorders>
              <w:tl2br w:val="nil"/>
              <w:tr2bl w:val="nil"/>
            </w:tcBorders>
            <w:vAlign w:val="center"/>
          </w:tcPr>
          <w:p w14:paraId="20F4779D">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废活性炭</w:t>
            </w:r>
          </w:p>
        </w:tc>
        <w:tc>
          <w:tcPr>
            <w:tcW w:w="1074" w:type="pct"/>
            <w:tcBorders>
              <w:tl2br w:val="nil"/>
              <w:tr2bl w:val="nil"/>
            </w:tcBorders>
            <w:vAlign w:val="center"/>
          </w:tcPr>
          <w:p w14:paraId="2A2206B9">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碳</w:t>
            </w:r>
          </w:p>
        </w:tc>
        <w:tc>
          <w:tcPr>
            <w:tcW w:w="499" w:type="pct"/>
            <w:tcBorders>
              <w:tl2br w:val="nil"/>
              <w:tr2bl w:val="nil"/>
            </w:tcBorders>
            <w:vAlign w:val="center"/>
          </w:tcPr>
          <w:p w14:paraId="6FD0F170">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vMerge w:val="continue"/>
            <w:tcBorders>
              <w:tl2br w:val="nil"/>
              <w:tr2bl w:val="nil"/>
            </w:tcBorders>
            <w:vAlign w:val="center"/>
          </w:tcPr>
          <w:p w14:paraId="0EB86DA1">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r>
      <w:tr w14:paraId="0E3ADD2C">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39" w:type="pct"/>
            <w:vMerge w:val="continue"/>
            <w:tcBorders>
              <w:tl2br w:val="nil"/>
              <w:tr2bl w:val="nil"/>
            </w:tcBorders>
            <w:vAlign w:val="center"/>
          </w:tcPr>
          <w:p w14:paraId="04B4FF0E">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0E873F1A">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废气处理</w:t>
            </w:r>
          </w:p>
        </w:tc>
        <w:tc>
          <w:tcPr>
            <w:tcW w:w="357" w:type="pct"/>
            <w:tcBorders>
              <w:tl2br w:val="nil"/>
              <w:tr2bl w:val="nil"/>
            </w:tcBorders>
            <w:vAlign w:val="center"/>
          </w:tcPr>
          <w:p w14:paraId="2038F5C2">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S7</w:t>
            </w:r>
          </w:p>
        </w:tc>
        <w:tc>
          <w:tcPr>
            <w:tcW w:w="744" w:type="pct"/>
            <w:tcBorders>
              <w:tl2br w:val="nil"/>
              <w:tr2bl w:val="nil"/>
            </w:tcBorders>
            <w:vAlign w:val="center"/>
          </w:tcPr>
          <w:p w14:paraId="1FB3D8AF">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废布袋</w:t>
            </w:r>
          </w:p>
        </w:tc>
        <w:tc>
          <w:tcPr>
            <w:tcW w:w="1074" w:type="pct"/>
            <w:tcBorders>
              <w:tl2br w:val="nil"/>
              <w:tr2bl w:val="nil"/>
            </w:tcBorders>
            <w:vAlign w:val="center"/>
          </w:tcPr>
          <w:p w14:paraId="00B57205">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纤维</w:t>
            </w:r>
          </w:p>
        </w:tc>
        <w:tc>
          <w:tcPr>
            <w:tcW w:w="499" w:type="pct"/>
            <w:tcBorders>
              <w:tl2br w:val="nil"/>
              <w:tr2bl w:val="nil"/>
            </w:tcBorders>
            <w:vAlign w:val="center"/>
          </w:tcPr>
          <w:p w14:paraId="48B6CD40">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vMerge w:val="continue"/>
            <w:tcBorders>
              <w:tl2br w:val="nil"/>
              <w:tr2bl w:val="nil"/>
            </w:tcBorders>
            <w:vAlign w:val="center"/>
          </w:tcPr>
          <w:p w14:paraId="6D9C8A79">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r>
      <w:tr w14:paraId="736ED4E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62DDEF8F">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596F0FBF">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设备维护保养</w:t>
            </w:r>
          </w:p>
        </w:tc>
        <w:tc>
          <w:tcPr>
            <w:tcW w:w="357" w:type="pct"/>
            <w:tcBorders>
              <w:tl2br w:val="nil"/>
              <w:tr2bl w:val="nil"/>
            </w:tcBorders>
            <w:vAlign w:val="center"/>
          </w:tcPr>
          <w:p w14:paraId="614DFE6C">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S8</w:t>
            </w:r>
          </w:p>
        </w:tc>
        <w:tc>
          <w:tcPr>
            <w:tcW w:w="744" w:type="pct"/>
            <w:tcBorders>
              <w:tl2br w:val="nil"/>
              <w:tr2bl w:val="nil"/>
            </w:tcBorders>
            <w:vAlign w:val="center"/>
          </w:tcPr>
          <w:p w14:paraId="289E2DF7">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废机油</w:t>
            </w:r>
          </w:p>
        </w:tc>
        <w:tc>
          <w:tcPr>
            <w:tcW w:w="1074" w:type="pct"/>
            <w:tcBorders>
              <w:tl2br w:val="nil"/>
              <w:tr2bl w:val="nil"/>
            </w:tcBorders>
            <w:vAlign w:val="center"/>
          </w:tcPr>
          <w:p w14:paraId="3A374AC7">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矿物油</w:t>
            </w:r>
          </w:p>
        </w:tc>
        <w:tc>
          <w:tcPr>
            <w:tcW w:w="499" w:type="pct"/>
            <w:tcBorders>
              <w:tl2br w:val="nil"/>
              <w:tr2bl w:val="nil"/>
            </w:tcBorders>
            <w:vAlign w:val="center"/>
          </w:tcPr>
          <w:p w14:paraId="17DAE758">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vMerge w:val="continue"/>
            <w:tcBorders>
              <w:tl2br w:val="nil"/>
              <w:tr2bl w:val="nil"/>
            </w:tcBorders>
            <w:vAlign w:val="center"/>
          </w:tcPr>
          <w:p w14:paraId="60FDA2B0">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r>
      <w:tr w14:paraId="3829162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39" w:type="pct"/>
            <w:vMerge w:val="continue"/>
            <w:tcBorders>
              <w:tl2br w:val="nil"/>
              <w:tr2bl w:val="nil"/>
            </w:tcBorders>
            <w:vAlign w:val="center"/>
          </w:tcPr>
          <w:p w14:paraId="2FBC593E">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800" w:type="pct"/>
            <w:tcBorders>
              <w:tl2br w:val="nil"/>
              <w:tr2bl w:val="nil"/>
            </w:tcBorders>
            <w:vAlign w:val="center"/>
          </w:tcPr>
          <w:p w14:paraId="40595872">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设备维护保养</w:t>
            </w:r>
          </w:p>
        </w:tc>
        <w:tc>
          <w:tcPr>
            <w:tcW w:w="357" w:type="pct"/>
            <w:tcBorders>
              <w:tl2br w:val="nil"/>
              <w:tr2bl w:val="nil"/>
            </w:tcBorders>
            <w:vAlign w:val="center"/>
          </w:tcPr>
          <w:p w14:paraId="76C7102B">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S9</w:t>
            </w:r>
          </w:p>
        </w:tc>
        <w:tc>
          <w:tcPr>
            <w:tcW w:w="744" w:type="pct"/>
            <w:tcBorders>
              <w:tl2br w:val="nil"/>
              <w:tr2bl w:val="nil"/>
            </w:tcBorders>
            <w:vAlign w:val="center"/>
          </w:tcPr>
          <w:p w14:paraId="2BB34A92">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cs="Times New Roman"/>
                <w:color w:val="auto"/>
                <w:sz w:val="20"/>
                <w:szCs w:val="20"/>
                <w:highlight w:val="none"/>
                <w:lang w:val="en-US" w:eastAsia="zh-CN"/>
              </w:rPr>
              <w:t>废含油棉纱手套</w:t>
            </w:r>
          </w:p>
        </w:tc>
        <w:tc>
          <w:tcPr>
            <w:tcW w:w="1074" w:type="pct"/>
            <w:tcBorders>
              <w:tl2br w:val="nil"/>
              <w:tr2bl w:val="nil"/>
            </w:tcBorders>
            <w:vAlign w:val="center"/>
          </w:tcPr>
          <w:p w14:paraId="0E5A525A">
            <w:pPr>
              <w:keepNext w:val="0"/>
              <w:keepLines w:val="0"/>
              <w:suppressLineNumbers w:val="0"/>
              <w:autoSpaceDE w:val="0"/>
              <w:autoSpaceDN w:val="0"/>
              <w:adjustRightInd w:val="0"/>
              <w:snapToGrid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矿物油</w:t>
            </w:r>
          </w:p>
        </w:tc>
        <w:tc>
          <w:tcPr>
            <w:tcW w:w="499" w:type="pct"/>
            <w:tcBorders>
              <w:tl2br w:val="nil"/>
              <w:tr2bl w:val="nil"/>
            </w:tcBorders>
            <w:vAlign w:val="center"/>
          </w:tcPr>
          <w:p w14:paraId="1026E7FD">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间断</w:t>
            </w:r>
          </w:p>
        </w:tc>
        <w:tc>
          <w:tcPr>
            <w:tcW w:w="1184" w:type="pct"/>
            <w:vMerge w:val="continue"/>
            <w:tcBorders>
              <w:tl2br w:val="nil"/>
              <w:tr2bl w:val="nil"/>
            </w:tcBorders>
            <w:vAlign w:val="center"/>
          </w:tcPr>
          <w:p w14:paraId="1C72CE0B">
            <w:pPr>
              <w:keepNext w:val="0"/>
              <w:keepLines w:val="0"/>
              <w:widowControl/>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r>
    </w:tbl>
    <w:p w14:paraId="6BBB51DC">
      <w:pPr>
        <w:pStyle w:val="14"/>
        <w:ind w:firstLine="480"/>
        <w:rPr>
          <w:rFonts w:hint="default" w:ascii="Times New Roman" w:hAnsi="Times New Roman" w:cs="Times New Roman"/>
          <w:color w:val="auto"/>
          <w:highlight w:val="none"/>
        </w:rPr>
      </w:pPr>
    </w:p>
    <w:p w14:paraId="6881BC1D">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运营期污染物产生、治理及排放</w:t>
      </w:r>
    </w:p>
    <w:p w14:paraId="6FC0D680">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废气</w:t>
      </w:r>
    </w:p>
    <w:p w14:paraId="1DE9341D">
      <w:pPr>
        <w:pStyle w:val="14"/>
        <w:keepLines w:val="0"/>
        <w:pageBreakBefore w:val="0"/>
        <w:numPr>
          <w:ilvl w:val="0"/>
          <w:numId w:val="0"/>
        </w:numPr>
        <w:kinsoku/>
        <w:wordWrap/>
        <w:overflowPunct/>
        <w:topLinePunct w:val="0"/>
        <w:bidi w:val="0"/>
        <w:ind w:firstLine="480" w:firstLineChars="200"/>
        <w:outlineLvl w:val="9"/>
        <w:rPr>
          <w:rFonts w:hint="default" w:ascii="Times New Roman" w:hAnsi="Times New Roman" w:cs="Times New Roman" w:eastAsiaTheme="minorEastAsia"/>
          <w:color w:val="auto"/>
          <w:highlight w:val="none"/>
          <w:lang w:val="en-US" w:eastAsia="zh-CN"/>
        </w:rPr>
      </w:pPr>
      <w:r>
        <w:rPr>
          <w:rFonts w:hint="default" w:ascii="Times New Roman" w:hAnsi="Times New Roman" w:cs="Times New Roman"/>
          <w:color w:val="auto"/>
          <w:highlight w:val="none"/>
        </w:rPr>
        <w:t>本项目运营期废气</w:t>
      </w:r>
      <w:r>
        <w:rPr>
          <w:rFonts w:hint="default" w:ascii="Times New Roman" w:hAnsi="Times New Roman" w:cs="Times New Roman"/>
          <w:color w:val="auto"/>
          <w:highlight w:val="none"/>
          <w:lang w:val="en-US" w:eastAsia="zh-CN"/>
        </w:rPr>
        <w:t>主要</w:t>
      </w:r>
      <w:r>
        <w:rPr>
          <w:rFonts w:hint="eastAsia" w:ascii="Times New Roman" w:hAnsi="Times New Roman" w:cs="Times New Roman"/>
          <w:color w:val="auto"/>
          <w:highlight w:val="none"/>
          <w:lang w:val="en-US" w:eastAsia="zh-CN"/>
        </w:rPr>
        <w:t>有：</w:t>
      </w:r>
      <w:r>
        <w:rPr>
          <w:rFonts w:hint="default" w:ascii="Times New Roman" w:hAnsi="Times New Roman" w:cs="Times New Roman"/>
          <w:color w:val="auto"/>
          <w:highlight w:val="none"/>
          <w:lang w:val="en-US" w:eastAsia="zh-CN"/>
        </w:rPr>
        <w:t>（1）生活垃圾恶臭G1；（2）净化热解气燃烧烟气G</w:t>
      </w:r>
      <w:r>
        <w:rPr>
          <w:rFonts w:hint="eastAsia" w:ascii="Times New Roman" w:hAnsi="Times New Roman" w:cs="Times New Roman"/>
          <w:color w:val="auto"/>
          <w:highlight w:val="none"/>
          <w:lang w:val="en-US" w:eastAsia="zh-CN"/>
        </w:rPr>
        <w:t>2</w:t>
      </w:r>
      <w:r>
        <w:rPr>
          <w:rFonts w:hint="default" w:ascii="Times New Roman" w:hAnsi="Times New Roman" w:cs="Times New Roman"/>
          <w:color w:val="auto"/>
          <w:highlight w:val="none"/>
          <w:lang w:val="en-US" w:eastAsia="zh-CN"/>
        </w:rPr>
        <w:t>，其中的主要污染物可分为烟尘（颗粒物）、酸性气体（HCl、SO</w:t>
      </w:r>
      <w:r>
        <w:rPr>
          <w:rFonts w:hint="default" w:ascii="Times New Roman" w:hAnsi="Times New Roman" w:cs="Times New Roman"/>
          <w:color w:val="auto"/>
          <w:highlight w:val="none"/>
          <w:vertAlign w:val="subscript"/>
          <w:lang w:val="en-US" w:eastAsia="zh-CN"/>
        </w:rPr>
        <w:t>2</w:t>
      </w:r>
      <w:r>
        <w:rPr>
          <w:rFonts w:hint="default" w:ascii="Times New Roman" w:hAnsi="Times New Roman" w:cs="Times New Roman"/>
          <w:color w:val="auto"/>
          <w:highlight w:val="none"/>
          <w:lang w:val="en-US" w:eastAsia="zh-CN"/>
        </w:rPr>
        <w:t>、NO</w:t>
      </w:r>
      <w:r>
        <w:rPr>
          <w:rFonts w:hint="default" w:ascii="Times New Roman" w:hAnsi="Times New Roman" w:cs="Times New Roman"/>
          <w:color w:val="auto"/>
          <w:highlight w:val="none"/>
          <w:vertAlign w:val="subscript"/>
          <w:lang w:val="en-US" w:eastAsia="zh-CN"/>
        </w:rPr>
        <w:t>X</w:t>
      </w:r>
      <w:r>
        <w:rPr>
          <w:rFonts w:hint="default" w:ascii="Times New Roman" w:hAnsi="Times New Roman" w:cs="Times New Roman"/>
          <w:color w:val="auto"/>
          <w:highlight w:val="none"/>
          <w:lang w:val="en-US" w:eastAsia="zh-CN"/>
        </w:rPr>
        <w:t>等）、重金属（Hg、Pb、Cd等）和有机剧毒性污染物（二噁英等）等几大类；（3）炭黑渣加工粉尘G</w:t>
      </w:r>
      <w:r>
        <w:rPr>
          <w:rFonts w:hint="eastAsia" w:ascii="Times New Roman" w:hAnsi="Times New Roman" w:cs="Times New Roman"/>
          <w:color w:val="auto"/>
          <w:highlight w:val="none"/>
          <w:lang w:val="en-US" w:eastAsia="zh-CN"/>
        </w:rPr>
        <w:t>3</w:t>
      </w:r>
      <w:r>
        <w:rPr>
          <w:rFonts w:hint="default" w:ascii="Times New Roman" w:hAnsi="Times New Roman" w:cs="Times New Roman"/>
          <w:color w:val="auto"/>
          <w:highlight w:val="none"/>
          <w:lang w:val="en-US" w:eastAsia="zh-CN"/>
        </w:rPr>
        <w:t>；（4）柴油发电机废气G</w:t>
      </w:r>
      <w:r>
        <w:rPr>
          <w:rFonts w:hint="eastAsia" w:ascii="Times New Roman" w:hAnsi="Times New Roman" w:cs="Times New Roman"/>
          <w:color w:val="auto"/>
          <w:highlight w:val="none"/>
          <w:lang w:val="en-US" w:eastAsia="zh-CN"/>
        </w:rPr>
        <w:t>4</w:t>
      </w:r>
      <w:r>
        <w:rPr>
          <w:rFonts w:hint="default" w:ascii="Times New Roman" w:hAnsi="Times New Roman" w:cs="Times New Roman"/>
          <w:color w:val="auto"/>
          <w:highlight w:val="none"/>
          <w:lang w:val="en-US" w:eastAsia="zh-CN"/>
        </w:rPr>
        <w:t>。针对上</w:t>
      </w:r>
      <w:r>
        <w:rPr>
          <w:rFonts w:hint="default" w:ascii="Times New Roman" w:hAnsi="Times New Roman" w:cs="Times New Roman"/>
          <w:color w:val="auto"/>
          <w:highlight w:val="none"/>
          <w:lang w:eastAsia="zh-CN"/>
        </w:rPr>
        <w:t>述废气，</w:t>
      </w:r>
      <w:r>
        <w:rPr>
          <w:rFonts w:hint="default" w:ascii="Times New Roman" w:hAnsi="Times New Roman" w:cs="Times New Roman"/>
          <w:color w:val="auto"/>
          <w:szCs w:val="24"/>
          <w:highlight w:val="none"/>
        </w:rPr>
        <w:t>运营期共设置2根废气排气筒，分别为：恶臭排气筒</w:t>
      </w:r>
      <w:r>
        <w:rPr>
          <w:rFonts w:hint="eastAsia" w:ascii="Times New Roman" w:hAnsi="Times New Roman" w:cs="Times New Roman"/>
          <w:color w:val="auto"/>
          <w:szCs w:val="24"/>
          <w:highlight w:val="none"/>
          <w:lang w:val="en-US" w:eastAsia="zh-CN"/>
        </w:rPr>
        <w:t>DA001</w:t>
      </w:r>
      <w:r>
        <w:rPr>
          <w:rFonts w:hint="eastAsia" w:ascii="Times New Roman" w:hAnsi="Times New Roman" w:cs="Times New Roman"/>
          <w:color w:val="auto"/>
          <w:szCs w:val="24"/>
          <w:highlight w:val="none"/>
          <w:lang w:eastAsia="zh-CN"/>
        </w:rPr>
        <w:t>、</w:t>
      </w:r>
      <w:r>
        <w:rPr>
          <w:rFonts w:hint="default" w:ascii="Times New Roman" w:hAnsi="Times New Roman" w:cs="Times New Roman"/>
          <w:color w:val="auto"/>
          <w:szCs w:val="24"/>
          <w:highlight w:val="none"/>
        </w:rPr>
        <w:t>烟气尾气排气筒</w:t>
      </w:r>
      <w:r>
        <w:rPr>
          <w:rFonts w:hint="eastAsia" w:ascii="Times New Roman" w:hAnsi="Times New Roman" w:cs="Times New Roman"/>
          <w:color w:val="auto"/>
          <w:szCs w:val="24"/>
          <w:highlight w:val="none"/>
          <w:lang w:val="en-US" w:eastAsia="zh-CN"/>
        </w:rPr>
        <w:t>DA002</w:t>
      </w:r>
      <w:r>
        <w:rPr>
          <w:rFonts w:hint="default" w:ascii="Times New Roman" w:hAnsi="Times New Roman" w:cs="Times New Roman"/>
          <w:color w:val="auto"/>
          <w:szCs w:val="24"/>
          <w:highlight w:val="none"/>
          <w:lang w:eastAsia="zh-CN"/>
        </w:rPr>
        <w:t>。</w:t>
      </w:r>
    </w:p>
    <w:p w14:paraId="59299DFE">
      <w:pPr>
        <w:keepNext w:val="0"/>
        <w:keepLines w:val="0"/>
        <w:pageBreakBefore w:val="0"/>
        <w:widowControl/>
        <w:suppressLineNumbers w:val="0"/>
        <w:kinsoku/>
        <w:wordWrap/>
        <w:overflowPunct/>
        <w:topLinePunct w:val="0"/>
        <w:bidi w:val="0"/>
        <w:ind w:firstLine="420" w:firstLineChars="200"/>
        <w:jc w:val="left"/>
        <w:outlineLvl w:val="9"/>
        <w:rPr>
          <w:rFonts w:hint="default" w:ascii="Times New Roman" w:hAnsi="Times New Roman" w:cs="Times New Roman"/>
          <w:color w:val="auto"/>
          <w:highlight w:val="none"/>
        </w:rPr>
      </w:pPr>
    </w:p>
    <w:p w14:paraId="23D11234">
      <w:pPr>
        <w:pStyle w:val="17"/>
        <w:keepLines w:val="0"/>
        <w:pageBreakBefore w:val="0"/>
        <w:widowControl w:val="0"/>
        <w:numPr>
          <w:ilvl w:val="0"/>
          <w:numId w:val="0"/>
        </w:numPr>
        <w:kinsoku/>
        <w:wordWrap/>
        <w:overflowPunct/>
        <w:topLinePunct w:val="0"/>
        <w:bidi w:val="0"/>
        <w:spacing w:line="360" w:lineRule="auto"/>
        <w:jc w:val="both"/>
        <w:outlineLvl w:val="9"/>
        <w:rPr>
          <w:rFonts w:hint="default" w:ascii="Times New Roman" w:hAnsi="Times New Roman" w:eastAsia="宋体" w:cs="Times New Roman"/>
          <w:color w:val="auto"/>
          <w:kern w:val="0"/>
          <w:sz w:val="24"/>
          <w:szCs w:val="24"/>
          <w:highlight w:val="none"/>
          <w:lang w:val="en-US" w:eastAsia="zh-CN" w:bidi="ar"/>
        </w:rPr>
        <w:sectPr>
          <w:headerReference r:id="rId21" w:type="default"/>
          <w:footerReference r:id="rId22"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06847B8F">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废水</w:t>
      </w:r>
    </w:p>
    <w:p w14:paraId="687F031E">
      <w:pPr>
        <w:keepNext w:val="0"/>
        <w:keepLines w:val="0"/>
        <w:pageBreakBefore w:val="0"/>
        <w:widowControl/>
        <w:numPr>
          <w:ilvl w:val="0"/>
          <w:numId w:val="0"/>
        </w:numPr>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本项目废水主要为垃圾暂存池内产生的垃圾渗滤液（W1）、喷淋塔碱液喷淋废液（W2）、冲洗废水（W3）、冷却塔循环排污水（W4）、初期雨水（W5）、生活污水（W6）等。</w:t>
      </w:r>
    </w:p>
    <w:p w14:paraId="7C6895DD">
      <w:pPr>
        <w:numPr>
          <w:ilvl w:val="0"/>
          <w:numId w:val="0"/>
        </w:numPr>
        <w:adjustRightInd w:val="0"/>
        <w:spacing w:line="360" w:lineRule="auto"/>
        <w:ind w:firstLine="480" w:firstLineChars="200"/>
        <w:jc w:val="left"/>
        <w:textAlignment w:val="baseline"/>
        <w:rPr>
          <w:rFonts w:hint="default" w:ascii="Times New Roman" w:hAnsi="Times New Roman" w:cs="Times New Roman"/>
          <w:color w:val="auto"/>
          <w:spacing w:val="-3"/>
          <w:sz w:val="24"/>
          <w:szCs w:val="24"/>
          <w:highlight w:val="none"/>
          <w:lang w:val="en-US" w:eastAsia="zh-CN"/>
        </w:rPr>
      </w:pPr>
      <w:r>
        <w:rPr>
          <w:rFonts w:hint="eastAsia" w:ascii="Times New Roman" w:hAnsi="Times New Roman" w:cs="Times New Roman"/>
          <w:color w:val="auto"/>
          <w:sz w:val="24"/>
          <w:szCs w:val="24"/>
          <w:highlight w:val="none"/>
          <w:lang w:val="en-US" w:eastAsia="zh-CN"/>
        </w:rPr>
        <w:t>目前</w:t>
      </w:r>
      <w:r>
        <w:rPr>
          <w:rFonts w:hint="eastAsia" w:ascii="Times New Roman" w:hAnsi="Times New Roman" w:cs="Times New Roman"/>
          <w:color w:val="auto"/>
          <w:spacing w:val="-3"/>
          <w:sz w:val="24"/>
          <w:szCs w:val="24"/>
          <w:highlight w:val="none"/>
          <w:lang w:val="en-US" w:eastAsia="zh-CN"/>
        </w:rPr>
        <w:t>普安镇垃圾填埋场配套的渗滤液处理站正在进行提标改造（暂时停运中），为保障本项目尽早顺利投运，经各方沟通协调，确定本项目废水处理方案如下：</w:t>
      </w:r>
    </w:p>
    <w:p w14:paraId="7D765CCA">
      <w:pPr>
        <w:numPr>
          <w:ilvl w:val="0"/>
          <w:numId w:val="0"/>
        </w:numPr>
        <w:adjustRightInd w:val="0"/>
        <w:spacing w:line="360" w:lineRule="auto"/>
        <w:ind w:firstLine="480" w:firstLineChars="200"/>
        <w:jc w:val="left"/>
        <w:textAlignment w:val="baseline"/>
        <w:rPr>
          <w:rFonts w:hint="eastAsia" w:ascii="Times New Roman" w:hAnsi="Times New Roman" w:cs="Times New Roman"/>
          <w:color w:val="auto"/>
          <w:spacing w:val="-3"/>
          <w:sz w:val="24"/>
          <w:szCs w:val="24"/>
          <w:highlight w:val="none"/>
          <w:lang w:val="en-US" w:eastAsia="zh-CN"/>
        </w:rPr>
      </w:pPr>
      <w:r>
        <w:rPr>
          <w:rFonts w:hint="eastAsia" w:ascii="Times New Roman" w:hAnsi="Times New Roman" w:eastAsia="宋体" w:cs="Times New Roman"/>
          <w:b w:val="0"/>
          <w:bCs w:val="0"/>
          <w:color w:val="auto"/>
          <w:kern w:val="0"/>
          <w:sz w:val="24"/>
          <w:szCs w:val="24"/>
          <w:highlight w:val="none"/>
          <w:lang w:val="en-US" w:eastAsia="zh-CN" w:bidi="ar"/>
        </w:rPr>
        <w:t>厂内</w:t>
      </w:r>
      <w:r>
        <w:rPr>
          <w:rFonts w:hint="eastAsia" w:ascii="Times New Roman" w:hAnsi="Times New Roman" w:eastAsia="宋体" w:cs="Times New Roman"/>
          <w:color w:val="auto"/>
          <w:kern w:val="0"/>
          <w:sz w:val="24"/>
          <w:szCs w:val="24"/>
          <w:highlight w:val="none"/>
          <w:lang w:val="en-US" w:eastAsia="zh-CN" w:bidi="ar"/>
        </w:rPr>
        <w:t>新建1套渗滤液处理系统（45t/d），</w:t>
      </w:r>
      <w:r>
        <w:rPr>
          <w:rFonts w:hint="default" w:ascii="Times New Roman" w:hAnsi="Times New Roman" w:eastAsia="宋体" w:cs="Times New Roman"/>
          <w:color w:val="auto"/>
          <w:kern w:val="0"/>
          <w:sz w:val="24"/>
          <w:szCs w:val="24"/>
          <w:highlight w:val="none"/>
          <w:lang w:val="en-US" w:eastAsia="zh-CN" w:bidi="ar"/>
        </w:rPr>
        <w:t>废水</w:t>
      </w:r>
      <w:r>
        <w:rPr>
          <w:rFonts w:hint="eastAsia" w:ascii="Times New Roman" w:hAnsi="Times New Roman" w:eastAsia="宋体" w:cs="Times New Roman"/>
          <w:color w:val="auto"/>
          <w:kern w:val="0"/>
          <w:sz w:val="24"/>
          <w:szCs w:val="24"/>
          <w:highlight w:val="none"/>
          <w:lang w:val="en-US" w:eastAsia="zh-CN" w:bidi="ar"/>
        </w:rPr>
        <w:t>经渗</w:t>
      </w:r>
      <w:r>
        <w:rPr>
          <w:rFonts w:hint="eastAsia" w:ascii="Times New Roman" w:hAnsi="Times New Roman" w:cs="Times New Roman"/>
          <w:color w:val="auto"/>
          <w:spacing w:val="-3"/>
          <w:sz w:val="24"/>
          <w:szCs w:val="24"/>
          <w:highlight w:val="none"/>
          <w:lang w:val="en-US" w:eastAsia="zh-CN"/>
        </w:rPr>
        <w:t>滤液处理系统预处理达普安镇污水处理厂设计进水水质要求后由罐车转运至普安镇污水处理厂，处理达</w:t>
      </w:r>
      <w:r>
        <w:rPr>
          <w:rFonts w:hint="default" w:ascii="Times New Roman" w:hAnsi="Times New Roman" w:cs="Times New Roman"/>
          <w:color w:val="auto"/>
          <w:spacing w:val="-3"/>
          <w:sz w:val="24"/>
          <w:szCs w:val="24"/>
          <w:highlight w:val="none"/>
          <w:lang w:val="en-US" w:eastAsia="zh-CN"/>
        </w:rPr>
        <w:t>《城镇污水处理厂污染物排放标准》</w:t>
      </w:r>
      <w:r>
        <w:rPr>
          <w:rFonts w:hint="eastAsia" w:ascii="Times New Roman" w:hAnsi="Times New Roman" w:cs="Times New Roman"/>
          <w:color w:val="auto"/>
          <w:spacing w:val="-3"/>
          <w:sz w:val="24"/>
          <w:szCs w:val="24"/>
          <w:highlight w:val="none"/>
          <w:lang w:val="en-US" w:eastAsia="zh-CN"/>
        </w:rPr>
        <w:t>GB18918-2002）</w:t>
      </w:r>
      <w:r>
        <w:rPr>
          <w:rFonts w:hint="default" w:ascii="Times New Roman" w:hAnsi="Times New Roman" w:cs="Times New Roman"/>
          <w:color w:val="auto"/>
          <w:spacing w:val="-3"/>
          <w:sz w:val="24"/>
          <w:szCs w:val="24"/>
          <w:highlight w:val="none"/>
          <w:lang w:val="en-US" w:eastAsia="zh-CN"/>
        </w:rPr>
        <w:t>一级A</w:t>
      </w:r>
      <w:r>
        <w:rPr>
          <w:rFonts w:hint="eastAsia" w:ascii="Times New Roman" w:hAnsi="Times New Roman" w:cs="Times New Roman"/>
          <w:color w:val="auto"/>
          <w:spacing w:val="-3"/>
          <w:sz w:val="24"/>
          <w:szCs w:val="24"/>
          <w:highlight w:val="none"/>
          <w:lang w:val="en-US" w:eastAsia="zh-CN"/>
        </w:rPr>
        <w:t>标准后外排闻溪河。</w:t>
      </w:r>
    </w:p>
    <w:p w14:paraId="613249BF">
      <w:pPr>
        <w:numPr>
          <w:ilvl w:val="0"/>
          <w:numId w:val="0"/>
        </w:numPr>
        <w:adjustRightInd w:val="0"/>
        <w:spacing w:line="360" w:lineRule="auto"/>
        <w:ind w:firstLine="468" w:firstLineChars="200"/>
        <w:jc w:val="left"/>
        <w:textAlignment w:val="baseline"/>
        <w:rPr>
          <w:rFonts w:hint="eastAsia" w:ascii="Times New Roman" w:hAnsi="Times New Roman" w:cs="Times New Roman"/>
          <w:color w:val="auto"/>
          <w:sz w:val="24"/>
          <w:szCs w:val="24"/>
          <w:highlight w:val="none"/>
          <w:lang w:eastAsia="zh-CN"/>
        </w:rPr>
      </w:pPr>
      <w:r>
        <w:rPr>
          <w:rFonts w:hint="eastAsia" w:ascii="Times New Roman" w:hAnsi="Times New Roman" w:cs="Times New Roman"/>
          <w:color w:val="auto"/>
          <w:spacing w:val="-3"/>
          <w:sz w:val="24"/>
          <w:szCs w:val="24"/>
          <w:highlight w:val="none"/>
          <w:lang w:val="en-US" w:eastAsia="zh-CN"/>
        </w:rPr>
        <w:t>待</w:t>
      </w:r>
      <w:r>
        <w:rPr>
          <w:rFonts w:hint="default" w:ascii="Times New Roman" w:hAnsi="Times New Roman" w:cs="Times New Roman"/>
          <w:color w:val="auto"/>
          <w:sz w:val="24"/>
          <w:szCs w:val="24"/>
          <w:highlight w:val="none"/>
          <w:lang w:val="en-US" w:eastAsia="zh-CN"/>
        </w:rPr>
        <w:t>填埋场垃圾渗滤液处理站</w:t>
      </w:r>
      <w:r>
        <w:rPr>
          <w:rFonts w:hint="eastAsia" w:ascii="Times New Roman" w:hAnsi="Times New Roman" w:cs="Times New Roman"/>
          <w:color w:val="auto"/>
          <w:spacing w:val="-3"/>
          <w:sz w:val="24"/>
          <w:szCs w:val="24"/>
          <w:highlight w:val="none"/>
          <w:lang w:val="en-US" w:eastAsia="zh-CN"/>
        </w:rPr>
        <w:t>提标改造完成后，废水经管道进入</w:t>
      </w:r>
      <w:r>
        <w:rPr>
          <w:rFonts w:hint="default" w:ascii="Times New Roman" w:hAnsi="Times New Roman" w:cs="Times New Roman"/>
          <w:color w:val="auto"/>
          <w:sz w:val="24"/>
          <w:szCs w:val="24"/>
          <w:highlight w:val="none"/>
          <w:lang w:val="en-US" w:eastAsia="zh-CN"/>
        </w:rPr>
        <w:t>垃圾填埋场</w:t>
      </w:r>
      <w:r>
        <w:rPr>
          <w:rFonts w:hint="eastAsia" w:ascii="Times New Roman" w:hAnsi="Times New Roman" w:cs="Times New Roman"/>
          <w:color w:val="auto"/>
          <w:sz w:val="24"/>
          <w:szCs w:val="24"/>
          <w:highlight w:val="none"/>
          <w:lang w:val="en-US" w:eastAsia="zh-CN"/>
        </w:rPr>
        <w:t>渗滤液处理站</w:t>
      </w:r>
      <w:r>
        <w:rPr>
          <w:rFonts w:hint="default" w:ascii="Times New Roman" w:hAnsi="Times New Roman" w:cs="Times New Roman"/>
          <w:color w:val="auto"/>
          <w:sz w:val="24"/>
          <w:szCs w:val="24"/>
          <w:highlight w:val="none"/>
          <w:lang w:val="en-US" w:eastAsia="zh-CN"/>
        </w:rPr>
        <w:t>，处理达</w:t>
      </w:r>
      <w:r>
        <w:rPr>
          <w:rFonts w:hint="default" w:ascii="Times New Roman" w:hAnsi="Times New Roman" w:cs="Times New Roman"/>
          <w:color w:val="auto"/>
          <w:sz w:val="24"/>
          <w:szCs w:val="24"/>
          <w:highlight w:val="none"/>
        </w:rPr>
        <w:t>《生活垃圾填埋污染控制标准》</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GB16889-2008</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中</w:t>
      </w:r>
      <w:r>
        <w:rPr>
          <w:rFonts w:hint="default" w:ascii="Times New Roman" w:hAnsi="Times New Roman" w:cs="Times New Roman"/>
          <w:color w:val="auto"/>
          <w:sz w:val="24"/>
          <w:szCs w:val="24"/>
          <w:highlight w:val="none"/>
          <w:lang w:eastAsia="zh-CN"/>
        </w:rPr>
        <w:t>标准限值要求后</w:t>
      </w:r>
      <w:r>
        <w:rPr>
          <w:rFonts w:hint="eastAsia" w:ascii="Times New Roman" w:hAnsi="Times New Roman" w:cs="Times New Roman"/>
          <w:color w:val="auto"/>
          <w:sz w:val="24"/>
          <w:szCs w:val="24"/>
          <w:highlight w:val="none"/>
          <w:lang w:val="en-US" w:eastAsia="zh-CN"/>
        </w:rPr>
        <w:t>外排</w:t>
      </w:r>
      <w:r>
        <w:rPr>
          <w:rFonts w:hint="default" w:ascii="Times New Roman" w:hAnsi="Times New Roman" w:cs="Times New Roman"/>
          <w:color w:val="auto"/>
          <w:sz w:val="24"/>
          <w:szCs w:val="24"/>
          <w:highlight w:val="none"/>
          <w:lang w:eastAsia="zh-CN"/>
        </w:rPr>
        <w:t>闻溪河</w:t>
      </w:r>
      <w:r>
        <w:rPr>
          <w:rFonts w:hint="eastAsia" w:ascii="Times New Roman" w:hAnsi="Times New Roman" w:cs="Times New Roman"/>
          <w:color w:val="auto"/>
          <w:sz w:val="24"/>
          <w:szCs w:val="24"/>
          <w:highlight w:val="none"/>
          <w:lang w:eastAsia="zh-CN"/>
        </w:rPr>
        <w:t>。</w:t>
      </w:r>
    </w:p>
    <w:p w14:paraId="08DEB6F7">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噪声</w:t>
      </w:r>
    </w:p>
    <w:p w14:paraId="10674D86">
      <w:pPr>
        <w:spacing w:beforeLines="0" w:afterLines="0"/>
        <w:ind w:firstLine="480" w:firstLineChars="200"/>
        <w:jc w:val="left"/>
        <w:rPr>
          <w:rFonts w:hint="default" w:ascii="Times New Roman" w:hAnsi="Times New Roman" w:cs="Times New Roman" w:eastAsiaTheme="minorEastAsia"/>
          <w:b/>
          <w:bCs/>
          <w:color w:val="auto"/>
          <w:kern w:val="2"/>
          <w:sz w:val="24"/>
          <w:szCs w:val="21"/>
          <w:highlight w:val="none"/>
          <w:lang w:val="en-US" w:eastAsia="zh-CN" w:bidi="ar-SA"/>
        </w:rPr>
      </w:pPr>
      <w:r>
        <w:rPr>
          <w:rFonts w:hint="default" w:ascii="Times New Roman" w:hAnsi="Times New Roman" w:cs="Times New Roman"/>
          <w:b/>
          <w:bCs/>
          <w:color w:val="auto"/>
          <w:kern w:val="2"/>
          <w:sz w:val="24"/>
          <w:szCs w:val="21"/>
          <w:highlight w:val="none"/>
          <w:lang w:val="en-US" w:eastAsia="zh-CN" w:bidi="ar-SA"/>
        </w:rPr>
        <w:t>1、噪声源强</w:t>
      </w:r>
    </w:p>
    <w:p w14:paraId="71055048">
      <w:pPr>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运营期噪声主要来源于</w:t>
      </w:r>
      <w:r>
        <w:rPr>
          <w:rFonts w:hint="default" w:ascii="Times New Roman" w:hAnsi="Times New Roman" w:cs="Times New Roman"/>
          <w:color w:val="auto"/>
          <w:sz w:val="24"/>
          <w:szCs w:val="24"/>
          <w:highlight w:val="none"/>
          <w:lang w:val="en-US" w:eastAsia="zh-CN"/>
        </w:rPr>
        <w:t>破碎机、</w:t>
      </w:r>
      <w:r>
        <w:rPr>
          <w:rFonts w:hint="default" w:ascii="Times New Roman" w:hAnsi="Times New Roman" w:cs="Times New Roman"/>
          <w:color w:val="auto"/>
          <w:sz w:val="24"/>
          <w:szCs w:val="24"/>
          <w:highlight w:val="none"/>
        </w:rPr>
        <w:t>磁选机</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热分解焚烧设备</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风机</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冷却塔、水泵</w:t>
      </w:r>
      <w:r>
        <w:rPr>
          <w:rFonts w:hint="default" w:ascii="Times New Roman" w:hAnsi="Times New Roman" w:cs="Times New Roman"/>
          <w:color w:val="auto"/>
          <w:sz w:val="24"/>
          <w:szCs w:val="24"/>
          <w:highlight w:val="none"/>
        </w:rPr>
        <w:t>等设备运行时产生的噪声，产噪声级值为80～9</w:t>
      </w:r>
      <w:r>
        <w:rPr>
          <w:rFonts w:hint="default" w:ascii="Times New Roman" w:hAnsi="Times New Roman" w:cs="Times New Roman"/>
          <w:color w:val="auto"/>
          <w:sz w:val="24"/>
          <w:szCs w:val="24"/>
          <w:highlight w:val="none"/>
          <w:lang w:val="en-US" w:eastAsia="zh-CN"/>
        </w:rPr>
        <w:t>0</w:t>
      </w:r>
      <w:r>
        <w:rPr>
          <w:rFonts w:hint="default" w:ascii="Times New Roman" w:hAnsi="Times New Roman" w:cs="Times New Roman"/>
          <w:color w:val="auto"/>
          <w:sz w:val="24"/>
          <w:szCs w:val="24"/>
          <w:highlight w:val="none"/>
        </w:rPr>
        <w:t>dB</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A</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主要</w:t>
      </w:r>
      <w:r>
        <w:rPr>
          <w:rFonts w:hint="eastAsia" w:ascii="Times New Roman" w:hAnsi="Times New Roman" w:cs="Times New Roman"/>
          <w:color w:val="auto"/>
          <w:sz w:val="24"/>
          <w:szCs w:val="24"/>
          <w:highlight w:val="none"/>
          <w:lang w:val="en-US" w:eastAsia="zh-CN"/>
        </w:rPr>
        <w:t>高</w:t>
      </w:r>
      <w:r>
        <w:rPr>
          <w:rFonts w:hint="default" w:ascii="Times New Roman" w:hAnsi="Times New Roman" w:cs="Times New Roman"/>
          <w:color w:val="auto"/>
          <w:sz w:val="24"/>
          <w:szCs w:val="24"/>
          <w:highlight w:val="none"/>
          <w:lang w:val="en-US" w:eastAsia="zh-CN"/>
        </w:rPr>
        <w:t>噪设备</w:t>
      </w:r>
      <w:r>
        <w:rPr>
          <w:rFonts w:hint="eastAsia" w:ascii="Times New Roman" w:hAnsi="Times New Roman" w:cs="Times New Roman"/>
          <w:color w:val="auto"/>
          <w:sz w:val="24"/>
          <w:szCs w:val="24"/>
          <w:highlight w:val="none"/>
          <w:lang w:val="en-US" w:eastAsia="zh-CN"/>
        </w:rPr>
        <w:t>主要</w:t>
      </w:r>
      <w:r>
        <w:rPr>
          <w:rFonts w:hint="default" w:ascii="Times New Roman" w:hAnsi="Times New Roman" w:cs="Times New Roman"/>
          <w:color w:val="auto"/>
          <w:sz w:val="24"/>
          <w:szCs w:val="24"/>
          <w:highlight w:val="none"/>
          <w:lang w:val="en-US" w:eastAsia="zh-CN"/>
        </w:rPr>
        <w:t>位于厂房</w:t>
      </w:r>
      <w:r>
        <w:rPr>
          <w:rFonts w:hint="default" w:ascii="Times New Roman" w:hAnsi="Times New Roman" w:cs="Times New Roman"/>
          <w:color w:val="auto"/>
          <w:sz w:val="24"/>
          <w:szCs w:val="24"/>
          <w:highlight w:val="none"/>
        </w:rPr>
        <w:t>内。</w:t>
      </w:r>
    </w:p>
    <w:p w14:paraId="1EE5AE3C">
      <w:pPr>
        <w:spacing w:beforeLines="0" w:afterLines="0"/>
        <w:ind w:firstLine="480" w:firstLineChars="200"/>
        <w:jc w:val="left"/>
        <w:rPr>
          <w:rFonts w:hint="default" w:ascii="Times New Roman" w:hAnsi="Times New Roman" w:cs="Times New Roman"/>
          <w:b/>
          <w:bCs/>
          <w:color w:val="auto"/>
          <w:kern w:val="2"/>
          <w:sz w:val="24"/>
          <w:szCs w:val="21"/>
          <w:highlight w:val="none"/>
          <w:lang w:val="en-US" w:eastAsia="zh-CN" w:bidi="ar-SA"/>
        </w:rPr>
      </w:pPr>
      <w:r>
        <w:rPr>
          <w:rFonts w:hint="default" w:ascii="Times New Roman" w:hAnsi="Times New Roman" w:cs="Times New Roman"/>
          <w:b/>
          <w:bCs/>
          <w:color w:val="auto"/>
          <w:kern w:val="2"/>
          <w:sz w:val="24"/>
          <w:szCs w:val="21"/>
          <w:highlight w:val="none"/>
          <w:lang w:val="en-US" w:eastAsia="zh-CN" w:bidi="ar-SA"/>
        </w:rPr>
        <w:t>2、噪声治理措施</w:t>
      </w:r>
    </w:p>
    <w:p w14:paraId="02DAE0F5">
      <w:pPr>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本</w:t>
      </w:r>
      <w:r>
        <w:rPr>
          <w:rFonts w:hint="default" w:ascii="Times New Roman" w:hAnsi="Times New Roman" w:cs="Times New Roman"/>
          <w:color w:val="auto"/>
          <w:sz w:val="24"/>
          <w:szCs w:val="24"/>
          <w:highlight w:val="none"/>
        </w:rPr>
        <w:t>项目拟采取的降噪措施包括：</w:t>
      </w:r>
    </w:p>
    <w:p w14:paraId="024A449C">
      <w:pPr>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A.合理布局：合理布置各机械设备，高噪声设备如空压机尽量布置于生产厂房内部，最大程度利用距离衰减减小厂界噪声。</w:t>
      </w:r>
    </w:p>
    <w:p w14:paraId="55D9D158">
      <w:pPr>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B.设备减震</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消声</w:t>
      </w:r>
      <w:r>
        <w:rPr>
          <w:rFonts w:hint="default" w:ascii="Times New Roman" w:hAnsi="Times New Roman" w:cs="Times New Roman"/>
          <w:color w:val="auto"/>
          <w:sz w:val="24"/>
          <w:szCs w:val="24"/>
          <w:highlight w:val="none"/>
        </w:rPr>
        <w:t>降噪措施：在满足生产要求的前提下选购设备时</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应优先考虑低耗、低噪声设备；采取台基减震、橡胶减震接头及减震垫等减震设施；针对风机要求加装消音器；对厂房进行整体封闭，降低设备的运行噪声；在生产运转时定期对设备进行检查，保证设备正常运转。</w:t>
      </w:r>
    </w:p>
    <w:p w14:paraId="47280E13">
      <w:pPr>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C.加强管理：建立设备定期维护，保养的管理制度，以防止设备故障形成的非正常生产噪声，同时确保环保措施发挥最佳有效的功能；加强职工环保意识教育，提倡文明生产，防止人为噪声。</w:t>
      </w:r>
    </w:p>
    <w:p w14:paraId="60DE6F11">
      <w:pPr>
        <w:ind w:firstLine="480" w:firstLineChars="200"/>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在采取上述噪声防治措施后</w:t>
      </w:r>
      <w:r>
        <w:rPr>
          <w:rFonts w:hint="default" w:ascii="Times New Roman" w:hAnsi="Times New Roman" w:cs="Times New Roman"/>
          <w:color w:val="auto"/>
          <w:sz w:val="24"/>
          <w:szCs w:val="24"/>
          <w:highlight w:val="none"/>
          <w:lang w:val="en-US" w:eastAsia="zh-CN"/>
        </w:rPr>
        <w:t>可</w:t>
      </w:r>
      <w:r>
        <w:rPr>
          <w:rFonts w:hint="default" w:ascii="Times New Roman" w:hAnsi="Times New Roman" w:cs="Times New Roman"/>
          <w:color w:val="auto"/>
          <w:sz w:val="24"/>
          <w:szCs w:val="24"/>
          <w:highlight w:val="none"/>
        </w:rPr>
        <w:t>使设备噪声值降低约15</w:t>
      </w:r>
      <w:r>
        <w:rPr>
          <w:rFonts w:hint="default" w:ascii="Times New Roman" w:hAnsi="Times New Roman" w:cs="Times New Roman"/>
          <w:color w:val="auto"/>
          <w:sz w:val="24"/>
          <w:szCs w:val="24"/>
          <w:highlight w:val="none"/>
          <w:lang w:val="en-US" w:eastAsia="zh-CN"/>
        </w:rPr>
        <w:t>~20</w:t>
      </w:r>
      <w:r>
        <w:rPr>
          <w:rFonts w:hint="default" w:ascii="Times New Roman" w:hAnsi="Times New Roman" w:cs="Times New Roman"/>
          <w:color w:val="auto"/>
          <w:sz w:val="24"/>
          <w:szCs w:val="24"/>
          <w:highlight w:val="none"/>
        </w:rPr>
        <w:t>dB（A）</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eastAsiaTheme="minorEastAsia"/>
          <w:color w:val="auto"/>
          <w:kern w:val="2"/>
          <w:sz w:val="24"/>
          <w:szCs w:val="21"/>
          <w:highlight w:val="none"/>
          <w:lang w:val="en-US" w:eastAsia="zh-CN" w:bidi="ar-SA"/>
        </w:rPr>
        <w:t>再经距离衰减后厂界</w:t>
      </w:r>
      <w:r>
        <w:rPr>
          <w:rFonts w:hint="default" w:ascii="Times New Roman" w:hAnsi="Times New Roman" w:cs="Times New Roman"/>
          <w:color w:val="auto"/>
          <w:kern w:val="2"/>
          <w:sz w:val="24"/>
          <w:szCs w:val="21"/>
          <w:highlight w:val="none"/>
          <w:lang w:val="en-US" w:eastAsia="zh-CN" w:bidi="ar-SA"/>
        </w:rPr>
        <w:t>噪声</w:t>
      </w:r>
      <w:r>
        <w:rPr>
          <w:rFonts w:hint="default" w:ascii="Times New Roman" w:hAnsi="Times New Roman" w:cs="Times New Roman" w:eastAsiaTheme="minorEastAsia"/>
          <w:color w:val="auto"/>
          <w:kern w:val="2"/>
          <w:sz w:val="24"/>
          <w:szCs w:val="21"/>
          <w:highlight w:val="none"/>
          <w:lang w:val="en-US" w:eastAsia="zh-CN" w:bidi="ar-SA"/>
        </w:rPr>
        <w:t>能够满足《工业企业厂界环境噪声排放标准》（GB12348-2008）2 类区标准限值要求。</w:t>
      </w:r>
    </w:p>
    <w:p w14:paraId="7C4A78F5">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固废</w:t>
      </w:r>
    </w:p>
    <w:p w14:paraId="3CC9CC01">
      <w:pPr>
        <w:pStyle w:val="14"/>
        <w:numPr>
          <w:ilvl w:val="0"/>
          <w:numId w:val="0"/>
        </w:numPr>
        <w:ind w:firstLine="480" w:firstLineChars="200"/>
        <w:rPr>
          <w:rFonts w:hint="default" w:ascii="Times New Roman" w:hAnsi="Times New Roman" w:eastAsia="宋体" w:cs="Times New Roman"/>
          <w:color w:val="auto"/>
          <w:sz w:val="24"/>
          <w:szCs w:val="22"/>
          <w:highlight w:val="none"/>
          <w:lang w:eastAsia="zh-CN"/>
        </w:rPr>
      </w:pPr>
      <w:r>
        <w:rPr>
          <w:rFonts w:hint="default" w:ascii="Times New Roman" w:hAnsi="Times New Roman" w:cs="Times New Roman"/>
          <w:color w:val="auto"/>
          <w:highlight w:val="none"/>
          <w:lang w:val="en-US" w:eastAsia="zh-CN"/>
        </w:rPr>
        <w:t>本项目运营期固废</w:t>
      </w:r>
      <w:r>
        <w:rPr>
          <w:rFonts w:hint="default" w:ascii="Times New Roman" w:hAnsi="Times New Roman" w:cs="Times New Roman"/>
          <w:color w:val="auto"/>
          <w:highlight w:val="none"/>
        </w:rPr>
        <w:t>包括一般固废、危险废物。其中一般固废</w:t>
      </w:r>
      <w:r>
        <w:rPr>
          <w:rFonts w:hint="default" w:ascii="Times New Roman" w:hAnsi="Times New Roman" w:cs="Times New Roman"/>
          <w:color w:val="auto"/>
          <w:highlight w:val="none"/>
          <w:lang w:val="en-US" w:eastAsia="zh-CN"/>
        </w:rPr>
        <w:t>包括预处理分选无机物（废金属、</w:t>
      </w:r>
      <w:r>
        <w:rPr>
          <w:rFonts w:hint="default" w:ascii="Times New Roman" w:hAnsi="Times New Roman" w:eastAsia="宋体" w:cs="Times New Roman"/>
          <w:color w:val="auto"/>
          <w:kern w:val="0"/>
          <w:sz w:val="24"/>
          <w:szCs w:val="24"/>
          <w:highlight w:val="none"/>
          <w:lang w:val="en-US" w:eastAsia="zh-CN" w:bidi="ar"/>
        </w:rPr>
        <w:t>玻璃、陶瓷及砂石</w:t>
      </w:r>
      <w:r>
        <w:rPr>
          <w:rFonts w:hint="default" w:ascii="Times New Roman" w:hAnsi="Times New Roman" w:cs="Times New Roman"/>
          <w:color w:val="auto"/>
          <w:highlight w:val="none"/>
          <w:lang w:val="en-US" w:eastAsia="zh-CN"/>
        </w:rPr>
        <w:t>等）、</w:t>
      </w:r>
      <w:r>
        <w:rPr>
          <w:rFonts w:hint="default" w:ascii="Times New Roman" w:hAnsi="Times New Roman" w:cs="Times New Roman"/>
          <w:color w:val="auto"/>
          <w:highlight w:val="none"/>
        </w:rPr>
        <w:t>炭黑渣、碱液喷淋塔沉渣</w:t>
      </w:r>
      <w:r>
        <w:rPr>
          <w:rFonts w:hint="default" w:ascii="Times New Roman" w:hAnsi="Times New Roman" w:cs="Times New Roman"/>
          <w:color w:val="auto"/>
          <w:highlight w:val="none"/>
          <w:lang w:val="en-US" w:eastAsia="zh-CN"/>
        </w:rPr>
        <w:t>等；</w:t>
      </w:r>
      <w:r>
        <w:rPr>
          <w:rFonts w:hint="default" w:ascii="Times New Roman" w:hAnsi="Times New Roman" w:cs="Times New Roman"/>
          <w:color w:val="auto"/>
          <w:highlight w:val="none"/>
        </w:rPr>
        <w:t>危险废物包括飞灰、</w:t>
      </w:r>
      <w:r>
        <w:rPr>
          <w:rFonts w:hint="default" w:ascii="Times New Roman" w:hAnsi="Times New Roman" w:cs="Times New Roman"/>
          <w:color w:val="auto"/>
          <w:highlight w:val="none"/>
          <w:lang w:val="en-US" w:eastAsia="zh-CN"/>
        </w:rPr>
        <w:t>焦油、</w:t>
      </w:r>
      <w:r>
        <w:rPr>
          <w:rFonts w:hint="default" w:ascii="Times New Roman" w:hAnsi="Times New Roman" w:cs="Times New Roman"/>
          <w:color w:val="auto"/>
          <w:highlight w:val="none"/>
        </w:rPr>
        <w:t>废活性炭、废布袋、废机油</w:t>
      </w:r>
      <w:r>
        <w:rPr>
          <w:rFonts w:hint="default" w:ascii="Times New Roman" w:hAnsi="Times New Roman" w:cs="Times New Roman"/>
          <w:color w:val="auto"/>
          <w:highlight w:val="none"/>
          <w:lang w:val="en-US" w:eastAsia="zh-CN"/>
        </w:rPr>
        <w:t>及</w:t>
      </w:r>
      <w:r>
        <w:rPr>
          <w:rFonts w:hint="default" w:ascii="Times New Roman" w:hAnsi="Times New Roman" w:cs="Times New Roman"/>
          <w:color w:val="auto"/>
          <w:highlight w:val="none"/>
        </w:rPr>
        <w:t>废含油棉纱手套。</w:t>
      </w:r>
      <w:r>
        <w:rPr>
          <w:rFonts w:hint="default" w:ascii="Times New Roman" w:hAnsi="Times New Roman" w:eastAsia="宋体" w:cs="Times New Roman"/>
          <w:color w:val="auto"/>
          <w:sz w:val="24"/>
          <w:szCs w:val="22"/>
          <w:highlight w:val="none"/>
          <w:lang w:val="en-US" w:eastAsia="zh-CN"/>
        </w:rPr>
        <w:t>本项目</w:t>
      </w:r>
      <w:r>
        <w:rPr>
          <w:rFonts w:hint="default" w:ascii="Times New Roman" w:hAnsi="Times New Roman" w:cs="Times New Roman"/>
          <w:b w:val="0"/>
          <w:bCs/>
          <w:color w:val="auto"/>
          <w:highlight w:val="none"/>
          <w:lang w:val="en-US" w:eastAsia="zh-CN"/>
        </w:rPr>
        <w:t>劳动定员</w:t>
      </w:r>
      <w:r>
        <w:rPr>
          <w:rFonts w:hint="default" w:ascii="Times New Roman" w:hAnsi="Times New Roman" w:eastAsia="宋体" w:cs="Times New Roman"/>
          <w:color w:val="auto"/>
          <w:sz w:val="24"/>
          <w:szCs w:val="22"/>
          <w:highlight w:val="none"/>
          <w:lang w:val="en-US" w:eastAsia="zh-CN"/>
        </w:rPr>
        <w:t>37人，</w:t>
      </w:r>
      <w:r>
        <w:rPr>
          <w:rFonts w:hint="default" w:ascii="Times New Roman" w:hAnsi="Times New Roman" w:cs="Times New Roman"/>
          <w:color w:val="auto"/>
          <w:sz w:val="24"/>
          <w:szCs w:val="24"/>
          <w:highlight w:val="none"/>
          <w:lang w:val="en-US" w:eastAsia="zh-CN"/>
        </w:rPr>
        <w:t>本</w:t>
      </w:r>
      <w:r>
        <w:rPr>
          <w:rFonts w:hint="default" w:ascii="Times New Roman" w:hAnsi="Times New Roman" w:cs="Times New Roman"/>
          <w:color w:val="auto"/>
          <w:sz w:val="24"/>
          <w:szCs w:val="24"/>
          <w:highlight w:val="none"/>
        </w:rPr>
        <w:t>项目</w:t>
      </w:r>
      <w:r>
        <w:rPr>
          <w:rFonts w:hint="default" w:ascii="Times New Roman" w:hAnsi="Times New Roman" w:cs="Times New Roman"/>
          <w:color w:val="auto"/>
          <w:sz w:val="24"/>
          <w:szCs w:val="24"/>
          <w:highlight w:val="none"/>
          <w:lang w:val="en-US" w:eastAsia="zh-CN"/>
        </w:rPr>
        <w:t>租赁周边房</w:t>
      </w:r>
      <w:r>
        <w:rPr>
          <w:rFonts w:hint="default" w:ascii="Times New Roman" w:hAnsi="Times New Roman" w:cs="Times New Roman"/>
          <w:bCs/>
          <w:color w:val="auto"/>
          <w:sz w:val="24"/>
          <w:szCs w:val="24"/>
          <w:highlight w:val="none"/>
          <w:lang w:val="en-US" w:eastAsia="zh-CN"/>
        </w:rPr>
        <w:t>屋作为办公室、生活区，厂区内设置有厕所</w:t>
      </w:r>
      <w:r>
        <w:rPr>
          <w:rFonts w:hint="default" w:ascii="Times New Roman" w:hAnsi="Times New Roman" w:cs="Times New Roman"/>
          <w:bCs/>
          <w:color w:val="auto"/>
          <w:sz w:val="24"/>
          <w:szCs w:val="24"/>
          <w:highlight w:val="none"/>
        </w:rPr>
        <w:t>，</w:t>
      </w:r>
      <w:r>
        <w:rPr>
          <w:rFonts w:hint="default" w:ascii="Times New Roman" w:hAnsi="Times New Roman" w:cs="Times New Roman"/>
          <w:bCs/>
          <w:color w:val="auto"/>
          <w:sz w:val="24"/>
          <w:szCs w:val="24"/>
          <w:highlight w:val="none"/>
          <w:lang w:val="en-US" w:eastAsia="zh-CN"/>
        </w:rPr>
        <w:t>因此厂区内不产生生活垃圾</w:t>
      </w:r>
      <w:r>
        <w:rPr>
          <w:rFonts w:hint="default" w:ascii="Times New Roman" w:hAnsi="Times New Roman" w:eastAsia="宋体" w:cs="Times New Roman"/>
          <w:color w:val="auto"/>
          <w:sz w:val="24"/>
          <w:szCs w:val="22"/>
          <w:highlight w:val="none"/>
          <w:lang w:val="en-US" w:eastAsia="zh-CN"/>
        </w:rPr>
        <w:t>。</w:t>
      </w:r>
    </w:p>
    <w:p w14:paraId="1A3F97CB">
      <w:pPr>
        <w:keepNext w:val="0"/>
        <w:keepLines w:val="0"/>
        <w:pageBreakBefore w:val="0"/>
        <w:widowControl w:val="0"/>
        <w:kinsoku/>
        <w:wordWrap/>
        <w:overflowPunct/>
        <w:topLinePunct w:val="0"/>
        <w:autoSpaceDE/>
        <w:autoSpaceDN/>
        <w:bidi w:val="0"/>
        <w:adjustRightInd/>
        <w:snapToGrid/>
        <w:ind w:firstLine="480" w:firstLineChars="200"/>
        <w:textAlignment w:val="auto"/>
        <w:outlineLvl w:val="9"/>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危险废物储运及管理要求：</w:t>
      </w:r>
    </w:p>
    <w:p w14:paraId="18903875">
      <w:pPr>
        <w:keepNext w:val="0"/>
        <w:keepLines w:val="0"/>
        <w:pageBreakBefore w:val="0"/>
        <w:widowControl w:val="0"/>
        <w:kinsoku/>
        <w:wordWrap/>
        <w:overflowPunct/>
        <w:topLinePunct w:val="0"/>
        <w:autoSpaceDE/>
        <w:autoSpaceDN/>
        <w:bidi w:val="0"/>
        <w:adjustRightInd/>
        <w:snapToGrid/>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环评要求项目危险废物需按照《危险废物贮存污染控制标准》（</w:t>
      </w:r>
      <w:r>
        <w:rPr>
          <w:rFonts w:hint="default" w:ascii="Times New Roman" w:hAnsi="Times New Roman" w:eastAsia="宋体" w:cs="Times New Roman"/>
          <w:color w:val="auto"/>
          <w:kern w:val="0"/>
          <w:sz w:val="24"/>
          <w:szCs w:val="24"/>
          <w:highlight w:val="none"/>
          <w:lang w:val="en-US" w:eastAsia="zh-CN" w:bidi="ar"/>
        </w:rPr>
        <w:t>GB18597-2023</w:t>
      </w:r>
      <w:r>
        <w:rPr>
          <w:rFonts w:hint="default"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和《危险废物收集贮存运输技术规范》（HJ2025-2012）</w:t>
      </w:r>
      <w:r>
        <w:rPr>
          <w:rFonts w:hint="default" w:ascii="Times New Roman" w:hAnsi="Times New Roman" w:cs="Times New Roman"/>
          <w:color w:val="auto"/>
          <w:sz w:val="24"/>
          <w:szCs w:val="24"/>
          <w:highlight w:val="none"/>
          <w:lang w:val="en-US" w:eastAsia="zh-CN"/>
        </w:rPr>
        <w:t>相关标准规范要求进行。</w:t>
      </w:r>
    </w:p>
    <w:p w14:paraId="7B63BCA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（1）危险废物收集要求</w:t>
      </w:r>
    </w:p>
    <w:p w14:paraId="6349945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1）企业应对建立、健全危废从产生、收集、贮存、运输、转移、处置全过程的污染环境防治责任制度，采取防治危险废物污染环境的措施。</w:t>
      </w:r>
    </w:p>
    <w:p w14:paraId="2E2C50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2）必须将危险废物装入符合标准的容器内，盛装危险废物的容器材质和衬里要与危险废物相容（不相互反应），容器及材质要满足相应的强度要求，容器必须完好无损容。</w:t>
      </w:r>
    </w:p>
    <w:p w14:paraId="151589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3）禁止将不相容（相互反应）的危险废物在同一容器内混装。</w:t>
      </w:r>
    </w:p>
    <w:p w14:paraId="2A32BAD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（2）危险废物贮存要求</w:t>
      </w:r>
    </w:p>
    <w:p w14:paraId="5A3017F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1）建造专用的危险废物贮存设施。</w:t>
      </w:r>
    </w:p>
    <w:p w14:paraId="74BED73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2）危险废物堆要防风、防雨、防晒。</w:t>
      </w:r>
    </w:p>
    <w:p w14:paraId="4A64FD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3）须作好危险废物情况的记录，记录上须注明危险废物的名称、来源、数量、特性和包装容器的类别、入库日期、存放库位、废物出库日期及接收单位名称。</w:t>
      </w:r>
    </w:p>
    <w:p w14:paraId="083A24D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4）必须定期对所贮存的危险废物包装容器及贮存设施进行检查，发现破损，应及时采取措施清理更换。</w:t>
      </w:r>
    </w:p>
    <w:p w14:paraId="2AA6946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5）危险废物贮存设施都必须按GB15562.2的规定设置警示标志。</w:t>
      </w:r>
    </w:p>
    <w:p w14:paraId="200EF4F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（3）危险废物运输及转移要求</w:t>
      </w:r>
    </w:p>
    <w:p w14:paraId="4833781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1）企业收集、贮存危险废物，必须按照危险废物特性分类进行。禁止混合收集、贮存、运输、处置性质不相容而未经安全性处置的危险废物。</w:t>
      </w:r>
    </w:p>
    <w:p w14:paraId="60578B6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2）按照危险废物特性分类进行收集，采用密闭专用容器收集储存危废；定期由有资质单位的专用运输车辆运输。</w:t>
      </w:r>
    </w:p>
    <w:p w14:paraId="6D4F45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3）企业转移危险废物，必须按照国家有关规定填写、运行危险废物转移联单。在转移危险废物前，向生态环境部门报批危险废物转移计划，并得到批准。</w:t>
      </w:r>
    </w:p>
    <w:p w14:paraId="43C2756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4）运输危险废物，必须采取防止污染环境的措施，并遵守国家有关危险货物运输管理的规定。禁止将危险废物与旅客在同一运输工具上载运。</w:t>
      </w:r>
    </w:p>
    <w:p w14:paraId="61F2B7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（4）危险废物处置要求</w:t>
      </w:r>
    </w:p>
    <w:p w14:paraId="695AC0C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项目产生的危险废物须根据其种类交由相应危废处置资质单位进行处置，不得外排，不得对环境产生二次污染。</w:t>
      </w:r>
    </w:p>
    <w:p w14:paraId="093812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（5）危险废物管理要求</w:t>
      </w:r>
    </w:p>
    <w:p w14:paraId="5F6D83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根据《中华人民共和国固体废物污染环境防治法》和《危险废物规范化管理指标体系》（环办[2015]99号）等相关规范标准，规范危险废物从产生、收集、贮存、运输、转移、处置的全过程管理。具体要求如下：</w:t>
      </w:r>
    </w:p>
    <w:p w14:paraId="3AC6031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1）企业应对建立、健全危废从产生、收集、贮存、运输、转移、处置全过程的污染环境防治责任制度，采取防治危险废物污染环境的措施。</w:t>
      </w:r>
    </w:p>
    <w:p w14:paraId="422F11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2）企业应对建立固体废物管理台账，如实记录产生固体废物的种类、数量、去向等信息，并采取防治危废污染环境的措施。</w:t>
      </w:r>
    </w:p>
    <w:p w14:paraId="777FE8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3）对危险废物的容器和包装物以及收集、贮存、运输、利用、处置危险废物的设施、场所，必须设置危险废物识别标志。</w:t>
      </w:r>
    </w:p>
    <w:p w14:paraId="5E3CBF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4）企业须按照国家有关规定制定危险废物管理计划，并通过国家危险废物信息管理系统向所在地生态环境主管部门申报危险废物的种类、产生量、流向、贮存、处置等有关资料。</w:t>
      </w:r>
    </w:p>
    <w:p w14:paraId="0FE944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5）企业危险废物管理计划报所在地县级以上地方人民政府生态环境保护行政主管部门备案。计划内容有重大改变的，应当及时申报。</w:t>
      </w:r>
    </w:p>
    <w:p w14:paraId="7753179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6）危险废物管理计划应当包括减少危险废物产生量和危害性的措施以及危险废物贮存、利用、处置措施。危险废物管理计划应当报产生危险废物的单位所在地生态环境主管部门备案。</w:t>
      </w:r>
    </w:p>
    <w:p w14:paraId="5A5C2F9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7）企业须按照国家有关规定和环境保护标准要求贮存、利用、处置危险废物，不得擅自倾倒、堆放。</w:t>
      </w:r>
    </w:p>
    <w:p w14:paraId="2AEBEAC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8）企业收集、贮存危险废物，必须按照危险废物特性分类进行。禁止混合收集、贮存、运输、处置性质不相容而未经安全性处置的危险废物。</w:t>
      </w:r>
    </w:p>
    <w:p w14:paraId="27EDE53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9）按照危险废物特性分类进行收集，采用密闭专用容器收集储存危废；定期由有资质单位的专用运输车辆运输。</w:t>
      </w:r>
    </w:p>
    <w:p w14:paraId="393E6F2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10）企业转移危险废物，必须按照国家有关规定填写、运行危险废物转移联单。在转移危险废物前，向生态环境部门报批危险废物转移计划，并得到批准。</w:t>
      </w:r>
    </w:p>
    <w:p w14:paraId="0EF30D0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11）运输危险废物，必须采取防止污染环境的措施，并遵守国家有关危险货物运输管理的规定。禁止将危险废物与旅客在同一运输工具上载运。</w:t>
      </w:r>
    </w:p>
    <w:p w14:paraId="681BC3E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12）收集、贮存、运输、利用、处置危险废物的场所、设施、设备和容器、包装物及其他物品转作他用时，应当按照国家有关规定经过消除污染的处理，方可使用。</w:t>
      </w:r>
    </w:p>
    <w:p w14:paraId="6DC1ED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13）企业应当按照有关规定制定意外事故的防范措施和应急预案，并向所在地生态环境主管部门和其他固体废物污染环境防治工作的监督管理部门备案。</w:t>
      </w:r>
    </w:p>
    <w:p w14:paraId="44B926D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14）应当按照国家有关规定，投保环境污染责任保险。</w:t>
      </w:r>
    </w:p>
    <w:p w14:paraId="18703CA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15）地面、裙脚、围堰等设施严格按照地下水相应等级要求进行防渗处理，防止污染地下水。</w:t>
      </w:r>
    </w:p>
    <w:p w14:paraId="598AD09F">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cs="Times New Roman"/>
          <w:color w:val="auto"/>
          <w:sz w:val="24"/>
          <w:szCs w:val="24"/>
          <w:highlight w:val="none"/>
          <w:lang w:val="en-US" w:eastAsia="zh-CN"/>
        </w:rPr>
        <w:t>综上，</w:t>
      </w:r>
      <w:r>
        <w:rPr>
          <w:rFonts w:hint="default" w:ascii="Times New Roman" w:hAnsi="Times New Roman" w:eastAsia="宋" w:cs="Times New Roman"/>
          <w:color w:val="auto"/>
          <w:kern w:val="0"/>
          <w:sz w:val="24"/>
          <w:szCs w:val="24"/>
          <w:highlight w:val="none"/>
          <w:lang w:val="en-US" w:eastAsia="zh-CN" w:bidi="ar"/>
        </w:rPr>
        <w:t>建设单位在运营过程只要严格按照上述要求进行收集和暂存各类固体废弃物，做到分类收集、暂存，进行妥善处置，做到去向明确，避免二次污染，其处置措施合理是可行。</w:t>
      </w:r>
    </w:p>
    <w:p w14:paraId="4DFCDD33">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地下水</w:t>
      </w:r>
      <w:r>
        <w:rPr>
          <w:rFonts w:hint="default" w:ascii="Times New Roman" w:hAnsi="Times New Roman" w:cs="Times New Roman"/>
          <w:color w:val="auto"/>
          <w:highlight w:val="none"/>
          <w:lang w:eastAsia="zh-CN"/>
        </w:rPr>
        <w:t>污染途径及防治措施</w:t>
      </w:r>
    </w:p>
    <w:p w14:paraId="0E7EC32B">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地下水的污染途径主要为污染物</w:t>
      </w:r>
      <w:r>
        <w:rPr>
          <w:rFonts w:hint="default" w:ascii="Times New Roman" w:hAnsi="Times New Roman" w:cs="Times New Roman"/>
          <w:color w:val="auto"/>
          <w:sz w:val="24"/>
          <w:highlight w:val="none"/>
          <w:lang w:val="en-US" w:eastAsia="zh-CN"/>
        </w:rPr>
        <w:t>或化学品</w:t>
      </w:r>
      <w:r>
        <w:rPr>
          <w:rFonts w:hint="default" w:ascii="Times New Roman" w:hAnsi="Times New Roman" w:cs="Times New Roman"/>
          <w:color w:val="auto"/>
          <w:sz w:val="24"/>
          <w:highlight w:val="none"/>
        </w:rPr>
        <w:t>通过垂直渗透进入包气带，污染物在物理、化学和生物作用下经吸附、转化、迁移和分解后输入地下水。</w:t>
      </w:r>
    </w:p>
    <w:p w14:paraId="6ED319FA">
      <w:pPr>
        <w:pStyle w:val="14"/>
        <w:ind w:firstLine="480"/>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1、防止地下水污染控制措施的原则</w:t>
      </w:r>
    </w:p>
    <w:p w14:paraId="424BED60">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地下水污染防治措施坚持“源头控制、末端防治、污染监控、应急响应相结合”的原则，即采取主动控制和被动控制相结合的措施。</w:t>
      </w:r>
    </w:p>
    <w:p w14:paraId="34A294D6">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① 主动控制即从源头控制措施，主要包括在管道、设备、污水储存及处理构筑物采取相应措施，防止和降低污染物跑、冒、滴、漏，将污染物泄漏的环境风险事故降到最低程度；</w:t>
      </w:r>
    </w:p>
    <w:p w14:paraId="65C5ACC5">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② 被动控制即末端控制措施，主要包括在污染区地面的防渗措施和泄漏、渗漏污染物收集措施，即在污染区地面进行防渗处理，防止洒落地面的污染物渗入地下，并把滞留在地面的污染物收集起来；</w:t>
      </w:r>
    </w:p>
    <w:p w14:paraId="3F2A70E2">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③ 应急响应措施，包括一旦发现地下水污染事故，立即启动应急预案、采取应急措施控制地下水污染，并使污染得到治理。</w:t>
      </w:r>
    </w:p>
    <w:p w14:paraId="438D4E5D">
      <w:pPr>
        <w:pStyle w:val="14"/>
        <w:ind w:firstLine="480"/>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2、防止地下水污染的控制措施</w:t>
      </w:r>
    </w:p>
    <w:p w14:paraId="268E57AB">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防止地下水污染的控制措施即为地面防渗工程。</w:t>
      </w:r>
    </w:p>
    <w:p w14:paraId="240E54C0">
      <w:pPr>
        <w:pStyle w:val="14"/>
        <w:ind w:firstLine="480"/>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（1）地面防渗工程设计原则</w:t>
      </w:r>
    </w:p>
    <w:p w14:paraId="1C974632">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① 采用国内先进的防渗材料、技术和实施手段，杜绝项目对区域内地下水的影响，确保不因项目运行而对区域地下水造成任何污染影响，确保现有地下水水体功能。</w:t>
      </w:r>
    </w:p>
    <w:p w14:paraId="44B0B976">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② 坚持分区管理和控制原则，根据场址所在地的工程水文地质条件和全厂可能发生泄漏的物料性质，参照相应标准要求有针对性的分区，并分别设计地面防渗层结构。</w:t>
      </w:r>
    </w:p>
    <w:p w14:paraId="746FE26B">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③ 坚持“可视化”原则，在满足工程和防渗层结构标准要求的前提下，尽量在地表面实施防渗措施，便于泄漏物质的收集和及时发现破损的防渗层。</w:t>
      </w:r>
    </w:p>
    <w:p w14:paraId="7DF5058A">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④ 实施防渗的区域均设置检漏装置，其中可能泄漏危险废物的重点污染防治区和特殊污染防治区的防渗设置自动检漏装置。</w:t>
      </w:r>
    </w:p>
    <w:p w14:paraId="6F72AB19">
      <w:pPr>
        <w:pStyle w:val="14"/>
        <w:ind w:firstLine="48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⑤ 防渗层上渗漏污染物和防渗层内渗漏污染物收集系统与全厂“三废”处理措施统筹考虑，统一处理。</w:t>
      </w:r>
    </w:p>
    <w:p w14:paraId="0317C16F">
      <w:pPr>
        <w:pStyle w:val="14"/>
        <w:ind w:firstLine="480"/>
        <w:rPr>
          <w:rFonts w:hint="default" w:ascii="Times New Roman" w:hAnsi="Times New Roman" w:cs="Times New Roman"/>
          <w:b/>
          <w:bCs/>
          <w:color w:val="auto"/>
          <w:sz w:val="24"/>
          <w:highlight w:val="none"/>
        </w:rPr>
      </w:pPr>
      <w:r>
        <w:rPr>
          <w:rFonts w:hint="default" w:ascii="Times New Roman" w:hAnsi="Times New Roman" w:cs="Times New Roman"/>
          <w:b/>
          <w:bCs/>
          <w:color w:val="auto"/>
          <w:sz w:val="24"/>
          <w:highlight w:val="none"/>
        </w:rPr>
        <w:t>（2）分区防渗</w:t>
      </w:r>
    </w:p>
    <w:p w14:paraId="256F8263">
      <w:pPr>
        <w:pStyle w:val="14"/>
        <w:spacing w:after="0"/>
        <w:rPr>
          <w:rFonts w:hint="default" w:ascii="Times New Roman" w:hAnsi="Times New Roman" w:cs="Times New Roman"/>
          <w:color w:val="auto"/>
          <w:szCs w:val="24"/>
          <w:highlight w:val="none"/>
        </w:rPr>
      </w:pPr>
      <w:r>
        <w:rPr>
          <w:rFonts w:hint="default" w:ascii="Times New Roman" w:hAnsi="Times New Roman" w:eastAsia="宋" w:cs="Times New Roman"/>
          <w:color w:val="auto"/>
          <w:kern w:val="0"/>
          <w:sz w:val="24"/>
          <w:szCs w:val="24"/>
          <w:highlight w:val="none"/>
          <w:lang w:val="en-US" w:eastAsia="zh-CN" w:bidi="ar"/>
        </w:rPr>
        <w:t>为防止物料、废弃物等的跑、冒、滴、漏及事故状态对区域地下水污染，</w:t>
      </w:r>
      <w:r>
        <w:rPr>
          <w:rFonts w:hint="default" w:ascii="Times New Roman" w:hAnsi="Times New Roman" w:eastAsia="宋体" w:cs="Times New Roman"/>
          <w:color w:val="auto"/>
          <w:kern w:val="0"/>
          <w:sz w:val="24"/>
          <w:szCs w:val="24"/>
          <w:highlight w:val="none"/>
          <w:lang w:val="en-US" w:eastAsia="zh-CN" w:bidi="ar"/>
        </w:rPr>
        <w:t>根据《环境影响评价技术导则  地下水环境》（HJ610-2016），</w:t>
      </w:r>
      <w:r>
        <w:rPr>
          <w:rFonts w:hint="default" w:ascii="Times New Roman" w:hAnsi="Times New Roman" w:cs="Times New Roman"/>
          <w:color w:val="auto"/>
          <w:szCs w:val="24"/>
          <w:highlight w:val="none"/>
        </w:rPr>
        <w:t>将项目各功能单元划分为重点防渗区、一般防渗区和简单防渗区</w:t>
      </w:r>
      <w:r>
        <w:rPr>
          <w:rFonts w:hint="default" w:ascii="Times New Roman" w:hAnsi="Times New Roman" w:cs="Times New Roman"/>
          <w:color w:val="auto"/>
          <w:kern w:val="0"/>
          <w:szCs w:val="24"/>
          <w:highlight w:val="none"/>
          <w:lang w:bidi="ar"/>
        </w:rPr>
        <w:t>，分别采取不同等级的防渗措施，具体如下</w:t>
      </w:r>
      <w:r>
        <w:rPr>
          <w:rFonts w:hint="default" w:ascii="Times New Roman" w:hAnsi="Times New Roman" w:eastAsia="宋" w:cs="Times New Roman"/>
          <w:color w:val="auto"/>
          <w:kern w:val="0"/>
          <w:szCs w:val="24"/>
          <w:highlight w:val="none"/>
          <w:lang w:bidi="ar"/>
        </w:rPr>
        <w:t>：</w:t>
      </w:r>
    </w:p>
    <w:p w14:paraId="63487A0E">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重点防渗区：</w:t>
      </w:r>
      <w:r>
        <w:rPr>
          <w:rFonts w:hint="default" w:ascii="Times New Roman" w:hAnsi="Times New Roman" w:eastAsia="宋体" w:cs="Times New Roman"/>
          <w:color w:val="auto"/>
          <w:kern w:val="0"/>
          <w:sz w:val="24"/>
          <w:szCs w:val="24"/>
          <w:highlight w:val="none"/>
          <w:lang w:val="en-US" w:eastAsia="zh-CN" w:bidi="ar"/>
        </w:rPr>
        <w:t>包括</w:t>
      </w:r>
      <w:r>
        <w:rPr>
          <w:rFonts w:hint="default" w:ascii="Times New Roman" w:hAnsi="Times New Roman" w:cs="Times New Roman"/>
          <w:color w:val="auto"/>
          <w:sz w:val="24"/>
          <w:szCs w:val="24"/>
          <w:highlight w:val="none"/>
          <w:lang w:val="en-US" w:eastAsia="zh-CN"/>
        </w:rPr>
        <w:t>主厂房（热解车间、预处理车间、炭渣加工车间、废气处理区、垃圾暂存仓、气闸间、渗滤液收集池）、污水池、废品库（危废暂存间）、初期雨水收集池、事故水池</w:t>
      </w:r>
      <w:r>
        <w:rPr>
          <w:rFonts w:hint="default" w:ascii="Times New Roman" w:hAnsi="Times New Roman" w:eastAsia="宋体" w:cs="Times New Roman"/>
          <w:color w:val="auto"/>
          <w:kern w:val="0"/>
          <w:sz w:val="24"/>
          <w:szCs w:val="24"/>
          <w:highlight w:val="none"/>
          <w:lang w:val="en-US" w:eastAsia="zh-CN" w:bidi="ar"/>
        </w:rPr>
        <w:t>等。采用“防渗混凝土+环氧树脂地坪/HDPE防渗膜”措施进行防渗处理，防渗技术要求为等效黏土防渗层 Mb≥6.0m、渗透系数 K≤1.0×10</w:t>
      </w:r>
      <w:r>
        <w:rPr>
          <w:rFonts w:hint="default" w:ascii="Times New Roman" w:hAnsi="Times New Roman" w:eastAsia="宋体" w:cs="Times New Roman"/>
          <w:color w:val="auto"/>
          <w:kern w:val="0"/>
          <w:sz w:val="24"/>
          <w:szCs w:val="24"/>
          <w:highlight w:val="none"/>
          <w:vertAlign w:val="superscript"/>
          <w:lang w:val="en-US" w:eastAsia="zh-CN" w:bidi="ar"/>
        </w:rPr>
        <w:t>-7</w:t>
      </w:r>
      <w:r>
        <w:rPr>
          <w:rFonts w:hint="default" w:ascii="Times New Roman" w:hAnsi="Times New Roman" w:eastAsia="宋体" w:cs="Times New Roman"/>
          <w:color w:val="auto"/>
          <w:kern w:val="0"/>
          <w:sz w:val="24"/>
          <w:szCs w:val="24"/>
          <w:highlight w:val="none"/>
          <w:lang w:val="en-US" w:eastAsia="zh-CN" w:bidi="ar"/>
        </w:rPr>
        <w:t>cm/s；危废暂存间应满足《危险废物贮存污染控制标准》</w:t>
      </w:r>
      <w:r>
        <w:rPr>
          <w:rFonts w:hint="default" w:ascii="Times New Roman" w:hAnsi="Times New Roman" w:cs="Times New Roman"/>
          <w:color w:val="auto"/>
          <w:highlight w:val="none"/>
        </w:rPr>
        <w:t>（</w:t>
      </w:r>
      <w:r>
        <w:rPr>
          <w:rFonts w:hint="default" w:ascii="Times New Roman" w:hAnsi="Times New Roman" w:eastAsia="宋体" w:cs="Times New Roman"/>
          <w:color w:val="auto"/>
          <w:kern w:val="0"/>
          <w:sz w:val="24"/>
          <w:szCs w:val="24"/>
          <w:highlight w:val="none"/>
          <w:lang w:val="en-US" w:eastAsia="zh-CN" w:bidi="ar"/>
        </w:rPr>
        <w:t>GB18597-2023</w:t>
      </w:r>
      <w:r>
        <w:rPr>
          <w:rFonts w:hint="default" w:ascii="Times New Roman" w:hAnsi="Times New Roman" w:cs="Times New Roman"/>
          <w:color w:val="auto"/>
          <w:highlight w:val="none"/>
        </w:rPr>
        <w:t>）</w:t>
      </w:r>
      <w:r>
        <w:rPr>
          <w:rFonts w:hint="default" w:ascii="Times New Roman" w:hAnsi="Times New Roman" w:eastAsia="宋体" w:cs="Times New Roman"/>
          <w:color w:val="auto"/>
          <w:kern w:val="0"/>
          <w:sz w:val="24"/>
          <w:szCs w:val="24"/>
          <w:highlight w:val="none"/>
          <w:lang w:val="en-US" w:eastAsia="zh-CN" w:bidi="ar"/>
        </w:rPr>
        <w:t>要求（即渗透系数≤10</w:t>
      </w:r>
      <w:r>
        <w:rPr>
          <w:rFonts w:hint="default" w:ascii="Times New Roman" w:hAnsi="Times New Roman" w:eastAsia="宋体" w:cs="Times New Roman"/>
          <w:color w:val="auto"/>
          <w:kern w:val="0"/>
          <w:sz w:val="24"/>
          <w:szCs w:val="24"/>
          <w:highlight w:val="none"/>
          <w:vertAlign w:val="superscript"/>
          <w:lang w:val="en-US" w:eastAsia="zh-CN" w:bidi="ar"/>
        </w:rPr>
        <w:t>-10</w:t>
      </w:r>
      <w:r>
        <w:rPr>
          <w:rFonts w:hint="default" w:ascii="Times New Roman" w:hAnsi="Times New Roman" w:eastAsia="宋体" w:cs="Times New Roman"/>
          <w:color w:val="auto"/>
          <w:kern w:val="0"/>
          <w:sz w:val="24"/>
          <w:szCs w:val="24"/>
          <w:highlight w:val="none"/>
          <w:lang w:val="en-US" w:eastAsia="zh-CN" w:bidi="ar"/>
        </w:rPr>
        <w:t>cm/s）。</w:t>
      </w:r>
    </w:p>
    <w:p w14:paraId="189FA724">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b/>
          <w:bCs/>
          <w:color w:val="auto"/>
          <w:kern w:val="0"/>
          <w:sz w:val="24"/>
          <w:szCs w:val="24"/>
          <w:highlight w:val="none"/>
          <w:lang w:val="en-US" w:eastAsia="zh-CN" w:bidi="ar"/>
        </w:rPr>
        <w:t>一般防渗区：</w:t>
      </w:r>
      <w:r>
        <w:rPr>
          <w:rFonts w:hint="default" w:ascii="Times New Roman" w:hAnsi="Times New Roman" w:eastAsia="宋体" w:cs="Times New Roman"/>
          <w:color w:val="auto"/>
          <w:kern w:val="0"/>
          <w:sz w:val="24"/>
          <w:szCs w:val="24"/>
          <w:highlight w:val="none"/>
          <w:lang w:val="en-US" w:eastAsia="zh-CN" w:bidi="ar"/>
        </w:rPr>
        <w:t>包括除重点防渗区外的主厂房（</w:t>
      </w:r>
      <w:r>
        <w:rPr>
          <w:rFonts w:hint="default" w:ascii="Times New Roman" w:hAnsi="Times New Roman" w:eastAsia="宋体" w:cs="Times New Roman"/>
          <w:b w:val="0"/>
          <w:bCs w:val="0"/>
          <w:color w:val="auto"/>
          <w:kern w:val="0"/>
          <w:sz w:val="24"/>
          <w:szCs w:val="24"/>
          <w:highlight w:val="none"/>
          <w:lang w:val="en-US" w:eastAsia="zh-CN" w:bidi="ar"/>
        </w:rPr>
        <w:t>大厅、</w:t>
      </w:r>
      <w:r>
        <w:rPr>
          <w:rFonts w:hint="default" w:ascii="Times New Roman" w:hAnsi="Times New Roman" w:eastAsia="宋体" w:cs="Times New Roman"/>
          <w:color w:val="auto"/>
          <w:kern w:val="0"/>
          <w:sz w:val="24"/>
          <w:szCs w:val="24"/>
          <w:highlight w:val="none"/>
          <w:lang w:val="en-US" w:eastAsia="zh-CN" w:bidi="ar"/>
        </w:rPr>
        <w:t>冷却水循环水池、水泵房、消防水池等）、气柜、地磅区、收运车停车场</w:t>
      </w:r>
      <w:r>
        <w:rPr>
          <w:rFonts w:hint="eastAsia" w:ascii="Times New Roman" w:hAnsi="Times New Roman" w:eastAsia="宋体" w:cs="Times New Roman"/>
          <w:color w:val="auto"/>
          <w:kern w:val="0"/>
          <w:sz w:val="24"/>
          <w:szCs w:val="24"/>
          <w:highlight w:val="none"/>
          <w:lang w:val="en-US" w:eastAsia="zh-CN" w:bidi="ar"/>
        </w:rPr>
        <w:t>、化粪池等</w:t>
      </w:r>
      <w:r>
        <w:rPr>
          <w:rFonts w:hint="default" w:ascii="Times New Roman" w:hAnsi="Times New Roman" w:eastAsia="宋体" w:cs="Times New Roman"/>
          <w:color w:val="auto"/>
          <w:kern w:val="0"/>
          <w:sz w:val="24"/>
          <w:szCs w:val="24"/>
          <w:highlight w:val="none"/>
          <w:lang w:val="en-US" w:eastAsia="zh-CN" w:bidi="ar"/>
        </w:rPr>
        <w:t>。采</w:t>
      </w:r>
      <w:r>
        <w:rPr>
          <w:rFonts w:hint="eastAsia" w:ascii="Times New Roman" w:hAnsi="Times New Roman" w:eastAsia="宋体" w:cs="Times New Roman"/>
          <w:color w:val="auto"/>
          <w:kern w:val="0"/>
          <w:sz w:val="24"/>
          <w:szCs w:val="24"/>
          <w:highlight w:val="none"/>
          <w:lang w:val="en-US" w:eastAsia="zh-CN" w:bidi="ar"/>
        </w:rPr>
        <w:t>用</w:t>
      </w:r>
      <w:r>
        <w:rPr>
          <w:rFonts w:hint="default" w:ascii="Times New Roman" w:hAnsi="Times New Roman" w:eastAsia="宋体" w:cs="Times New Roman"/>
          <w:color w:val="auto"/>
          <w:kern w:val="0"/>
          <w:sz w:val="24"/>
          <w:szCs w:val="24"/>
          <w:highlight w:val="none"/>
          <w:lang w:val="en-US" w:eastAsia="zh-CN" w:bidi="ar"/>
        </w:rPr>
        <w:t>防渗混凝土</w:t>
      </w:r>
      <w:r>
        <w:rPr>
          <w:rFonts w:hint="eastAsia" w:ascii="Times New Roman" w:hAnsi="Times New Roman" w:eastAsia="宋体" w:cs="Times New Roman"/>
          <w:color w:val="auto"/>
          <w:kern w:val="0"/>
          <w:sz w:val="24"/>
          <w:szCs w:val="24"/>
          <w:highlight w:val="none"/>
          <w:lang w:val="en-US" w:eastAsia="zh-CN" w:bidi="ar"/>
        </w:rPr>
        <w:t>进行防渗处理</w:t>
      </w:r>
      <w:r>
        <w:rPr>
          <w:rFonts w:hint="default" w:ascii="Times New Roman" w:hAnsi="Times New Roman" w:eastAsia="宋体" w:cs="Times New Roman"/>
          <w:color w:val="auto"/>
          <w:kern w:val="0"/>
          <w:sz w:val="24"/>
          <w:szCs w:val="24"/>
          <w:highlight w:val="none"/>
          <w:lang w:val="en-US" w:eastAsia="zh-CN" w:bidi="ar"/>
        </w:rPr>
        <w:t>，防渗技术要求为等效粘土防渗层Mb≥1.5m，K≤10</w:t>
      </w:r>
      <w:r>
        <w:rPr>
          <w:rFonts w:hint="default" w:ascii="Times New Roman" w:hAnsi="Times New Roman" w:eastAsia="宋体" w:cs="Times New Roman"/>
          <w:color w:val="auto"/>
          <w:kern w:val="0"/>
          <w:sz w:val="24"/>
          <w:szCs w:val="24"/>
          <w:highlight w:val="none"/>
          <w:vertAlign w:val="superscript"/>
          <w:lang w:val="en-US" w:eastAsia="zh-CN" w:bidi="ar"/>
        </w:rPr>
        <w:t>-7</w:t>
      </w:r>
      <w:r>
        <w:rPr>
          <w:rFonts w:hint="default" w:ascii="Times New Roman" w:hAnsi="Times New Roman" w:eastAsia="宋体" w:cs="Times New Roman"/>
          <w:color w:val="auto"/>
          <w:kern w:val="0"/>
          <w:sz w:val="24"/>
          <w:szCs w:val="24"/>
          <w:highlight w:val="none"/>
          <w:lang w:val="en-US" w:eastAsia="zh-CN" w:bidi="ar"/>
        </w:rPr>
        <w:t xml:space="preserve">cm/s。 </w:t>
      </w:r>
    </w:p>
    <w:p w14:paraId="3B29C588">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b/>
          <w:bCs/>
          <w:color w:val="auto"/>
          <w:kern w:val="0"/>
          <w:sz w:val="24"/>
          <w:szCs w:val="24"/>
          <w:highlight w:val="none"/>
          <w:lang w:val="en-US" w:eastAsia="zh-CN" w:bidi="ar"/>
        </w:rPr>
        <w:t>简单防渗区：</w:t>
      </w:r>
      <w:r>
        <w:rPr>
          <w:rFonts w:hint="eastAsia" w:ascii="Times New Roman" w:hAnsi="Times New Roman" w:eastAsia="宋体" w:cs="Times New Roman"/>
          <w:b w:val="0"/>
          <w:bCs w:val="0"/>
          <w:color w:val="auto"/>
          <w:kern w:val="0"/>
          <w:sz w:val="24"/>
          <w:szCs w:val="24"/>
          <w:highlight w:val="none"/>
          <w:lang w:val="en-US" w:eastAsia="zh-CN" w:bidi="ar"/>
        </w:rPr>
        <w:t>包括</w:t>
      </w:r>
      <w:r>
        <w:rPr>
          <w:rFonts w:hint="default" w:ascii="Times New Roman" w:hAnsi="Times New Roman" w:eastAsia="宋体" w:cs="Times New Roman"/>
          <w:color w:val="auto"/>
          <w:kern w:val="0"/>
          <w:sz w:val="24"/>
          <w:szCs w:val="24"/>
          <w:highlight w:val="none"/>
          <w:lang w:val="en-US" w:eastAsia="zh-CN" w:bidi="ar"/>
        </w:rPr>
        <w:t xml:space="preserve">门卫、厂区道路。防渗技术要求为一般地面硬化。 </w:t>
      </w:r>
    </w:p>
    <w:p w14:paraId="1E854DF3">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本项目地下水污染防治分区防渗表如下：</w:t>
      </w:r>
    </w:p>
    <w:p w14:paraId="1154EC90">
      <w:pPr>
        <w:pStyle w:val="3"/>
        <w:spacing w:before="156" w:after="156"/>
        <w:rPr>
          <w:rFonts w:hint="default" w:ascii="Times New Roman" w:hAnsi="Times New Roman" w:cs="Times New Roman"/>
          <w:color w:val="auto"/>
          <w:highlight w:val="none"/>
        </w:rPr>
      </w:pPr>
      <w:bookmarkStart w:id="74" w:name="_Toc24204"/>
      <w:bookmarkStart w:id="75" w:name="_Toc9411"/>
      <w:bookmarkStart w:id="76" w:name="_Toc9998"/>
      <w:r>
        <w:rPr>
          <w:rFonts w:hint="default" w:ascii="Times New Roman" w:hAnsi="Times New Roman" w:cs="Times New Roman"/>
          <w:color w:val="auto"/>
          <w:highlight w:val="none"/>
        </w:rPr>
        <w:t>总量控制</w:t>
      </w:r>
      <w:bookmarkEnd w:id="74"/>
      <w:bookmarkEnd w:id="75"/>
      <w:bookmarkEnd w:id="76"/>
    </w:p>
    <w:p w14:paraId="24A4C3C7">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总量控制原则</w:t>
      </w:r>
    </w:p>
    <w:p w14:paraId="3CCD4F5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总量控制是控制污染、实现区域可持续发展的重要措施，环境污染物总量控制的目的是根据环境质量标准，通过调控污染源分布状况和污染排放方式，把污染物负荷总量控制在自然环境的承载能力范围之内。</w:t>
      </w:r>
    </w:p>
    <w:p w14:paraId="3544434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实施污染物排放总量控制是保证实施环境保护目标的需要。我国环境污染已经十分严重，在不少地区污染物排放总量已明显超过环境承载能力。随着经济和人口的增长，污染物排放总量还会增加。为了实现环境保护目标，必须严格控制污染物排放总量。</w:t>
      </w:r>
    </w:p>
    <w:p w14:paraId="1CC01A0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实施污染物排放总量控制是落实两个根本性转变的需要。我国环境污染严重的症结在于经济增长和经营粗放。实施污染物排放总量控制，将促进资源节约、产生结构调整、技术进步和污染治理，推动经济增长方式的转变。</w:t>
      </w:r>
    </w:p>
    <w:p w14:paraId="43C2B387">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实施污染物总量控制是推行可持续发展战略的需要。实施可持续发展战略已被列为我国未来15年内国民经济和社会发展的重要</w:t>
      </w:r>
      <w:r>
        <w:rPr>
          <w:rFonts w:hint="default" w:ascii="Times New Roman" w:hAnsi="Times New Roman" w:cs="Times New Roman"/>
          <w:color w:val="auto"/>
          <w:highlight w:val="none"/>
          <w:lang w:val="en-US" w:eastAsia="zh-CN"/>
        </w:rPr>
        <w:t>指导</w:t>
      </w:r>
      <w:r>
        <w:rPr>
          <w:rFonts w:hint="default" w:ascii="Times New Roman" w:hAnsi="Times New Roman" w:cs="Times New Roman"/>
          <w:color w:val="auto"/>
          <w:highlight w:val="none"/>
        </w:rPr>
        <w:t>方针。运用环境保护法律和行政手段实施污染物排放总量控制，便于操作和考核，有利于推动可持续发展在我国的实施。</w:t>
      </w:r>
    </w:p>
    <w:p w14:paraId="4960A84C">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总量控制因子</w:t>
      </w:r>
    </w:p>
    <w:p w14:paraId="612E5BA5">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 xml:space="preserve">根据国家环境部“十四五”期间实施污染物总量控制的要求，确定本工程的污染物总 </w:t>
      </w:r>
    </w:p>
    <w:p w14:paraId="673E8A7A">
      <w:pPr>
        <w:keepNext w:val="0"/>
        <w:keepLines w:val="0"/>
        <w:widowControl/>
        <w:suppressLineNumbers w:val="0"/>
        <w:jc w:val="left"/>
        <w:rPr>
          <w:rFonts w:hint="default" w:ascii="Times New Roman" w:hAnsi="Times New Roman" w:cs="Times New Roman" w:eastAsiaTheme="minorEastAsia"/>
          <w:color w:val="auto"/>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bidi="ar"/>
        </w:rPr>
        <w:t>量控制项目为废气：</w:t>
      </w:r>
      <w:r>
        <w:rPr>
          <w:rFonts w:hint="eastAsia" w:ascii="Times New Roman" w:hAnsi="Times New Roman" w:eastAsia="宋体" w:cs="Times New Roman"/>
          <w:color w:val="auto"/>
          <w:kern w:val="0"/>
          <w:sz w:val="24"/>
          <w:szCs w:val="24"/>
          <w:highlight w:val="none"/>
          <w:lang w:val="en-US" w:eastAsia="zh-CN" w:bidi="ar"/>
        </w:rPr>
        <w:t>颗粒物、</w:t>
      </w:r>
      <w:r>
        <w:rPr>
          <w:rFonts w:hint="default" w:ascii="Times New Roman" w:hAnsi="Times New Roman" w:cs="Times New Roman"/>
          <w:color w:val="auto"/>
          <w:sz w:val="24"/>
          <w:szCs w:val="24"/>
          <w:highlight w:val="none"/>
        </w:rPr>
        <w:t>NO</w:t>
      </w:r>
      <w:r>
        <w:rPr>
          <w:rFonts w:hint="default" w:ascii="Times New Roman" w:hAnsi="Times New Roman" w:cs="Times New Roman"/>
          <w:color w:val="auto"/>
          <w:sz w:val="24"/>
          <w:szCs w:val="24"/>
          <w:highlight w:val="none"/>
          <w:vertAlign w:val="subscript"/>
        </w:rPr>
        <w:t>X</w:t>
      </w: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S</w:t>
      </w:r>
      <w:r>
        <w:rPr>
          <w:rFonts w:hint="default" w:ascii="Times New Roman" w:hAnsi="Times New Roman" w:cs="Times New Roman"/>
          <w:color w:val="auto"/>
          <w:sz w:val="24"/>
          <w:szCs w:val="24"/>
          <w:highlight w:val="none"/>
        </w:rPr>
        <w:t>O</w:t>
      </w:r>
      <w:r>
        <w:rPr>
          <w:rFonts w:hint="eastAsia" w:ascii="Times New Roman" w:hAnsi="Times New Roman" w:cs="Times New Roman"/>
          <w:color w:val="auto"/>
          <w:sz w:val="24"/>
          <w:szCs w:val="24"/>
          <w:highlight w:val="none"/>
          <w:vertAlign w:val="subscript"/>
          <w:lang w:val="en-US" w:eastAsia="zh-CN"/>
        </w:rPr>
        <w:t>2</w:t>
      </w:r>
      <w:r>
        <w:rPr>
          <w:rFonts w:hint="default" w:ascii="Times New Roman" w:hAnsi="Times New Roman" w:cs="Times New Roman"/>
          <w:color w:val="auto"/>
          <w:sz w:val="24"/>
          <w:szCs w:val="24"/>
          <w:highlight w:val="none"/>
          <w:lang w:eastAsia="zh-CN"/>
        </w:rPr>
        <w:t>；</w:t>
      </w:r>
      <w:r>
        <w:rPr>
          <w:rFonts w:hint="default" w:ascii="Times New Roman" w:hAnsi="Times New Roman" w:eastAsia="宋体" w:cs="Times New Roman"/>
          <w:color w:val="auto"/>
          <w:kern w:val="0"/>
          <w:sz w:val="24"/>
          <w:szCs w:val="24"/>
          <w:highlight w:val="none"/>
          <w:lang w:val="en-US" w:eastAsia="zh-CN" w:bidi="ar"/>
        </w:rPr>
        <w:t>废水：</w:t>
      </w:r>
      <w:r>
        <w:rPr>
          <w:rFonts w:hint="default" w:ascii="Times New Roman" w:hAnsi="Times New Roman" w:cs="Times New Roman"/>
          <w:color w:val="auto"/>
          <w:sz w:val="24"/>
          <w:szCs w:val="24"/>
          <w:highlight w:val="none"/>
        </w:rPr>
        <w:t>COD、氨氮</w:t>
      </w:r>
      <w:r>
        <w:rPr>
          <w:rFonts w:hint="default" w:ascii="Times New Roman" w:hAnsi="Times New Roman" w:cs="Times New Roman"/>
          <w:color w:val="auto"/>
          <w:sz w:val="24"/>
          <w:szCs w:val="24"/>
          <w:highlight w:val="none"/>
          <w:lang w:eastAsia="zh-CN"/>
        </w:rPr>
        <w:t>。</w:t>
      </w:r>
    </w:p>
    <w:p w14:paraId="014A5BE2">
      <w:pPr>
        <w:pStyle w:val="14"/>
        <w:ind w:firstLine="480"/>
        <w:rPr>
          <w:rFonts w:hint="default" w:ascii="Times New Roman" w:hAnsi="Times New Roman" w:cs="Times New Roman"/>
          <w:color w:val="auto"/>
          <w:highlight w:val="none"/>
        </w:rPr>
      </w:pPr>
    </w:p>
    <w:p w14:paraId="2FA2E89F">
      <w:pPr>
        <w:rPr>
          <w:rFonts w:hint="default" w:ascii="Times New Roman" w:hAnsi="Times New Roman" w:cs="Times New Roman"/>
          <w:color w:val="auto"/>
          <w:sz w:val="24"/>
          <w:szCs w:val="24"/>
          <w:highlight w:val="none"/>
        </w:rPr>
      </w:pPr>
    </w:p>
    <w:p w14:paraId="2112A9DD">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p>
    <w:p w14:paraId="6C73396B">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p>
    <w:p w14:paraId="05DEEF5C">
      <w:pPr>
        <w:keepNext w:val="0"/>
        <w:keepLines w:val="0"/>
        <w:widowControl/>
        <w:suppressLineNumbers w:val="0"/>
        <w:ind w:firstLine="420" w:firstLineChars="200"/>
        <w:jc w:val="left"/>
        <w:rPr>
          <w:rFonts w:hint="default" w:ascii="Times New Roman" w:hAnsi="Times New Roman" w:cs="Times New Roman"/>
          <w:color w:val="auto"/>
          <w:highlight w:val="none"/>
        </w:rPr>
      </w:pPr>
    </w:p>
    <w:p w14:paraId="14EED496">
      <w:pPr>
        <w:keepNext w:val="0"/>
        <w:keepLines w:val="0"/>
        <w:widowControl/>
        <w:suppressLineNumbers w:val="0"/>
        <w:ind w:firstLine="420" w:firstLineChars="200"/>
        <w:jc w:val="left"/>
        <w:rPr>
          <w:rFonts w:hint="default" w:ascii="Times New Roman" w:hAnsi="Times New Roman" w:cs="Times New Roman"/>
          <w:color w:val="auto"/>
          <w:highlight w:val="none"/>
        </w:rPr>
      </w:pPr>
    </w:p>
    <w:p w14:paraId="3289FD4E">
      <w:pPr>
        <w:keepNext w:val="0"/>
        <w:keepLines w:val="0"/>
        <w:widowControl/>
        <w:suppressLineNumbers w:val="0"/>
        <w:ind w:firstLine="420" w:firstLineChars="200"/>
        <w:jc w:val="left"/>
        <w:rPr>
          <w:rFonts w:hint="default" w:ascii="Times New Roman" w:hAnsi="Times New Roman" w:cs="Times New Roman"/>
          <w:color w:val="auto"/>
          <w:highlight w:val="none"/>
        </w:rPr>
      </w:pPr>
    </w:p>
    <w:p w14:paraId="42FC6D01">
      <w:pPr>
        <w:keepNext w:val="0"/>
        <w:keepLines w:val="0"/>
        <w:widowControl/>
        <w:suppressLineNumbers w:val="0"/>
        <w:ind w:firstLine="420" w:firstLineChars="200"/>
        <w:jc w:val="left"/>
        <w:rPr>
          <w:rFonts w:hint="default" w:ascii="Times New Roman" w:hAnsi="Times New Roman" w:cs="Times New Roman"/>
          <w:color w:val="auto"/>
          <w:highlight w:val="none"/>
        </w:rPr>
      </w:pPr>
    </w:p>
    <w:p w14:paraId="0A88A919">
      <w:pPr>
        <w:pStyle w:val="14"/>
        <w:ind w:firstLine="480"/>
        <w:rPr>
          <w:rFonts w:hint="default" w:ascii="Times New Roman" w:hAnsi="Times New Roman" w:cs="Times New Roman"/>
          <w:color w:val="auto"/>
          <w:highlight w:val="none"/>
        </w:rPr>
      </w:pPr>
    </w:p>
    <w:p w14:paraId="5F06A802">
      <w:pPr>
        <w:pStyle w:val="14"/>
        <w:ind w:left="0" w:leftChars="0" w:firstLine="0" w:firstLineChars="0"/>
        <w:rPr>
          <w:rFonts w:hint="default" w:ascii="Times New Roman" w:hAnsi="Times New Roman" w:cs="Times New Roman"/>
          <w:color w:val="auto"/>
          <w:highlight w:val="none"/>
        </w:rPr>
      </w:pPr>
    </w:p>
    <w:p w14:paraId="5B4E5EA5">
      <w:pPr>
        <w:pStyle w:val="14"/>
        <w:ind w:firstLine="480"/>
        <w:rPr>
          <w:rFonts w:hint="default" w:ascii="Times New Roman" w:hAnsi="Times New Roman" w:cs="Times New Roman"/>
          <w:color w:val="auto"/>
          <w:highlight w:val="none"/>
        </w:rPr>
        <w:sectPr>
          <w:headerReference r:id="rId23"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300B25D8">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77" w:name="_Toc7199"/>
      <w:bookmarkStart w:id="78" w:name="_Toc10209"/>
      <w:bookmarkStart w:id="79" w:name="_Toc25473"/>
      <w:r>
        <w:rPr>
          <w:rFonts w:hint="default" w:ascii="Times New Roman" w:hAnsi="Times New Roman" w:cs="Times New Roman"/>
          <w:color w:val="auto"/>
          <w:highlight w:val="none"/>
        </w:rPr>
        <w:t>环境现状调查与评价</w:t>
      </w:r>
      <w:bookmarkEnd w:id="77"/>
      <w:bookmarkEnd w:id="78"/>
      <w:bookmarkEnd w:id="79"/>
    </w:p>
    <w:p w14:paraId="6020900E">
      <w:pPr>
        <w:pStyle w:val="3"/>
        <w:spacing w:before="156" w:after="156"/>
        <w:rPr>
          <w:rFonts w:hint="default" w:ascii="Times New Roman" w:hAnsi="Times New Roman" w:cs="Times New Roman"/>
          <w:color w:val="auto"/>
          <w:highlight w:val="none"/>
        </w:rPr>
      </w:pPr>
      <w:bookmarkStart w:id="80" w:name="_Toc27921"/>
      <w:bookmarkStart w:id="81" w:name="_Toc877"/>
      <w:bookmarkStart w:id="82" w:name="_Toc8645"/>
      <w:r>
        <w:rPr>
          <w:rFonts w:hint="default" w:ascii="Times New Roman" w:hAnsi="Times New Roman" w:cs="Times New Roman"/>
          <w:color w:val="auto"/>
          <w:highlight w:val="none"/>
        </w:rPr>
        <w:t>自然环境概况</w:t>
      </w:r>
      <w:bookmarkEnd w:id="80"/>
      <w:bookmarkEnd w:id="81"/>
      <w:bookmarkEnd w:id="82"/>
    </w:p>
    <w:p w14:paraId="5E4F33E0">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地理位置</w:t>
      </w:r>
    </w:p>
    <w:p w14:paraId="4365495E">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剑阁县位于四川省北部，广元市西南部，介于北纬31゜31′至32゜21′，东经 105゜10′至 105゜49′之间，东与广元市昭化区、苍溪县毗连，南与南部县、阆中市接壤，西与梓潼县、江油市交界，北与青川县、广元市利州区为邻，幅员面积 3204 平方公里。剑阁县辖 29 个乡镇，行政村314 个（含涉农社区）。</w:t>
      </w:r>
    </w:p>
    <w:p w14:paraId="79268206">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sz w:val="24"/>
          <w:szCs w:val="24"/>
          <w:highlight w:val="none"/>
        </w:rPr>
        <w:t>普安镇是</w:t>
      </w: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sz w:val="24"/>
          <w:szCs w:val="24"/>
          <w:highlight w:val="none"/>
        </w:rPr>
        <w:instrText xml:space="preserve"> HYPERLINK "https://baike.sogou.com/lemma/ShowInnerLink.htm?lemmaId=11543&amp;ss_c=ssc.citiao.link" \t "_blank"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t>四川省广元市</w:t>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sz w:val="24"/>
          <w:szCs w:val="24"/>
          <w:highlight w:val="none"/>
        </w:rPr>
        <w:instrText xml:space="preserve"> HYPERLINK "https://baike.sogou.com/lemma/ShowInnerLink.htm?lemmaId=11593&amp;ss_c=ssc.citiao.link" \t "_blank"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t>剑阁县</w:t>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t>下辖镇，位于四川省北部，剑阁县中北部，地处四川盆地北部边缘，剑阁县中部偏北部的山地，有“蜀道明珠”之美誉</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highlight w:val="none"/>
          <w:lang w:val="en-US" w:eastAsia="zh-CN"/>
        </w:rPr>
        <w:t>本项目位于剑阁县普安镇剑坪村一组，地理位置见附图1。</w:t>
      </w:r>
    </w:p>
    <w:p w14:paraId="28458977">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地形地貌</w:t>
      </w:r>
    </w:p>
    <w:p w14:paraId="120FDDDA">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剑阁县地势西北高、东南低，低山地貌特点显著。地貌形态差异悬殊，海拔 500 米至 700 米的宽谷低山区占总面积的 50.34%；海拔 700 米至1000 米的窄谷低山区占 40.23%。地貌类型以低山区为主</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highlight w:val="none"/>
          <w:lang w:val="en-US" w:eastAsia="zh-CN"/>
        </w:rPr>
        <w:t>平均海拔 540米。</w:t>
      </w:r>
    </w:p>
    <w:p w14:paraId="2358BCEE">
      <w:pPr>
        <w:pStyle w:val="14"/>
        <w:ind w:firstLine="480"/>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评价区位于四川盆地北缘广元市境内，地势西北高，东南低，区域地形起伏，地面标高 465~755m；评价区地形地形起伏，总体向近北方向的闻溪河倾斜，地面标高469~750m，地形坡度一般 23~30°，局部陡处为 35~40°；厂内经整平后地面标高 645~650m。</w:t>
      </w:r>
    </w:p>
    <w:p w14:paraId="182DDA9A">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气候特征</w:t>
      </w:r>
    </w:p>
    <w:p w14:paraId="129DEF8E">
      <w:pPr>
        <w:adjustRightInd w:val="0"/>
        <w:snapToGrid w:val="0"/>
        <w:spacing w:line="360" w:lineRule="auto"/>
        <w:ind w:firstLine="480" w:firstLineChars="200"/>
        <w:jc w:val="left"/>
        <w:rPr>
          <w:rFonts w:hint="default" w:ascii="Times New Roman" w:hAnsi="Times New Roman" w:cs="Times New Roman"/>
          <w:color w:val="auto"/>
          <w:sz w:val="24"/>
          <w:highlight w:val="none"/>
        </w:rPr>
      </w:pPr>
      <w:bookmarkStart w:id="83" w:name="_Toc72030155"/>
      <w:r>
        <w:rPr>
          <w:rFonts w:hint="default" w:ascii="Times New Roman" w:hAnsi="Times New Roman" w:cs="Times New Roman"/>
          <w:color w:val="auto"/>
          <w:sz w:val="24"/>
          <w:highlight w:val="none"/>
        </w:rPr>
        <w:t>区域属亚热带温润性气候，气候温和，雨量充沛，四季分明，大陆性季风气候明显，无霜期较长，主导风向偏北，水热条件有利于农业生产，但灭害性天气亦较多。春季气温回升较快，但不稳定。降雨少，风沙日多，春旱频率大等特点。</w:t>
      </w:r>
    </w:p>
    <w:p w14:paraId="1E3C2BCA">
      <w:pPr>
        <w:adjustRightInd w:val="0"/>
        <w:snapToGrid w:val="0"/>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年平均气温15.1°C；极端最高气温37.6°C，极端最低气温-7.8°C。</w:t>
      </w:r>
    </w:p>
    <w:p w14:paraId="41B7C0B1">
      <w:pPr>
        <w:adjustRightInd w:val="0"/>
        <w:snapToGrid w:val="0"/>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年平均相对湿度74%。</w:t>
      </w:r>
    </w:p>
    <w:p w14:paraId="1EC86D7C">
      <w:pPr>
        <w:adjustRightInd w:val="0"/>
        <w:snapToGrid w:val="0"/>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年平均雨量1010.7毫米；最大年降雨量1583.7毫米，最小年降雨量581.3毫米。</w:t>
      </w:r>
    </w:p>
    <w:p w14:paraId="7D5CD9B2">
      <w:pPr>
        <w:adjustRightInd w:val="0"/>
        <w:snapToGrid w:val="0"/>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年平均日照1268.1小时。</w:t>
      </w:r>
    </w:p>
    <w:p w14:paraId="6E5CCFF6">
      <w:pPr>
        <w:adjustRightInd w:val="0"/>
        <w:snapToGrid w:val="0"/>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年平均气压953.5Pa。</w:t>
      </w:r>
    </w:p>
    <w:p w14:paraId="157E4910">
      <w:pPr>
        <w:adjustRightInd w:val="0"/>
        <w:snapToGrid w:val="0"/>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年平均风速2.1米/秒，最大风速34米/秒。</w:t>
      </w:r>
    </w:p>
    <w:p w14:paraId="72C84002">
      <w:pPr>
        <w:adjustRightInd w:val="0"/>
        <w:snapToGrid w:val="0"/>
        <w:spacing w:line="360" w:lineRule="auto"/>
        <w:ind w:firstLine="480" w:firstLineChars="200"/>
        <w:jc w:val="left"/>
        <w:rPr>
          <w:rFonts w:hint="default" w:ascii="Times New Roman" w:hAnsi="Times New Roman" w:cs="Times New Roman"/>
          <w:color w:val="auto"/>
          <w:sz w:val="24"/>
          <w:highlight w:val="none"/>
          <w:lang w:val="en-GB"/>
        </w:rPr>
      </w:pPr>
      <w:r>
        <w:rPr>
          <w:rFonts w:hint="default" w:ascii="Times New Roman" w:hAnsi="Times New Roman" w:cs="Times New Roman"/>
          <w:color w:val="auto"/>
          <w:sz w:val="24"/>
          <w:highlight w:val="none"/>
        </w:rPr>
        <w:t>全年主导风向：市城区为北风。</w:t>
      </w:r>
    </w:p>
    <w:bookmarkEnd w:id="83"/>
    <w:p w14:paraId="1737B2F1">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水文地质</w:t>
      </w:r>
    </w:p>
    <w:p w14:paraId="35E1943C">
      <w:pPr>
        <w:adjustRightInd w:val="0"/>
        <w:snapToGrid w:val="0"/>
        <w:spacing w:line="360" w:lineRule="auto"/>
        <w:ind w:firstLine="480" w:firstLineChars="200"/>
        <w:jc w:val="left"/>
        <w:rPr>
          <w:rFonts w:hint="default" w:ascii="Times New Roman" w:hAnsi="Times New Roman" w:cs="Times New Roman" w:eastAsiaTheme="minorEastAsia"/>
          <w:b/>
          <w:bCs/>
          <w:color w:val="auto"/>
          <w:kern w:val="0"/>
          <w:sz w:val="24"/>
          <w:highlight w:val="none"/>
          <w:lang w:val="en-US" w:eastAsia="zh-CN"/>
        </w:rPr>
      </w:pPr>
      <w:r>
        <w:rPr>
          <w:rFonts w:hint="default" w:ascii="Times New Roman" w:hAnsi="Times New Roman" w:cs="Times New Roman"/>
          <w:b/>
          <w:bCs/>
          <w:color w:val="auto"/>
          <w:kern w:val="0"/>
          <w:sz w:val="24"/>
          <w:highlight w:val="none"/>
          <w:lang w:val="en-US" w:eastAsia="zh-CN"/>
        </w:rPr>
        <w:t>1、地表水</w:t>
      </w:r>
    </w:p>
    <w:p w14:paraId="5541A9E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cs="Times New Roman"/>
          <w:color w:val="auto"/>
          <w:kern w:val="0"/>
          <w:sz w:val="24"/>
          <w:highlight w:val="none"/>
        </w:rPr>
      </w:pPr>
      <w:r>
        <w:rPr>
          <w:rFonts w:hint="default" w:ascii="Times New Roman" w:hAnsi="Times New Roman" w:cs="Times New Roman"/>
          <w:color w:val="auto"/>
          <w:kern w:val="0"/>
          <w:sz w:val="24"/>
          <w:highlight w:val="none"/>
        </w:rPr>
        <w:t>剑阁县内河流均属嘉陵江水系，嘉陵江沿县东南边境穿过，为全县水系主干。境内西河、炭口河、店子河、闻溪河、清江河、剑溪河等主要河流，分别从北流入嘉陵江，均为嘉陵江支流，总流域</w:t>
      </w:r>
      <w:r>
        <w:rPr>
          <w:rFonts w:hint="default" w:ascii="Times New Roman" w:hAnsi="Times New Roman" w:cs="Times New Roman"/>
          <w:color w:val="auto"/>
          <w:kern w:val="0"/>
          <w:sz w:val="24"/>
          <w:highlight w:val="none"/>
          <w:lang w:val="en-US" w:eastAsia="zh-CN"/>
        </w:rPr>
        <w:t xml:space="preserve"> </w:t>
      </w:r>
      <w:r>
        <w:rPr>
          <w:rFonts w:hint="default" w:ascii="Times New Roman" w:hAnsi="Times New Roman" w:cs="Times New Roman"/>
          <w:color w:val="auto"/>
          <w:kern w:val="0"/>
          <w:sz w:val="24"/>
          <w:highlight w:val="none"/>
        </w:rPr>
        <w:t>面积2823.2平方公里，总长度670公里，其中流域面积最大的是西河，境内流域面积1235平方公里，流程118公里。另外还有大小不等的若干山溪性河流呈“树枝状”遍布全境，大多源近流短，流域面积不大，陡涨陡落，河流比降2.26%~3.66%，径流随雨季变化而变化，洪水期冲刷大。这些河流多发源于北部五指山区，由西北流向东南方。元山镇、剑门关镇的大小溪、沟为逆向河，由东南向西北流动。除嘉陵江外，无航运之利，水能开发困难。</w:t>
      </w:r>
    </w:p>
    <w:p w14:paraId="74D312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闻溪河是</w:t>
      </w: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sz w:val="24"/>
          <w:szCs w:val="24"/>
          <w:highlight w:val="none"/>
        </w:rPr>
        <w:instrText xml:space="preserve"> HYPERLINK "https://baike.baidu.com/item/%E5%98%89%E9%99%B5%E6%B1%9F/627569" \t "https://baike.baidu.com/item/%E9%97%BB%E6%BA%AA%E6%B2%B3/_blank"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t>嘉陵江</w:t>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t>右岸支流，流域位于四川省</w:t>
      </w: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sz w:val="24"/>
          <w:szCs w:val="24"/>
          <w:highlight w:val="none"/>
        </w:rPr>
        <w:instrText xml:space="preserve"> HYPERLINK "https://baike.baidu.com/item/%E5%89%91%E9%98%81%E5%8E%BF/6865045" \t "https://baike.baidu.com/item/%E9%97%BB%E6%BA%AA%E6%B2%B3/_blank"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t>剑阁县</w:t>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t>境内，干流发源于剑阁县盐店镇五子山分水岭东南，在剑阁县江口镇注入嘉陵江，河道全长59千米，流域面积536平方千米，出境平均流量每秒7.44立方米，年径流总量2.35亿立方米。 闻溪河河流特点是源近流短，流域面积不大，河道平均坡降陡，径流随雨季变化，陡涨陡落，平均水深很浅，为顺向河，由西北流向东南。</w:t>
      </w:r>
    </w:p>
    <w:p w14:paraId="3BEE640D">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hint="default" w:ascii="Times New Roman" w:hAnsi="Times New Roman" w:cs="Times New Roman" w:eastAsiaTheme="minorEastAsia"/>
          <w:b/>
          <w:bCs/>
          <w:color w:val="auto"/>
          <w:sz w:val="24"/>
          <w:highlight w:val="none"/>
          <w:lang w:val="en-US" w:eastAsia="zh-CN"/>
        </w:rPr>
      </w:pPr>
      <w:r>
        <w:rPr>
          <w:rFonts w:hint="default" w:ascii="Times New Roman" w:hAnsi="Times New Roman" w:cs="Times New Roman"/>
          <w:b/>
          <w:bCs/>
          <w:color w:val="auto"/>
          <w:sz w:val="24"/>
          <w:highlight w:val="none"/>
          <w:lang w:val="en-US" w:eastAsia="zh-CN"/>
        </w:rPr>
        <w:t>2、水文地质</w:t>
      </w:r>
    </w:p>
    <w:p w14:paraId="2CCAB115">
      <w:pPr>
        <w:numPr>
          <w:ilvl w:val="0"/>
          <w:numId w:val="0"/>
        </w:numPr>
        <w:spacing w:line="360" w:lineRule="auto"/>
        <w:ind w:firstLine="480" w:firstLineChars="200"/>
        <w:jc w:val="left"/>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根据地下水的赋存条件、含水介质及地层岩性组合特征，评价区地下水类型主要为基岩裂隙水</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该层主要由白垩系下统剑阁组和剑门关组的砂岩、砾岩、粉砂岩、粉砂质泥岩等组成等组成；全-强风化岩石层厚一般 0.5~7.9m；富水性极贫乏，单井涌水量一般小于10m</w:t>
      </w:r>
      <w:r>
        <w:rPr>
          <w:rFonts w:hint="default" w:ascii="Times New Roman" w:hAnsi="Times New Roman" w:cs="Times New Roman"/>
          <w:color w:val="auto"/>
          <w:sz w:val="24"/>
          <w:highlight w:val="none"/>
          <w:vertAlign w:val="superscript"/>
        </w:rPr>
        <w:t>3</w:t>
      </w:r>
      <w:r>
        <w:rPr>
          <w:rFonts w:hint="default" w:ascii="Times New Roman" w:hAnsi="Times New Roman" w:cs="Times New Roman"/>
          <w:color w:val="auto"/>
          <w:sz w:val="24"/>
          <w:highlight w:val="none"/>
        </w:rPr>
        <w:t>/d，渗透系数 K=0.17m/d，水力特征为潜水，水化学类型主要为Na</w:t>
      </w:r>
      <w:r>
        <w:rPr>
          <w:rFonts w:hint="default" w:ascii="Times New Roman" w:hAnsi="Times New Roman" w:cs="Times New Roman"/>
          <w:color w:val="auto"/>
          <w:sz w:val="24"/>
          <w:highlight w:val="none"/>
          <w:lang w:val="en-US" w:eastAsia="zh-CN"/>
        </w:rPr>
        <w:t>-</w:t>
      </w:r>
      <w:r>
        <w:rPr>
          <w:rFonts w:hint="default" w:ascii="Times New Roman" w:hAnsi="Times New Roman" w:cs="Times New Roman"/>
          <w:color w:val="auto"/>
          <w:sz w:val="24"/>
          <w:highlight w:val="none"/>
        </w:rPr>
        <w:t>HCO</w:t>
      </w:r>
      <w:r>
        <w:rPr>
          <w:rFonts w:hint="default" w:ascii="Times New Roman" w:hAnsi="Times New Roman" w:cs="Times New Roman"/>
          <w:color w:val="auto"/>
          <w:sz w:val="24"/>
          <w:highlight w:val="none"/>
          <w:vertAlign w:val="subscript"/>
        </w:rPr>
        <w:t>3</w:t>
      </w:r>
      <w:r>
        <w:rPr>
          <w:rFonts w:hint="default" w:ascii="Times New Roman" w:hAnsi="Times New Roman" w:cs="Times New Roman"/>
          <w:color w:val="auto"/>
          <w:sz w:val="24"/>
          <w:highlight w:val="none"/>
        </w:rPr>
        <w:t>、Ca</w:t>
      </w:r>
      <w:r>
        <w:rPr>
          <w:rFonts w:hint="default" w:ascii="Times New Roman" w:hAnsi="Times New Roman" w:cs="Times New Roman"/>
          <w:color w:val="auto"/>
          <w:sz w:val="24"/>
          <w:highlight w:val="none"/>
          <w:lang w:val="en-US" w:eastAsia="zh-CN"/>
        </w:rPr>
        <w:t>-</w:t>
      </w:r>
      <w:r>
        <w:rPr>
          <w:rFonts w:hint="default" w:ascii="Times New Roman" w:hAnsi="Times New Roman" w:cs="Times New Roman"/>
          <w:color w:val="auto"/>
          <w:sz w:val="24"/>
          <w:highlight w:val="none"/>
        </w:rPr>
        <w:t>HCO</w:t>
      </w:r>
      <w:r>
        <w:rPr>
          <w:rFonts w:hint="default" w:ascii="Times New Roman" w:hAnsi="Times New Roman" w:cs="Times New Roman"/>
          <w:color w:val="auto"/>
          <w:sz w:val="24"/>
          <w:highlight w:val="none"/>
          <w:vertAlign w:val="subscript"/>
        </w:rPr>
        <w:t>3</w:t>
      </w:r>
      <w:r>
        <w:rPr>
          <w:rFonts w:hint="default" w:ascii="Times New Roman" w:hAnsi="Times New Roman" w:cs="Times New Roman"/>
          <w:color w:val="auto"/>
          <w:sz w:val="24"/>
          <w:highlight w:val="none"/>
        </w:rPr>
        <w:t xml:space="preserve"> 型；溶解性总固体小于 0.5g/L；中风化—微风化岩石色泽较新鲜，结构完整，裂隙不甚发育，岩芯较完整，最大揭露厚度 11.9m，为区域上的相对隔水层，渗透系数一般小于 1.0×10</w:t>
      </w:r>
      <w:r>
        <w:rPr>
          <w:rFonts w:hint="default" w:ascii="Times New Roman" w:hAnsi="Times New Roman" w:cs="Times New Roman"/>
          <w:color w:val="auto"/>
          <w:sz w:val="24"/>
          <w:highlight w:val="none"/>
          <w:vertAlign w:val="superscript"/>
        </w:rPr>
        <w:t>-5</w:t>
      </w:r>
      <w:r>
        <w:rPr>
          <w:rFonts w:hint="default" w:ascii="Times New Roman" w:hAnsi="Times New Roman" w:cs="Times New Roman"/>
          <w:color w:val="auto"/>
          <w:sz w:val="24"/>
          <w:highlight w:val="none"/>
        </w:rPr>
        <w:t>cm/s。</w:t>
      </w:r>
    </w:p>
    <w:p w14:paraId="749B53BB">
      <w:pPr>
        <w:numPr>
          <w:ilvl w:val="0"/>
          <w:numId w:val="0"/>
        </w:numPr>
        <w:spacing w:line="360" w:lineRule="auto"/>
        <w:ind w:firstLine="480" w:firstLineChars="200"/>
        <w:jc w:val="left"/>
        <w:rPr>
          <w:rFonts w:hint="default" w:ascii="Times New Roman" w:hAnsi="Times New Roman" w:cs="Times New Roman" w:eastAsiaTheme="minorEastAsia"/>
          <w:color w:val="auto"/>
          <w:sz w:val="24"/>
          <w:highlight w:val="none"/>
          <w:lang w:eastAsia="zh-CN"/>
        </w:rPr>
      </w:pPr>
      <w:r>
        <w:rPr>
          <w:rFonts w:hint="default" w:ascii="Times New Roman" w:hAnsi="Times New Roman" w:cs="Times New Roman" w:eastAsiaTheme="minorEastAsia"/>
          <w:color w:val="auto"/>
          <w:sz w:val="24"/>
          <w:highlight w:val="none"/>
          <w:lang w:eastAsia="zh-CN"/>
        </w:rPr>
        <w:t>项目场区位于地势较高的“山腰”上，附近无溪流通过，只在填埋场下游槽底东侧发育有一条冲沟，自南向北径流，枯水期流量 0.02~0.05m</w:t>
      </w:r>
      <w:r>
        <w:rPr>
          <w:rFonts w:hint="default" w:ascii="Times New Roman" w:hAnsi="Times New Roman" w:cs="Times New Roman" w:eastAsiaTheme="minorEastAsia"/>
          <w:color w:val="auto"/>
          <w:sz w:val="24"/>
          <w:highlight w:val="none"/>
          <w:vertAlign w:val="superscript"/>
          <w:lang w:eastAsia="zh-CN"/>
        </w:rPr>
        <w:t>3</w:t>
      </w:r>
      <w:r>
        <w:rPr>
          <w:rFonts w:hint="default" w:ascii="Times New Roman" w:hAnsi="Times New Roman" w:cs="Times New Roman" w:eastAsiaTheme="minorEastAsia"/>
          <w:color w:val="auto"/>
          <w:sz w:val="24"/>
          <w:highlight w:val="none"/>
          <w:lang w:eastAsia="zh-CN"/>
        </w:rPr>
        <w:t>/s，雨季可达0.2~0.6 m</w:t>
      </w:r>
      <w:r>
        <w:rPr>
          <w:rFonts w:hint="default" w:ascii="Times New Roman" w:hAnsi="Times New Roman" w:cs="Times New Roman" w:eastAsiaTheme="minorEastAsia"/>
          <w:color w:val="auto"/>
          <w:sz w:val="24"/>
          <w:highlight w:val="none"/>
          <w:vertAlign w:val="superscript"/>
          <w:lang w:eastAsia="zh-CN"/>
        </w:rPr>
        <w:t>3</w:t>
      </w:r>
      <w:r>
        <w:rPr>
          <w:rFonts w:hint="default" w:ascii="Times New Roman" w:hAnsi="Times New Roman" w:cs="Times New Roman" w:eastAsiaTheme="minorEastAsia"/>
          <w:color w:val="auto"/>
          <w:sz w:val="24"/>
          <w:highlight w:val="none"/>
          <w:lang w:eastAsia="zh-CN"/>
        </w:rPr>
        <w:t>/s；该冲沟常年为项目地的地下水排泄点；在山下闻溪河沿岸，由于全-强风化的基岩风化破碎，具有一定的渗透性，使得其与闻溪河能够产生一定的水力联系。</w:t>
      </w:r>
    </w:p>
    <w:p w14:paraId="0F53A9A8">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hint="default" w:ascii="Times New Roman" w:hAnsi="Times New Roman" w:eastAsia="黑体" w:cs="Times New Roman"/>
          <w:color w:val="auto"/>
          <w:sz w:val="24"/>
          <w:highlight w:val="none"/>
          <w:lang w:val="en-US" w:eastAsia="zh-CN"/>
        </w:rPr>
      </w:pPr>
      <w:r>
        <w:rPr>
          <w:rFonts w:hint="default" w:ascii="Times New Roman" w:hAnsi="Times New Roman" w:eastAsia="黑体" w:cs="Times New Roman"/>
          <w:color w:val="auto"/>
          <w:sz w:val="24"/>
          <w:highlight w:val="none"/>
          <w:lang w:val="en-GB" w:eastAsia="zh-CN"/>
        </w:rPr>
        <w:t>根据现场勘查，项目北侧约</w:t>
      </w:r>
      <w:r>
        <w:rPr>
          <w:rFonts w:hint="default" w:ascii="Times New Roman" w:hAnsi="Times New Roman" w:eastAsia="黑体" w:cs="Times New Roman"/>
          <w:color w:val="auto"/>
          <w:sz w:val="24"/>
          <w:highlight w:val="none"/>
          <w:lang w:val="en-US" w:eastAsia="zh-CN"/>
        </w:rPr>
        <w:t>890m为闻溪</w:t>
      </w:r>
      <w:r>
        <w:rPr>
          <w:rFonts w:hint="default" w:ascii="Times New Roman" w:hAnsi="Times New Roman" w:eastAsia="黑体" w:cs="Times New Roman"/>
          <w:color w:val="auto"/>
          <w:sz w:val="24"/>
          <w:highlight w:val="none"/>
          <w:lang w:val="en-GB" w:eastAsia="zh-CN"/>
        </w:rPr>
        <w:t>河，水体主要功能为工农业用水、纳污等；</w:t>
      </w:r>
      <w:bookmarkStart w:id="84" w:name="_Toc445127450"/>
      <w:bookmarkStart w:id="85" w:name="_Toc436479415"/>
      <w:bookmarkStart w:id="86" w:name="_Toc312269404"/>
      <w:r>
        <w:rPr>
          <w:rFonts w:hint="default" w:ascii="Times New Roman" w:hAnsi="Times New Roman" w:eastAsia="黑体" w:cs="Times New Roman"/>
          <w:color w:val="auto"/>
          <w:sz w:val="24"/>
          <w:highlight w:val="none"/>
          <w:lang w:val="en-US" w:eastAsia="zh-CN"/>
        </w:rPr>
        <w:t>项目所在区域居民生活用水为自来水，本项目评价范围内不存在集中式饮用水源取水点，不涉及集中式饮用水源保护区。</w:t>
      </w:r>
    </w:p>
    <w:bookmarkEnd w:id="84"/>
    <w:bookmarkEnd w:id="85"/>
    <w:bookmarkEnd w:id="86"/>
    <w:p w14:paraId="6D720915">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动植物资源</w:t>
      </w:r>
    </w:p>
    <w:p w14:paraId="680726F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default" w:ascii="Times New Roman" w:hAnsi="Times New Roman" w:cs="Times New Roman" w:eastAsiaTheme="minorEastAsia"/>
          <w:b/>
          <w:bCs/>
          <w:color w:val="auto"/>
          <w:kern w:val="0"/>
          <w:sz w:val="24"/>
          <w:szCs w:val="24"/>
          <w:highlight w:val="none"/>
          <w:lang w:val="en-US" w:eastAsia="zh-CN"/>
        </w:rPr>
      </w:pPr>
      <w:r>
        <w:rPr>
          <w:rFonts w:hint="default" w:ascii="Times New Roman" w:hAnsi="Times New Roman" w:cs="Times New Roman"/>
          <w:b/>
          <w:bCs/>
          <w:color w:val="auto"/>
          <w:kern w:val="0"/>
          <w:sz w:val="24"/>
          <w:szCs w:val="24"/>
          <w:highlight w:val="none"/>
          <w:lang w:val="en-US" w:eastAsia="zh-CN"/>
        </w:rPr>
        <w:t>1、植物资源</w:t>
      </w:r>
    </w:p>
    <w:p w14:paraId="529C0F07">
      <w:pPr>
        <w:keepNext w:val="0"/>
        <w:keepLines w:val="0"/>
        <w:pageBreakBefore w:val="0"/>
        <w:widowControl w:val="0"/>
        <w:kinsoku/>
        <w:wordWrap/>
        <w:overflowPunct/>
        <w:topLinePunct w:val="0"/>
        <w:bidi w:val="0"/>
        <w:snapToGrid w:val="0"/>
        <w:spacing w:line="360" w:lineRule="auto"/>
        <w:ind w:firstLine="480" w:firstLineChars="200"/>
        <w:jc w:val="left"/>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剑门山区植被丰富，境内森林以常绿针叶树柏，松和落叶阔叶树桤，栎及小量杨、桐、枫、榆等杂树组成。境内有天然气、膨润土、</w:t>
      </w: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sz w:val="24"/>
          <w:szCs w:val="24"/>
          <w:highlight w:val="none"/>
        </w:rPr>
        <w:instrText xml:space="preserve"> HYPERLINK "http://baike.baidu.com/subview/360841/12984086.htm" \t "_blank"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t>沙金</w:t>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sz w:val="24"/>
          <w:szCs w:val="24"/>
          <w:highlight w:val="none"/>
        </w:rPr>
        <w:instrText xml:space="preserve"> HYPERLINK "http://baike.baidu.com/view/1254323.htm" \t "_blank"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t>铀矿</w:t>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t>等矿藏资源。</w:t>
      </w:r>
    </w:p>
    <w:p w14:paraId="066C3DAB">
      <w:pPr>
        <w:keepNext w:val="0"/>
        <w:keepLines w:val="0"/>
        <w:pageBreakBefore w:val="0"/>
        <w:widowControl w:val="0"/>
        <w:kinsoku/>
        <w:wordWrap/>
        <w:overflowPunct/>
        <w:topLinePunct w:val="0"/>
        <w:bidi w:val="0"/>
        <w:snapToGrid w:val="0"/>
        <w:spacing w:line="360" w:lineRule="auto"/>
        <w:ind w:firstLine="480" w:firstLineChars="200"/>
        <w:jc w:val="left"/>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剑阁县属四川省松栎林亚区，境内森林以常绿针叶树柏、松和落叶阔叶树桤、栎及少量杨、桐、枫、榆等杂树组成。森林覆盖率50%以上。境内成林植被主要为柏木林、马尾松林、栎林、桤木林、杂树林、竹林及茶林等。 珍稀植物包括古柏</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树龄一般在400～2000年</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、剑阁柏木、银杏、白皮松、天师栗、香樟、飞蛾树、红豆木及剑门兰花等。</w:t>
      </w:r>
    </w:p>
    <w:p w14:paraId="37BFC55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default" w:ascii="Times New Roman" w:hAnsi="Times New Roman" w:cs="Times New Roman"/>
          <w:b/>
          <w:bCs/>
          <w:color w:val="auto"/>
          <w:kern w:val="0"/>
          <w:sz w:val="24"/>
          <w:szCs w:val="24"/>
          <w:highlight w:val="none"/>
          <w:lang w:val="en-US" w:eastAsia="zh-CN"/>
        </w:rPr>
      </w:pPr>
      <w:bookmarkStart w:id="87" w:name="_Toc24357"/>
      <w:r>
        <w:rPr>
          <w:rFonts w:hint="default" w:ascii="Times New Roman" w:hAnsi="Times New Roman" w:cs="Times New Roman"/>
          <w:b/>
          <w:bCs/>
          <w:color w:val="auto"/>
          <w:kern w:val="0"/>
          <w:sz w:val="24"/>
          <w:szCs w:val="24"/>
          <w:highlight w:val="none"/>
          <w:lang w:val="en-US" w:eastAsia="zh-CN"/>
        </w:rPr>
        <w:t>2、动物资源</w:t>
      </w:r>
      <w:bookmarkEnd w:id="87"/>
    </w:p>
    <w:p w14:paraId="043B2D1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区域内有野生动物224种，哺乳类动物有47种、鸟类84种、爬行动物12种、两栖动物6种、鱼类75种；属国家重点保护的野生动物25种，包括金钱豹、锦鸡、猕猴、小熊猫、龟、剑门画眉等。</w:t>
      </w:r>
    </w:p>
    <w:p w14:paraId="331AE1BE">
      <w:pPr>
        <w:keepNext w:val="0"/>
        <w:keepLines w:val="0"/>
        <w:pageBreakBefore w:val="0"/>
        <w:widowControl w:val="0"/>
        <w:kinsoku/>
        <w:wordWrap/>
        <w:overflowPunct/>
        <w:topLinePunct w:val="0"/>
        <w:bidi w:val="0"/>
        <w:snapToGrid w:val="0"/>
        <w:spacing w:line="360" w:lineRule="auto"/>
        <w:ind w:firstLine="456" w:firstLineChars="200"/>
        <w:jc w:val="left"/>
        <w:textAlignment w:val="auto"/>
        <w:rPr>
          <w:rFonts w:hint="default" w:ascii="Times New Roman" w:hAnsi="Times New Roman" w:eastAsia="黑体" w:cs="Times New Roman"/>
          <w:color w:val="auto"/>
          <w:spacing w:val="-6"/>
          <w:sz w:val="24"/>
          <w:szCs w:val="24"/>
          <w:highlight w:val="none"/>
        </w:rPr>
      </w:pPr>
      <w:r>
        <w:rPr>
          <w:rFonts w:hint="default" w:ascii="Times New Roman" w:hAnsi="Times New Roman" w:eastAsia="黑体" w:cs="Times New Roman"/>
          <w:color w:val="auto"/>
          <w:spacing w:val="-6"/>
          <w:sz w:val="24"/>
          <w:szCs w:val="24"/>
          <w:highlight w:val="none"/>
        </w:rPr>
        <w:t>评价区域范围内无国家保护的名木古树，亦无其他特殊保护的珍稀动、植物。</w:t>
      </w:r>
    </w:p>
    <w:p w14:paraId="36B1B5B9">
      <w:pPr>
        <w:pStyle w:val="3"/>
        <w:spacing w:before="156" w:after="156"/>
        <w:rPr>
          <w:rFonts w:hint="default" w:ascii="Times New Roman" w:hAnsi="Times New Roman" w:cs="Times New Roman"/>
          <w:color w:val="auto"/>
          <w:highlight w:val="none"/>
        </w:rPr>
      </w:pPr>
      <w:bookmarkStart w:id="88" w:name="_Toc14556"/>
      <w:bookmarkStart w:id="89" w:name="_Toc6671"/>
      <w:bookmarkStart w:id="90" w:name="_Toc28494"/>
      <w:r>
        <w:rPr>
          <w:rFonts w:hint="default" w:ascii="Times New Roman" w:hAnsi="Times New Roman" w:cs="Times New Roman"/>
          <w:color w:val="auto"/>
          <w:highlight w:val="none"/>
        </w:rPr>
        <w:t>环境空气质量现状评价</w:t>
      </w:r>
      <w:bookmarkEnd w:id="88"/>
      <w:bookmarkEnd w:id="89"/>
      <w:bookmarkEnd w:id="90"/>
    </w:p>
    <w:p w14:paraId="2DF9C85C">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区域环境空气质量</w:t>
      </w:r>
    </w:p>
    <w:p w14:paraId="5DA37086">
      <w:pPr>
        <w:pStyle w:val="14"/>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根据《环境影响评价技术导则</w:t>
      </w:r>
      <w:r>
        <w:rPr>
          <w:rFonts w:hint="default" w:ascii="Times New Roman" w:hAnsi="Times New Roman" w:cs="Times New Roman"/>
          <w:color w:val="auto"/>
          <w:sz w:val="24"/>
          <w:szCs w:val="24"/>
          <w:highlight w:val="none"/>
          <w:lang w:val="en-US" w:eastAsia="zh-CN"/>
        </w:rPr>
        <w:t xml:space="preserve">  </w:t>
      </w:r>
      <w:r>
        <w:rPr>
          <w:rFonts w:hint="default" w:ascii="Times New Roman" w:hAnsi="Times New Roman" w:cs="Times New Roman"/>
          <w:color w:val="auto"/>
          <w:sz w:val="24"/>
          <w:szCs w:val="24"/>
          <w:highlight w:val="none"/>
        </w:rPr>
        <w:t>大气环境》（HJ2.2-2018）中6.2.11规定：项目所在区域达标判定，优先采用国家或地方生态环境主管部门公开发布的评价基准年环境质量公告或环境质量报告中的数据或结论。</w:t>
      </w:r>
    </w:p>
    <w:p w14:paraId="6FD24355">
      <w:pPr>
        <w:pStyle w:val="14"/>
        <w:ind w:firstLine="480"/>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rPr>
        <w:t>根据</w:t>
      </w:r>
      <w:r>
        <w:rPr>
          <w:rFonts w:hint="default" w:ascii="Times New Roman" w:hAnsi="Times New Roman" w:cs="Times New Roman"/>
          <w:color w:val="auto"/>
          <w:sz w:val="24"/>
          <w:szCs w:val="24"/>
          <w:highlight w:val="none"/>
          <w:lang w:eastAsia="zh-CN"/>
        </w:rPr>
        <w:t>剑阁生态环境局发布</w:t>
      </w:r>
      <w:r>
        <w:rPr>
          <w:rFonts w:hint="default" w:ascii="Times New Roman" w:hAnsi="Times New Roman" w:cs="Times New Roman"/>
          <w:color w:val="auto"/>
          <w:sz w:val="24"/>
          <w:szCs w:val="24"/>
          <w:highlight w:val="none"/>
        </w:rPr>
        <w:t>的《剑阁县202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年生态环境质量报告》，</w:t>
      </w:r>
      <w:r>
        <w:rPr>
          <w:rFonts w:hint="default" w:ascii="Times New Roman" w:hAnsi="Times New Roman" w:cs="Times New Roman"/>
          <w:color w:val="auto"/>
          <w:sz w:val="24"/>
          <w:szCs w:val="24"/>
          <w:highlight w:val="none"/>
          <w:lang w:eastAsia="zh-CN"/>
        </w:rPr>
        <w:t>剑阁县</w:t>
      </w:r>
      <w:r>
        <w:rPr>
          <w:rFonts w:hint="default" w:ascii="Times New Roman" w:hAnsi="Times New Roman" w:cs="Times New Roman"/>
          <w:color w:val="auto"/>
          <w:sz w:val="24"/>
          <w:szCs w:val="24"/>
          <w:highlight w:val="none"/>
          <w:lang w:val="en-US" w:eastAsia="zh-CN"/>
        </w:rPr>
        <w:t>2021年环境空气质量状况如下：202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lang w:val="en-US" w:eastAsia="zh-CN"/>
        </w:rPr>
        <w:t>年1月1日至12月31日环境空气质量达标343天，优良率为94%，其中优142天，良201天，轻度污染20天，中度污染2天，优良天数同比下降4.1个百分点，首要污染物主要为细颗粒物（PM</w:t>
      </w:r>
      <w:r>
        <w:rPr>
          <w:rFonts w:hint="default" w:ascii="Times New Roman" w:hAnsi="Times New Roman" w:cs="Times New Roman"/>
          <w:color w:val="auto"/>
          <w:sz w:val="24"/>
          <w:szCs w:val="24"/>
          <w:highlight w:val="none"/>
          <w:vertAlign w:val="subscript"/>
          <w:lang w:val="en-US" w:eastAsia="zh-CN"/>
        </w:rPr>
        <w:t>2.5</w:t>
      </w:r>
      <w:r>
        <w:rPr>
          <w:rFonts w:hint="default" w:ascii="Times New Roman" w:hAnsi="Times New Roman" w:cs="Times New Roman"/>
          <w:color w:val="auto"/>
          <w:sz w:val="24"/>
          <w:szCs w:val="24"/>
          <w:highlight w:val="none"/>
          <w:lang w:val="en-US" w:eastAsia="zh-CN"/>
        </w:rPr>
        <w:t>）和臭氧</w:t>
      </w:r>
      <w:r>
        <w:rPr>
          <w:rFonts w:hint="eastAsia" w:cs="Times New Roman"/>
          <w:color w:val="auto"/>
          <w:sz w:val="24"/>
          <w:szCs w:val="24"/>
          <w:highlight w:val="none"/>
          <w:lang w:val="en-US" w:eastAsia="zh-CN"/>
        </w:rPr>
        <w:t>。</w:t>
      </w:r>
    </w:p>
    <w:p w14:paraId="671858D3">
      <w:pPr>
        <w:pStyle w:val="14"/>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剑阁县202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lang w:val="en-US" w:eastAsia="zh-CN"/>
        </w:rPr>
        <w:t>年</w:t>
      </w:r>
      <w:r>
        <w:rPr>
          <w:rFonts w:hint="default" w:ascii="Times New Roman" w:hAnsi="Times New Roman" w:cs="Times New Roman"/>
          <w:color w:val="auto"/>
          <w:sz w:val="24"/>
          <w:szCs w:val="24"/>
          <w:highlight w:val="none"/>
        </w:rPr>
        <w:t>环境空气质量</w:t>
      </w:r>
      <w:r>
        <w:rPr>
          <w:rFonts w:hint="default" w:ascii="Times New Roman" w:hAnsi="Times New Roman" w:cs="Times New Roman"/>
          <w:color w:val="auto"/>
          <w:sz w:val="24"/>
          <w:szCs w:val="24"/>
          <w:highlight w:val="none"/>
          <w:lang w:eastAsia="zh-CN"/>
        </w:rPr>
        <w:t>状况</w:t>
      </w:r>
      <w:r>
        <w:rPr>
          <w:rFonts w:hint="default" w:ascii="Times New Roman" w:hAnsi="Times New Roman" w:cs="Times New Roman"/>
          <w:color w:val="auto"/>
          <w:sz w:val="24"/>
          <w:szCs w:val="24"/>
          <w:highlight w:val="none"/>
        </w:rPr>
        <w:t>见下表。</w:t>
      </w:r>
    </w:p>
    <w:p w14:paraId="70CDD57C">
      <w:pPr>
        <w:pStyle w:val="11"/>
        <w:keepNext/>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4.2</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eastAsia" w:cs="Times New Roman"/>
          <w:b/>
          <w:bCs/>
          <w:color w:val="auto"/>
          <w:highlight w:val="none"/>
          <w:lang w:val="en-US" w:eastAsia="zh-CN"/>
        </w:rPr>
        <w:t xml:space="preserve"> </w:t>
      </w:r>
      <w:r>
        <w:rPr>
          <w:rFonts w:hint="default" w:ascii="Times New Roman" w:hAnsi="Times New Roman" w:cs="Times New Roman"/>
          <w:color w:val="auto"/>
          <w:highlight w:val="none"/>
        </w:rPr>
        <w:t>20</w:t>
      </w:r>
      <w:r>
        <w:rPr>
          <w:rFonts w:hint="default" w:ascii="Times New Roman" w:hAnsi="Times New Roman" w:cs="Times New Roman"/>
          <w:color w:val="auto"/>
          <w:highlight w:val="none"/>
          <w:lang w:val="en-US" w:eastAsia="zh-CN"/>
        </w:rPr>
        <w:t>2</w:t>
      </w:r>
      <w:r>
        <w:rPr>
          <w:rFonts w:hint="eastAsia" w:cs="Times New Roman"/>
          <w:color w:val="auto"/>
          <w:highlight w:val="none"/>
          <w:lang w:val="en-US" w:eastAsia="zh-CN"/>
        </w:rPr>
        <w:t>3</w:t>
      </w:r>
      <w:r>
        <w:rPr>
          <w:rFonts w:hint="default" w:ascii="Times New Roman" w:hAnsi="Times New Roman" w:cs="Times New Roman"/>
          <w:color w:val="auto"/>
          <w:highlight w:val="none"/>
        </w:rPr>
        <w:t>年</w:t>
      </w:r>
      <w:r>
        <w:rPr>
          <w:rFonts w:hint="default" w:ascii="Times New Roman" w:hAnsi="Times New Roman" w:cs="Times New Roman"/>
          <w:color w:val="auto"/>
          <w:highlight w:val="none"/>
          <w:lang w:eastAsia="zh-CN"/>
        </w:rPr>
        <w:t>环境空气质量</w:t>
      </w:r>
      <w:r>
        <w:rPr>
          <w:rFonts w:hint="default" w:ascii="Times New Roman" w:hAnsi="Times New Roman" w:cs="Times New Roman"/>
          <w:color w:val="auto"/>
          <w:highlight w:val="none"/>
        </w:rPr>
        <w:t>评价表</w:t>
      </w:r>
    </w:p>
    <w:tbl>
      <w:tblPr>
        <w:tblStyle w:val="35"/>
        <w:tblW w:w="49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601"/>
        <w:gridCol w:w="2657"/>
        <w:gridCol w:w="1328"/>
        <w:gridCol w:w="1232"/>
        <w:gridCol w:w="1232"/>
        <w:gridCol w:w="1232"/>
      </w:tblGrid>
      <w:tr w14:paraId="1B44227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862" w:type="pct"/>
            <w:tcBorders>
              <w:tl2br w:val="nil"/>
              <w:tr2bl w:val="nil"/>
            </w:tcBorders>
            <w:noWrap w:val="0"/>
            <w:vAlign w:val="center"/>
          </w:tcPr>
          <w:p w14:paraId="36B6A9FA">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评价因子</w:t>
            </w:r>
          </w:p>
        </w:tc>
        <w:tc>
          <w:tcPr>
            <w:tcW w:w="1430" w:type="pct"/>
            <w:tcBorders>
              <w:tl2br w:val="nil"/>
              <w:tr2bl w:val="nil"/>
            </w:tcBorders>
            <w:noWrap w:val="0"/>
            <w:vAlign w:val="center"/>
          </w:tcPr>
          <w:p w14:paraId="7A11C9A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年评价指标</w:t>
            </w:r>
          </w:p>
        </w:tc>
        <w:tc>
          <w:tcPr>
            <w:tcW w:w="715" w:type="pct"/>
            <w:tcBorders>
              <w:tl2br w:val="nil"/>
              <w:tr2bl w:val="nil"/>
            </w:tcBorders>
            <w:noWrap w:val="0"/>
            <w:vAlign w:val="center"/>
          </w:tcPr>
          <w:p w14:paraId="4B652A4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浓度</w:t>
            </w:r>
          </w:p>
        </w:tc>
        <w:tc>
          <w:tcPr>
            <w:tcW w:w="663" w:type="pct"/>
            <w:tcBorders>
              <w:tl2br w:val="nil"/>
              <w:tr2bl w:val="nil"/>
            </w:tcBorders>
            <w:noWrap w:val="0"/>
            <w:vAlign w:val="center"/>
          </w:tcPr>
          <w:p w14:paraId="203A215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标准限值</w:t>
            </w:r>
          </w:p>
        </w:tc>
        <w:tc>
          <w:tcPr>
            <w:tcW w:w="663" w:type="pct"/>
            <w:tcBorders>
              <w:tl2br w:val="nil"/>
              <w:tr2bl w:val="nil"/>
            </w:tcBorders>
            <w:noWrap w:val="0"/>
            <w:vAlign w:val="center"/>
          </w:tcPr>
          <w:p w14:paraId="3A08289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占标率</w:t>
            </w:r>
          </w:p>
        </w:tc>
        <w:tc>
          <w:tcPr>
            <w:tcW w:w="663" w:type="pct"/>
            <w:tcBorders>
              <w:tl2br w:val="nil"/>
              <w:tr2bl w:val="nil"/>
            </w:tcBorders>
            <w:noWrap w:val="0"/>
            <w:vAlign w:val="center"/>
          </w:tcPr>
          <w:p w14:paraId="7490BB4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达标情况</w:t>
            </w:r>
          </w:p>
        </w:tc>
      </w:tr>
      <w:tr w14:paraId="09AA236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62" w:type="pct"/>
            <w:tcBorders>
              <w:tl2br w:val="nil"/>
              <w:tr2bl w:val="nil"/>
            </w:tcBorders>
            <w:noWrap w:val="0"/>
            <w:vAlign w:val="center"/>
          </w:tcPr>
          <w:p w14:paraId="070F942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SO</w:t>
            </w:r>
            <w:r>
              <w:rPr>
                <w:rFonts w:hint="default" w:ascii="Times New Roman" w:hAnsi="Times New Roman" w:eastAsia="宋体" w:cs="Times New Roman"/>
                <w:color w:val="auto"/>
                <w:sz w:val="20"/>
                <w:szCs w:val="20"/>
                <w:highlight w:val="none"/>
                <w:vertAlign w:val="subscript"/>
              </w:rPr>
              <w:t>2</w:t>
            </w:r>
          </w:p>
        </w:tc>
        <w:tc>
          <w:tcPr>
            <w:tcW w:w="1430" w:type="pct"/>
            <w:tcBorders>
              <w:tl2br w:val="nil"/>
              <w:tr2bl w:val="nil"/>
            </w:tcBorders>
            <w:noWrap w:val="0"/>
            <w:vAlign w:val="center"/>
          </w:tcPr>
          <w:p w14:paraId="2D70B5E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rPr>
              <w:t>年均</w:t>
            </w:r>
            <w:r>
              <w:rPr>
                <w:rFonts w:hint="default" w:ascii="Times New Roman" w:hAnsi="Times New Roman" w:eastAsia="宋体" w:cs="Times New Roman"/>
                <w:color w:val="auto"/>
                <w:sz w:val="20"/>
                <w:szCs w:val="20"/>
                <w:highlight w:val="none"/>
                <w:lang w:val="en-US" w:eastAsia="zh-CN"/>
              </w:rPr>
              <w:t>值</w:t>
            </w:r>
          </w:p>
        </w:tc>
        <w:tc>
          <w:tcPr>
            <w:tcW w:w="715" w:type="pct"/>
            <w:tcBorders>
              <w:tl2br w:val="nil"/>
              <w:tr2bl w:val="nil"/>
            </w:tcBorders>
            <w:noWrap w:val="0"/>
            <w:vAlign w:val="center"/>
          </w:tcPr>
          <w:p w14:paraId="30B2C27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eastAsia" w:ascii="Times New Roman" w:hAnsi="Times New Roman" w:eastAsia="宋体" w:cs="Times New Roman"/>
                <w:color w:val="auto"/>
                <w:sz w:val="20"/>
                <w:szCs w:val="20"/>
                <w:highlight w:val="none"/>
                <w:lang w:val="en-US" w:eastAsia="zh-CN"/>
              </w:rPr>
              <w:t>4.0</w:t>
            </w:r>
            <w:r>
              <w:rPr>
                <w:rFonts w:hint="default" w:ascii="Times New Roman" w:hAnsi="Times New Roman" w:eastAsia="宋体" w:cs="Times New Roman"/>
                <w:color w:val="auto"/>
                <w:sz w:val="20"/>
                <w:szCs w:val="20"/>
                <w:highlight w:val="none"/>
              </w:rPr>
              <w:t>μg/m</w:t>
            </w:r>
            <w:r>
              <w:rPr>
                <w:rFonts w:hint="default" w:ascii="Times New Roman" w:hAnsi="Times New Roman" w:eastAsia="宋体" w:cs="Times New Roman"/>
                <w:color w:val="auto"/>
                <w:sz w:val="20"/>
                <w:szCs w:val="20"/>
                <w:highlight w:val="none"/>
                <w:vertAlign w:val="superscript"/>
              </w:rPr>
              <w:t>3</w:t>
            </w:r>
          </w:p>
        </w:tc>
        <w:tc>
          <w:tcPr>
            <w:tcW w:w="663" w:type="pct"/>
            <w:tcBorders>
              <w:tl2br w:val="nil"/>
              <w:tr2bl w:val="nil"/>
            </w:tcBorders>
            <w:noWrap w:val="0"/>
            <w:vAlign w:val="center"/>
          </w:tcPr>
          <w:p w14:paraId="1ACFFBB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60μg/m</w:t>
            </w:r>
            <w:r>
              <w:rPr>
                <w:rFonts w:hint="default" w:ascii="Times New Roman" w:hAnsi="Times New Roman" w:eastAsia="宋体" w:cs="Times New Roman"/>
                <w:color w:val="auto"/>
                <w:sz w:val="20"/>
                <w:szCs w:val="20"/>
                <w:highlight w:val="none"/>
                <w:vertAlign w:val="superscript"/>
              </w:rPr>
              <w:t>3</w:t>
            </w:r>
          </w:p>
        </w:tc>
        <w:tc>
          <w:tcPr>
            <w:tcW w:w="1232" w:type="dxa"/>
            <w:tcBorders>
              <w:tl2br w:val="nil"/>
              <w:tr2bl w:val="nil"/>
            </w:tcBorders>
            <w:noWrap w:val="0"/>
            <w:vAlign w:val="center"/>
          </w:tcPr>
          <w:p w14:paraId="78593925">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 xml:space="preserve">6.67% </w:t>
            </w:r>
          </w:p>
        </w:tc>
        <w:tc>
          <w:tcPr>
            <w:tcW w:w="663" w:type="pct"/>
            <w:tcBorders>
              <w:tl2br w:val="nil"/>
              <w:tr2bl w:val="nil"/>
            </w:tcBorders>
            <w:noWrap w:val="0"/>
            <w:vAlign w:val="center"/>
          </w:tcPr>
          <w:p w14:paraId="6A082DF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达标</w:t>
            </w:r>
          </w:p>
        </w:tc>
      </w:tr>
      <w:tr w14:paraId="5C6D4BE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62" w:type="pct"/>
            <w:tcBorders>
              <w:tl2br w:val="nil"/>
              <w:tr2bl w:val="nil"/>
            </w:tcBorders>
            <w:noWrap w:val="0"/>
            <w:vAlign w:val="center"/>
          </w:tcPr>
          <w:p w14:paraId="51B6FEB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NO</w:t>
            </w:r>
            <w:r>
              <w:rPr>
                <w:rFonts w:hint="default" w:ascii="Times New Roman" w:hAnsi="Times New Roman" w:eastAsia="宋体" w:cs="Times New Roman"/>
                <w:color w:val="auto"/>
                <w:sz w:val="20"/>
                <w:szCs w:val="20"/>
                <w:highlight w:val="none"/>
                <w:vertAlign w:val="subscript"/>
              </w:rPr>
              <w:t>2</w:t>
            </w:r>
          </w:p>
        </w:tc>
        <w:tc>
          <w:tcPr>
            <w:tcW w:w="1430" w:type="pct"/>
            <w:tcBorders>
              <w:tl2br w:val="nil"/>
              <w:tr2bl w:val="nil"/>
            </w:tcBorders>
            <w:noWrap w:val="0"/>
            <w:vAlign w:val="center"/>
          </w:tcPr>
          <w:p w14:paraId="38C3425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年均</w:t>
            </w:r>
            <w:r>
              <w:rPr>
                <w:rFonts w:hint="default" w:ascii="Times New Roman" w:hAnsi="Times New Roman" w:eastAsia="宋体" w:cs="Times New Roman"/>
                <w:color w:val="auto"/>
                <w:sz w:val="20"/>
                <w:szCs w:val="20"/>
                <w:highlight w:val="none"/>
                <w:lang w:val="en-US" w:eastAsia="zh-CN"/>
              </w:rPr>
              <w:t>值</w:t>
            </w:r>
          </w:p>
        </w:tc>
        <w:tc>
          <w:tcPr>
            <w:tcW w:w="715" w:type="pct"/>
            <w:tcBorders>
              <w:tl2br w:val="nil"/>
              <w:tr2bl w:val="nil"/>
            </w:tcBorders>
            <w:noWrap w:val="0"/>
            <w:vAlign w:val="center"/>
          </w:tcPr>
          <w:p w14:paraId="2411898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19.</w:t>
            </w:r>
            <w:r>
              <w:rPr>
                <w:rFonts w:hint="eastAsia" w:ascii="Times New Roman" w:hAnsi="Times New Roman" w:eastAsia="宋体" w:cs="Times New Roman"/>
                <w:color w:val="auto"/>
                <w:sz w:val="20"/>
                <w:szCs w:val="20"/>
                <w:highlight w:val="none"/>
                <w:lang w:val="en-US" w:eastAsia="zh-CN"/>
              </w:rPr>
              <w:t>2</w:t>
            </w:r>
            <w:r>
              <w:rPr>
                <w:rFonts w:hint="default" w:ascii="Times New Roman" w:hAnsi="Times New Roman" w:eastAsia="宋体" w:cs="Times New Roman"/>
                <w:color w:val="auto"/>
                <w:sz w:val="20"/>
                <w:szCs w:val="20"/>
                <w:highlight w:val="none"/>
              </w:rPr>
              <w:t>μg/m</w:t>
            </w:r>
            <w:r>
              <w:rPr>
                <w:rFonts w:hint="default" w:ascii="Times New Roman" w:hAnsi="Times New Roman" w:eastAsia="宋体" w:cs="Times New Roman"/>
                <w:color w:val="auto"/>
                <w:sz w:val="20"/>
                <w:szCs w:val="20"/>
                <w:highlight w:val="none"/>
                <w:vertAlign w:val="superscript"/>
              </w:rPr>
              <w:t>3</w:t>
            </w:r>
          </w:p>
        </w:tc>
        <w:tc>
          <w:tcPr>
            <w:tcW w:w="663" w:type="pct"/>
            <w:tcBorders>
              <w:tl2br w:val="nil"/>
              <w:tr2bl w:val="nil"/>
            </w:tcBorders>
            <w:noWrap w:val="0"/>
            <w:vAlign w:val="center"/>
          </w:tcPr>
          <w:p w14:paraId="6C87760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40μg/m</w:t>
            </w:r>
            <w:r>
              <w:rPr>
                <w:rFonts w:hint="default" w:ascii="Times New Roman" w:hAnsi="Times New Roman" w:eastAsia="宋体" w:cs="Times New Roman"/>
                <w:color w:val="auto"/>
                <w:sz w:val="20"/>
                <w:szCs w:val="20"/>
                <w:highlight w:val="none"/>
                <w:vertAlign w:val="superscript"/>
              </w:rPr>
              <w:t>3</w:t>
            </w:r>
          </w:p>
        </w:tc>
        <w:tc>
          <w:tcPr>
            <w:tcW w:w="1232" w:type="dxa"/>
            <w:tcBorders>
              <w:tl2br w:val="nil"/>
              <w:tr2bl w:val="nil"/>
            </w:tcBorders>
            <w:noWrap w:val="0"/>
            <w:vAlign w:val="center"/>
          </w:tcPr>
          <w:p w14:paraId="37BA4F4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 xml:space="preserve">48.00% </w:t>
            </w:r>
          </w:p>
        </w:tc>
        <w:tc>
          <w:tcPr>
            <w:tcW w:w="663" w:type="pct"/>
            <w:tcBorders>
              <w:tl2br w:val="nil"/>
              <w:tr2bl w:val="nil"/>
            </w:tcBorders>
            <w:noWrap w:val="0"/>
            <w:vAlign w:val="center"/>
          </w:tcPr>
          <w:p w14:paraId="21D062B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达标</w:t>
            </w:r>
          </w:p>
        </w:tc>
      </w:tr>
      <w:tr w14:paraId="466C864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62" w:type="pct"/>
            <w:tcBorders>
              <w:tl2br w:val="nil"/>
              <w:tr2bl w:val="nil"/>
            </w:tcBorders>
            <w:noWrap w:val="0"/>
            <w:vAlign w:val="center"/>
          </w:tcPr>
          <w:p w14:paraId="32FB727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PM</w:t>
            </w:r>
            <w:r>
              <w:rPr>
                <w:rFonts w:hint="default" w:ascii="Times New Roman" w:hAnsi="Times New Roman" w:eastAsia="宋体" w:cs="Times New Roman"/>
                <w:color w:val="auto"/>
                <w:sz w:val="20"/>
                <w:szCs w:val="20"/>
                <w:highlight w:val="none"/>
                <w:vertAlign w:val="subscript"/>
              </w:rPr>
              <w:t>10</w:t>
            </w:r>
          </w:p>
        </w:tc>
        <w:tc>
          <w:tcPr>
            <w:tcW w:w="1430" w:type="pct"/>
            <w:tcBorders>
              <w:tl2br w:val="nil"/>
              <w:tr2bl w:val="nil"/>
            </w:tcBorders>
            <w:noWrap w:val="0"/>
            <w:vAlign w:val="center"/>
          </w:tcPr>
          <w:p w14:paraId="00F2517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年均</w:t>
            </w:r>
            <w:r>
              <w:rPr>
                <w:rFonts w:hint="default" w:ascii="Times New Roman" w:hAnsi="Times New Roman" w:eastAsia="宋体" w:cs="Times New Roman"/>
                <w:color w:val="auto"/>
                <w:sz w:val="20"/>
                <w:szCs w:val="20"/>
                <w:highlight w:val="none"/>
                <w:lang w:val="en-US" w:eastAsia="zh-CN"/>
              </w:rPr>
              <w:t>值</w:t>
            </w:r>
          </w:p>
        </w:tc>
        <w:tc>
          <w:tcPr>
            <w:tcW w:w="715" w:type="pct"/>
            <w:tcBorders>
              <w:tl2br w:val="nil"/>
              <w:tr2bl w:val="nil"/>
            </w:tcBorders>
            <w:noWrap w:val="0"/>
            <w:vAlign w:val="center"/>
          </w:tcPr>
          <w:p w14:paraId="57540BB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lang w:val="en-US" w:eastAsia="zh-CN"/>
              </w:rPr>
              <w:t>4</w:t>
            </w:r>
            <w:r>
              <w:rPr>
                <w:rFonts w:hint="eastAsia" w:ascii="Times New Roman" w:hAnsi="Times New Roman" w:eastAsia="宋体" w:cs="Times New Roman"/>
                <w:color w:val="auto"/>
                <w:sz w:val="20"/>
                <w:szCs w:val="20"/>
                <w:highlight w:val="none"/>
                <w:lang w:val="en-US" w:eastAsia="zh-CN"/>
              </w:rPr>
              <w:t>4.8</w:t>
            </w:r>
            <w:r>
              <w:rPr>
                <w:rFonts w:hint="default" w:ascii="Times New Roman" w:hAnsi="Times New Roman" w:eastAsia="宋体" w:cs="Times New Roman"/>
                <w:color w:val="auto"/>
                <w:sz w:val="20"/>
                <w:szCs w:val="20"/>
                <w:highlight w:val="none"/>
              </w:rPr>
              <w:t>μg/m</w:t>
            </w:r>
            <w:r>
              <w:rPr>
                <w:rFonts w:hint="default" w:ascii="Times New Roman" w:hAnsi="Times New Roman" w:eastAsia="宋体" w:cs="Times New Roman"/>
                <w:color w:val="auto"/>
                <w:sz w:val="20"/>
                <w:szCs w:val="20"/>
                <w:highlight w:val="none"/>
                <w:vertAlign w:val="superscript"/>
              </w:rPr>
              <w:t>3</w:t>
            </w:r>
          </w:p>
        </w:tc>
        <w:tc>
          <w:tcPr>
            <w:tcW w:w="663" w:type="pct"/>
            <w:tcBorders>
              <w:tl2br w:val="nil"/>
              <w:tr2bl w:val="nil"/>
            </w:tcBorders>
            <w:noWrap w:val="0"/>
            <w:vAlign w:val="center"/>
          </w:tcPr>
          <w:p w14:paraId="3BBDEA1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70μg/m</w:t>
            </w:r>
            <w:r>
              <w:rPr>
                <w:rFonts w:hint="default" w:ascii="Times New Roman" w:hAnsi="Times New Roman" w:eastAsia="宋体" w:cs="Times New Roman"/>
                <w:color w:val="auto"/>
                <w:sz w:val="20"/>
                <w:szCs w:val="20"/>
                <w:highlight w:val="none"/>
                <w:vertAlign w:val="superscript"/>
              </w:rPr>
              <w:t>3</w:t>
            </w:r>
          </w:p>
        </w:tc>
        <w:tc>
          <w:tcPr>
            <w:tcW w:w="1232" w:type="dxa"/>
            <w:tcBorders>
              <w:tl2br w:val="nil"/>
              <w:tr2bl w:val="nil"/>
            </w:tcBorders>
            <w:noWrap w:val="0"/>
            <w:vAlign w:val="center"/>
          </w:tcPr>
          <w:p w14:paraId="2C98492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 xml:space="preserve">64.00% </w:t>
            </w:r>
          </w:p>
        </w:tc>
        <w:tc>
          <w:tcPr>
            <w:tcW w:w="663" w:type="pct"/>
            <w:tcBorders>
              <w:tl2br w:val="nil"/>
              <w:tr2bl w:val="nil"/>
            </w:tcBorders>
            <w:noWrap w:val="0"/>
            <w:vAlign w:val="center"/>
          </w:tcPr>
          <w:p w14:paraId="5CF297C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达标</w:t>
            </w:r>
          </w:p>
        </w:tc>
      </w:tr>
      <w:tr w14:paraId="32FD799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62" w:type="pct"/>
            <w:tcBorders>
              <w:tl2br w:val="nil"/>
              <w:tr2bl w:val="nil"/>
            </w:tcBorders>
            <w:noWrap w:val="0"/>
            <w:vAlign w:val="center"/>
          </w:tcPr>
          <w:p w14:paraId="037C27CC">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PM</w:t>
            </w:r>
            <w:r>
              <w:rPr>
                <w:rFonts w:hint="default" w:ascii="Times New Roman" w:hAnsi="Times New Roman" w:eastAsia="宋体" w:cs="Times New Roman"/>
                <w:color w:val="auto"/>
                <w:sz w:val="20"/>
                <w:szCs w:val="20"/>
                <w:highlight w:val="none"/>
                <w:vertAlign w:val="subscript"/>
              </w:rPr>
              <w:t>2.5</w:t>
            </w:r>
          </w:p>
        </w:tc>
        <w:tc>
          <w:tcPr>
            <w:tcW w:w="1430" w:type="pct"/>
            <w:tcBorders>
              <w:tl2br w:val="nil"/>
              <w:tr2bl w:val="nil"/>
            </w:tcBorders>
            <w:noWrap w:val="0"/>
            <w:vAlign w:val="center"/>
          </w:tcPr>
          <w:p w14:paraId="48ED8A5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年均</w:t>
            </w:r>
            <w:r>
              <w:rPr>
                <w:rFonts w:hint="default" w:ascii="Times New Roman" w:hAnsi="Times New Roman" w:eastAsia="宋体" w:cs="Times New Roman"/>
                <w:color w:val="auto"/>
                <w:sz w:val="20"/>
                <w:szCs w:val="20"/>
                <w:highlight w:val="none"/>
                <w:lang w:val="en-US" w:eastAsia="zh-CN"/>
              </w:rPr>
              <w:t>值</w:t>
            </w:r>
          </w:p>
        </w:tc>
        <w:tc>
          <w:tcPr>
            <w:tcW w:w="715" w:type="pct"/>
            <w:tcBorders>
              <w:tl2br w:val="nil"/>
              <w:tr2bl w:val="nil"/>
            </w:tcBorders>
            <w:noWrap w:val="0"/>
            <w:vAlign w:val="center"/>
          </w:tcPr>
          <w:p w14:paraId="06278E5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eastAsia" w:ascii="Times New Roman" w:hAnsi="Times New Roman" w:eastAsia="宋体" w:cs="Times New Roman"/>
                <w:color w:val="auto"/>
                <w:sz w:val="20"/>
                <w:szCs w:val="20"/>
                <w:highlight w:val="none"/>
                <w:lang w:val="en-US" w:eastAsia="zh-CN"/>
              </w:rPr>
              <w:t>27.1</w:t>
            </w:r>
            <w:r>
              <w:rPr>
                <w:rFonts w:hint="default" w:ascii="Times New Roman" w:hAnsi="Times New Roman" w:eastAsia="宋体" w:cs="Times New Roman"/>
                <w:color w:val="auto"/>
                <w:sz w:val="20"/>
                <w:szCs w:val="20"/>
                <w:highlight w:val="none"/>
              </w:rPr>
              <w:t>μg/m</w:t>
            </w:r>
            <w:r>
              <w:rPr>
                <w:rFonts w:hint="default" w:ascii="Times New Roman" w:hAnsi="Times New Roman" w:eastAsia="宋体" w:cs="Times New Roman"/>
                <w:color w:val="auto"/>
                <w:sz w:val="20"/>
                <w:szCs w:val="20"/>
                <w:highlight w:val="none"/>
                <w:vertAlign w:val="superscript"/>
              </w:rPr>
              <w:t>3</w:t>
            </w:r>
          </w:p>
        </w:tc>
        <w:tc>
          <w:tcPr>
            <w:tcW w:w="663" w:type="pct"/>
            <w:tcBorders>
              <w:tl2br w:val="nil"/>
              <w:tr2bl w:val="nil"/>
            </w:tcBorders>
            <w:noWrap w:val="0"/>
            <w:vAlign w:val="center"/>
          </w:tcPr>
          <w:p w14:paraId="24C01536">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35μg/m</w:t>
            </w:r>
            <w:r>
              <w:rPr>
                <w:rFonts w:hint="default" w:ascii="Times New Roman" w:hAnsi="Times New Roman" w:eastAsia="宋体" w:cs="Times New Roman"/>
                <w:color w:val="auto"/>
                <w:sz w:val="20"/>
                <w:szCs w:val="20"/>
                <w:highlight w:val="none"/>
                <w:vertAlign w:val="superscript"/>
              </w:rPr>
              <w:t>3</w:t>
            </w:r>
          </w:p>
        </w:tc>
        <w:tc>
          <w:tcPr>
            <w:tcW w:w="1232" w:type="dxa"/>
            <w:tcBorders>
              <w:tl2br w:val="nil"/>
              <w:tr2bl w:val="nil"/>
            </w:tcBorders>
            <w:noWrap w:val="0"/>
            <w:vAlign w:val="center"/>
          </w:tcPr>
          <w:p w14:paraId="4C04CBA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 xml:space="preserve">77.43% </w:t>
            </w:r>
          </w:p>
        </w:tc>
        <w:tc>
          <w:tcPr>
            <w:tcW w:w="663" w:type="pct"/>
            <w:tcBorders>
              <w:tl2br w:val="nil"/>
              <w:tr2bl w:val="nil"/>
            </w:tcBorders>
            <w:noWrap w:val="0"/>
            <w:vAlign w:val="center"/>
          </w:tcPr>
          <w:p w14:paraId="0C2451C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达标</w:t>
            </w:r>
          </w:p>
        </w:tc>
      </w:tr>
      <w:tr w14:paraId="0692898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62" w:type="pct"/>
            <w:tcBorders>
              <w:tl2br w:val="nil"/>
              <w:tr2bl w:val="nil"/>
            </w:tcBorders>
            <w:noWrap w:val="0"/>
            <w:vAlign w:val="center"/>
          </w:tcPr>
          <w:p w14:paraId="060BCA2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CO</w:t>
            </w:r>
          </w:p>
        </w:tc>
        <w:tc>
          <w:tcPr>
            <w:tcW w:w="1430" w:type="pct"/>
            <w:tcBorders>
              <w:tl2br w:val="nil"/>
              <w:tr2bl w:val="nil"/>
            </w:tcBorders>
            <w:noWrap w:val="0"/>
            <w:vAlign w:val="center"/>
          </w:tcPr>
          <w:p w14:paraId="620A861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日均值</w:t>
            </w:r>
          </w:p>
          <w:p w14:paraId="6A0F171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rPr>
              <w:t>第95百分</w:t>
            </w:r>
            <w:r>
              <w:rPr>
                <w:rFonts w:hint="eastAsia" w:ascii="Times New Roman" w:hAnsi="Times New Roman" w:eastAsia="宋体" w:cs="Times New Roman"/>
                <w:color w:val="auto"/>
                <w:sz w:val="20"/>
                <w:szCs w:val="20"/>
                <w:highlight w:val="none"/>
                <w:lang w:val="en-US" w:eastAsia="zh-CN"/>
              </w:rPr>
              <w:t>位值</w:t>
            </w:r>
          </w:p>
        </w:tc>
        <w:tc>
          <w:tcPr>
            <w:tcW w:w="715" w:type="pct"/>
            <w:tcBorders>
              <w:tl2br w:val="nil"/>
              <w:tr2bl w:val="nil"/>
            </w:tcBorders>
            <w:noWrap w:val="0"/>
            <w:vAlign w:val="center"/>
          </w:tcPr>
          <w:p w14:paraId="12F4996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eastAsia" w:ascii="Times New Roman" w:hAnsi="Times New Roman" w:eastAsia="宋体" w:cs="Times New Roman"/>
                <w:color w:val="auto"/>
                <w:sz w:val="20"/>
                <w:szCs w:val="20"/>
                <w:highlight w:val="none"/>
                <w:lang w:val="en-US" w:eastAsia="zh-CN"/>
              </w:rPr>
              <w:t>0.9</w:t>
            </w:r>
            <w:r>
              <w:rPr>
                <w:rFonts w:hint="default" w:ascii="Times New Roman" w:hAnsi="Times New Roman" w:eastAsia="宋体" w:cs="Times New Roman"/>
                <w:color w:val="auto"/>
                <w:sz w:val="20"/>
                <w:szCs w:val="20"/>
                <w:highlight w:val="none"/>
              </w:rPr>
              <w:t>mg/m</w:t>
            </w:r>
            <w:r>
              <w:rPr>
                <w:rFonts w:hint="default" w:ascii="Times New Roman" w:hAnsi="Times New Roman" w:eastAsia="宋体" w:cs="Times New Roman"/>
                <w:color w:val="auto"/>
                <w:sz w:val="20"/>
                <w:szCs w:val="20"/>
                <w:highlight w:val="none"/>
                <w:vertAlign w:val="superscript"/>
              </w:rPr>
              <w:t>3</w:t>
            </w:r>
          </w:p>
        </w:tc>
        <w:tc>
          <w:tcPr>
            <w:tcW w:w="663" w:type="pct"/>
            <w:tcBorders>
              <w:tl2br w:val="nil"/>
              <w:tr2bl w:val="nil"/>
            </w:tcBorders>
            <w:noWrap w:val="0"/>
            <w:vAlign w:val="center"/>
          </w:tcPr>
          <w:p w14:paraId="6807E6F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4 mg/m</w:t>
            </w:r>
            <w:r>
              <w:rPr>
                <w:rFonts w:hint="default" w:ascii="Times New Roman" w:hAnsi="Times New Roman" w:eastAsia="宋体" w:cs="Times New Roman"/>
                <w:color w:val="auto"/>
                <w:sz w:val="20"/>
                <w:szCs w:val="20"/>
                <w:highlight w:val="none"/>
                <w:vertAlign w:val="superscript"/>
              </w:rPr>
              <w:t>3</w:t>
            </w:r>
          </w:p>
        </w:tc>
        <w:tc>
          <w:tcPr>
            <w:tcW w:w="1232" w:type="dxa"/>
            <w:tcBorders>
              <w:tl2br w:val="nil"/>
              <w:tr2bl w:val="nil"/>
            </w:tcBorders>
            <w:noWrap w:val="0"/>
            <w:vAlign w:val="center"/>
          </w:tcPr>
          <w:p w14:paraId="0BF2C73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 xml:space="preserve">22.50% </w:t>
            </w:r>
          </w:p>
        </w:tc>
        <w:tc>
          <w:tcPr>
            <w:tcW w:w="663" w:type="pct"/>
            <w:tcBorders>
              <w:tl2br w:val="nil"/>
              <w:tr2bl w:val="nil"/>
            </w:tcBorders>
            <w:noWrap w:val="0"/>
            <w:vAlign w:val="center"/>
          </w:tcPr>
          <w:p w14:paraId="7A514784">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达标</w:t>
            </w:r>
          </w:p>
        </w:tc>
      </w:tr>
      <w:tr w14:paraId="2D64A4A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62" w:type="pct"/>
            <w:tcBorders>
              <w:tl2br w:val="nil"/>
              <w:tr2bl w:val="nil"/>
            </w:tcBorders>
            <w:noWrap w:val="0"/>
            <w:vAlign w:val="center"/>
          </w:tcPr>
          <w:p w14:paraId="208F70B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O</w:t>
            </w:r>
            <w:r>
              <w:rPr>
                <w:rFonts w:hint="default" w:ascii="Times New Roman" w:hAnsi="Times New Roman" w:eastAsia="宋体" w:cs="Times New Roman"/>
                <w:color w:val="auto"/>
                <w:sz w:val="20"/>
                <w:szCs w:val="20"/>
                <w:highlight w:val="none"/>
                <w:vertAlign w:val="subscript"/>
              </w:rPr>
              <w:t>3</w:t>
            </w:r>
          </w:p>
        </w:tc>
        <w:tc>
          <w:tcPr>
            <w:tcW w:w="1430" w:type="pct"/>
            <w:tcBorders>
              <w:tl2br w:val="nil"/>
              <w:tr2bl w:val="nil"/>
            </w:tcBorders>
            <w:noWrap w:val="0"/>
            <w:vAlign w:val="center"/>
          </w:tcPr>
          <w:p w14:paraId="083DC6B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日最大8h值</w:t>
            </w:r>
          </w:p>
          <w:p w14:paraId="78BA5B73">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rPr>
              <w:t>第90</w:t>
            </w:r>
            <w:r>
              <w:rPr>
                <w:rFonts w:hint="default" w:ascii="Times New Roman" w:hAnsi="Times New Roman" w:eastAsia="宋体" w:cs="Times New Roman"/>
                <w:color w:val="auto"/>
                <w:sz w:val="20"/>
                <w:szCs w:val="20"/>
                <w:highlight w:val="none"/>
                <w:lang w:val="en-US" w:eastAsia="zh-CN"/>
              </w:rPr>
              <w:t>位</w:t>
            </w:r>
            <w:r>
              <w:rPr>
                <w:rFonts w:hint="default" w:ascii="Times New Roman" w:hAnsi="Times New Roman" w:eastAsia="宋体" w:cs="Times New Roman"/>
                <w:color w:val="auto"/>
                <w:sz w:val="20"/>
                <w:szCs w:val="20"/>
                <w:highlight w:val="none"/>
              </w:rPr>
              <w:t>百分</w:t>
            </w:r>
            <w:r>
              <w:rPr>
                <w:rFonts w:hint="eastAsia" w:ascii="Times New Roman" w:hAnsi="Times New Roman" w:eastAsia="宋体" w:cs="Times New Roman"/>
                <w:color w:val="auto"/>
                <w:sz w:val="20"/>
                <w:szCs w:val="20"/>
                <w:highlight w:val="none"/>
                <w:lang w:val="en-US" w:eastAsia="zh-CN"/>
              </w:rPr>
              <w:t>位值</w:t>
            </w:r>
          </w:p>
        </w:tc>
        <w:tc>
          <w:tcPr>
            <w:tcW w:w="715" w:type="pct"/>
            <w:tcBorders>
              <w:tl2br w:val="nil"/>
              <w:tr2bl w:val="nil"/>
            </w:tcBorders>
            <w:noWrap w:val="0"/>
            <w:vAlign w:val="center"/>
          </w:tcPr>
          <w:p w14:paraId="75CF7EDF">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eastAsia" w:ascii="Times New Roman" w:hAnsi="Times New Roman" w:eastAsia="宋体" w:cs="Times New Roman"/>
                <w:color w:val="auto"/>
                <w:sz w:val="20"/>
                <w:szCs w:val="20"/>
                <w:highlight w:val="none"/>
                <w:lang w:val="en-US" w:eastAsia="zh-CN"/>
              </w:rPr>
              <w:t>132.6</w:t>
            </w:r>
            <w:r>
              <w:rPr>
                <w:rFonts w:hint="default" w:ascii="Times New Roman" w:hAnsi="Times New Roman" w:eastAsia="宋体" w:cs="Times New Roman"/>
                <w:color w:val="auto"/>
                <w:sz w:val="20"/>
                <w:szCs w:val="20"/>
                <w:highlight w:val="none"/>
              </w:rPr>
              <w:t>μg/m</w:t>
            </w:r>
            <w:r>
              <w:rPr>
                <w:rFonts w:hint="default" w:ascii="Times New Roman" w:hAnsi="Times New Roman" w:eastAsia="宋体" w:cs="Times New Roman"/>
                <w:color w:val="auto"/>
                <w:sz w:val="20"/>
                <w:szCs w:val="20"/>
                <w:highlight w:val="none"/>
                <w:vertAlign w:val="superscript"/>
              </w:rPr>
              <w:t>3</w:t>
            </w:r>
          </w:p>
        </w:tc>
        <w:tc>
          <w:tcPr>
            <w:tcW w:w="663" w:type="pct"/>
            <w:tcBorders>
              <w:tl2br w:val="nil"/>
              <w:tr2bl w:val="nil"/>
            </w:tcBorders>
            <w:noWrap w:val="0"/>
            <w:vAlign w:val="center"/>
          </w:tcPr>
          <w:p w14:paraId="2F17BF9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160μg/m</w:t>
            </w:r>
            <w:r>
              <w:rPr>
                <w:rFonts w:hint="default" w:ascii="Times New Roman" w:hAnsi="Times New Roman" w:eastAsia="宋体" w:cs="Times New Roman"/>
                <w:color w:val="auto"/>
                <w:sz w:val="20"/>
                <w:szCs w:val="20"/>
                <w:highlight w:val="none"/>
                <w:vertAlign w:val="superscript"/>
              </w:rPr>
              <w:t>3</w:t>
            </w:r>
          </w:p>
        </w:tc>
        <w:tc>
          <w:tcPr>
            <w:tcW w:w="1232" w:type="dxa"/>
            <w:tcBorders>
              <w:tl2br w:val="nil"/>
              <w:tr2bl w:val="nil"/>
            </w:tcBorders>
            <w:noWrap w:val="0"/>
            <w:vAlign w:val="center"/>
          </w:tcPr>
          <w:p w14:paraId="0F93AD31">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 xml:space="preserve">82.88% </w:t>
            </w:r>
          </w:p>
        </w:tc>
        <w:tc>
          <w:tcPr>
            <w:tcW w:w="663" w:type="pct"/>
            <w:tcBorders>
              <w:tl2br w:val="nil"/>
              <w:tr2bl w:val="nil"/>
            </w:tcBorders>
            <w:noWrap w:val="0"/>
            <w:vAlign w:val="center"/>
          </w:tcPr>
          <w:p w14:paraId="7F743AC8">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达标</w:t>
            </w:r>
          </w:p>
        </w:tc>
      </w:tr>
    </w:tbl>
    <w:p w14:paraId="07DA29B5">
      <w:pPr>
        <w:pStyle w:val="14"/>
        <w:ind w:firstLine="480"/>
        <w:rPr>
          <w:rFonts w:hint="default" w:ascii="Times New Roman" w:hAnsi="Times New Roman" w:cs="Times New Roman"/>
          <w:color w:val="auto"/>
          <w:highlight w:val="none"/>
          <w:lang w:val="zh-CN"/>
        </w:rPr>
      </w:pPr>
      <w:r>
        <w:rPr>
          <w:rFonts w:hint="default" w:ascii="Times New Roman" w:hAnsi="Times New Roman" w:cs="Times New Roman"/>
          <w:color w:val="auto"/>
          <w:highlight w:val="none"/>
          <w:lang w:val="zh-CN"/>
        </w:rPr>
        <w:t>由上表可知，</w:t>
      </w:r>
      <w:r>
        <w:rPr>
          <w:rFonts w:hint="default" w:ascii="Times New Roman" w:hAnsi="Times New Roman" w:eastAsia="宋体" w:cs="Times New Roman"/>
          <w:color w:val="auto"/>
          <w:kern w:val="0"/>
          <w:sz w:val="24"/>
          <w:szCs w:val="24"/>
          <w:highlight w:val="none"/>
          <w:lang w:val="en-US" w:eastAsia="zh-CN" w:bidi="ar"/>
        </w:rPr>
        <w:t>项目所在区域202</w:t>
      </w:r>
      <w:r>
        <w:rPr>
          <w:rFonts w:hint="eastAsia" w:eastAsia="宋体" w:cs="Times New Roman"/>
          <w:color w:val="auto"/>
          <w:kern w:val="0"/>
          <w:sz w:val="24"/>
          <w:szCs w:val="24"/>
          <w:highlight w:val="none"/>
          <w:lang w:val="en-US" w:eastAsia="zh-CN" w:bidi="ar"/>
        </w:rPr>
        <w:t>3</w:t>
      </w:r>
      <w:r>
        <w:rPr>
          <w:rFonts w:hint="default" w:ascii="Times New Roman" w:hAnsi="Times New Roman" w:eastAsia="宋体" w:cs="Times New Roman"/>
          <w:color w:val="auto"/>
          <w:kern w:val="0"/>
          <w:sz w:val="24"/>
          <w:szCs w:val="24"/>
          <w:highlight w:val="none"/>
          <w:lang w:val="en-US" w:eastAsia="zh-CN" w:bidi="ar"/>
        </w:rPr>
        <w:t>年 SO</w:t>
      </w:r>
      <w:r>
        <w:rPr>
          <w:rFonts w:hint="default" w:ascii="Times New Roman" w:hAnsi="Times New Roman" w:eastAsia="宋体" w:cs="Times New Roman"/>
          <w:color w:val="auto"/>
          <w:kern w:val="0"/>
          <w:sz w:val="15"/>
          <w:szCs w:val="15"/>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、NO</w:t>
      </w:r>
      <w:r>
        <w:rPr>
          <w:rFonts w:hint="default" w:ascii="Times New Roman" w:hAnsi="Times New Roman" w:eastAsia="宋体" w:cs="Times New Roman"/>
          <w:color w:val="auto"/>
          <w:kern w:val="0"/>
          <w:sz w:val="15"/>
          <w:szCs w:val="15"/>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、PM</w:t>
      </w:r>
      <w:r>
        <w:rPr>
          <w:rFonts w:hint="default" w:ascii="Times New Roman" w:hAnsi="Times New Roman" w:eastAsia="宋体" w:cs="Times New Roman"/>
          <w:color w:val="auto"/>
          <w:kern w:val="0"/>
          <w:sz w:val="15"/>
          <w:szCs w:val="15"/>
          <w:highlight w:val="none"/>
          <w:lang w:val="en-US" w:eastAsia="zh-CN" w:bidi="ar"/>
        </w:rPr>
        <w:t>2.5</w:t>
      </w:r>
      <w:r>
        <w:rPr>
          <w:rFonts w:hint="default" w:ascii="Times New Roman" w:hAnsi="Times New Roman" w:eastAsia="宋体" w:cs="Times New Roman"/>
          <w:color w:val="auto"/>
          <w:kern w:val="0"/>
          <w:sz w:val="24"/>
          <w:szCs w:val="24"/>
          <w:highlight w:val="none"/>
          <w:lang w:val="en-US" w:eastAsia="zh-CN" w:bidi="ar"/>
        </w:rPr>
        <w:t>、PM</w:t>
      </w:r>
      <w:r>
        <w:rPr>
          <w:rFonts w:hint="default" w:ascii="Times New Roman" w:hAnsi="Times New Roman" w:eastAsia="宋体" w:cs="Times New Roman"/>
          <w:color w:val="auto"/>
          <w:kern w:val="0"/>
          <w:sz w:val="15"/>
          <w:szCs w:val="15"/>
          <w:highlight w:val="none"/>
          <w:lang w:val="en-US" w:eastAsia="zh-CN" w:bidi="ar"/>
        </w:rPr>
        <w:t xml:space="preserve">10 </w:t>
      </w:r>
      <w:r>
        <w:rPr>
          <w:rFonts w:hint="default" w:ascii="Times New Roman" w:hAnsi="Times New Roman" w:eastAsia="宋体" w:cs="Times New Roman"/>
          <w:color w:val="auto"/>
          <w:kern w:val="0"/>
          <w:sz w:val="24"/>
          <w:szCs w:val="24"/>
          <w:highlight w:val="none"/>
          <w:lang w:val="en-US" w:eastAsia="zh-CN" w:bidi="ar"/>
        </w:rPr>
        <w:t>年平均浓度，CO 第95百分位</w:t>
      </w:r>
      <w:r>
        <w:rPr>
          <w:rFonts w:hint="eastAsia" w:eastAsia="宋体" w:cs="Times New Roman"/>
          <w:color w:val="auto"/>
          <w:kern w:val="0"/>
          <w:sz w:val="24"/>
          <w:szCs w:val="24"/>
          <w:highlight w:val="none"/>
          <w:lang w:val="en-US" w:eastAsia="zh-CN" w:bidi="ar"/>
        </w:rPr>
        <w:t>数日均</w:t>
      </w:r>
      <w:r>
        <w:rPr>
          <w:rFonts w:hint="default" w:ascii="Times New Roman" w:hAnsi="Times New Roman" w:eastAsia="宋体" w:cs="Times New Roman"/>
          <w:color w:val="auto"/>
          <w:kern w:val="0"/>
          <w:sz w:val="24"/>
          <w:szCs w:val="24"/>
          <w:highlight w:val="none"/>
          <w:lang w:val="en-US" w:eastAsia="zh-CN" w:bidi="ar"/>
        </w:rPr>
        <w:t>浓度、O</w:t>
      </w:r>
      <w:r>
        <w:rPr>
          <w:rFonts w:hint="default" w:ascii="Times New Roman" w:hAnsi="Times New Roman" w:eastAsia="宋体" w:cs="Times New Roman"/>
          <w:color w:val="auto"/>
          <w:kern w:val="0"/>
          <w:sz w:val="15"/>
          <w:szCs w:val="15"/>
          <w:highlight w:val="none"/>
          <w:lang w:val="en-US" w:eastAsia="zh-CN" w:bidi="ar"/>
        </w:rPr>
        <w:t xml:space="preserve">3 </w:t>
      </w:r>
      <w:r>
        <w:rPr>
          <w:rFonts w:hint="default" w:ascii="Times New Roman" w:hAnsi="Times New Roman" w:eastAsia="宋体" w:cs="Times New Roman"/>
          <w:color w:val="auto"/>
          <w:kern w:val="0"/>
          <w:sz w:val="24"/>
          <w:szCs w:val="24"/>
          <w:highlight w:val="none"/>
          <w:lang w:val="en-US" w:eastAsia="zh-CN" w:bidi="ar"/>
        </w:rPr>
        <w:t>第90百分位</w:t>
      </w:r>
      <w:r>
        <w:rPr>
          <w:rFonts w:hint="eastAsia" w:eastAsia="宋体" w:cs="Times New Roman"/>
          <w:color w:val="auto"/>
          <w:kern w:val="0"/>
          <w:sz w:val="24"/>
          <w:szCs w:val="24"/>
          <w:highlight w:val="none"/>
          <w:lang w:val="en-US" w:eastAsia="zh-CN" w:bidi="ar"/>
        </w:rPr>
        <w:t>数</w:t>
      </w:r>
      <w:r>
        <w:rPr>
          <w:rFonts w:hint="default" w:ascii="Times New Roman" w:hAnsi="Times New Roman" w:eastAsia="宋体" w:cs="Times New Roman"/>
          <w:color w:val="auto"/>
          <w:kern w:val="0"/>
          <w:sz w:val="24"/>
          <w:szCs w:val="24"/>
          <w:highlight w:val="none"/>
          <w:lang w:val="en-US" w:eastAsia="zh-CN" w:bidi="ar"/>
        </w:rPr>
        <w:t>日最大8</w:t>
      </w:r>
      <w:r>
        <w:rPr>
          <w:rFonts w:hint="eastAsia" w:eastAsia="宋体" w:cs="Times New Roman"/>
          <w:color w:val="auto"/>
          <w:kern w:val="0"/>
          <w:sz w:val="24"/>
          <w:szCs w:val="24"/>
          <w:highlight w:val="none"/>
          <w:lang w:val="en-US" w:eastAsia="zh-CN" w:bidi="ar"/>
        </w:rPr>
        <w:t>h值浓度均达到</w:t>
      </w:r>
      <w:r>
        <w:rPr>
          <w:rFonts w:hint="default" w:ascii="Times New Roman" w:hAnsi="Times New Roman" w:eastAsia="宋体" w:cs="Times New Roman"/>
          <w:color w:val="auto"/>
          <w:kern w:val="0"/>
          <w:sz w:val="24"/>
          <w:szCs w:val="24"/>
          <w:highlight w:val="none"/>
          <w:lang w:val="en-US" w:eastAsia="zh-CN" w:bidi="ar"/>
        </w:rPr>
        <w:t>《环境空气质量标准》（GB3095-2012）</w:t>
      </w:r>
      <w:r>
        <w:rPr>
          <w:rFonts w:hint="eastAsia" w:eastAsia="宋体" w:cs="Times New Roman"/>
          <w:color w:val="auto"/>
          <w:kern w:val="0"/>
          <w:sz w:val="24"/>
          <w:szCs w:val="24"/>
          <w:highlight w:val="none"/>
          <w:lang w:val="en-US" w:eastAsia="zh-CN" w:bidi="ar"/>
        </w:rPr>
        <w:t>相应的</w:t>
      </w:r>
      <w:r>
        <w:rPr>
          <w:rFonts w:hint="default" w:ascii="Times New Roman" w:hAnsi="Times New Roman" w:eastAsia="宋体" w:cs="Times New Roman"/>
          <w:color w:val="auto"/>
          <w:kern w:val="0"/>
          <w:sz w:val="24"/>
          <w:szCs w:val="24"/>
          <w:highlight w:val="none"/>
          <w:lang w:val="en-US" w:eastAsia="zh-CN" w:bidi="ar"/>
        </w:rPr>
        <w:t>二级标准。因此</w:t>
      </w:r>
      <w:r>
        <w:rPr>
          <w:rFonts w:hint="default" w:ascii="Times New Roman" w:hAnsi="Times New Roman" w:cs="Times New Roman"/>
          <w:color w:val="auto"/>
          <w:highlight w:val="none"/>
          <w:lang w:val="zh-CN"/>
        </w:rPr>
        <w:t>，项目所在区域为达标区。</w:t>
      </w:r>
    </w:p>
    <w:p w14:paraId="16F5776D">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环境空气质量</w:t>
      </w:r>
      <w:r>
        <w:rPr>
          <w:rFonts w:hint="eastAsia" w:cs="Times New Roman"/>
          <w:color w:val="auto"/>
          <w:highlight w:val="none"/>
          <w:lang w:val="en-US" w:eastAsia="zh-CN"/>
        </w:rPr>
        <w:t>补充监测</w:t>
      </w:r>
    </w:p>
    <w:p w14:paraId="212437D6">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sz w:val="24"/>
          <w:szCs w:val="24"/>
          <w:highlight w:val="none"/>
          <w:lang w:val="en-US" w:eastAsia="zh-CN"/>
        </w:rPr>
        <w:t>本项目</w:t>
      </w:r>
      <w:r>
        <w:rPr>
          <w:rFonts w:hint="eastAsia" w:ascii="Times New Roman" w:hAnsi="Times New Roman" w:cs="Times New Roman"/>
          <w:color w:val="auto"/>
          <w:sz w:val="24"/>
          <w:szCs w:val="24"/>
          <w:highlight w:val="none"/>
          <w:lang w:val="en-US" w:eastAsia="zh-CN"/>
        </w:rPr>
        <w:t>大气</w:t>
      </w:r>
      <w:r>
        <w:rPr>
          <w:rFonts w:hint="default" w:ascii="Times New Roman" w:hAnsi="Times New Roman" w:cs="Times New Roman"/>
          <w:color w:val="auto"/>
          <w:sz w:val="24"/>
          <w:szCs w:val="24"/>
          <w:highlight w:val="none"/>
          <w:lang w:val="en-US" w:eastAsia="zh-CN"/>
        </w:rPr>
        <w:t>评价等级为</w:t>
      </w:r>
      <w:r>
        <w:rPr>
          <w:rFonts w:hint="eastAsia" w:ascii="Times New Roman" w:hAnsi="Times New Roman" w:cs="Times New Roman"/>
          <w:color w:val="auto"/>
          <w:sz w:val="24"/>
          <w:szCs w:val="24"/>
          <w:highlight w:val="none"/>
          <w:lang w:val="en-US" w:eastAsia="zh-CN"/>
        </w:rPr>
        <w:t>一</w:t>
      </w:r>
      <w:r>
        <w:rPr>
          <w:rFonts w:hint="default" w:ascii="Times New Roman" w:hAnsi="Times New Roman" w:cs="Times New Roman"/>
          <w:color w:val="auto"/>
          <w:sz w:val="24"/>
          <w:szCs w:val="24"/>
          <w:highlight w:val="none"/>
          <w:lang w:val="en-US" w:eastAsia="zh-CN"/>
        </w:rPr>
        <w:t>级，</w:t>
      </w:r>
      <w:r>
        <w:rPr>
          <w:rFonts w:hint="default" w:ascii="Times New Roman" w:hAnsi="Times New Roman" w:eastAsia="宋体" w:cs="Times New Roman"/>
          <w:color w:val="auto"/>
          <w:highlight w:val="none"/>
        </w:rPr>
        <w:t>项目所在区域属于环境空气质量达标区，</w:t>
      </w:r>
      <w:r>
        <w:rPr>
          <w:rFonts w:hint="default" w:ascii="Times New Roman" w:hAnsi="Times New Roman" w:cs="Times New Roman"/>
          <w:color w:val="auto"/>
          <w:highlight w:val="none"/>
          <w:lang w:val="en-US" w:eastAsia="zh-CN"/>
        </w:rPr>
        <w:t>为了解项目所在地环境空气质量现状，本次评价委托绵阳</w:t>
      </w:r>
      <w:r>
        <w:rPr>
          <w:rFonts w:hint="default" w:ascii="Times New Roman" w:hAnsi="Times New Roman" w:cs="Times New Roman"/>
          <w:color w:val="auto"/>
          <w:highlight w:val="none"/>
          <w:lang w:eastAsia="zh-CN"/>
        </w:rPr>
        <w:t>凯乐</w:t>
      </w:r>
      <w:r>
        <w:rPr>
          <w:rFonts w:hint="default" w:ascii="Times New Roman" w:hAnsi="Times New Roman" w:cs="Times New Roman"/>
          <w:color w:val="auto"/>
          <w:highlight w:val="none"/>
        </w:rPr>
        <w:t>检测</w:t>
      </w:r>
      <w:r>
        <w:rPr>
          <w:rFonts w:hint="default" w:ascii="Times New Roman" w:hAnsi="Times New Roman" w:cs="Times New Roman"/>
          <w:color w:val="auto"/>
          <w:highlight w:val="none"/>
          <w:lang w:eastAsia="zh-CN"/>
        </w:rPr>
        <w:t>技术</w:t>
      </w:r>
      <w:r>
        <w:rPr>
          <w:rFonts w:hint="default" w:ascii="Times New Roman" w:hAnsi="Times New Roman" w:cs="Times New Roman"/>
          <w:color w:val="auto"/>
          <w:highlight w:val="none"/>
        </w:rPr>
        <w:t>有限公司</w:t>
      </w:r>
      <w:r>
        <w:rPr>
          <w:rFonts w:hint="default" w:ascii="Times New Roman" w:hAnsi="Times New Roman" w:cs="Times New Roman"/>
          <w:color w:val="auto"/>
          <w:highlight w:val="none"/>
          <w:lang w:val="en-US" w:eastAsia="zh-CN"/>
        </w:rPr>
        <w:t>对本项目所在地环境质量现状进行补充监测。</w:t>
      </w:r>
    </w:p>
    <w:p w14:paraId="0141E406">
      <w:pPr>
        <w:spacing w:line="360" w:lineRule="auto"/>
        <w:ind w:firstLine="464" w:firstLineChars="200"/>
        <w:rPr>
          <w:rFonts w:hint="default" w:ascii="Times New Roman" w:hAnsi="Times New Roman" w:cs="Times New Roman"/>
          <w:bCs/>
          <w:color w:val="auto"/>
          <w:spacing w:val="-4"/>
          <w:sz w:val="24"/>
          <w:szCs w:val="24"/>
          <w:highlight w:val="none"/>
          <w:lang w:eastAsia="zh-CN"/>
        </w:rPr>
      </w:pPr>
      <w:r>
        <w:rPr>
          <w:rFonts w:hint="default" w:ascii="Times New Roman" w:hAnsi="Times New Roman" w:cs="Times New Roman"/>
          <w:bCs/>
          <w:color w:val="auto"/>
          <w:spacing w:val="-4"/>
          <w:sz w:val="24"/>
          <w:highlight w:val="none"/>
          <w:lang w:eastAsia="zh-CN"/>
        </w:rPr>
        <w:t>根据上表</w:t>
      </w:r>
      <w:r>
        <w:rPr>
          <w:rFonts w:hint="default" w:ascii="Times New Roman" w:hAnsi="Times New Roman" w:cs="Times New Roman"/>
          <w:bCs/>
          <w:color w:val="auto"/>
          <w:spacing w:val="-4"/>
          <w:sz w:val="24"/>
          <w:highlight w:val="none"/>
        </w:rPr>
        <w:t>统计</w:t>
      </w:r>
      <w:r>
        <w:rPr>
          <w:rFonts w:hint="default" w:ascii="Times New Roman" w:hAnsi="Times New Roman" w:cs="Times New Roman"/>
          <w:bCs/>
          <w:color w:val="auto"/>
          <w:spacing w:val="-4"/>
          <w:sz w:val="24"/>
          <w:szCs w:val="24"/>
          <w:highlight w:val="none"/>
        </w:rPr>
        <w:t>，</w:t>
      </w:r>
      <w:r>
        <w:rPr>
          <w:rFonts w:hint="default" w:ascii="Times New Roman" w:hAnsi="Times New Roman" w:cs="Times New Roman"/>
          <w:bCs/>
          <w:color w:val="auto"/>
          <w:sz w:val="24"/>
          <w:szCs w:val="24"/>
          <w:highlight w:val="none"/>
        </w:rPr>
        <w:t>项目所在区域</w:t>
      </w:r>
      <w:r>
        <w:rPr>
          <w:rFonts w:hint="default" w:ascii="Times New Roman" w:hAnsi="Times New Roman" w:eastAsia="宋体" w:cs="Times New Roman"/>
          <w:color w:val="auto"/>
          <w:kern w:val="0"/>
          <w:sz w:val="24"/>
          <w:szCs w:val="24"/>
          <w:highlight w:val="none"/>
          <w:lang w:val="en-US" w:eastAsia="zh-CN" w:bidi="ar"/>
        </w:rPr>
        <w:t>SO</w:t>
      </w:r>
      <w:r>
        <w:rPr>
          <w:rFonts w:hint="default" w:ascii="Times New Roman" w:hAnsi="Times New Roman" w:eastAsia="宋体" w:cs="Times New Roman"/>
          <w:color w:val="auto"/>
          <w:kern w:val="0"/>
          <w:sz w:val="16"/>
          <w:szCs w:val="16"/>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、NO</w:t>
      </w:r>
      <w:r>
        <w:rPr>
          <w:rFonts w:hint="default" w:ascii="Times New Roman" w:hAnsi="Times New Roman" w:eastAsia="宋体" w:cs="Times New Roman"/>
          <w:color w:val="auto"/>
          <w:kern w:val="0"/>
          <w:sz w:val="16"/>
          <w:szCs w:val="16"/>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、PM</w:t>
      </w:r>
      <w:r>
        <w:rPr>
          <w:rFonts w:hint="default" w:ascii="Times New Roman" w:hAnsi="Times New Roman" w:eastAsia="宋体" w:cs="Times New Roman"/>
          <w:color w:val="auto"/>
          <w:kern w:val="0"/>
          <w:sz w:val="16"/>
          <w:szCs w:val="16"/>
          <w:highlight w:val="none"/>
          <w:lang w:val="en-US" w:eastAsia="zh-CN" w:bidi="ar"/>
        </w:rPr>
        <w:t>10</w:t>
      </w:r>
      <w:r>
        <w:rPr>
          <w:rFonts w:hint="default" w:ascii="Times New Roman" w:hAnsi="Times New Roman" w:eastAsia="宋体" w:cs="Times New Roman"/>
          <w:color w:val="auto"/>
          <w:kern w:val="0"/>
          <w:sz w:val="24"/>
          <w:szCs w:val="24"/>
          <w:highlight w:val="none"/>
          <w:lang w:val="en-US" w:eastAsia="zh-CN" w:bidi="ar"/>
        </w:rPr>
        <w:t>、PM</w:t>
      </w:r>
      <w:r>
        <w:rPr>
          <w:rFonts w:hint="default" w:ascii="Times New Roman" w:hAnsi="Times New Roman" w:eastAsia="宋体" w:cs="Times New Roman"/>
          <w:color w:val="auto"/>
          <w:kern w:val="0"/>
          <w:sz w:val="16"/>
          <w:szCs w:val="16"/>
          <w:highlight w:val="none"/>
          <w:lang w:val="en-US" w:eastAsia="zh-CN" w:bidi="ar"/>
        </w:rPr>
        <w:t>2.5</w:t>
      </w:r>
      <w:r>
        <w:rPr>
          <w:rFonts w:hint="default" w:ascii="Times New Roman" w:hAnsi="Times New Roman" w:eastAsia="宋体" w:cs="Times New Roman"/>
          <w:color w:val="auto"/>
          <w:kern w:val="0"/>
          <w:sz w:val="24"/>
          <w:szCs w:val="24"/>
          <w:highlight w:val="none"/>
          <w:lang w:val="en-US" w:eastAsia="zh-CN" w:bidi="ar"/>
        </w:rPr>
        <w:t>、CO、O</w:t>
      </w:r>
      <w:r>
        <w:rPr>
          <w:rFonts w:hint="default" w:ascii="Times New Roman" w:hAnsi="Times New Roman" w:eastAsia="宋体" w:cs="Times New Roman"/>
          <w:color w:val="auto"/>
          <w:kern w:val="0"/>
          <w:sz w:val="16"/>
          <w:szCs w:val="16"/>
          <w:highlight w:val="none"/>
          <w:lang w:val="en-US" w:eastAsia="zh-CN" w:bidi="ar"/>
        </w:rPr>
        <w:t xml:space="preserve">3 </w:t>
      </w:r>
      <w:r>
        <w:rPr>
          <w:rFonts w:hint="eastAsia" w:ascii="Times New Roman" w:hAnsi="Times New Roman" w:eastAsia="宋体" w:cs="Times New Roman"/>
          <w:color w:val="auto"/>
          <w:kern w:val="0"/>
          <w:sz w:val="24"/>
          <w:szCs w:val="24"/>
          <w:highlight w:val="none"/>
          <w:lang w:val="en-US" w:eastAsia="zh-CN" w:bidi="ar"/>
        </w:rPr>
        <w:t>、TSP、NOx、氟化物等指标在</w:t>
      </w:r>
      <w:r>
        <w:rPr>
          <w:rFonts w:hint="eastAsia" w:ascii="Times New Roman" w:hAnsi="Times New Roman" w:cs="Times New Roman"/>
          <w:bCs/>
          <w:color w:val="auto"/>
          <w:spacing w:val="-4"/>
          <w:sz w:val="24"/>
          <w:szCs w:val="24"/>
          <w:highlight w:val="none"/>
          <w:lang w:val="en-US" w:eastAsia="zh-CN"/>
        </w:rPr>
        <w:t>1#、2#监测点</w:t>
      </w:r>
      <w:r>
        <w:rPr>
          <w:rFonts w:hint="default" w:ascii="Times New Roman" w:hAnsi="Times New Roman" w:eastAsia="宋体" w:cs="Times New Roman"/>
          <w:color w:val="auto"/>
          <w:kern w:val="0"/>
          <w:sz w:val="24"/>
          <w:szCs w:val="24"/>
          <w:highlight w:val="none"/>
          <w:lang w:val="en-US" w:eastAsia="zh-CN" w:bidi="ar"/>
        </w:rPr>
        <w:t>均满足《环境空气质量标准》（GB3095-2012）</w:t>
      </w:r>
      <w:r>
        <w:rPr>
          <w:rFonts w:hint="eastAsia" w:ascii="Times New Roman" w:hAnsi="Times New Roman" w:eastAsia="宋体" w:cs="Times New Roman"/>
          <w:color w:val="auto"/>
          <w:kern w:val="0"/>
          <w:sz w:val="24"/>
          <w:szCs w:val="24"/>
          <w:highlight w:val="none"/>
          <w:lang w:val="en-US" w:eastAsia="zh-CN" w:bidi="ar"/>
        </w:rPr>
        <w:t>二级标准</w:t>
      </w:r>
      <w:r>
        <w:rPr>
          <w:rFonts w:hint="eastAsia" w:ascii="Times New Roman" w:hAnsi="Times New Roman" w:cs="Times New Roman"/>
          <w:bCs/>
          <w:color w:val="auto"/>
          <w:sz w:val="24"/>
          <w:szCs w:val="24"/>
          <w:highlight w:val="none"/>
          <w:lang w:eastAsia="zh-CN"/>
        </w:rPr>
        <w:t>，</w:t>
      </w:r>
      <w:r>
        <w:rPr>
          <w:rFonts w:hint="eastAsia" w:ascii="Times New Roman" w:hAnsi="Times New Roman" w:cs="Times New Roman"/>
          <w:bCs/>
          <w:color w:val="auto"/>
          <w:spacing w:val="-4"/>
          <w:sz w:val="24"/>
          <w:szCs w:val="24"/>
          <w:highlight w:val="none"/>
          <w:lang w:val="en-US" w:eastAsia="zh-CN"/>
        </w:rPr>
        <w:t>3#监测点满足</w:t>
      </w:r>
      <w:r>
        <w:rPr>
          <w:rFonts w:hint="default" w:ascii="Times New Roman" w:hAnsi="Times New Roman" w:eastAsia="宋体" w:cs="Times New Roman"/>
          <w:color w:val="auto"/>
          <w:kern w:val="0"/>
          <w:sz w:val="24"/>
          <w:szCs w:val="24"/>
          <w:highlight w:val="none"/>
          <w:lang w:val="en-US" w:eastAsia="zh-CN" w:bidi="ar"/>
        </w:rPr>
        <w:t>《环境空气质量标准》（GB3095-2012）一级标准；</w:t>
      </w:r>
      <w:r>
        <w:rPr>
          <w:rFonts w:hint="default" w:ascii="Times New Roman" w:hAnsi="Times New Roman" w:cs="Times New Roman"/>
          <w:color w:val="auto"/>
          <w:sz w:val="24"/>
          <w:szCs w:val="24"/>
          <w:highlight w:val="none"/>
          <w:lang w:bidi="ar"/>
        </w:rPr>
        <w:t>H</w:t>
      </w:r>
      <w:r>
        <w:rPr>
          <w:rFonts w:hint="default" w:ascii="Times New Roman" w:hAnsi="Times New Roman" w:cs="Times New Roman"/>
          <w:color w:val="auto"/>
          <w:sz w:val="24"/>
          <w:szCs w:val="24"/>
          <w:highlight w:val="none"/>
          <w:vertAlign w:val="subscript"/>
          <w:lang w:bidi="ar"/>
        </w:rPr>
        <w:t>2</w:t>
      </w:r>
      <w:r>
        <w:rPr>
          <w:rFonts w:hint="default" w:ascii="Times New Roman" w:hAnsi="Times New Roman" w:cs="Times New Roman"/>
          <w:color w:val="auto"/>
          <w:sz w:val="24"/>
          <w:szCs w:val="24"/>
          <w:highlight w:val="none"/>
          <w:lang w:bidi="ar"/>
        </w:rPr>
        <w:t>S、HCl、NH</w:t>
      </w:r>
      <w:r>
        <w:rPr>
          <w:rFonts w:hint="default" w:ascii="Times New Roman" w:hAnsi="Times New Roman" w:cs="Times New Roman"/>
          <w:color w:val="auto"/>
          <w:sz w:val="24"/>
          <w:szCs w:val="24"/>
          <w:highlight w:val="none"/>
          <w:vertAlign w:val="subscript"/>
          <w:lang w:bidi="ar"/>
        </w:rPr>
        <w:t>3</w:t>
      </w:r>
      <w:r>
        <w:rPr>
          <w:rFonts w:hint="default" w:ascii="Times New Roman" w:hAnsi="Times New Roman" w:cs="Times New Roman"/>
          <w:color w:val="auto"/>
          <w:sz w:val="24"/>
          <w:szCs w:val="24"/>
          <w:highlight w:val="none"/>
          <w:lang w:bidi="ar"/>
        </w:rPr>
        <w:t>、</w:t>
      </w:r>
      <w:r>
        <w:rPr>
          <w:rFonts w:hint="default" w:ascii="Times New Roman" w:hAnsi="Times New Roman" w:cs="Times New Roman"/>
          <w:color w:val="auto"/>
          <w:sz w:val="24"/>
          <w:szCs w:val="24"/>
          <w:highlight w:val="none"/>
          <w:lang w:val="en-US" w:eastAsia="zh-CN" w:bidi="ar"/>
        </w:rPr>
        <w:t>Mn及其化合物</w:t>
      </w:r>
      <w:r>
        <w:rPr>
          <w:rFonts w:hint="default" w:ascii="Times New Roman" w:hAnsi="Times New Roman" w:cs="Times New Roman"/>
          <w:color w:val="auto"/>
          <w:sz w:val="24"/>
          <w:szCs w:val="24"/>
          <w:highlight w:val="none"/>
          <w:lang w:eastAsia="zh-CN"/>
        </w:rPr>
        <w:t>满足</w:t>
      </w:r>
      <w:r>
        <w:rPr>
          <w:rFonts w:hint="default" w:ascii="Times New Roman" w:hAnsi="Times New Roman" w:cs="Times New Roman"/>
          <w:color w:val="auto"/>
          <w:sz w:val="24"/>
          <w:szCs w:val="24"/>
          <w:highlight w:val="none"/>
        </w:rPr>
        <w:t>《环境影响评价技术导则 大气环境》（HJ2.2-2018）中“附录D.1 其他污染物空气质量浓度参考限值”有关标准要求</w:t>
      </w:r>
      <w:r>
        <w:rPr>
          <w:rFonts w:hint="default" w:ascii="Times New Roman" w:hAnsi="Times New Roman" w:cs="Times New Roman"/>
          <w:color w:val="auto"/>
          <w:sz w:val="24"/>
          <w:szCs w:val="24"/>
          <w:highlight w:val="none"/>
          <w:lang w:eastAsia="zh-CN"/>
        </w:rPr>
        <w:t>；非甲烷总烃</w:t>
      </w:r>
      <w:r>
        <w:rPr>
          <w:rFonts w:hint="default" w:ascii="Times New Roman" w:hAnsi="Times New Roman" w:cs="Times New Roman"/>
          <w:bCs/>
          <w:color w:val="auto"/>
          <w:sz w:val="24"/>
          <w:szCs w:val="24"/>
          <w:highlight w:val="none"/>
          <w:lang w:eastAsia="zh-CN"/>
        </w:rPr>
        <w:t>满足</w:t>
      </w:r>
      <w:r>
        <w:rPr>
          <w:rFonts w:hint="default" w:ascii="Times New Roman" w:hAnsi="Times New Roman" w:cs="Times New Roman"/>
          <w:bCs/>
          <w:color w:val="auto"/>
          <w:sz w:val="24"/>
          <w:szCs w:val="24"/>
          <w:highlight w:val="none"/>
          <w:lang w:val="en-US" w:eastAsia="zh-CN"/>
        </w:rPr>
        <w:t>《大气污染物综合排放标准详解》中相关要求</w:t>
      </w:r>
      <w:r>
        <w:rPr>
          <w:rFonts w:hint="eastAsia" w:ascii="Times New Roman" w:hAnsi="Times New Roman" w:cs="Times New Roman"/>
          <w:bCs/>
          <w:color w:val="auto"/>
          <w:sz w:val="24"/>
          <w:szCs w:val="24"/>
          <w:highlight w:val="none"/>
          <w:lang w:val="en-US" w:eastAsia="zh-CN"/>
        </w:rPr>
        <w:t>；二噁英的日均值符合</w:t>
      </w:r>
      <w:r>
        <w:rPr>
          <w:rFonts w:hint="default" w:ascii="Times New Roman" w:hAnsi="Times New Roman" w:cs="Times New Roman"/>
          <w:color w:val="auto"/>
          <w:sz w:val="24"/>
          <w:szCs w:val="24"/>
          <w:highlight w:val="none"/>
          <w:lang w:bidi="ar"/>
        </w:rPr>
        <w:t>环发[2008]82 号文中规定（“二噁英参照日本年均浓度标准”3倍计”）</w:t>
      </w:r>
      <w:r>
        <w:rPr>
          <w:rFonts w:hint="eastAsia" w:ascii="Times New Roman" w:hAnsi="Times New Roman" w:cs="Times New Roman"/>
          <w:bCs/>
          <w:color w:val="auto"/>
          <w:sz w:val="24"/>
          <w:szCs w:val="24"/>
          <w:highlight w:val="none"/>
          <w:lang w:val="en-US" w:eastAsia="zh-CN"/>
        </w:rPr>
        <w:t>。</w:t>
      </w:r>
    </w:p>
    <w:p w14:paraId="3FA1F5A0">
      <w:pPr>
        <w:spacing w:line="360" w:lineRule="auto"/>
        <w:ind w:firstLine="420" w:firstLineChars="200"/>
        <w:rPr>
          <w:rFonts w:hint="default"/>
          <w:color w:val="auto"/>
          <w:highlight w:val="none"/>
          <w:lang w:val="en-US"/>
        </w:rPr>
        <w:sectPr>
          <w:headerReference r:id="rId24"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667C11F5">
      <w:pPr>
        <w:pStyle w:val="3"/>
        <w:spacing w:before="156" w:after="156"/>
        <w:rPr>
          <w:rFonts w:hint="default" w:ascii="Times New Roman" w:hAnsi="Times New Roman" w:cs="Times New Roman"/>
          <w:color w:val="auto"/>
          <w:highlight w:val="none"/>
        </w:rPr>
      </w:pPr>
      <w:bookmarkStart w:id="91" w:name="_Toc11810"/>
      <w:bookmarkStart w:id="92" w:name="_Toc27271"/>
      <w:bookmarkStart w:id="93" w:name="_Toc11913"/>
      <w:r>
        <w:rPr>
          <w:rFonts w:hint="default" w:ascii="Times New Roman" w:hAnsi="Times New Roman" w:cs="Times New Roman"/>
          <w:color w:val="auto"/>
          <w:highlight w:val="none"/>
        </w:rPr>
        <w:t>地表水环境质量现状监测及评价</w:t>
      </w:r>
      <w:bookmarkEnd w:id="91"/>
      <w:bookmarkEnd w:id="92"/>
      <w:bookmarkEnd w:id="93"/>
    </w:p>
    <w:p w14:paraId="15132FA7">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区域地表水环境</w:t>
      </w:r>
      <w:r>
        <w:rPr>
          <w:rFonts w:hint="eastAsia" w:cs="Times New Roman"/>
          <w:color w:val="auto"/>
          <w:highlight w:val="none"/>
          <w:lang w:val="en-US" w:eastAsia="zh-CN"/>
        </w:rPr>
        <w:t>现状</w:t>
      </w:r>
    </w:p>
    <w:p w14:paraId="10CCC2B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本项目废水经</w:t>
      </w:r>
      <w:r>
        <w:rPr>
          <w:rFonts w:hint="eastAsia" w:cs="Times New Roman"/>
          <w:color w:val="auto"/>
          <w:highlight w:val="none"/>
          <w:lang w:val="en-US" w:eastAsia="zh-CN"/>
        </w:rPr>
        <w:t>管道进入</w:t>
      </w:r>
      <w:r>
        <w:rPr>
          <w:rFonts w:hint="default" w:ascii="Times New Roman" w:hAnsi="Times New Roman" w:cs="Times New Roman"/>
          <w:color w:val="auto"/>
          <w:highlight w:val="none"/>
        </w:rPr>
        <w:t>剑阁县垃圾填埋场垃圾渗滤液处理站，处理达《生活垃圾填埋污染控制标准》</w:t>
      </w:r>
      <w:r>
        <w:rPr>
          <w:rFonts w:hint="eastAsia" w:cs="Times New Roman"/>
          <w:color w:val="auto"/>
          <w:highlight w:val="none"/>
          <w:lang w:eastAsia="zh-CN"/>
        </w:rPr>
        <w:t>（</w:t>
      </w:r>
      <w:r>
        <w:rPr>
          <w:rFonts w:hint="default" w:ascii="Times New Roman" w:hAnsi="Times New Roman" w:cs="Times New Roman"/>
          <w:color w:val="auto"/>
          <w:highlight w:val="none"/>
        </w:rPr>
        <w:t>GB16889-2008）中标准限值要求后最终排入闻溪河。根据《环境影响评价技术导则  地表水环境》（HJ2.3-2018），本项目</w:t>
      </w:r>
      <w:r>
        <w:rPr>
          <w:rFonts w:hint="eastAsia" w:eastAsia="宋体" w:cs="Times New Roman"/>
          <w:color w:val="auto"/>
          <w:kern w:val="0"/>
          <w:sz w:val="24"/>
          <w:szCs w:val="24"/>
          <w:highlight w:val="none"/>
          <w:lang w:val="en-US" w:eastAsia="zh-CN" w:bidi="ar"/>
        </w:rPr>
        <w:t>属于</w:t>
      </w:r>
      <w:r>
        <w:rPr>
          <w:rFonts w:hint="default" w:ascii="Times New Roman" w:hAnsi="Times New Roman" w:cs="Times New Roman"/>
          <w:color w:val="auto"/>
          <w:highlight w:val="none"/>
        </w:rPr>
        <w:t>为间接排放，</w:t>
      </w:r>
      <w:r>
        <w:rPr>
          <w:rFonts w:hint="eastAsia" w:cs="Times New Roman"/>
          <w:color w:val="auto"/>
          <w:highlight w:val="none"/>
          <w:lang w:val="en-US" w:eastAsia="zh-CN"/>
        </w:rPr>
        <w:t>地表水</w:t>
      </w:r>
      <w:r>
        <w:rPr>
          <w:rFonts w:hint="default" w:ascii="Times New Roman" w:hAnsi="Times New Roman" w:cs="Times New Roman"/>
          <w:color w:val="auto"/>
          <w:highlight w:val="none"/>
        </w:rPr>
        <w:t>评价等级为三级B。水环境质量现状调查应优先采用国务院生态环境主管部门统一发布的水环境状况信息。因此，采取收集资料方法对项目区域地表水质量进行现状评价。</w:t>
      </w:r>
    </w:p>
    <w:p w14:paraId="011314B4">
      <w:pPr>
        <w:pStyle w:val="14"/>
        <w:ind w:firstLine="480"/>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eastAsia="zh-CN"/>
        </w:rPr>
        <w:t>根据剑阁生态环境局发布的《剑阁县202</w:t>
      </w: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lang w:eastAsia="zh-CN"/>
        </w:rPr>
        <w:t>年生态环境质量报告》，剑阁县</w:t>
      </w:r>
      <w:r>
        <w:rPr>
          <w:rFonts w:hint="default" w:ascii="Times New Roman" w:hAnsi="Times New Roman" w:cs="Times New Roman"/>
          <w:color w:val="auto"/>
          <w:sz w:val="24"/>
          <w:szCs w:val="24"/>
          <w:highlight w:val="none"/>
          <w:lang w:val="en-US" w:eastAsia="zh-CN"/>
        </w:rPr>
        <w:t>202</w:t>
      </w: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lang w:val="en-US" w:eastAsia="zh-CN"/>
        </w:rPr>
        <w:t>年</w:t>
      </w:r>
      <w:r>
        <w:rPr>
          <w:rFonts w:hint="default" w:ascii="Times New Roman" w:hAnsi="Times New Roman" w:cs="Times New Roman"/>
          <w:color w:val="auto"/>
          <w:sz w:val="24"/>
          <w:szCs w:val="24"/>
          <w:highlight w:val="none"/>
          <w:lang w:eastAsia="zh-CN"/>
        </w:rPr>
        <w:t>闻溪河剑公村断面1-12月平均水质为</w:t>
      </w:r>
      <w:r>
        <w:rPr>
          <w:rFonts w:hint="eastAsia" w:ascii="Times New Roman" w:hAnsi="Times New Roman" w:cs="Times New Roman"/>
          <w:color w:val="auto"/>
          <w:sz w:val="24"/>
          <w:szCs w:val="24"/>
          <w:highlight w:val="none"/>
          <w:lang w:eastAsia="zh-CN"/>
        </w:rPr>
        <w:t>Ⅳ</w:t>
      </w:r>
      <w:r>
        <w:rPr>
          <w:rFonts w:hint="default" w:ascii="Times New Roman" w:hAnsi="Times New Roman" w:cs="Times New Roman"/>
          <w:color w:val="auto"/>
          <w:sz w:val="24"/>
          <w:szCs w:val="24"/>
          <w:highlight w:val="none"/>
          <w:lang w:eastAsia="zh-CN"/>
        </w:rPr>
        <w:t>类，超过</w:t>
      </w:r>
      <w:r>
        <w:rPr>
          <w:rFonts w:hint="eastAsia" w:cs="Times New Roman"/>
          <w:color w:val="auto"/>
          <w:sz w:val="24"/>
          <w:szCs w:val="24"/>
          <w:highlight w:val="none"/>
          <w:lang w:val="en-US" w:eastAsia="zh-CN"/>
        </w:rPr>
        <w:t>规定水功能</w:t>
      </w:r>
      <w:r>
        <w:rPr>
          <w:rFonts w:hint="default" w:ascii="Times New Roman" w:hAnsi="Times New Roman" w:cs="Times New Roman"/>
          <w:color w:val="auto"/>
          <w:sz w:val="24"/>
          <w:szCs w:val="24"/>
          <w:highlight w:val="none"/>
          <w:lang w:eastAsia="zh-CN"/>
        </w:rPr>
        <w:t>类别Ⅲ类水质要求，</w:t>
      </w:r>
      <w:r>
        <w:rPr>
          <w:rFonts w:hint="eastAsia" w:cs="Times New Roman"/>
          <w:color w:val="auto"/>
          <w:sz w:val="24"/>
          <w:szCs w:val="24"/>
          <w:highlight w:val="none"/>
          <w:lang w:val="en-US" w:eastAsia="zh-CN"/>
        </w:rPr>
        <w:t>其中</w:t>
      </w:r>
      <w:r>
        <w:rPr>
          <w:rFonts w:hint="default" w:ascii="Times New Roman" w:hAnsi="Times New Roman" w:cs="Times New Roman"/>
          <w:color w:val="auto"/>
          <w:sz w:val="24"/>
          <w:szCs w:val="24"/>
          <w:highlight w:val="none"/>
          <w:lang w:eastAsia="zh-CN"/>
        </w:rPr>
        <w:t>高锰酸盐指数超标0.05倍</w:t>
      </w:r>
      <w:r>
        <w:rPr>
          <w:rFonts w:hint="default" w:ascii="Times New Roman" w:hAnsi="Times New Roman" w:cs="Times New Roman"/>
          <w:color w:val="auto"/>
          <w:sz w:val="24"/>
          <w:szCs w:val="24"/>
          <w:highlight w:val="none"/>
          <w:lang w:val="en-US" w:eastAsia="zh-CN"/>
        </w:rPr>
        <w:t>。根据调查，</w:t>
      </w:r>
      <w:r>
        <w:rPr>
          <w:rFonts w:hint="default" w:ascii="Times New Roman" w:hAnsi="Times New Roman" w:cs="Times New Roman"/>
          <w:color w:val="auto"/>
          <w:sz w:val="24"/>
          <w:szCs w:val="24"/>
          <w:highlight w:val="none"/>
          <w:lang w:eastAsia="zh-CN"/>
        </w:rPr>
        <w:t>闻溪河剑公村断面位于</w:t>
      </w:r>
      <w:r>
        <w:rPr>
          <w:rFonts w:hint="default" w:ascii="Times New Roman" w:hAnsi="Times New Roman" w:cs="Times New Roman"/>
          <w:color w:val="auto"/>
          <w:sz w:val="24"/>
          <w:szCs w:val="24"/>
          <w:highlight w:val="none"/>
          <w:lang w:val="en-US" w:eastAsia="zh-CN"/>
        </w:rPr>
        <w:t>普安镇场镇下游，超标原因主要是城镇部分生活污水未完全收集散排进入河流，随着城镇环境污染治理水平的提高，闻溪河水质将会得到进一步改善。</w:t>
      </w:r>
    </w:p>
    <w:p w14:paraId="4113219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地表水</w:t>
      </w:r>
      <w:r>
        <w:rPr>
          <w:rFonts w:hint="eastAsia" w:cs="Times New Roman"/>
          <w:color w:val="auto"/>
          <w:highlight w:val="none"/>
          <w:lang w:val="en-US" w:eastAsia="zh-CN"/>
        </w:rPr>
        <w:t>环境质量补充监测</w:t>
      </w:r>
    </w:p>
    <w:p w14:paraId="29E69AA1">
      <w:pPr>
        <w:pStyle w:val="14"/>
        <w:ind w:firstLine="480"/>
        <w:rPr>
          <w:rFonts w:hint="default" w:ascii="Times New Roman" w:hAnsi="Times New Roman" w:cs="Times New Roman" w:eastAsiaTheme="minorEastAsia"/>
          <w:b/>
          <w:bCs/>
          <w:color w:val="auto"/>
          <w:highlight w:val="none"/>
          <w:lang w:val="en-US" w:eastAsia="zh-CN"/>
        </w:rPr>
      </w:pPr>
      <w:r>
        <w:rPr>
          <w:rFonts w:hint="default" w:ascii="Times New Roman" w:hAnsi="Times New Roman" w:cs="Times New Roman"/>
          <w:color w:val="auto"/>
          <w:sz w:val="24"/>
          <w:highlight w:val="none"/>
        </w:rPr>
        <w:t>为了解项目所在地表水环境质量现状，</w:t>
      </w:r>
      <w:r>
        <w:rPr>
          <w:rFonts w:hint="default" w:ascii="Times New Roman" w:hAnsi="Times New Roman" w:cs="Times New Roman"/>
          <w:color w:val="auto"/>
          <w:sz w:val="24"/>
          <w:highlight w:val="none"/>
          <w:lang w:val="en-US" w:eastAsia="zh-CN"/>
        </w:rPr>
        <w:t>本次评价</w:t>
      </w:r>
      <w:r>
        <w:rPr>
          <w:rFonts w:hint="default" w:ascii="Times New Roman" w:hAnsi="Times New Roman" w:cs="Times New Roman"/>
          <w:color w:val="auto"/>
          <w:sz w:val="24"/>
          <w:highlight w:val="none"/>
        </w:rPr>
        <w:t>特委托</w:t>
      </w:r>
      <w:r>
        <w:rPr>
          <w:rFonts w:hint="default" w:ascii="Times New Roman" w:hAnsi="Times New Roman" w:cs="Times New Roman"/>
          <w:color w:val="auto"/>
          <w:highlight w:val="none"/>
          <w:lang w:val="en-US" w:eastAsia="zh-CN"/>
        </w:rPr>
        <w:t>绵阳凯乐监测技术有限公司</w:t>
      </w:r>
      <w:r>
        <w:rPr>
          <w:rFonts w:hint="default" w:ascii="Times New Roman" w:hAnsi="Times New Roman" w:cs="Times New Roman"/>
          <w:color w:val="auto"/>
          <w:sz w:val="24"/>
          <w:highlight w:val="none"/>
          <w:lang w:val="en-US" w:eastAsia="zh-CN"/>
        </w:rPr>
        <w:t>分</w:t>
      </w:r>
      <w:r>
        <w:rPr>
          <w:rFonts w:hint="default" w:ascii="Times New Roman" w:hAnsi="Times New Roman" w:cs="Times New Roman"/>
          <w:color w:val="auto"/>
          <w:highlight w:val="none"/>
          <w:lang w:val="en-US" w:eastAsia="zh-CN"/>
        </w:rPr>
        <w:t>别于202</w:t>
      </w:r>
      <w:r>
        <w:rPr>
          <w:rFonts w:hint="eastAsia" w:cs="Times New Roman"/>
          <w:color w:val="auto"/>
          <w:highlight w:val="none"/>
          <w:lang w:val="en-US" w:eastAsia="zh-CN"/>
        </w:rPr>
        <w:t>5</w:t>
      </w:r>
      <w:r>
        <w:rPr>
          <w:rFonts w:hint="default" w:ascii="Times New Roman" w:hAnsi="Times New Roman" w:cs="Times New Roman"/>
          <w:color w:val="auto"/>
          <w:highlight w:val="none"/>
          <w:lang w:val="en-US" w:eastAsia="zh-CN"/>
        </w:rPr>
        <w:t>年</w:t>
      </w:r>
      <w:r>
        <w:rPr>
          <w:rFonts w:hint="eastAsia" w:cs="Times New Roman"/>
          <w:color w:val="auto"/>
          <w:highlight w:val="none"/>
          <w:lang w:val="en-US" w:eastAsia="zh-CN"/>
        </w:rPr>
        <w:t>1</w:t>
      </w:r>
      <w:r>
        <w:rPr>
          <w:rFonts w:hint="default" w:ascii="Times New Roman" w:hAnsi="Times New Roman" w:cs="Times New Roman"/>
          <w:color w:val="auto"/>
          <w:highlight w:val="none"/>
          <w:lang w:val="en-US" w:eastAsia="zh-CN"/>
        </w:rPr>
        <w:t>月1</w:t>
      </w:r>
      <w:r>
        <w:rPr>
          <w:rFonts w:hint="eastAsia" w:cs="Times New Roman"/>
          <w:color w:val="auto"/>
          <w:highlight w:val="none"/>
          <w:lang w:val="en-US" w:eastAsia="zh-CN"/>
        </w:rPr>
        <w:t>6</w:t>
      </w:r>
      <w:r>
        <w:rPr>
          <w:rFonts w:hint="default" w:ascii="Times New Roman" w:hAnsi="Times New Roman" w:cs="Times New Roman"/>
          <w:color w:val="auto"/>
          <w:highlight w:val="none"/>
          <w:lang w:val="en-US" w:eastAsia="zh-CN"/>
        </w:rPr>
        <w:t>日~1</w:t>
      </w:r>
      <w:r>
        <w:rPr>
          <w:rFonts w:hint="eastAsia" w:cs="Times New Roman"/>
          <w:color w:val="auto"/>
          <w:highlight w:val="none"/>
          <w:lang w:val="en-US" w:eastAsia="zh-CN"/>
        </w:rPr>
        <w:t>8</w:t>
      </w:r>
      <w:r>
        <w:rPr>
          <w:rFonts w:hint="default" w:ascii="Times New Roman" w:hAnsi="Times New Roman" w:cs="Times New Roman"/>
          <w:color w:val="auto"/>
          <w:highlight w:val="none"/>
          <w:lang w:val="en-US" w:eastAsia="zh-CN"/>
        </w:rPr>
        <w:t>日对剑阁县垃圾填埋场渗滤液处理站排口上下游进</w:t>
      </w:r>
      <w:r>
        <w:rPr>
          <w:rFonts w:hint="default" w:ascii="Times New Roman" w:hAnsi="Times New Roman" w:cs="Times New Roman"/>
          <w:color w:val="auto"/>
          <w:sz w:val="24"/>
          <w:highlight w:val="none"/>
          <w:lang w:val="en-US" w:eastAsia="zh-CN"/>
        </w:rPr>
        <w:t>行了现状监测</w:t>
      </w:r>
      <w:r>
        <w:rPr>
          <w:rFonts w:hint="default" w:ascii="Times New Roman" w:hAnsi="Times New Roman" w:cs="Times New Roman"/>
          <w:color w:val="auto"/>
          <w:highlight w:val="none"/>
          <w:lang w:val="en-US" w:eastAsia="zh-CN"/>
        </w:rPr>
        <w:t>。</w:t>
      </w:r>
    </w:p>
    <w:p w14:paraId="636F08E4">
      <w:pPr>
        <w:spacing w:line="360" w:lineRule="auto"/>
        <w:ind w:firstLine="480" w:firstLineChars="200"/>
        <w:jc w:val="left"/>
        <w:rPr>
          <w:rFonts w:hint="default" w:ascii="Times New Roman" w:hAnsi="Times New Roman" w:cs="Times New Roman"/>
          <w:b/>
          <w:bCs/>
          <w:color w:val="auto"/>
          <w:sz w:val="24"/>
          <w:highlight w:val="none"/>
          <w:lang w:val="en-US" w:eastAsia="zh-CN"/>
        </w:rPr>
      </w:pPr>
      <w:r>
        <w:rPr>
          <w:rFonts w:hint="default" w:ascii="Times New Roman" w:hAnsi="Times New Roman" w:cs="Times New Roman"/>
          <w:b/>
          <w:bCs/>
          <w:color w:val="auto"/>
          <w:sz w:val="24"/>
          <w:highlight w:val="none"/>
          <w:lang w:val="en-US" w:eastAsia="zh-CN"/>
        </w:rPr>
        <w:t>（1）监测断面</w:t>
      </w:r>
    </w:p>
    <w:p w14:paraId="6BBC3FFB">
      <w:pPr>
        <w:autoSpaceDE w:val="0"/>
        <w:spacing w:line="240" w:lineRule="auto"/>
        <w:ind w:firstLine="422"/>
        <w:jc w:val="center"/>
        <w:rPr>
          <w:rFonts w:hint="default" w:ascii="Times New Roman" w:hAnsi="Times New Roman" w:cs="Times New Roman"/>
          <w:b/>
          <w:bCs/>
          <w:color w:val="auto"/>
          <w:highlight w:val="none"/>
        </w:rPr>
      </w:pPr>
      <w:r>
        <w:rPr>
          <w:rFonts w:hint="default" w:ascii="Times New Roman" w:hAnsi="Times New Roman" w:cs="Times New Roman"/>
          <w:b/>
          <w:bCs/>
          <w:color w:val="auto"/>
          <w:sz w:val="24"/>
          <w:szCs w:val="24"/>
          <w:highlight w:val="none"/>
        </w:rPr>
        <w:t xml:space="preserve"> </w:t>
      </w:r>
      <w:r>
        <w:rPr>
          <w:rFonts w:hint="default" w:ascii="Times New Roman" w:hAnsi="Times New Roman" w:cs="Times New Roman"/>
          <w:b/>
          <w:bCs/>
          <w:color w:val="auto"/>
          <w:sz w:val="21"/>
          <w:szCs w:val="21"/>
          <w:highlight w:val="none"/>
          <w:lang w:val="zh-CN"/>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4.3</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 xml:space="preserve">  地表水</w:t>
      </w:r>
      <w:r>
        <w:rPr>
          <w:rFonts w:hint="default" w:ascii="Times New Roman" w:hAnsi="Times New Roman" w:cs="Times New Roman"/>
          <w:b/>
          <w:bCs/>
          <w:color w:val="auto"/>
          <w:highlight w:val="none"/>
          <w:lang w:val="en-US" w:eastAsia="zh-CN"/>
        </w:rPr>
        <w:t>环境质量现状监测断面</w:t>
      </w:r>
    </w:p>
    <w:tbl>
      <w:tblPr>
        <w:tblStyle w:val="35"/>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3085"/>
        <w:gridCol w:w="6199"/>
      </w:tblGrid>
      <w:tr w14:paraId="1964115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1" w:type="pct"/>
            <w:tcBorders>
              <w:tl2br w:val="nil"/>
              <w:tr2bl w:val="nil"/>
            </w:tcBorders>
            <w:noWrap w:val="0"/>
            <w:vAlign w:val="center"/>
          </w:tcPr>
          <w:p w14:paraId="75E1CABA">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监测点位</w:t>
            </w:r>
          </w:p>
        </w:tc>
        <w:tc>
          <w:tcPr>
            <w:tcW w:w="3338" w:type="pct"/>
            <w:tcBorders>
              <w:tl2br w:val="nil"/>
              <w:tr2bl w:val="nil"/>
            </w:tcBorders>
            <w:noWrap w:val="0"/>
            <w:vAlign w:val="center"/>
          </w:tcPr>
          <w:p w14:paraId="05D58BFD">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监测点位置</w:t>
            </w:r>
          </w:p>
        </w:tc>
      </w:tr>
      <w:tr w14:paraId="4D903AA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1" w:type="pct"/>
            <w:tcBorders>
              <w:tl2br w:val="nil"/>
              <w:tr2bl w:val="nil"/>
            </w:tcBorders>
            <w:noWrap w:val="0"/>
            <w:vAlign w:val="center"/>
          </w:tcPr>
          <w:p w14:paraId="5A7019AA">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Ⅰ</w:t>
            </w:r>
          </w:p>
        </w:tc>
        <w:tc>
          <w:tcPr>
            <w:tcW w:w="3338" w:type="pct"/>
            <w:tcBorders>
              <w:tl2br w:val="nil"/>
              <w:tr2bl w:val="nil"/>
            </w:tcBorders>
            <w:noWrap w:val="0"/>
            <w:vAlign w:val="center"/>
          </w:tcPr>
          <w:p w14:paraId="5B8EC1FD">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cs="Times New Roman" w:eastAsiaTheme="minorEastAsia"/>
                <w:color w:val="auto"/>
                <w:sz w:val="20"/>
                <w:szCs w:val="20"/>
                <w:highlight w:val="none"/>
                <w:lang w:val="en-US" w:eastAsia="zh-CN"/>
              </w:rPr>
            </w:pPr>
            <w:r>
              <w:rPr>
                <w:rFonts w:hint="default" w:ascii="Times New Roman" w:hAnsi="Times New Roman" w:eastAsia="宋体" w:cs="Times New Roman"/>
                <w:color w:val="auto"/>
                <w:kern w:val="2"/>
                <w:sz w:val="21"/>
                <w:szCs w:val="21"/>
                <w:highlight w:val="none"/>
                <w:lang w:val="en-US" w:eastAsia="zh-CN" w:bidi="ar-SA"/>
              </w:rPr>
              <w:t>垃圾填埋场渗滤液处理站排口下游1500m（闻溪河）</w:t>
            </w:r>
          </w:p>
        </w:tc>
      </w:tr>
      <w:tr w14:paraId="2C83DFF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1" w:type="pct"/>
            <w:tcBorders>
              <w:tl2br w:val="nil"/>
              <w:tr2bl w:val="nil"/>
            </w:tcBorders>
            <w:noWrap w:val="0"/>
            <w:vAlign w:val="center"/>
          </w:tcPr>
          <w:p w14:paraId="5FE2020A">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Ⅱ</w:t>
            </w:r>
          </w:p>
        </w:tc>
        <w:tc>
          <w:tcPr>
            <w:tcW w:w="3338" w:type="pct"/>
            <w:tcBorders>
              <w:tl2br w:val="nil"/>
              <w:tr2bl w:val="nil"/>
            </w:tcBorders>
            <w:noWrap w:val="0"/>
            <w:vAlign w:val="center"/>
          </w:tcPr>
          <w:p w14:paraId="01A26B76">
            <w:pPr>
              <w:keepNext w:val="0"/>
              <w:keepLines w:val="0"/>
              <w:suppressLineNumbers w:val="0"/>
              <w:spacing w:before="0" w:beforeAutospacing="0" w:after="0" w:afterAutospacing="0" w:line="240" w:lineRule="atLeast"/>
              <w:ind w:left="0" w:right="0" w:firstLine="0" w:firstLineChars="0"/>
              <w:jc w:val="center"/>
              <w:rPr>
                <w:rFonts w:hint="default" w:ascii="Times New Roman" w:hAnsi="Times New Roman" w:cs="Times New Roman" w:eastAsiaTheme="minorEastAsia"/>
                <w:color w:val="auto"/>
                <w:sz w:val="20"/>
                <w:szCs w:val="20"/>
                <w:highlight w:val="none"/>
                <w:lang w:val="en-US" w:eastAsia="zh-CN"/>
              </w:rPr>
            </w:pPr>
            <w:r>
              <w:rPr>
                <w:rFonts w:hint="eastAsia" w:ascii="Times New Roman" w:hAnsi="Times New Roman" w:eastAsia="宋体" w:cs="Times New Roman"/>
                <w:color w:val="auto"/>
                <w:sz w:val="21"/>
                <w:szCs w:val="21"/>
                <w:highlight w:val="none"/>
                <w:lang w:val="en-US" w:eastAsia="zh-CN"/>
              </w:rPr>
              <w:t>垃圾填埋场渗滤液处理站排口上游500m（闻溪河）</w:t>
            </w:r>
          </w:p>
        </w:tc>
      </w:tr>
    </w:tbl>
    <w:p w14:paraId="0CF284E0">
      <w:pPr>
        <w:spacing w:line="360" w:lineRule="auto"/>
        <w:ind w:firstLine="480" w:firstLineChars="200"/>
        <w:jc w:val="left"/>
        <w:rPr>
          <w:rFonts w:hint="default" w:ascii="Times New Roman" w:hAnsi="Times New Roman" w:cs="Times New Roman"/>
          <w:b/>
          <w:bCs/>
          <w:color w:val="auto"/>
          <w:sz w:val="24"/>
          <w:highlight w:val="none"/>
          <w:lang w:val="en-US" w:eastAsia="zh-CN"/>
        </w:rPr>
      </w:pPr>
      <w:r>
        <w:rPr>
          <w:rFonts w:hint="default" w:ascii="Times New Roman" w:hAnsi="Times New Roman" w:cs="Times New Roman"/>
          <w:b/>
          <w:bCs/>
          <w:color w:val="auto"/>
          <w:sz w:val="24"/>
          <w:highlight w:val="none"/>
          <w:lang w:val="en-US" w:eastAsia="zh-CN"/>
        </w:rPr>
        <w:t>（2）监测频率和监测项目</w:t>
      </w:r>
    </w:p>
    <w:p w14:paraId="38E966B5">
      <w:pPr>
        <w:spacing w:line="360" w:lineRule="auto"/>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1）现状监测时间和频率：连续监测</w:t>
      </w:r>
      <w:r>
        <w:rPr>
          <w:rFonts w:hint="default"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天，每天采样分析一次。</w:t>
      </w:r>
    </w:p>
    <w:p w14:paraId="7D562A58">
      <w:pPr>
        <w:spacing w:line="360" w:lineRule="auto"/>
        <w:ind w:firstLine="480"/>
        <w:rPr>
          <w:rFonts w:hint="default" w:ascii="Times New Roman" w:hAnsi="Times New Roman" w:eastAsia="宋体" w:cs="Times New Roman"/>
          <w:color w:val="auto"/>
          <w:sz w:val="24"/>
          <w:szCs w:val="24"/>
          <w:highlight w:val="none"/>
        </w:rPr>
      </w:pPr>
      <w:r>
        <w:rPr>
          <w:rFonts w:hint="default" w:ascii="Times New Roman" w:hAnsi="Times New Roman" w:cs="Times New Roman"/>
          <w:color w:val="auto"/>
          <w:sz w:val="24"/>
          <w:szCs w:val="24"/>
          <w:highlight w:val="none"/>
        </w:rPr>
        <w:t>2）地表</w:t>
      </w:r>
      <w:r>
        <w:rPr>
          <w:rFonts w:hint="default" w:ascii="Times New Roman" w:hAnsi="Times New Roman" w:eastAsia="宋体" w:cs="Times New Roman"/>
          <w:color w:val="auto"/>
          <w:sz w:val="24"/>
          <w:szCs w:val="24"/>
          <w:highlight w:val="none"/>
        </w:rPr>
        <w:t>水水质监测项目：</w:t>
      </w:r>
      <w:r>
        <w:rPr>
          <w:rFonts w:hint="default" w:ascii="Times New Roman" w:hAnsi="Times New Roman" w:eastAsia="宋体" w:cs="Times New Roman"/>
          <w:bCs/>
          <w:color w:val="auto"/>
          <w:sz w:val="24"/>
          <w:highlight w:val="none"/>
        </w:rPr>
        <w:t>pH、COD、BOD</w:t>
      </w:r>
      <w:r>
        <w:rPr>
          <w:rFonts w:hint="default" w:ascii="Times New Roman" w:hAnsi="Times New Roman" w:eastAsia="宋体" w:cs="Times New Roman"/>
          <w:bCs/>
          <w:color w:val="auto"/>
          <w:sz w:val="24"/>
          <w:highlight w:val="none"/>
          <w:vertAlign w:val="subscript"/>
        </w:rPr>
        <w:t>5</w:t>
      </w:r>
      <w:r>
        <w:rPr>
          <w:rFonts w:hint="default" w:ascii="Times New Roman" w:hAnsi="Times New Roman" w:eastAsia="宋体" w:cs="Times New Roman"/>
          <w:bCs/>
          <w:color w:val="auto"/>
          <w:sz w:val="24"/>
          <w:highlight w:val="none"/>
        </w:rPr>
        <w:t>、悬浮物、总氮、氨氮、总磷、粪大肠菌群、硫化物、石油类、汞、镉、铬、六价铬、砷、铅、色度、水温。</w:t>
      </w:r>
    </w:p>
    <w:p w14:paraId="0CF6E031">
      <w:pPr>
        <w:overflowPunct w:val="0"/>
        <w:spacing w:line="360" w:lineRule="auto"/>
        <w:ind w:firstLine="480"/>
        <w:rPr>
          <w:rFonts w:hint="default" w:ascii="Times New Roman" w:hAnsi="Times New Roman" w:cs="Times New Roman"/>
          <w:b/>
          <w:bCs/>
          <w:color w:val="auto"/>
          <w:kern w:val="0"/>
          <w:sz w:val="24"/>
          <w:szCs w:val="24"/>
          <w:highlight w:val="none"/>
        </w:rPr>
      </w:pPr>
      <w:r>
        <w:rPr>
          <w:rFonts w:hint="default" w:ascii="Times New Roman" w:hAnsi="Times New Roman" w:cs="Times New Roman"/>
          <w:b/>
          <w:bCs/>
          <w:color w:val="auto"/>
          <w:kern w:val="0"/>
          <w:sz w:val="24"/>
          <w:szCs w:val="24"/>
          <w:highlight w:val="none"/>
          <w:lang w:val="en-US" w:eastAsia="zh-CN"/>
        </w:rPr>
        <w:t>（3）</w:t>
      </w:r>
      <w:r>
        <w:rPr>
          <w:rFonts w:hint="default" w:ascii="Times New Roman" w:hAnsi="Times New Roman" w:cs="Times New Roman"/>
          <w:b/>
          <w:bCs/>
          <w:color w:val="auto"/>
          <w:kern w:val="0"/>
          <w:sz w:val="24"/>
          <w:szCs w:val="24"/>
          <w:highlight w:val="none"/>
        </w:rPr>
        <w:t>评价方法</w:t>
      </w:r>
    </w:p>
    <w:p w14:paraId="40FA0C74">
      <w:pPr>
        <w:overflowPunct w:val="0"/>
        <w:spacing w:line="360" w:lineRule="auto"/>
        <w:ind w:firstLine="480"/>
        <w:rPr>
          <w:rFonts w:hint="default" w:ascii="Times New Roman" w:hAnsi="Times New Roman" w:cs="Times New Roman"/>
          <w:color w:val="auto"/>
          <w:kern w:val="0"/>
          <w:sz w:val="24"/>
          <w:szCs w:val="24"/>
          <w:highlight w:val="none"/>
        </w:rPr>
      </w:pPr>
      <w:r>
        <w:rPr>
          <w:rFonts w:hint="default" w:ascii="Times New Roman" w:hAnsi="Times New Roman" w:cs="Times New Roman"/>
          <w:color w:val="auto"/>
          <w:kern w:val="0"/>
          <w:sz w:val="24"/>
          <w:szCs w:val="24"/>
          <w:highlight w:val="none"/>
        </w:rPr>
        <w:t>采用单因子指数法，其计算方法如下：</w:t>
      </w:r>
    </w:p>
    <w:p w14:paraId="643299D3">
      <w:pPr>
        <w:overflowPunct w:val="0"/>
        <w:spacing w:line="360" w:lineRule="auto"/>
        <w:ind w:firstLine="0" w:firstLineChars="0"/>
        <w:jc w:val="center"/>
        <w:rPr>
          <w:rFonts w:hint="default" w:ascii="Times New Roman" w:hAnsi="Times New Roman" w:cs="Times New Roman"/>
          <w:color w:val="auto"/>
          <w:kern w:val="0"/>
          <w:sz w:val="24"/>
          <w:szCs w:val="24"/>
          <w:highlight w:val="none"/>
        </w:rPr>
      </w:pP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highlight w:val="none"/>
        </w:rPr>
        <w:instrText xml:space="preserve"> INCLUDEPICTURE "E:\\刘小雷\\广元\\苍溪\\2020-大坪污水处理站扩容改造工程\\AppData\\Local\\Temp\\ksohtml10436\\wps2.jpg" \* MERGEFORMAT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drawing>
          <wp:inline distT="0" distB="0" distL="114300" distR="114300">
            <wp:extent cx="1092835" cy="277495"/>
            <wp:effectExtent l="0" t="0" r="12065" b="8255"/>
            <wp:docPr id="64" name="图片 7" descr="wp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7" descr="wps2"/>
                    <pic:cNvPicPr>
                      <a:picLocks noChangeAspect="1"/>
                    </pic:cNvPicPr>
                  </pic:nvPicPr>
                  <pic:blipFill>
                    <a:blip r:embed="rId54"/>
                    <a:stretch>
                      <a:fillRect/>
                    </a:stretch>
                  </pic:blipFill>
                  <pic:spPr>
                    <a:xfrm>
                      <a:off x="0" y="0"/>
                      <a:ext cx="1092835" cy="277495"/>
                    </a:xfrm>
                    <a:prstGeom prst="rect">
                      <a:avLst/>
                    </a:prstGeom>
                    <a:noFill/>
                    <a:ln>
                      <a:noFill/>
                    </a:ln>
                  </pic:spPr>
                </pic:pic>
              </a:graphicData>
            </a:graphic>
          </wp:inline>
        </w:drawing>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kern w:val="0"/>
          <w:sz w:val="24"/>
          <w:szCs w:val="24"/>
          <w:highlight w:val="none"/>
        </w:rPr>
        <w:t xml:space="preserve"> </w:t>
      </w:r>
    </w:p>
    <w:p w14:paraId="3A89E770">
      <w:pPr>
        <w:overflowPunct w:val="0"/>
        <w:spacing w:line="360" w:lineRule="auto"/>
        <w:ind w:firstLine="480"/>
        <w:rPr>
          <w:rFonts w:hint="default" w:ascii="Times New Roman" w:hAnsi="Times New Roman" w:cs="Times New Roman"/>
          <w:color w:val="auto"/>
          <w:kern w:val="0"/>
          <w:sz w:val="24"/>
          <w:szCs w:val="24"/>
          <w:highlight w:val="none"/>
        </w:rPr>
      </w:pPr>
      <w:r>
        <w:rPr>
          <w:rFonts w:hint="default" w:ascii="Times New Roman" w:hAnsi="Times New Roman" w:cs="Times New Roman"/>
          <w:color w:val="auto"/>
          <w:kern w:val="0"/>
          <w:sz w:val="24"/>
          <w:szCs w:val="24"/>
          <w:highlight w:val="none"/>
        </w:rPr>
        <w:t>式中  S</w:t>
      </w:r>
      <w:r>
        <w:rPr>
          <w:rFonts w:hint="default" w:ascii="Times New Roman" w:hAnsi="Times New Roman" w:cs="Times New Roman"/>
          <w:color w:val="auto"/>
          <w:kern w:val="0"/>
          <w:sz w:val="24"/>
          <w:szCs w:val="24"/>
          <w:highlight w:val="none"/>
          <w:vertAlign w:val="subscript"/>
        </w:rPr>
        <w:t>i</w:t>
      </w:r>
      <w:r>
        <w:rPr>
          <w:rFonts w:hint="default" w:ascii="Times New Roman" w:hAnsi="Times New Roman" w:cs="Times New Roman"/>
          <w:color w:val="auto"/>
          <w:kern w:val="0"/>
          <w:sz w:val="24"/>
          <w:szCs w:val="24"/>
          <w:highlight w:val="none"/>
          <w:vertAlign w:val="subscript"/>
          <w:lang w:eastAsia="zh-CN"/>
        </w:rPr>
        <w:t>，</w:t>
      </w:r>
      <w:r>
        <w:rPr>
          <w:rFonts w:hint="default" w:ascii="Times New Roman" w:hAnsi="Times New Roman" w:cs="Times New Roman"/>
          <w:color w:val="auto"/>
          <w:kern w:val="0"/>
          <w:sz w:val="24"/>
          <w:szCs w:val="24"/>
          <w:highlight w:val="none"/>
          <w:vertAlign w:val="subscript"/>
        </w:rPr>
        <w:t>j</w:t>
      </w:r>
      <w:r>
        <w:rPr>
          <w:rFonts w:hint="default" w:ascii="Times New Roman" w:hAnsi="Times New Roman" w:cs="Times New Roman"/>
          <w:color w:val="auto"/>
          <w:kern w:val="0"/>
          <w:sz w:val="24"/>
          <w:szCs w:val="24"/>
          <w:highlight w:val="none"/>
        </w:rPr>
        <w:t>－单项水质评价因子i在第j取样点的标准指数；</w:t>
      </w:r>
    </w:p>
    <w:p w14:paraId="4125C483">
      <w:pPr>
        <w:overflowPunct w:val="0"/>
        <w:spacing w:line="360" w:lineRule="auto"/>
        <w:ind w:firstLine="0" w:firstLineChars="0"/>
        <w:rPr>
          <w:rFonts w:hint="default" w:ascii="Times New Roman" w:hAnsi="Times New Roman" w:cs="Times New Roman"/>
          <w:color w:val="auto"/>
          <w:kern w:val="0"/>
          <w:sz w:val="24"/>
          <w:szCs w:val="24"/>
          <w:highlight w:val="none"/>
        </w:rPr>
      </w:pPr>
      <w:r>
        <w:rPr>
          <w:rFonts w:hint="default" w:ascii="Times New Roman" w:hAnsi="Times New Roman" w:cs="Times New Roman"/>
          <w:color w:val="auto"/>
          <w:kern w:val="0"/>
          <w:sz w:val="24"/>
          <w:szCs w:val="24"/>
          <w:highlight w:val="none"/>
        </w:rPr>
        <w:t xml:space="preserve">          C</w:t>
      </w:r>
      <w:r>
        <w:rPr>
          <w:rFonts w:hint="default" w:ascii="Times New Roman" w:hAnsi="Times New Roman" w:cs="Times New Roman"/>
          <w:color w:val="auto"/>
          <w:kern w:val="0"/>
          <w:sz w:val="24"/>
          <w:szCs w:val="24"/>
          <w:highlight w:val="none"/>
          <w:vertAlign w:val="subscript"/>
        </w:rPr>
        <w:t>i</w:t>
      </w:r>
      <w:r>
        <w:rPr>
          <w:rFonts w:hint="default" w:ascii="Times New Roman" w:hAnsi="Times New Roman" w:cs="Times New Roman"/>
          <w:color w:val="auto"/>
          <w:kern w:val="0"/>
          <w:sz w:val="24"/>
          <w:szCs w:val="24"/>
          <w:highlight w:val="none"/>
          <w:vertAlign w:val="subscript"/>
          <w:lang w:eastAsia="zh-CN"/>
        </w:rPr>
        <w:t>，</w:t>
      </w:r>
      <w:r>
        <w:rPr>
          <w:rFonts w:hint="default" w:ascii="Times New Roman" w:hAnsi="Times New Roman" w:cs="Times New Roman"/>
          <w:color w:val="auto"/>
          <w:kern w:val="0"/>
          <w:sz w:val="24"/>
          <w:szCs w:val="24"/>
          <w:highlight w:val="none"/>
          <w:vertAlign w:val="subscript"/>
        </w:rPr>
        <w:t>j</w:t>
      </w:r>
      <w:r>
        <w:rPr>
          <w:rFonts w:hint="default" w:ascii="Times New Roman" w:hAnsi="Times New Roman" w:cs="Times New Roman"/>
          <w:color w:val="auto"/>
          <w:kern w:val="0"/>
          <w:sz w:val="24"/>
          <w:szCs w:val="24"/>
          <w:highlight w:val="none"/>
        </w:rPr>
        <w:t>－某评价因子i在第j取样点的实测浓度，mg/l；</w:t>
      </w:r>
    </w:p>
    <w:p w14:paraId="4DD01E93">
      <w:pPr>
        <w:overflowPunct w:val="0"/>
        <w:spacing w:line="360" w:lineRule="auto"/>
        <w:ind w:firstLine="0" w:firstLineChars="0"/>
        <w:rPr>
          <w:rFonts w:hint="default" w:ascii="Times New Roman" w:hAnsi="Times New Roman" w:cs="Times New Roman"/>
          <w:color w:val="auto"/>
          <w:kern w:val="0"/>
          <w:sz w:val="24"/>
          <w:szCs w:val="24"/>
          <w:highlight w:val="none"/>
        </w:rPr>
      </w:pPr>
      <w:r>
        <w:rPr>
          <w:rFonts w:hint="default" w:ascii="Times New Roman" w:hAnsi="Times New Roman" w:cs="Times New Roman"/>
          <w:color w:val="auto"/>
          <w:kern w:val="0"/>
          <w:sz w:val="24"/>
          <w:szCs w:val="24"/>
          <w:highlight w:val="none"/>
        </w:rPr>
        <w:t xml:space="preserve">          C</w:t>
      </w:r>
      <w:r>
        <w:rPr>
          <w:rFonts w:hint="default" w:ascii="Times New Roman" w:hAnsi="Times New Roman" w:cs="Times New Roman"/>
          <w:color w:val="auto"/>
          <w:kern w:val="0"/>
          <w:sz w:val="24"/>
          <w:szCs w:val="24"/>
          <w:highlight w:val="none"/>
          <w:vertAlign w:val="subscript"/>
        </w:rPr>
        <w:t>si</w:t>
      </w:r>
      <w:r>
        <w:rPr>
          <w:rFonts w:hint="default" w:ascii="Times New Roman" w:hAnsi="Times New Roman" w:cs="Times New Roman"/>
          <w:color w:val="auto"/>
          <w:kern w:val="0"/>
          <w:sz w:val="24"/>
          <w:szCs w:val="24"/>
          <w:highlight w:val="none"/>
        </w:rPr>
        <w:t>－i因子的评价标准，mg/L。</w:t>
      </w:r>
    </w:p>
    <w:p w14:paraId="4FE4C51E">
      <w:pPr>
        <w:spacing w:line="360" w:lineRule="auto"/>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 xml:space="preserve">pH的标准指数为：                                      </w:t>
      </w:r>
    </w:p>
    <w:p w14:paraId="575B0561">
      <w:pPr>
        <w:overflowPunct w:val="0"/>
        <w:spacing w:line="360" w:lineRule="auto"/>
        <w:ind w:firstLine="0" w:firstLineChars="0"/>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highlight w:val="none"/>
        </w:rPr>
        <w:instrText xml:space="preserve"> INCLUDEPICTURE "E:\\刘小雷\\广元\\苍溪\\2020-大坪污水处理站扩容改造工程\\AppData\\Local\\Temp\\ksohtml10436\\wps3.jpg" \* MERGEFORMAT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drawing>
          <wp:inline distT="0" distB="0" distL="114300" distR="114300">
            <wp:extent cx="2301875" cy="844550"/>
            <wp:effectExtent l="0" t="0" r="3175" b="12700"/>
            <wp:docPr id="70" name="图片 8" descr="wp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8" descr="wps3"/>
                    <pic:cNvPicPr>
                      <a:picLocks noChangeAspect="1"/>
                    </pic:cNvPicPr>
                  </pic:nvPicPr>
                  <pic:blipFill>
                    <a:blip r:embed="rId55"/>
                    <a:stretch>
                      <a:fillRect/>
                    </a:stretch>
                  </pic:blipFill>
                  <pic:spPr>
                    <a:xfrm>
                      <a:off x="0" y="0"/>
                      <a:ext cx="2301875" cy="844550"/>
                    </a:xfrm>
                    <a:prstGeom prst="rect">
                      <a:avLst/>
                    </a:prstGeom>
                    <a:noFill/>
                    <a:ln>
                      <a:noFill/>
                    </a:ln>
                  </pic:spPr>
                </pic:pic>
              </a:graphicData>
            </a:graphic>
          </wp:inline>
        </w:drawing>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t xml:space="preserve"> </w:t>
      </w:r>
    </w:p>
    <w:p w14:paraId="5D663AD2">
      <w:pPr>
        <w:spacing w:line="360" w:lineRule="auto"/>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式中，pH</w:t>
      </w:r>
      <w:r>
        <w:rPr>
          <w:rFonts w:hint="default" w:ascii="Times New Roman" w:hAnsi="Times New Roman" w:cs="Times New Roman"/>
          <w:color w:val="auto"/>
          <w:sz w:val="24"/>
          <w:szCs w:val="24"/>
          <w:highlight w:val="none"/>
          <w:vertAlign w:val="subscript"/>
        </w:rPr>
        <w:t>j</w:t>
      </w:r>
      <w:r>
        <w:rPr>
          <w:rFonts w:hint="default" w:ascii="Times New Roman" w:hAnsi="Times New Roman" w:cs="Times New Roman"/>
          <w:color w:val="auto"/>
          <w:sz w:val="24"/>
          <w:szCs w:val="24"/>
          <w:highlight w:val="none"/>
        </w:rPr>
        <w:t>－第j点的监测值；</w:t>
      </w:r>
    </w:p>
    <w:p w14:paraId="266CE668">
      <w:pPr>
        <w:overflowPunct w:val="0"/>
        <w:spacing w:line="360" w:lineRule="auto"/>
        <w:ind w:firstLine="1156" w:firstLineChars="482"/>
        <w:rPr>
          <w:rFonts w:hint="default" w:ascii="Times New Roman" w:hAnsi="Times New Roman" w:cs="Times New Roman"/>
          <w:color w:val="auto"/>
          <w:kern w:val="0"/>
          <w:sz w:val="24"/>
          <w:szCs w:val="24"/>
          <w:highlight w:val="none"/>
        </w:rPr>
      </w:pPr>
      <w:r>
        <w:rPr>
          <w:rFonts w:hint="default" w:ascii="Times New Roman" w:hAnsi="Times New Roman" w:cs="Times New Roman"/>
          <w:color w:val="auto"/>
          <w:kern w:val="0"/>
          <w:sz w:val="24"/>
          <w:szCs w:val="24"/>
          <w:highlight w:val="none"/>
        </w:rPr>
        <w:t>pH</w:t>
      </w:r>
      <w:r>
        <w:rPr>
          <w:rFonts w:hint="default" w:ascii="Times New Roman" w:hAnsi="Times New Roman" w:cs="Times New Roman"/>
          <w:color w:val="auto"/>
          <w:kern w:val="0"/>
          <w:sz w:val="24"/>
          <w:szCs w:val="24"/>
          <w:highlight w:val="none"/>
          <w:vertAlign w:val="subscript"/>
        </w:rPr>
        <w:t>sd</w:t>
      </w:r>
      <w:r>
        <w:rPr>
          <w:rFonts w:hint="default" w:ascii="Times New Roman" w:hAnsi="Times New Roman" w:cs="Times New Roman"/>
          <w:color w:val="auto"/>
          <w:kern w:val="0"/>
          <w:sz w:val="24"/>
          <w:szCs w:val="24"/>
          <w:highlight w:val="none"/>
        </w:rPr>
        <w:t>－水质标准中规定的下限；</w:t>
      </w:r>
    </w:p>
    <w:p w14:paraId="6DA506F7">
      <w:pPr>
        <w:overflowPunct w:val="0"/>
        <w:spacing w:line="360" w:lineRule="auto"/>
        <w:ind w:firstLine="1156" w:firstLineChars="482"/>
        <w:rPr>
          <w:rFonts w:hint="default" w:ascii="Times New Roman" w:hAnsi="Times New Roman" w:cs="Times New Roman"/>
          <w:color w:val="auto"/>
          <w:kern w:val="0"/>
          <w:sz w:val="24"/>
          <w:szCs w:val="24"/>
          <w:highlight w:val="none"/>
        </w:rPr>
      </w:pPr>
      <w:r>
        <w:rPr>
          <w:rFonts w:hint="default" w:ascii="Times New Roman" w:hAnsi="Times New Roman" w:cs="Times New Roman"/>
          <w:color w:val="auto"/>
          <w:kern w:val="0"/>
          <w:sz w:val="24"/>
          <w:szCs w:val="24"/>
          <w:highlight w:val="none"/>
        </w:rPr>
        <w:t>pH</w:t>
      </w:r>
      <w:r>
        <w:rPr>
          <w:rFonts w:hint="default" w:ascii="Times New Roman" w:hAnsi="Times New Roman" w:cs="Times New Roman"/>
          <w:color w:val="auto"/>
          <w:kern w:val="0"/>
          <w:sz w:val="24"/>
          <w:szCs w:val="24"/>
          <w:highlight w:val="none"/>
          <w:vertAlign w:val="subscript"/>
        </w:rPr>
        <w:t>su</w:t>
      </w:r>
      <w:r>
        <w:rPr>
          <w:rFonts w:hint="default" w:ascii="Times New Roman" w:hAnsi="Times New Roman" w:cs="Times New Roman"/>
          <w:color w:val="auto"/>
          <w:kern w:val="0"/>
          <w:sz w:val="24"/>
          <w:szCs w:val="24"/>
          <w:highlight w:val="none"/>
        </w:rPr>
        <w:t>－水质标准中规定的上限。</w:t>
      </w:r>
    </w:p>
    <w:p w14:paraId="6EB1F159">
      <w:pPr>
        <w:spacing w:line="360" w:lineRule="auto"/>
        <w:ind w:firstLine="480" w:firstLineChars="200"/>
        <w:jc w:val="left"/>
        <w:rPr>
          <w:rFonts w:hint="default" w:ascii="Times New Roman" w:hAnsi="Times New Roman" w:cs="Times New Roman"/>
          <w:b/>
          <w:bCs/>
          <w:color w:val="auto"/>
          <w:sz w:val="24"/>
          <w:highlight w:val="none"/>
          <w:lang w:val="en-US" w:eastAsia="zh-CN"/>
        </w:rPr>
      </w:pPr>
      <w:r>
        <w:rPr>
          <w:rFonts w:hint="default" w:ascii="Times New Roman" w:hAnsi="Times New Roman" w:cs="Times New Roman"/>
          <w:b/>
          <w:bCs/>
          <w:color w:val="auto"/>
          <w:sz w:val="24"/>
          <w:highlight w:val="none"/>
          <w:lang w:val="en-US" w:eastAsia="zh-CN"/>
        </w:rPr>
        <w:t>（4）监测结果统计及分析</w:t>
      </w:r>
    </w:p>
    <w:p w14:paraId="70CBD44A">
      <w:pPr>
        <w:spacing w:line="360" w:lineRule="auto"/>
        <w:ind w:firstLine="480"/>
        <w:rPr>
          <w:rFonts w:hint="eastAsia" w:ascii="Times New Roman" w:hAnsi="Times New Roman" w:cs="Times New Roman"/>
          <w:color w:val="auto"/>
          <w:sz w:val="24"/>
          <w:szCs w:val="24"/>
          <w:highlight w:val="none"/>
          <w:lang w:eastAsia="zh-CN"/>
        </w:rPr>
      </w:pPr>
      <w:r>
        <w:rPr>
          <w:rFonts w:hint="eastAsia" w:ascii="Times New Roman" w:hAnsi="Times New Roman" w:cs="Times New Roman"/>
          <w:color w:val="auto"/>
          <w:sz w:val="24"/>
          <w:szCs w:val="24"/>
          <w:highlight w:val="none"/>
          <w:lang w:val="en-US" w:eastAsia="zh-CN"/>
        </w:rPr>
        <w:t>地表水</w:t>
      </w:r>
      <w:r>
        <w:rPr>
          <w:rFonts w:hint="default" w:ascii="Times New Roman" w:hAnsi="Times New Roman" w:cs="Times New Roman"/>
          <w:color w:val="auto"/>
          <w:sz w:val="24"/>
          <w:szCs w:val="24"/>
          <w:highlight w:val="none"/>
        </w:rPr>
        <w:t>监测结果</w:t>
      </w:r>
      <w:r>
        <w:rPr>
          <w:rFonts w:hint="default" w:ascii="Times New Roman" w:hAnsi="Times New Roman" w:cs="Times New Roman"/>
          <w:color w:val="auto"/>
          <w:sz w:val="24"/>
          <w:szCs w:val="24"/>
          <w:highlight w:val="none"/>
          <w:lang w:val="en-US" w:eastAsia="zh-CN"/>
        </w:rPr>
        <w:t>及统计分析</w:t>
      </w:r>
      <w:r>
        <w:rPr>
          <w:rFonts w:hint="default" w:ascii="Times New Roman" w:hAnsi="Times New Roman" w:cs="Times New Roman"/>
          <w:color w:val="auto"/>
          <w:sz w:val="24"/>
          <w:szCs w:val="24"/>
          <w:highlight w:val="none"/>
        </w:rPr>
        <w:t>见</w:t>
      </w:r>
      <w:r>
        <w:rPr>
          <w:rFonts w:hint="default" w:ascii="Times New Roman" w:hAnsi="Times New Roman" w:cs="Times New Roman"/>
          <w:color w:val="auto"/>
          <w:sz w:val="24"/>
          <w:szCs w:val="24"/>
          <w:highlight w:val="none"/>
          <w:lang w:val="en-US" w:eastAsia="zh-CN"/>
        </w:rPr>
        <w:t>下</w:t>
      </w:r>
      <w:r>
        <w:rPr>
          <w:rFonts w:hint="default" w:ascii="Times New Roman" w:hAnsi="Times New Roman" w:cs="Times New Roman"/>
          <w:color w:val="auto"/>
          <w:sz w:val="24"/>
          <w:szCs w:val="24"/>
          <w:highlight w:val="none"/>
        </w:rPr>
        <w:t>表</w:t>
      </w:r>
      <w:r>
        <w:rPr>
          <w:rFonts w:hint="eastAsia" w:ascii="Times New Roman" w:hAnsi="Times New Roman" w:cs="Times New Roman"/>
          <w:color w:val="auto"/>
          <w:sz w:val="24"/>
          <w:szCs w:val="24"/>
          <w:highlight w:val="none"/>
          <w:lang w:eastAsia="zh-CN"/>
        </w:rPr>
        <w:t>。</w:t>
      </w:r>
    </w:p>
    <w:p w14:paraId="49139A05">
      <w:pPr>
        <w:spacing w:line="360" w:lineRule="auto"/>
        <w:rPr>
          <w:rFonts w:hint="default" w:ascii="Times New Roman" w:hAnsi="Times New Roman" w:cs="Times New Roman"/>
          <w:color w:val="auto"/>
          <w:sz w:val="24"/>
          <w:szCs w:val="24"/>
          <w:highlight w:val="none"/>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r>
        <w:rPr>
          <w:rFonts w:hint="eastAsia" w:cs="Times New Roman"/>
          <w:color w:val="auto"/>
          <w:highlight w:val="none"/>
          <w:lang w:val="en-US" w:eastAsia="zh-CN"/>
        </w:rPr>
        <w:t xml:space="preserve">   </w:t>
      </w:r>
    </w:p>
    <w:p w14:paraId="7716B753">
      <w:pPr>
        <w:spacing w:line="240" w:lineRule="auto"/>
        <w:jc w:val="center"/>
        <w:rPr>
          <w:rFonts w:hint="default" w:ascii="Times New Roman" w:hAnsi="Times New Roman" w:cs="Times New Roman"/>
          <w:color w:val="auto"/>
          <w:highlight w:val="none"/>
        </w:rPr>
      </w:pPr>
      <w:r>
        <w:rPr>
          <w:rFonts w:hint="default" w:ascii="Times New Roman" w:hAnsi="Times New Roman" w:cs="Times New Roman"/>
          <w:b/>
          <w:color w:val="auto"/>
          <w:szCs w:val="21"/>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4.3</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w:t>
      </w:r>
      <w:r>
        <w:rPr>
          <w:rFonts w:hint="default" w:ascii="Times New Roman" w:hAnsi="Times New Roman" w:cs="Times New Roman"/>
          <w:b/>
          <w:bCs/>
          <w:color w:val="auto"/>
          <w:highlight w:val="none"/>
        </w:rPr>
        <w:fldChar w:fldCharType="end"/>
      </w:r>
      <w:r>
        <w:rPr>
          <w:rFonts w:hint="eastAsia" w:ascii="Times New Roman" w:hAnsi="Times New Roman" w:cs="Times New Roman"/>
          <w:b/>
          <w:bCs/>
          <w:color w:val="auto"/>
          <w:highlight w:val="none"/>
          <w:lang w:val="en-US" w:eastAsia="zh-CN"/>
        </w:rPr>
        <w:t xml:space="preserve"> </w:t>
      </w:r>
      <w:r>
        <w:rPr>
          <w:rFonts w:hint="default" w:ascii="Times New Roman" w:hAnsi="Times New Roman" w:cs="Times New Roman"/>
          <w:b/>
          <w:color w:val="auto"/>
          <w:szCs w:val="21"/>
          <w:highlight w:val="none"/>
        </w:rPr>
        <w:t>地表水环境现状监测统计结果</w:t>
      </w:r>
    </w:p>
    <w:tbl>
      <w:tblPr>
        <w:tblStyle w:val="35"/>
        <w:tblW w:w="15218"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0" w:type="dxa"/>
          <w:bottom w:w="0" w:type="dxa"/>
          <w:right w:w="0" w:type="dxa"/>
        </w:tblCellMar>
      </w:tblPr>
      <w:tblGrid>
        <w:gridCol w:w="1171"/>
        <w:gridCol w:w="1187"/>
        <w:gridCol w:w="1187"/>
        <w:gridCol w:w="1735"/>
        <w:gridCol w:w="1735"/>
        <w:gridCol w:w="1741"/>
        <w:gridCol w:w="1719"/>
        <w:gridCol w:w="1654"/>
        <w:gridCol w:w="1680"/>
        <w:gridCol w:w="1409"/>
      </w:tblGrid>
      <w:tr w14:paraId="672ECF0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restart"/>
            <w:tcBorders>
              <w:tl2br w:val="nil"/>
              <w:tr2bl w:val="nil"/>
            </w:tcBorders>
            <w:noWrap w:val="0"/>
            <w:vAlign w:val="center"/>
          </w:tcPr>
          <w:p w14:paraId="58F55CE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pacing w:val="9"/>
                <w:sz w:val="20"/>
                <w:szCs w:val="20"/>
                <w:highlight w:val="none"/>
              </w:rPr>
            </w:pPr>
            <w:r>
              <w:rPr>
                <w:rFonts w:hint="default" w:ascii="Times New Roman" w:hAnsi="Times New Roman" w:eastAsia="宋体" w:cs="Times New Roman"/>
                <w:b/>
                <w:bCs/>
                <w:color w:val="auto"/>
                <w:spacing w:val="9"/>
                <w:sz w:val="20"/>
                <w:szCs w:val="20"/>
                <w:highlight w:val="none"/>
              </w:rPr>
              <w:t>监测点位</w:t>
            </w:r>
          </w:p>
        </w:tc>
        <w:tc>
          <w:tcPr>
            <w:tcW w:w="389" w:type="pct"/>
            <w:vMerge w:val="restart"/>
            <w:tcBorders>
              <w:tl2br w:val="nil"/>
              <w:tr2bl w:val="nil"/>
            </w:tcBorders>
            <w:noWrap w:val="0"/>
            <w:vAlign w:val="center"/>
          </w:tcPr>
          <w:p w14:paraId="7E5D5D0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pacing w:val="9"/>
                <w:sz w:val="20"/>
                <w:szCs w:val="20"/>
                <w:highlight w:val="none"/>
              </w:rPr>
            </w:pPr>
            <w:r>
              <w:rPr>
                <w:rFonts w:hint="default" w:ascii="Times New Roman" w:hAnsi="Times New Roman" w:eastAsia="宋体" w:cs="Times New Roman"/>
                <w:b/>
                <w:bCs/>
                <w:color w:val="auto"/>
                <w:spacing w:val="9"/>
                <w:sz w:val="20"/>
                <w:szCs w:val="20"/>
                <w:highlight w:val="none"/>
              </w:rPr>
              <w:t>监测项目</w:t>
            </w:r>
          </w:p>
        </w:tc>
        <w:tc>
          <w:tcPr>
            <w:tcW w:w="389" w:type="pct"/>
            <w:vMerge w:val="restart"/>
            <w:tcBorders>
              <w:tl2br w:val="nil"/>
              <w:tr2bl w:val="nil"/>
            </w:tcBorders>
            <w:noWrap w:val="0"/>
            <w:vAlign w:val="center"/>
          </w:tcPr>
          <w:p w14:paraId="04D2A65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b/>
                <w:bCs/>
                <w:color w:val="auto"/>
                <w:spacing w:val="9"/>
                <w:sz w:val="20"/>
                <w:szCs w:val="20"/>
                <w:highlight w:val="none"/>
                <w:lang w:val="en-US" w:eastAsia="zh-CN"/>
              </w:rPr>
            </w:pPr>
            <w:r>
              <w:rPr>
                <w:rFonts w:hint="eastAsia" w:ascii="Times New Roman" w:hAnsi="Times New Roman" w:eastAsia="宋体" w:cs="Times New Roman"/>
                <w:b/>
                <w:bCs/>
                <w:color w:val="auto"/>
                <w:spacing w:val="9"/>
                <w:sz w:val="20"/>
                <w:szCs w:val="20"/>
                <w:highlight w:val="none"/>
                <w:lang w:val="en-US" w:eastAsia="zh-CN"/>
              </w:rPr>
              <w:t>单位</w:t>
            </w:r>
          </w:p>
        </w:tc>
        <w:tc>
          <w:tcPr>
            <w:tcW w:w="1712" w:type="pct"/>
            <w:gridSpan w:val="3"/>
            <w:tcBorders>
              <w:tl2br w:val="nil"/>
              <w:tr2bl w:val="nil"/>
            </w:tcBorders>
            <w:noWrap w:val="0"/>
            <w:vAlign w:val="center"/>
          </w:tcPr>
          <w:p w14:paraId="4CD6DF6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pacing w:val="9"/>
                <w:sz w:val="20"/>
                <w:szCs w:val="20"/>
                <w:highlight w:val="none"/>
              </w:rPr>
            </w:pPr>
            <w:r>
              <w:rPr>
                <w:rFonts w:hint="default" w:ascii="Times New Roman" w:hAnsi="Times New Roman" w:eastAsia="宋体" w:cs="Times New Roman"/>
                <w:b/>
                <w:bCs/>
                <w:color w:val="auto"/>
                <w:spacing w:val="9"/>
                <w:sz w:val="20"/>
                <w:szCs w:val="20"/>
                <w:highlight w:val="none"/>
              </w:rPr>
              <w:t>监测结果</w:t>
            </w:r>
          </w:p>
        </w:tc>
        <w:tc>
          <w:tcPr>
            <w:tcW w:w="564" w:type="pct"/>
            <w:vMerge w:val="restart"/>
            <w:tcBorders>
              <w:tl2br w:val="nil"/>
              <w:tr2bl w:val="nil"/>
            </w:tcBorders>
            <w:noWrap w:val="0"/>
            <w:vAlign w:val="center"/>
          </w:tcPr>
          <w:p w14:paraId="03950D6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pacing w:val="8"/>
                <w:sz w:val="20"/>
                <w:szCs w:val="20"/>
                <w:highlight w:val="none"/>
              </w:rPr>
              <w:t>监测最大值</w:t>
            </w:r>
          </w:p>
        </w:tc>
        <w:tc>
          <w:tcPr>
            <w:tcW w:w="543" w:type="pct"/>
            <w:vMerge w:val="restart"/>
            <w:tcBorders>
              <w:tl2br w:val="nil"/>
              <w:tr2bl w:val="nil"/>
            </w:tcBorders>
            <w:noWrap w:val="0"/>
            <w:vAlign w:val="center"/>
          </w:tcPr>
          <w:p w14:paraId="5D6E473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pacing w:val="8"/>
                <w:sz w:val="20"/>
                <w:szCs w:val="20"/>
                <w:highlight w:val="none"/>
              </w:rPr>
            </w:pPr>
            <w:r>
              <w:rPr>
                <w:rFonts w:hint="default" w:ascii="Times New Roman" w:hAnsi="Times New Roman" w:eastAsia="宋体" w:cs="Times New Roman"/>
                <w:b/>
                <w:bCs/>
                <w:color w:val="auto"/>
                <w:spacing w:val="8"/>
                <w:sz w:val="20"/>
                <w:szCs w:val="20"/>
                <w:highlight w:val="none"/>
              </w:rPr>
              <w:t>标准限值</w:t>
            </w:r>
          </w:p>
          <w:p w14:paraId="1644FCE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b/>
                <w:bCs/>
                <w:color w:val="auto"/>
                <w:spacing w:val="8"/>
                <w:sz w:val="20"/>
                <w:szCs w:val="20"/>
                <w:highlight w:val="none"/>
                <w:lang w:eastAsia="zh-CN"/>
              </w:rPr>
            </w:pPr>
            <w:r>
              <w:rPr>
                <w:rFonts w:hint="eastAsia" w:ascii="Times New Roman" w:hAnsi="Times New Roman" w:eastAsia="宋体" w:cs="Times New Roman"/>
                <w:b/>
                <w:bCs/>
                <w:color w:val="auto"/>
                <w:spacing w:val="8"/>
                <w:sz w:val="20"/>
                <w:szCs w:val="20"/>
                <w:highlight w:val="none"/>
                <w:lang w:eastAsia="zh-CN"/>
              </w:rPr>
              <w:t>Ⅲ类</w:t>
            </w:r>
          </w:p>
        </w:tc>
        <w:tc>
          <w:tcPr>
            <w:tcW w:w="551" w:type="pct"/>
            <w:vMerge w:val="restart"/>
            <w:tcBorders>
              <w:tl2br w:val="nil"/>
              <w:tr2bl w:val="nil"/>
            </w:tcBorders>
            <w:noWrap w:val="0"/>
            <w:vAlign w:val="center"/>
          </w:tcPr>
          <w:p w14:paraId="71BF558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pacing w:val="8"/>
                <w:sz w:val="20"/>
                <w:szCs w:val="20"/>
                <w:highlight w:val="none"/>
              </w:rPr>
            </w:pPr>
            <w:r>
              <w:rPr>
                <w:rFonts w:hint="default" w:ascii="Times New Roman" w:hAnsi="Times New Roman" w:eastAsia="宋体" w:cs="Times New Roman"/>
                <w:b/>
                <w:bCs/>
                <w:color w:val="auto"/>
                <w:spacing w:val="8"/>
                <w:sz w:val="20"/>
                <w:szCs w:val="20"/>
                <w:highlight w:val="none"/>
              </w:rPr>
              <w:t>最大标准指数</w:t>
            </w:r>
          </w:p>
        </w:tc>
        <w:tc>
          <w:tcPr>
            <w:tcW w:w="462" w:type="pct"/>
            <w:vMerge w:val="restart"/>
            <w:tcBorders>
              <w:tl2br w:val="nil"/>
              <w:tr2bl w:val="nil"/>
            </w:tcBorders>
            <w:noWrap w:val="0"/>
            <w:vAlign w:val="center"/>
          </w:tcPr>
          <w:p w14:paraId="5F7877E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pacing w:val="8"/>
                <w:sz w:val="20"/>
                <w:szCs w:val="20"/>
                <w:highlight w:val="none"/>
              </w:rPr>
            </w:pPr>
            <w:r>
              <w:rPr>
                <w:rFonts w:hint="default" w:ascii="Times New Roman" w:hAnsi="Times New Roman" w:eastAsia="宋体" w:cs="Times New Roman"/>
                <w:b/>
                <w:bCs/>
                <w:color w:val="auto"/>
                <w:spacing w:val="8"/>
                <w:sz w:val="20"/>
                <w:szCs w:val="20"/>
                <w:highlight w:val="none"/>
              </w:rPr>
              <w:t>达标</w:t>
            </w:r>
          </w:p>
          <w:p w14:paraId="672E878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pacing w:val="8"/>
                <w:sz w:val="20"/>
                <w:szCs w:val="20"/>
                <w:highlight w:val="none"/>
              </w:rPr>
              <w:t>情况</w:t>
            </w:r>
          </w:p>
        </w:tc>
      </w:tr>
      <w:tr w14:paraId="58A0424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0922062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p>
        </w:tc>
        <w:tc>
          <w:tcPr>
            <w:tcW w:w="389" w:type="pct"/>
            <w:vMerge w:val="continue"/>
            <w:tcBorders>
              <w:tl2br w:val="nil"/>
              <w:tr2bl w:val="nil"/>
            </w:tcBorders>
            <w:noWrap w:val="0"/>
            <w:vAlign w:val="center"/>
          </w:tcPr>
          <w:p w14:paraId="7CBF135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p>
        </w:tc>
        <w:tc>
          <w:tcPr>
            <w:tcW w:w="389" w:type="pct"/>
            <w:vMerge w:val="continue"/>
            <w:tcBorders>
              <w:tl2br w:val="nil"/>
              <w:tr2bl w:val="nil"/>
            </w:tcBorders>
            <w:noWrap w:val="0"/>
            <w:vAlign w:val="center"/>
          </w:tcPr>
          <w:p w14:paraId="3E28B03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p>
        </w:tc>
        <w:tc>
          <w:tcPr>
            <w:tcW w:w="570" w:type="pct"/>
            <w:tcBorders>
              <w:tl2br w:val="nil"/>
              <w:tr2bl w:val="nil"/>
            </w:tcBorders>
            <w:noWrap w:val="0"/>
            <w:vAlign w:val="center"/>
          </w:tcPr>
          <w:p w14:paraId="4A5E811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b/>
                <w:bCs/>
                <w:color w:val="auto"/>
                <w:spacing w:val="9"/>
                <w:sz w:val="20"/>
                <w:szCs w:val="20"/>
                <w:highlight w:val="none"/>
                <w:lang w:eastAsia="zh-CN"/>
              </w:rPr>
            </w:pPr>
            <w:r>
              <w:rPr>
                <w:rFonts w:hint="default" w:ascii="Times New Roman" w:hAnsi="Times New Roman" w:eastAsia="宋体" w:cs="Times New Roman"/>
                <w:b/>
                <w:bCs/>
                <w:color w:val="auto"/>
                <w:spacing w:val="9"/>
                <w:sz w:val="20"/>
                <w:szCs w:val="20"/>
                <w:highlight w:val="none"/>
              </w:rPr>
              <w:t>202</w:t>
            </w:r>
            <w:r>
              <w:rPr>
                <w:rFonts w:hint="eastAsia" w:ascii="Times New Roman" w:hAnsi="Times New Roman" w:eastAsia="宋体" w:cs="Times New Roman"/>
                <w:b/>
                <w:bCs/>
                <w:color w:val="auto"/>
                <w:spacing w:val="9"/>
                <w:sz w:val="20"/>
                <w:szCs w:val="20"/>
                <w:highlight w:val="none"/>
                <w:lang w:val="en-US" w:eastAsia="zh-CN"/>
              </w:rPr>
              <w:t>5</w:t>
            </w:r>
            <w:r>
              <w:rPr>
                <w:rFonts w:hint="default" w:ascii="Times New Roman" w:hAnsi="Times New Roman" w:eastAsia="宋体" w:cs="Times New Roman"/>
                <w:b/>
                <w:bCs/>
                <w:color w:val="auto"/>
                <w:spacing w:val="9"/>
                <w:sz w:val="20"/>
                <w:szCs w:val="20"/>
                <w:highlight w:val="none"/>
              </w:rPr>
              <w:t>.0</w:t>
            </w:r>
            <w:r>
              <w:rPr>
                <w:rFonts w:hint="eastAsia" w:ascii="Times New Roman" w:hAnsi="Times New Roman" w:eastAsia="宋体" w:cs="Times New Roman"/>
                <w:b/>
                <w:bCs/>
                <w:color w:val="auto"/>
                <w:spacing w:val="9"/>
                <w:sz w:val="20"/>
                <w:szCs w:val="20"/>
                <w:highlight w:val="none"/>
                <w:lang w:val="en-US" w:eastAsia="zh-CN"/>
              </w:rPr>
              <w:t>1</w:t>
            </w:r>
            <w:r>
              <w:rPr>
                <w:rFonts w:hint="default" w:ascii="Times New Roman" w:hAnsi="Times New Roman" w:eastAsia="宋体" w:cs="Times New Roman"/>
                <w:b/>
                <w:bCs/>
                <w:color w:val="auto"/>
                <w:spacing w:val="9"/>
                <w:sz w:val="20"/>
                <w:szCs w:val="20"/>
                <w:highlight w:val="none"/>
              </w:rPr>
              <w:t>.1</w:t>
            </w:r>
            <w:r>
              <w:rPr>
                <w:rFonts w:hint="eastAsia" w:ascii="Times New Roman" w:hAnsi="Times New Roman" w:eastAsia="宋体" w:cs="Times New Roman"/>
                <w:b/>
                <w:bCs/>
                <w:color w:val="auto"/>
                <w:spacing w:val="9"/>
                <w:sz w:val="20"/>
                <w:szCs w:val="20"/>
                <w:highlight w:val="none"/>
                <w:lang w:val="en-US" w:eastAsia="zh-CN"/>
              </w:rPr>
              <w:t>6</w:t>
            </w:r>
          </w:p>
        </w:tc>
        <w:tc>
          <w:tcPr>
            <w:tcW w:w="570" w:type="pct"/>
            <w:tcBorders>
              <w:tl2br w:val="nil"/>
              <w:tr2bl w:val="nil"/>
            </w:tcBorders>
            <w:noWrap w:val="0"/>
            <w:vAlign w:val="center"/>
          </w:tcPr>
          <w:p w14:paraId="5863EB8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b/>
                <w:bCs/>
                <w:color w:val="auto"/>
                <w:spacing w:val="9"/>
                <w:sz w:val="20"/>
                <w:szCs w:val="20"/>
                <w:highlight w:val="none"/>
                <w:lang w:eastAsia="zh-CN"/>
              </w:rPr>
            </w:pPr>
            <w:r>
              <w:rPr>
                <w:rFonts w:hint="default" w:ascii="Times New Roman" w:hAnsi="Times New Roman" w:eastAsia="宋体" w:cs="Times New Roman"/>
                <w:b/>
                <w:bCs/>
                <w:color w:val="auto"/>
                <w:spacing w:val="9"/>
                <w:sz w:val="20"/>
                <w:szCs w:val="20"/>
                <w:highlight w:val="none"/>
              </w:rPr>
              <w:t>202</w:t>
            </w:r>
            <w:r>
              <w:rPr>
                <w:rFonts w:hint="eastAsia" w:ascii="Times New Roman" w:hAnsi="Times New Roman" w:eastAsia="宋体" w:cs="Times New Roman"/>
                <w:b/>
                <w:bCs/>
                <w:color w:val="auto"/>
                <w:spacing w:val="9"/>
                <w:sz w:val="20"/>
                <w:szCs w:val="20"/>
                <w:highlight w:val="none"/>
                <w:lang w:val="en-US" w:eastAsia="zh-CN"/>
              </w:rPr>
              <w:t>5</w:t>
            </w:r>
            <w:r>
              <w:rPr>
                <w:rFonts w:hint="default" w:ascii="Times New Roman" w:hAnsi="Times New Roman" w:eastAsia="宋体" w:cs="Times New Roman"/>
                <w:b/>
                <w:bCs/>
                <w:color w:val="auto"/>
                <w:spacing w:val="9"/>
                <w:sz w:val="20"/>
                <w:szCs w:val="20"/>
                <w:highlight w:val="none"/>
              </w:rPr>
              <w:t>.0</w:t>
            </w:r>
            <w:r>
              <w:rPr>
                <w:rFonts w:hint="eastAsia" w:ascii="Times New Roman" w:hAnsi="Times New Roman" w:eastAsia="宋体" w:cs="Times New Roman"/>
                <w:b/>
                <w:bCs/>
                <w:color w:val="auto"/>
                <w:spacing w:val="9"/>
                <w:sz w:val="20"/>
                <w:szCs w:val="20"/>
                <w:highlight w:val="none"/>
                <w:lang w:val="en-US" w:eastAsia="zh-CN"/>
              </w:rPr>
              <w:t>1</w:t>
            </w:r>
            <w:r>
              <w:rPr>
                <w:rFonts w:hint="default" w:ascii="Times New Roman" w:hAnsi="Times New Roman" w:eastAsia="宋体" w:cs="Times New Roman"/>
                <w:b/>
                <w:bCs/>
                <w:color w:val="auto"/>
                <w:spacing w:val="9"/>
                <w:sz w:val="20"/>
                <w:szCs w:val="20"/>
                <w:highlight w:val="none"/>
              </w:rPr>
              <w:t>.1</w:t>
            </w:r>
            <w:r>
              <w:rPr>
                <w:rFonts w:hint="eastAsia" w:ascii="Times New Roman" w:hAnsi="Times New Roman" w:eastAsia="宋体" w:cs="Times New Roman"/>
                <w:b/>
                <w:bCs/>
                <w:color w:val="auto"/>
                <w:spacing w:val="9"/>
                <w:sz w:val="20"/>
                <w:szCs w:val="20"/>
                <w:highlight w:val="none"/>
                <w:lang w:val="en-US" w:eastAsia="zh-CN"/>
              </w:rPr>
              <w:t>7</w:t>
            </w:r>
          </w:p>
        </w:tc>
        <w:tc>
          <w:tcPr>
            <w:tcW w:w="572" w:type="pct"/>
            <w:tcBorders>
              <w:tl2br w:val="nil"/>
              <w:tr2bl w:val="nil"/>
            </w:tcBorders>
            <w:noWrap w:val="0"/>
            <w:vAlign w:val="center"/>
          </w:tcPr>
          <w:p w14:paraId="07AFBE5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b/>
                <w:bCs/>
                <w:color w:val="auto"/>
                <w:spacing w:val="9"/>
                <w:sz w:val="20"/>
                <w:szCs w:val="20"/>
                <w:highlight w:val="none"/>
                <w:lang w:eastAsia="zh-CN"/>
              </w:rPr>
            </w:pPr>
            <w:r>
              <w:rPr>
                <w:rFonts w:hint="default" w:ascii="Times New Roman" w:hAnsi="Times New Roman" w:eastAsia="宋体" w:cs="Times New Roman"/>
                <w:b/>
                <w:bCs/>
                <w:color w:val="auto"/>
                <w:spacing w:val="9"/>
                <w:sz w:val="20"/>
                <w:szCs w:val="20"/>
                <w:highlight w:val="none"/>
              </w:rPr>
              <w:t>202</w:t>
            </w:r>
            <w:r>
              <w:rPr>
                <w:rFonts w:hint="eastAsia" w:ascii="Times New Roman" w:hAnsi="Times New Roman" w:eastAsia="宋体" w:cs="Times New Roman"/>
                <w:b/>
                <w:bCs/>
                <w:color w:val="auto"/>
                <w:spacing w:val="9"/>
                <w:sz w:val="20"/>
                <w:szCs w:val="20"/>
                <w:highlight w:val="none"/>
                <w:lang w:val="en-US" w:eastAsia="zh-CN"/>
              </w:rPr>
              <w:t>5</w:t>
            </w:r>
            <w:r>
              <w:rPr>
                <w:rFonts w:hint="default" w:ascii="Times New Roman" w:hAnsi="Times New Roman" w:eastAsia="宋体" w:cs="Times New Roman"/>
                <w:b/>
                <w:bCs/>
                <w:color w:val="auto"/>
                <w:spacing w:val="9"/>
                <w:sz w:val="20"/>
                <w:szCs w:val="20"/>
                <w:highlight w:val="none"/>
              </w:rPr>
              <w:t>.0</w:t>
            </w:r>
            <w:r>
              <w:rPr>
                <w:rFonts w:hint="eastAsia" w:ascii="Times New Roman" w:hAnsi="Times New Roman" w:eastAsia="宋体" w:cs="Times New Roman"/>
                <w:b/>
                <w:bCs/>
                <w:color w:val="auto"/>
                <w:spacing w:val="9"/>
                <w:sz w:val="20"/>
                <w:szCs w:val="20"/>
                <w:highlight w:val="none"/>
                <w:lang w:val="en-US" w:eastAsia="zh-CN"/>
              </w:rPr>
              <w:t>1</w:t>
            </w:r>
            <w:r>
              <w:rPr>
                <w:rFonts w:hint="default" w:ascii="Times New Roman" w:hAnsi="Times New Roman" w:eastAsia="宋体" w:cs="Times New Roman"/>
                <w:b/>
                <w:bCs/>
                <w:color w:val="auto"/>
                <w:spacing w:val="9"/>
                <w:sz w:val="20"/>
                <w:szCs w:val="20"/>
                <w:highlight w:val="none"/>
              </w:rPr>
              <w:t>.1</w:t>
            </w:r>
            <w:r>
              <w:rPr>
                <w:rFonts w:hint="eastAsia" w:ascii="Times New Roman" w:hAnsi="Times New Roman" w:eastAsia="宋体" w:cs="Times New Roman"/>
                <w:b/>
                <w:bCs/>
                <w:color w:val="auto"/>
                <w:spacing w:val="9"/>
                <w:sz w:val="20"/>
                <w:szCs w:val="20"/>
                <w:highlight w:val="none"/>
                <w:lang w:val="en-US" w:eastAsia="zh-CN"/>
              </w:rPr>
              <w:t>8</w:t>
            </w:r>
          </w:p>
        </w:tc>
        <w:tc>
          <w:tcPr>
            <w:tcW w:w="564" w:type="pct"/>
            <w:vMerge w:val="continue"/>
            <w:tcBorders>
              <w:tl2br w:val="nil"/>
              <w:tr2bl w:val="nil"/>
            </w:tcBorders>
            <w:noWrap w:val="0"/>
            <w:vAlign w:val="center"/>
          </w:tcPr>
          <w:p w14:paraId="799D093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p>
        </w:tc>
        <w:tc>
          <w:tcPr>
            <w:tcW w:w="543" w:type="pct"/>
            <w:vMerge w:val="continue"/>
            <w:tcBorders>
              <w:tl2br w:val="nil"/>
              <w:tr2bl w:val="nil"/>
            </w:tcBorders>
            <w:noWrap w:val="0"/>
            <w:vAlign w:val="center"/>
          </w:tcPr>
          <w:p w14:paraId="7886508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p>
        </w:tc>
        <w:tc>
          <w:tcPr>
            <w:tcW w:w="551" w:type="pct"/>
            <w:vMerge w:val="continue"/>
            <w:tcBorders>
              <w:tl2br w:val="nil"/>
              <w:tr2bl w:val="nil"/>
            </w:tcBorders>
            <w:noWrap w:val="0"/>
            <w:vAlign w:val="center"/>
          </w:tcPr>
          <w:p w14:paraId="7162330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p>
        </w:tc>
        <w:tc>
          <w:tcPr>
            <w:tcW w:w="462" w:type="pct"/>
            <w:vMerge w:val="continue"/>
            <w:tcBorders>
              <w:tl2br w:val="nil"/>
              <w:tr2bl w:val="nil"/>
            </w:tcBorders>
            <w:noWrap w:val="0"/>
            <w:vAlign w:val="center"/>
          </w:tcPr>
          <w:p w14:paraId="05A491C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p>
        </w:tc>
      </w:tr>
      <w:tr w14:paraId="433D26D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restart"/>
            <w:tcBorders>
              <w:tl2br w:val="nil"/>
              <w:tr2bl w:val="nil"/>
            </w:tcBorders>
            <w:noWrap w:val="0"/>
            <w:vAlign w:val="center"/>
          </w:tcPr>
          <w:p w14:paraId="11AD592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cs="Times New Roman"/>
                <w:color w:val="auto"/>
                <w:sz w:val="20"/>
                <w:szCs w:val="20"/>
                <w:highlight w:val="none"/>
              </w:rPr>
              <w:t>Ⅰ</w:t>
            </w:r>
            <w:r>
              <w:rPr>
                <w:rFonts w:hint="default" w:ascii="Times New Roman" w:hAnsi="Times New Roman" w:eastAsia="宋体" w:cs="Times New Roman"/>
                <w:color w:val="auto"/>
                <w:kern w:val="2"/>
                <w:sz w:val="20"/>
                <w:szCs w:val="20"/>
                <w:highlight w:val="none"/>
                <w:lang w:val="en-US" w:eastAsia="zh-CN" w:bidi="ar-SA"/>
              </w:rPr>
              <w:t>垃圾填埋场渗滤液处理站排口下游1500m（闻溪河）</w:t>
            </w:r>
          </w:p>
        </w:tc>
        <w:tc>
          <w:tcPr>
            <w:tcW w:w="389" w:type="pct"/>
            <w:tcBorders>
              <w:tl2br w:val="nil"/>
              <w:tr2bl w:val="nil"/>
            </w:tcBorders>
            <w:noWrap w:val="0"/>
            <w:vAlign w:val="center"/>
          </w:tcPr>
          <w:p w14:paraId="20DC8A1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pacing w:val="9"/>
                <w:sz w:val="20"/>
                <w:szCs w:val="20"/>
                <w:highlight w:val="none"/>
              </w:rPr>
            </w:pPr>
            <w:r>
              <w:rPr>
                <w:rFonts w:hint="default" w:ascii="Times New Roman" w:hAnsi="Times New Roman" w:eastAsia="宋体" w:cs="Times New Roman"/>
                <w:b w:val="0"/>
                <w:bCs w:val="0"/>
                <w:color w:val="auto"/>
                <w:kern w:val="2"/>
                <w:sz w:val="20"/>
                <w:szCs w:val="20"/>
                <w:highlight w:val="none"/>
                <w:vertAlign w:val="baseline"/>
                <w:lang w:val="en-US" w:eastAsia="zh-CN" w:bidi="ar-SA"/>
              </w:rPr>
              <w:t>pH</w:t>
            </w:r>
          </w:p>
        </w:tc>
        <w:tc>
          <w:tcPr>
            <w:tcW w:w="389" w:type="pct"/>
            <w:tcBorders>
              <w:tl2br w:val="nil"/>
              <w:tr2bl w:val="nil"/>
            </w:tcBorders>
            <w:noWrap w:val="0"/>
            <w:vAlign w:val="center"/>
          </w:tcPr>
          <w:p w14:paraId="57727DE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kern w:val="2"/>
                <w:sz w:val="20"/>
                <w:szCs w:val="20"/>
                <w:highlight w:val="none"/>
                <w:lang w:val="en-US" w:eastAsia="zh-CN" w:bidi="ar-SA"/>
              </w:rPr>
              <w:t>无量纲</w:t>
            </w:r>
          </w:p>
        </w:tc>
        <w:tc>
          <w:tcPr>
            <w:tcW w:w="570" w:type="pct"/>
            <w:tcBorders>
              <w:tl2br w:val="nil"/>
              <w:tr2bl w:val="nil"/>
            </w:tcBorders>
            <w:noWrap w:val="0"/>
            <w:vAlign w:val="center"/>
          </w:tcPr>
          <w:p w14:paraId="1608C6D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8.3</w:t>
            </w:r>
          </w:p>
        </w:tc>
        <w:tc>
          <w:tcPr>
            <w:tcW w:w="570" w:type="pct"/>
            <w:tcBorders>
              <w:tl2br w:val="nil"/>
              <w:tr2bl w:val="nil"/>
            </w:tcBorders>
            <w:noWrap w:val="0"/>
            <w:vAlign w:val="center"/>
          </w:tcPr>
          <w:p w14:paraId="65C97AF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8.4</w:t>
            </w:r>
          </w:p>
        </w:tc>
        <w:tc>
          <w:tcPr>
            <w:tcW w:w="572" w:type="pct"/>
            <w:tcBorders>
              <w:tl2br w:val="nil"/>
              <w:tr2bl w:val="nil"/>
            </w:tcBorders>
            <w:noWrap w:val="0"/>
            <w:vAlign w:val="center"/>
          </w:tcPr>
          <w:p w14:paraId="695C7A5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8.4</w:t>
            </w:r>
          </w:p>
        </w:tc>
        <w:tc>
          <w:tcPr>
            <w:tcW w:w="564" w:type="pct"/>
            <w:tcBorders>
              <w:tl2br w:val="nil"/>
              <w:tr2bl w:val="nil"/>
            </w:tcBorders>
            <w:noWrap w:val="0"/>
            <w:vAlign w:val="center"/>
          </w:tcPr>
          <w:p w14:paraId="5CBAD2F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lang w:val="en-US" w:eastAsia="zh-CN"/>
              </w:rPr>
            </w:pPr>
            <w:r>
              <w:rPr>
                <w:rFonts w:hint="eastAsia" w:ascii="Times New Roman" w:hAnsi="Times New Roman" w:eastAsia="宋体" w:cs="Times New Roman"/>
                <w:color w:val="auto"/>
                <w:spacing w:val="9"/>
                <w:sz w:val="20"/>
                <w:szCs w:val="20"/>
                <w:highlight w:val="none"/>
                <w:lang w:val="en-US" w:eastAsia="zh-CN"/>
              </w:rPr>
              <w:t>8.4</w:t>
            </w:r>
          </w:p>
        </w:tc>
        <w:tc>
          <w:tcPr>
            <w:tcW w:w="543" w:type="pct"/>
            <w:tcBorders>
              <w:tl2br w:val="nil"/>
              <w:tr2bl w:val="nil"/>
            </w:tcBorders>
            <w:noWrap w:val="0"/>
            <w:vAlign w:val="center"/>
          </w:tcPr>
          <w:p w14:paraId="385CD21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lang w:val="en-US" w:eastAsia="zh-CN"/>
              </w:rPr>
            </w:pPr>
            <w:r>
              <w:rPr>
                <w:rFonts w:hint="default" w:ascii="Times New Roman" w:hAnsi="Times New Roman" w:eastAsia="宋体" w:cs="Times New Roman"/>
                <w:color w:val="auto"/>
                <w:sz w:val="20"/>
                <w:highlight w:val="none"/>
              </w:rPr>
              <w:t>6～9</w:t>
            </w:r>
          </w:p>
        </w:tc>
        <w:tc>
          <w:tcPr>
            <w:tcW w:w="1680" w:type="dxa"/>
            <w:tcBorders>
              <w:tl2br w:val="nil"/>
              <w:tr2bl w:val="nil"/>
            </w:tcBorders>
            <w:noWrap w:val="0"/>
            <w:vAlign w:val="center"/>
          </w:tcPr>
          <w:p w14:paraId="3B64C46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0.7</w:t>
            </w:r>
          </w:p>
        </w:tc>
        <w:tc>
          <w:tcPr>
            <w:tcW w:w="462" w:type="pct"/>
            <w:tcBorders>
              <w:tl2br w:val="nil"/>
              <w:tr2bl w:val="nil"/>
            </w:tcBorders>
            <w:noWrap w:val="0"/>
            <w:vAlign w:val="center"/>
          </w:tcPr>
          <w:p w14:paraId="0F73AE2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6EB58FF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6864823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26E050B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pacing w:val="9"/>
                <w:sz w:val="20"/>
                <w:szCs w:val="20"/>
                <w:highlight w:val="none"/>
              </w:rPr>
            </w:pPr>
            <w:r>
              <w:rPr>
                <w:rFonts w:hint="eastAsia" w:ascii="Times New Roman" w:hAnsi="Times New Roman" w:eastAsia="宋体" w:cs="Times New Roman"/>
                <w:b w:val="0"/>
                <w:bCs w:val="0"/>
                <w:color w:val="auto"/>
                <w:kern w:val="2"/>
                <w:sz w:val="20"/>
                <w:szCs w:val="20"/>
                <w:highlight w:val="none"/>
                <w:vertAlign w:val="baseline"/>
                <w:lang w:val="en-US" w:eastAsia="zh-CN" w:bidi="ar-SA"/>
              </w:rPr>
              <w:t>水温</w:t>
            </w:r>
          </w:p>
        </w:tc>
        <w:tc>
          <w:tcPr>
            <w:tcW w:w="389" w:type="pct"/>
            <w:tcBorders>
              <w:tl2br w:val="nil"/>
              <w:tr2bl w:val="nil"/>
            </w:tcBorders>
            <w:noWrap w:val="0"/>
            <w:vAlign w:val="center"/>
          </w:tcPr>
          <w:p w14:paraId="301573E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w:t>
            </w:r>
          </w:p>
        </w:tc>
        <w:tc>
          <w:tcPr>
            <w:tcW w:w="570" w:type="pct"/>
            <w:tcBorders>
              <w:tl2br w:val="nil"/>
              <w:tr2bl w:val="nil"/>
            </w:tcBorders>
            <w:noWrap w:val="0"/>
            <w:vAlign w:val="center"/>
          </w:tcPr>
          <w:p w14:paraId="3383D9C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6.8</w:t>
            </w:r>
          </w:p>
        </w:tc>
        <w:tc>
          <w:tcPr>
            <w:tcW w:w="570" w:type="pct"/>
            <w:tcBorders>
              <w:tl2br w:val="nil"/>
              <w:tr2bl w:val="nil"/>
            </w:tcBorders>
            <w:noWrap w:val="0"/>
            <w:vAlign w:val="center"/>
          </w:tcPr>
          <w:p w14:paraId="6CFC087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6.6</w:t>
            </w:r>
          </w:p>
        </w:tc>
        <w:tc>
          <w:tcPr>
            <w:tcW w:w="572" w:type="pct"/>
            <w:tcBorders>
              <w:tl2br w:val="nil"/>
              <w:tr2bl w:val="nil"/>
            </w:tcBorders>
            <w:noWrap w:val="0"/>
            <w:vAlign w:val="center"/>
          </w:tcPr>
          <w:p w14:paraId="3E4582E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6.4</w:t>
            </w:r>
          </w:p>
        </w:tc>
        <w:tc>
          <w:tcPr>
            <w:tcW w:w="564" w:type="pct"/>
            <w:tcBorders>
              <w:tl2br w:val="nil"/>
              <w:tr2bl w:val="nil"/>
            </w:tcBorders>
            <w:noWrap w:val="0"/>
            <w:vAlign w:val="center"/>
          </w:tcPr>
          <w:p w14:paraId="10C94CE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lang w:val="en-US" w:eastAsia="zh-CN"/>
              </w:rPr>
            </w:pPr>
            <w:r>
              <w:rPr>
                <w:rFonts w:hint="eastAsia" w:ascii="Times New Roman" w:hAnsi="Times New Roman" w:eastAsia="宋体" w:cs="Times New Roman"/>
                <w:color w:val="auto"/>
                <w:spacing w:val="9"/>
                <w:sz w:val="20"/>
                <w:szCs w:val="20"/>
                <w:highlight w:val="none"/>
                <w:lang w:val="en-US" w:eastAsia="zh-CN"/>
              </w:rPr>
              <w:t>6.8</w:t>
            </w:r>
          </w:p>
        </w:tc>
        <w:tc>
          <w:tcPr>
            <w:tcW w:w="543" w:type="pct"/>
            <w:tcBorders>
              <w:tl2br w:val="nil"/>
              <w:tr2bl w:val="nil"/>
            </w:tcBorders>
            <w:noWrap w:val="0"/>
            <w:vAlign w:val="center"/>
          </w:tcPr>
          <w:p w14:paraId="36535A48">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9"/>
                <w:sz w:val="20"/>
                <w:szCs w:val="20"/>
                <w:highlight w:val="none"/>
              </w:rPr>
              <w:t>/</w:t>
            </w:r>
          </w:p>
        </w:tc>
        <w:tc>
          <w:tcPr>
            <w:tcW w:w="1680" w:type="dxa"/>
            <w:tcBorders>
              <w:tl2br w:val="nil"/>
              <w:tr2bl w:val="nil"/>
            </w:tcBorders>
            <w:noWrap w:val="0"/>
            <w:vAlign w:val="center"/>
          </w:tcPr>
          <w:p w14:paraId="2B05213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28229428">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6A901B6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73F3ACD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70B8E94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pacing w:val="9"/>
                <w:sz w:val="20"/>
                <w:szCs w:val="20"/>
                <w:highlight w:val="none"/>
              </w:rPr>
            </w:pPr>
            <w:r>
              <w:rPr>
                <w:rFonts w:hint="default" w:ascii="Times New Roman" w:hAnsi="Times New Roman" w:eastAsia="宋体" w:cs="Times New Roman"/>
                <w:b w:val="0"/>
                <w:bCs w:val="0"/>
                <w:color w:val="auto"/>
                <w:kern w:val="2"/>
                <w:sz w:val="20"/>
                <w:szCs w:val="20"/>
                <w:highlight w:val="none"/>
                <w:lang w:val="en-US" w:eastAsia="zh-CN" w:bidi="ar-SA"/>
              </w:rPr>
              <w:t>铅</w:t>
            </w:r>
          </w:p>
        </w:tc>
        <w:tc>
          <w:tcPr>
            <w:tcW w:w="389" w:type="pct"/>
            <w:tcBorders>
              <w:tl2br w:val="nil"/>
              <w:tr2bl w:val="nil"/>
            </w:tcBorders>
            <w:noWrap w:val="0"/>
            <w:vAlign w:val="center"/>
          </w:tcPr>
          <w:p w14:paraId="2AA2601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53AB9AF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2×10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70" w:type="pct"/>
            <w:tcBorders>
              <w:tl2br w:val="nil"/>
              <w:tr2bl w:val="nil"/>
            </w:tcBorders>
            <w:noWrap w:val="0"/>
            <w:vAlign w:val="center"/>
          </w:tcPr>
          <w:p w14:paraId="1D8F61A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2×10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72" w:type="pct"/>
            <w:tcBorders>
              <w:tl2br w:val="nil"/>
              <w:tr2bl w:val="nil"/>
            </w:tcBorders>
            <w:noWrap w:val="0"/>
            <w:vAlign w:val="center"/>
          </w:tcPr>
          <w:p w14:paraId="02788BE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2×10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64" w:type="pct"/>
            <w:tcBorders>
              <w:tl2br w:val="nil"/>
              <w:tr2bl w:val="nil"/>
            </w:tcBorders>
            <w:noWrap w:val="0"/>
            <w:vAlign w:val="center"/>
          </w:tcPr>
          <w:p w14:paraId="713DA74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2×10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43" w:type="pct"/>
            <w:tcBorders>
              <w:tl2br w:val="nil"/>
              <w:tr2bl w:val="nil"/>
            </w:tcBorders>
            <w:noWrap w:val="0"/>
            <w:vAlign w:val="center"/>
          </w:tcPr>
          <w:p w14:paraId="1AC223D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0.</w:t>
            </w:r>
            <w:r>
              <w:rPr>
                <w:rFonts w:hint="eastAsia" w:ascii="Times New Roman" w:hAnsi="Times New Roman" w:eastAsia="宋体" w:cs="Times New Roman"/>
                <w:color w:val="auto"/>
                <w:sz w:val="20"/>
                <w:szCs w:val="20"/>
                <w:highlight w:val="none"/>
                <w:lang w:val="en-US" w:eastAsia="zh-CN"/>
              </w:rPr>
              <w:t>05</w:t>
            </w:r>
          </w:p>
        </w:tc>
        <w:tc>
          <w:tcPr>
            <w:tcW w:w="1680" w:type="dxa"/>
            <w:tcBorders>
              <w:tl2br w:val="nil"/>
              <w:tr2bl w:val="nil"/>
            </w:tcBorders>
            <w:noWrap w:val="0"/>
            <w:vAlign w:val="center"/>
          </w:tcPr>
          <w:p w14:paraId="11CDA3C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0.04</w:t>
            </w:r>
          </w:p>
        </w:tc>
        <w:tc>
          <w:tcPr>
            <w:tcW w:w="462" w:type="pct"/>
            <w:tcBorders>
              <w:tl2br w:val="nil"/>
              <w:tr2bl w:val="nil"/>
            </w:tcBorders>
            <w:noWrap w:val="0"/>
            <w:vAlign w:val="center"/>
          </w:tcPr>
          <w:p w14:paraId="28D7E85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78E909A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654ED8A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2270E7F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default" w:ascii="Times New Roman" w:hAnsi="Times New Roman" w:eastAsia="宋体" w:cs="Times New Roman"/>
                <w:b w:val="0"/>
                <w:bCs w:val="0"/>
                <w:color w:val="auto"/>
                <w:kern w:val="2"/>
                <w:sz w:val="20"/>
                <w:szCs w:val="20"/>
                <w:highlight w:val="none"/>
                <w:lang w:val="en-US" w:eastAsia="zh-CN" w:bidi="ar-SA"/>
              </w:rPr>
              <w:t>镉</w:t>
            </w:r>
          </w:p>
        </w:tc>
        <w:tc>
          <w:tcPr>
            <w:tcW w:w="389" w:type="pct"/>
            <w:tcBorders>
              <w:tl2br w:val="nil"/>
              <w:tr2bl w:val="nil"/>
            </w:tcBorders>
            <w:noWrap w:val="0"/>
            <w:vAlign w:val="center"/>
          </w:tcPr>
          <w:p w14:paraId="1C19341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2FCD2AA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0.6×10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70" w:type="pct"/>
            <w:tcBorders>
              <w:tl2br w:val="nil"/>
              <w:tr2bl w:val="nil"/>
            </w:tcBorders>
            <w:noWrap w:val="0"/>
            <w:vAlign w:val="center"/>
          </w:tcPr>
          <w:p w14:paraId="6101554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0.5×10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72" w:type="pct"/>
            <w:tcBorders>
              <w:tl2br w:val="nil"/>
              <w:tr2bl w:val="nil"/>
            </w:tcBorders>
            <w:noWrap w:val="0"/>
            <w:vAlign w:val="center"/>
          </w:tcPr>
          <w:p w14:paraId="22B8A2A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0.5×10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64" w:type="pct"/>
            <w:tcBorders>
              <w:tl2br w:val="nil"/>
              <w:tr2bl w:val="nil"/>
            </w:tcBorders>
            <w:noWrap w:val="0"/>
            <w:vAlign w:val="center"/>
          </w:tcPr>
          <w:p w14:paraId="0A0AF5D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0.6×10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43" w:type="pct"/>
            <w:tcBorders>
              <w:tl2br w:val="nil"/>
              <w:tr2bl w:val="nil"/>
            </w:tcBorders>
            <w:noWrap w:val="0"/>
            <w:vAlign w:val="center"/>
          </w:tcPr>
          <w:p w14:paraId="2F566C5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0.005</w:t>
            </w:r>
          </w:p>
        </w:tc>
        <w:tc>
          <w:tcPr>
            <w:tcW w:w="1680" w:type="dxa"/>
            <w:tcBorders>
              <w:tl2br w:val="nil"/>
              <w:tr2bl w:val="nil"/>
            </w:tcBorders>
            <w:noWrap w:val="0"/>
            <w:vAlign w:val="center"/>
          </w:tcPr>
          <w:p w14:paraId="36296CC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0.12</w:t>
            </w:r>
          </w:p>
        </w:tc>
        <w:tc>
          <w:tcPr>
            <w:tcW w:w="462" w:type="pct"/>
            <w:tcBorders>
              <w:tl2br w:val="nil"/>
              <w:tr2bl w:val="nil"/>
            </w:tcBorders>
            <w:noWrap w:val="0"/>
            <w:vAlign w:val="center"/>
          </w:tcPr>
          <w:p w14:paraId="653422F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32762F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5F342AE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1D9233C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eastAsia" w:ascii="Times New Roman" w:hAnsi="Times New Roman" w:eastAsia="宋体" w:cs="Times New Roman"/>
                <w:b w:val="0"/>
                <w:bCs w:val="0"/>
                <w:color w:val="auto"/>
                <w:kern w:val="2"/>
                <w:sz w:val="20"/>
                <w:szCs w:val="20"/>
                <w:highlight w:val="none"/>
                <w:lang w:val="en-US" w:eastAsia="zh-CN" w:bidi="ar-SA"/>
              </w:rPr>
              <w:t>总氮</w:t>
            </w:r>
          </w:p>
        </w:tc>
        <w:tc>
          <w:tcPr>
            <w:tcW w:w="389" w:type="pct"/>
            <w:tcBorders>
              <w:tl2br w:val="nil"/>
              <w:tr2bl w:val="nil"/>
            </w:tcBorders>
            <w:noWrap w:val="0"/>
            <w:vAlign w:val="center"/>
          </w:tcPr>
          <w:p w14:paraId="62FE6D8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48DC6E8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4.34</w:t>
            </w:r>
          </w:p>
        </w:tc>
        <w:tc>
          <w:tcPr>
            <w:tcW w:w="570" w:type="pct"/>
            <w:tcBorders>
              <w:tl2br w:val="nil"/>
              <w:tr2bl w:val="nil"/>
            </w:tcBorders>
            <w:noWrap w:val="0"/>
            <w:vAlign w:val="center"/>
          </w:tcPr>
          <w:p w14:paraId="4AEDF90A">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3.4</w:t>
            </w:r>
          </w:p>
        </w:tc>
        <w:tc>
          <w:tcPr>
            <w:tcW w:w="572" w:type="pct"/>
            <w:tcBorders>
              <w:tl2br w:val="nil"/>
              <w:tr2bl w:val="nil"/>
            </w:tcBorders>
            <w:noWrap w:val="0"/>
            <w:vAlign w:val="center"/>
          </w:tcPr>
          <w:p w14:paraId="24AA748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3.08</w:t>
            </w:r>
          </w:p>
        </w:tc>
        <w:tc>
          <w:tcPr>
            <w:tcW w:w="564" w:type="pct"/>
            <w:tcBorders>
              <w:tl2br w:val="nil"/>
              <w:tr2bl w:val="nil"/>
            </w:tcBorders>
            <w:noWrap w:val="0"/>
            <w:vAlign w:val="center"/>
          </w:tcPr>
          <w:p w14:paraId="50CD88A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4.34</w:t>
            </w:r>
          </w:p>
        </w:tc>
        <w:tc>
          <w:tcPr>
            <w:tcW w:w="543" w:type="pct"/>
            <w:tcBorders>
              <w:tl2br w:val="nil"/>
              <w:tr2bl w:val="nil"/>
            </w:tcBorders>
            <w:noWrap w:val="0"/>
            <w:vAlign w:val="center"/>
          </w:tcPr>
          <w:p w14:paraId="63ABB2E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1.0*</w:t>
            </w:r>
          </w:p>
        </w:tc>
        <w:tc>
          <w:tcPr>
            <w:tcW w:w="1680" w:type="dxa"/>
            <w:tcBorders>
              <w:tl2br w:val="nil"/>
              <w:tr2bl w:val="nil"/>
            </w:tcBorders>
            <w:noWrap w:val="0"/>
            <w:vAlign w:val="center"/>
          </w:tcPr>
          <w:p w14:paraId="269F6B3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13AB35D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3CD762C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7BA5A86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6F8145A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eastAsia" w:ascii="Times New Roman" w:hAnsi="Times New Roman" w:eastAsia="宋体" w:cs="Times New Roman"/>
                <w:b w:val="0"/>
                <w:bCs w:val="0"/>
                <w:color w:val="auto"/>
                <w:kern w:val="2"/>
                <w:sz w:val="20"/>
                <w:szCs w:val="20"/>
                <w:highlight w:val="none"/>
                <w:lang w:val="en-US" w:eastAsia="zh-CN" w:bidi="ar-SA"/>
              </w:rPr>
              <w:t>硫化物</w:t>
            </w:r>
          </w:p>
        </w:tc>
        <w:tc>
          <w:tcPr>
            <w:tcW w:w="389" w:type="pct"/>
            <w:tcBorders>
              <w:tl2br w:val="nil"/>
              <w:tr2bl w:val="nil"/>
            </w:tcBorders>
            <w:noWrap w:val="0"/>
            <w:vAlign w:val="center"/>
          </w:tcPr>
          <w:p w14:paraId="6B441A9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28CE4ED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70" w:type="pct"/>
            <w:tcBorders>
              <w:tl2br w:val="nil"/>
              <w:tr2bl w:val="nil"/>
            </w:tcBorders>
            <w:noWrap w:val="0"/>
            <w:vAlign w:val="center"/>
          </w:tcPr>
          <w:p w14:paraId="15FFD7A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72" w:type="pct"/>
            <w:tcBorders>
              <w:tl2br w:val="nil"/>
              <w:tr2bl w:val="nil"/>
            </w:tcBorders>
            <w:noWrap w:val="0"/>
            <w:vAlign w:val="center"/>
          </w:tcPr>
          <w:p w14:paraId="46FEE4A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64" w:type="pct"/>
            <w:tcBorders>
              <w:tl2br w:val="nil"/>
              <w:tr2bl w:val="nil"/>
            </w:tcBorders>
            <w:noWrap w:val="0"/>
            <w:vAlign w:val="center"/>
          </w:tcPr>
          <w:p w14:paraId="55F2AD6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43" w:type="pct"/>
            <w:tcBorders>
              <w:tl2br w:val="nil"/>
              <w:tr2bl w:val="nil"/>
            </w:tcBorders>
            <w:noWrap w:val="0"/>
            <w:vAlign w:val="center"/>
          </w:tcPr>
          <w:p w14:paraId="202C34D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0.2</w:t>
            </w:r>
          </w:p>
        </w:tc>
        <w:tc>
          <w:tcPr>
            <w:tcW w:w="1680" w:type="dxa"/>
            <w:tcBorders>
              <w:tl2br w:val="nil"/>
              <w:tr2bl w:val="nil"/>
            </w:tcBorders>
            <w:noWrap w:val="0"/>
            <w:vAlign w:val="center"/>
          </w:tcPr>
          <w:p w14:paraId="75E4C46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i w:val="0"/>
                <w:iCs w:val="0"/>
                <w:color w:val="auto"/>
                <w:kern w:val="0"/>
                <w:sz w:val="20"/>
                <w:szCs w:val="20"/>
                <w:highlight w:val="none"/>
                <w:u w:val="none"/>
                <w:lang w:val="en-US" w:eastAsia="zh-CN" w:bidi="ar"/>
              </w:rPr>
              <w:t>&lt;</w:t>
            </w:r>
            <w:r>
              <w:rPr>
                <w:rFonts w:hint="default" w:ascii="Times New Roman" w:hAnsi="Times New Roman" w:eastAsia="宋体" w:cs="Times New Roman"/>
                <w:color w:val="auto"/>
                <w:sz w:val="20"/>
                <w:szCs w:val="20"/>
                <w:highlight w:val="none"/>
                <w:lang w:val="en-US" w:eastAsia="zh-CN"/>
              </w:rPr>
              <w:t>0.05</w:t>
            </w:r>
          </w:p>
        </w:tc>
        <w:tc>
          <w:tcPr>
            <w:tcW w:w="462" w:type="pct"/>
            <w:tcBorders>
              <w:tl2br w:val="nil"/>
              <w:tr2bl w:val="nil"/>
            </w:tcBorders>
            <w:noWrap w:val="0"/>
            <w:vAlign w:val="center"/>
          </w:tcPr>
          <w:p w14:paraId="52D122F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797ED8B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31FB3E1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245201C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default" w:ascii="Times New Roman" w:hAnsi="Times New Roman" w:eastAsia="宋体" w:cs="Times New Roman"/>
                <w:b w:val="0"/>
                <w:bCs w:val="0"/>
                <w:color w:val="auto"/>
                <w:sz w:val="20"/>
                <w:szCs w:val="20"/>
                <w:highlight w:val="none"/>
                <w:lang w:val="en-US" w:eastAsia="zh-CN"/>
              </w:rPr>
              <w:t>石油类</w:t>
            </w:r>
          </w:p>
        </w:tc>
        <w:tc>
          <w:tcPr>
            <w:tcW w:w="389" w:type="pct"/>
            <w:tcBorders>
              <w:tl2br w:val="nil"/>
              <w:tr2bl w:val="nil"/>
            </w:tcBorders>
            <w:noWrap w:val="0"/>
            <w:vAlign w:val="center"/>
          </w:tcPr>
          <w:p w14:paraId="5EBFEE7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3563F8B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w:t>
            </w:r>
          </w:p>
        </w:tc>
        <w:tc>
          <w:tcPr>
            <w:tcW w:w="570" w:type="pct"/>
            <w:tcBorders>
              <w:tl2br w:val="nil"/>
              <w:tr2bl w:val="nil"/>
            </w:tcBorders>
            <w:noWrap w:val="0"/>
            <w:vAlign w:val="center"/>
          </w:tcPr>
          <w:p w14:paraId="792DA93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72" w:type="pct"/>
            <w:tcBorders>
              <w:tl2br w:val="nil"/>
              <w:tr2bl w:val="nil"/>
            </w:tcBorders>
            <w:noWrap w:val="0"/>
            <w:vAlign w:val="center"/>
          </w:tcPr>
          <w:p w14:paraId="1275304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64" w:type="pct"/>
            <w:tcBorders>
              <w:tl2br w:val="nil"/>
              <w:tr2bl w:val="nil"/>
            </w:tcBorders>
            <w:noWrap w:val="0"/>
            <w:vAlign w:val="center"/>
          </w:tcPr>
          <w:p w14:paraId="7CE8661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w:t>
            </w:r>
          </w:p>
        </w:tc>
        <w:tc>
          <w:tcPr>
            <w:tcW w:w="543" w:type="pct"/>
            <w:tcBorders>
              <w:tl2br w:val="nil"/>
              <w:tr2bl w:val="nil"/>
            </w:tcBorders>
            <w:noWrap w:val="0"/>
            <w:vAlign w:val="center"/>
          </w:tcPr>
          <w:p w14:paraId="28B8474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0.05</w:t>
            </w:r>
          </w:p>
        </w:tc>
        <w:tc>
          <w:tcPr>
            <w:tcW w:w="1680" w:type="dxa"/>
            <w:tcBorders>
              <w:tl2br w:val="nil"/>
              <w:tr2bl w:val="nil"/>
            </w:tcBorders>
            <w:noWrap w:val="0"/>
            <w:vAlign w:val="center"/>
          </w:tcPr>
          <w:p w14:paraId="1335662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0.2</w:t>
            </w:r>
          </w:p>
        </w:tc>
        <w:tc>
          <w:tcPr>
            <w:tcW w:w="462" w:type="pct"/>
            <w:tcBorders>
              <w:tl2br w:val="nil"/>
              <w:tr2bl w:val="nil"/>
            </w:tcBorders>
            <w:noWrap w:val="0"/>
            <w:vAlign w:val="center"/>
          </w:tcPr>
          <w:p w14:paraId="3C285DB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1B11D04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035637E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5D03F8B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default" w:ascii="Times New Roman" w:hAnsi="Times New Roman" w:eastAsia="宋体" w:cs="Times New Roman"/>
                <w:b w:val="0"/>
                <w:bCs w:val="0"/>
                <w:color w:val="auto"/>
                <w:kern w:val="2"/>
                <w:sz w:val="20"/>
                <w:szCs w:val="20"/>
                <w:highlight w:val="none"/>
                <w:lang w:val="en-US" w:eastAsia="zh-CN" w:bidi="ar-SA"/>
              </w:rPr>
              <w:t>砷</w:t>
            </w:r>
          </w:p>
        </w:tc>
        <w:tc>
          <w:tcPr>
            <w:tcW w:w="389" w:type="pct"/>
            <w:tcBorders>
              <w:tl2br w:val="nil"/>
              <w:tr2bl w:val="nil"/>
            </w:tcBorders>
            <w:noWrap w:val="0"/>
            <w:vAlign w:val="center"/>
          </w:tcPr>
          <w:p w14:paraId="30C1B05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57B5C05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70" w:type="pct"/>
            <w:tcBorders>
              <w:tl2br w:val="nil"/>
              <w:tr2bl w:val="nil"/>
            </w:tcBorders>
            <w:noWrap w:val="0"/>
            <w:vAlign w:val="center"/>
          </w:tcPr>
          <w:p w14:paraId="34CA7DA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72" w:type="pct"/>
            <w:tcBorders>
              <w:tl2br w:val="nil"/>
              <w:tr2bl w:val="nil"/>
            </w:tcBorders>
            <w:noWrap w:val="0"/>
            <w:vAlign w:val="center"/>
          </w:tcPr>
          <w:p w14:paraId="64B25CC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64" w:type="pct"/>
            <w:tcBorders>
              <w:tl2br w:val="nil"/>
              <w:tr2bl w:val="nil"/>
            </w:tcBorders>
            <w:noWrap w:val="0"/>
            <w:vAlign w:val="center"/>
          </w:tcPr>
          <w:p w14:paraId="7CC32B8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43" w:type="pct"/>
            <w:tcBorders>
              <w:tl2br w:val="nil"/>
              <w:tr2bl w:val="nil"/>
            </w:tcBorders>
            <w:noWrap w:val="0"/>
            <w:vAlign w:val="center"/>
          </w:tcPr>
          <w:p w14:paraId="1175095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0.05</w:t>
            </w:r>
          </w:p>
        </w:tc>
        <w:tc>
          <w:tcPr>
            <w:tcW w:w="1680" w:type="dxa"/>
            <w:tcBorders>
              <w:tl2br w:val="nil"/>
              <w:tr2bl w:val="nil"/>
            </w:tcBorders>
            <w:noWrap w:val="0"/>
            <w:vAlign w:val="center"/>
          </w:tcPr>
          <w:p w14:paraId="3E09753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i w:val="0"/>
                <w:iCs w:val="0"/>
                <w:color w:val="auto"/>
                <w:kern w:val="0"/>
                <w:sz w:val="20"/>
                <w:szCs w:val="20"/>
                <w:highlight w:val="none"/>
                <w:u w:val="none"/>
                <w:lang w:val="en-US" w:eastAsia="zh-CN" w:bidi="ar"/>
              </w:rPr>
              <w:t>&lt;</w:t>
            </w:r>
            <w:r>
              <w:rPr>
                <w:rFonts w:hint="default" w:ascii="Times New Roman" w:hAnsi="Times New Roman" w:eastAsia="宋体" w:cs="Times New Roman"/>
                <w:color w:val="auto"/>
                <w:sz w:val="20"/>
                <w:szCs w:val="20"/>
                <w:highlight w:val="none"/>
                <w:lang w:val="en-US" w:eastAsia="zh-CN"/>
              </w:rPr>
              <w:t>0.006</w:t>
            </w:r>
          </w:p>
        </w:tc>
        <w:tc>
          <w:tcPr>
            <w:tcW w:w="462" w:type="pct"/>
            <w:tcBorders>
              <w:tl2br w:val="nil"/>
              <w:tr2bl w:val="nil"/>
            </w:tcBorders>
            <w:noWrap w:val="0"/>
            <w:vAlign w:val="center"/>
          </w:tcPr>
          <w:p w14:paraId="2002422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33F2CBCC">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3627FB9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660BD13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default" w:ascii="Times New Roman" w:hAnsi="Times New Roman" w:eastAsia="宋体" w:cs="Times New Roman"/>
                <w:b w:val="0"/>
                <w:bCs w:val="0"/>
                <w:color w:val="auto"/>
                <w:kern w:val="2"/>
                <w:sz w:val="20"/>
                <w:szCs w:val="20"/>
                <w:highlight w:val="none"/>
                <w:lang w:val="en-US" w:eastAsia="zh-CN" w:bidi="ar-SA"/>
              </w:rPr>
              <w:t>汞</w:t>
            </w:r>
          </w:p>
        </w:tc>
        <w:tc>
          <w:tcPr>
            <w:tcW w:w="389" w:type="pct"/>
            <w:tcBorders>
              <w:tl2br w:val="nil"/>
              <w:tr2bl w:val="nil"/>
            </w:tcBorders>
            <w:noWrap w:val="0"/>
            <w:vAlign w:val="center"/>
          </w:tcPr>
          <w:p w14:paraId="662D040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2C5D1C9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0.04×10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70" w:type="pct"/>
            <w:tcBorders>
              <w:tl2br w:val="nil"/>
              <w:tr2bl w:val="nil"/>
            </w:tcBorders>
            <w:noWrap w:val="0"/>
            <w:vAlign w:val="center"/>
          </w:tcPr>
          <w:p w14:paraId="3104915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0.04×10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72" w:type="pct"/>
            <w:tcBorders>
              <w:tl2br w:val="nil"/>
              <w:tr2bl w:val="nil"/>
            </w:tcBorders>
            <w:noWrap w:val="0"/>
            <w:vAlign w:val="center"/>
          </w:tcPr>
          <w:p w14:paraId="0595E49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0.04×10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64" w:type="pct"/>
            <w:tcBorders>
              <w:tl2br w:val="nil"/>
              <w:tr2bl w:val="nil"/>
            </w:tcBorders>
            <w:noWrap w:val="0"/>
            <w:vAlign w:val="center"/>
          </w:tcPr>
          <w:p w14:paraId="40CE6FE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0.04×10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43" w:type="pct"/>
            <w:tcBorders>
              <w:tl2br w:val="nil"/>
              <w:tr2bl w:val="nil"/>
            </w:tcBorders>
            <w:noWrap w:val="0"/>
            <w:vAlign w:val="center"/>
          </w:tcPr>
          <w:p w14:paraId="417D231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0.0001</w:t>
            </w:r>
          </w:p>
        </w:tc>
        <w:tc>
          <w:tcPr>
            <w:tcW w:w="1680" w:type="dxa"/>
            <w:tcBorders>
              <w:tl2br w:val="nil"/>
              <w:tr2bl w:val="nil"/>
            </w:tcBorders>
            <w:noWrap w:val="0"/>
            <w:vAlign w:val="center"/>
          </w:tcPr>
          <w:p w14:paraId="0E51173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i w:val="0"/>
                <w:iCs w:val="0"/>
                <w:color w:val="auto"/>
                <w:kern w:val="0"/>
                <w:sz w:val="20"/>
                <w:szCs w:val="20"/>
                <w:highlight w:val="none"/>
                <w:u w:val="none"/>
                <w:lang w:val="en-US" w:eastAsia="zh-CN" w:bidi="ar"/>
              </w:rPr>
              <w:t>&lt;</w:t>
            </w:r>
            <w:r>
              <w:rPr>
                <w:rFonts w:hint="default" w:ascii="Times New Roman" w:hAnsi="Times New Roman" w:eastAsia="宋体" w:cs="Times New Roman"/>
                <w:color w:val="auto"/>
                <w:sz w:val="20"/>
                <w:szCs w:val="20"/>
                <w:highlight w:val="none"/>
                <w:lang w:val="en-US" w:eastAsia="zh-CN"/>
              </w:rPr>
              <w:t>0.4</w:t>
            </w:r>
          </w:p>
        </w:tc>
        <w:tc>
          <w:tcPr>
            <w:tcW w:w="462" w:type="pct"/>
            <w:tcBorders>
              <w:tl2br w:val="nil"/>
              <w:tr2bl w:val="nil"/>
            </w:tcBorders>
            <w:noWrap w:val="0"/>
            <w:vAlign w:val="center"/>
          </w:tcPr>
          <w:p w14:paraId="68475FC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B67804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24DE275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519494D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eastAsia" w:ascii="Times New Roman" w:hAnsi="Times New Roman" w:eastAsia="宋体" w:cs="Times New Roman"/>
                <w:b w:val="0"/>
                <w:bCs w:val="0"/>
                <w:color w:val="auto"/>
                <w:kern w:val="2"/>
                <w:sz w:val="20"/>
                <w:szCs w:val="20"/>
                <w:highlight w:val="none"/>
                <w:lang w:val="en-US" w:eastAsia="zh-CN" w:bidi="ar-SA"/>
              </w:rPr>
              <w:t>色度</w:t>
            </w:r>
          </w:p>
        </w:tc>
        <w:tc>
          <w:tcPr>
            <w:tcW w:w="389" w:type="pct"/>
            <w:tcBorders>
              <w:tl2br w:val="nil"/>
              <w:tr2bl w:val="nil"/>
            </w:tcBorders>
            <w:noWrap w:val="0"/>
            <w:vAlign w:val="center"/>
          </w:tcPr>
          <w:p w14:paraId="12A49C6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eastAsia" w:ascii="Times New Roman" w:hAnsi="Times New Roman" w:eastAsia="宋体" w:cs="Times New Roman"/>
                <w:color w:val="auto"/>
                <w:kern w:val="2"/>
                <w:sz w:val="20"/>
                <w:szCs w:val="20"/>
                <w:highlight w:val="none"/>
                <w:lang w:val="en-US" w:eastAsia="zh-CN" w:bidi="ar-SA"/>
              </w:rPr>
              <w:t>度</w:t>
            </w:r>
          </w:p>
        </w:tc>
        <w:tc>
          <w:tcPr>
            <w:tcW w:w="570" w:type="pct"/>
            <w:tcBorders>
              <w:tl2br w:val="nil"/>
              <w:tr2bl w:val="nil"/>
            </w:tcBorders>
            <w:noWrap w:val="0"/>
            <w:vAlign w:val="center"/>
          </w:tcPr>
          <w:p w14:paraId="66FA013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5L</w:t>
            </w:r>
          </w:p>
        </w:tc>
        <w:tc>
          <w:tcPr>
            <w:tcW w:w="570" w:type="pct"/>
            <w:tcBorders>
              <w:tl2br w:val="nil"/>
              <w:tr2bl w:val="nil"/>
            </w:tcBorders>
            <w:noWrap w:val="0"/>
            <w:vAlign w:val="center"/>
          </w:tcPr>
          <w:p w14:paraId="4BE717D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5L</w:t>
            </w:r>
          </w:p>
        </w:tc>
        <w:tc>
          <w:tcPr>
            <w:tcW w:w="572" w:type="pct"/>
            <w:tcBorders>
              <w:tl2br w:val="nil"/>
              <w:tr2bl w:val="nil"/>
            </w:tcBorders>
            <w:noWrap w:val="0"/>
            <w:vAlign w:val="center"/>
          </w:tcPr>
          <w:p w14:paraId="4EA1526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5L</w:t>
            </w:r>
          </w:p>
        </w:tc>
        <w:tc>
          <w:tcPr>
            <w:tcW w:w="564" w:type="pct"/>
            <w:tcBorders>
              <w:tl2br w:val="nil"/>
              <w:tr2bl w:val="nil"/>
            </w:tcBorders>
            <w:noWrap w:val="0"/>
            <w:vAlign w:val="center"/>
          </w:tcPr>
          <w:p w14:paraId="643C008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5L</w:t>
            </w:r>
          </w:p>
        </w:tc>
        <w:tc>
          <w:tcPr>
            <w:tcW w:w="543" w:type="pct"/>
            <w:tcBorders>
              <w:tl2br w:val="nil"/>
              <w:tr2bl w:val="nil"/>
            </w:tcBorders>
            <w:noWrap w:val="0"/>
            <w:vAlign w:val="center"/>
          </w:tcPr>
          <w:p w14:paraId="4B359BF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w:t>
            </w:r>
          </w:p>
        </w:tc>
        <w:tc>
          <w:tcPr>
            <w:tcW w:w="1680" w:type="dxa"/>
            <w:tcBorders>
              <w:tl2br w:val="nil"/>
              <w:tr2bl w:val="nil"/>
            </w:tcBorders>
            <w:noWrap w:val="0"/>
            <w:vAlign w:val="center"/>
          </w:tcPr>
          <w:p w14:paraId="2DFB5D6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3534A50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746F373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6320F4A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311AE02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eastAsia" w:ascii="Times New Roman" w:hAnsi="Times New Roman" w:eastAsia="宋体" w:cs="Times New Roman"/>
                <w:b w:val="0"/>
                <w:bCs w:val="0"/>
                <w:color w:val="auto"/>
                <w:sz w:val="20"/>
                <w:szCs w:val="20"/>
                <w:highlight w:val="none"/>
                <w:lang w:val="en-US" w:eastAsia="zh-CN"/>
              </w:rPr>
              <w:t>粪大肠菌群</w:t>
            </w:r>
          </w:p>
        </w:tc>
        <w:tc>
          <w:tcPr>
            <w:tcW w:w="389" w:type="pct"/>
            <w:tcBorders>
              <w:tl2br w:val="nil"/>
              <w:tr2bl w:val="nil"/>
            </w:tcBorders>
            <w:noWrap w:val="0"/>
            <w:vAlign w:val="center"/>
          </w:tcPr>
          <w:p w14:paraId="6C8867E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eastAsia" w:ascii="Times New Roman" w:hAnsi="Times New Roman" w:eastAsia="宋体" w:cs="Times New Roman"/>
                <w:color w:val="auto"/>
                <w:kern w:val="2"/>
                <w:sz w:val="20"/>
                <w:szCs w:val="20"/>
                <w:highlight w:val="none"/>
                <w:lang w:val="en-US" w:eastAsia="zh-CN" w:bidi="ar-SA"/>
              </w:rPr>
              <w:t>MPN/L</w:t>
            </w:r>
          </w:p>
        </w:tc>
        <w:tc>
          <w:tcPr>
            <w:tcW w:w="570" w:type="pct"/>
            <w:tcBorders>
              <w:tl2br w:val="nil"/>
              <w:tr2bl w:val="nil"/>
            </w:tcBorders>
            <w:noWrap w:val="0"/>
            <w:vAlign w:val="center"/>
          </w:tcPr>
          <w:p w14:paraId="2297C58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2.1×10</w:t>
            </w:r>
            <w:r>
              <w:rPr>
                <w:rFonts w:hint="default" w:ascii="Times New Roman" w:hAnsi="Times New Roman" w:eastAsia="宋体" w:cs="Times New Roman"/>
                <w:i w:val="0"/>
                <w:iCs w:val="0"/>
                <w:color w:val="auto"/>
                <w:kern w:val="0"/>
                <w:sz w:val="20"/>
                <w:szCs w:val="20"/>
                <w:highlight w:val="none"/>
                <w:u w:val="none"/>
                <w:vertAlign w:val="superscript"/>
                <w:lang w:val="en-US" w:eastAsia="zh-CN" w:bidi="ar"/>
              </w:rPr>
              <w:t>2</w:t>
            </w:r>
          </w:p>
        </w:tc>
        <w:tc>
          <w:tcPr>
            <w:tcW w:w="570" w:type="pct"/>
            <w:tcBorders>
              <w:tl2br w:val="nil"/>
              <w:tr2bl w:val="nil"/>
            </w:tcBorders>
            <w:noWrap w:val="0"/>
            <w:vAlign w:val="center"/>
          </w:tcPr>
          <w:p w14:paraId="270C8BB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1.7×10</w:t>
            </w:r>
            <w:r>
              <w:rPr>
                <w:rFonts w:hint="default" w:ascii="Times New Roman" w:hAnsi="Times New Roman" w:eastAsia="宋体" w:cs="Times New Roman"/>
                <w:i w:val="0"/>
                <w:iCs w:val="0"/>
                <w:color w:val="auto"/>
                <w:kern w:val="0"/>
                <w:sz w:val="20"/>
                <w:szCs w:val="20"/>
                <w:highlight w:val="none"/>
                <w:u w:val="none"/>
                <w:vertAlign w:val="superscript"/>
                <w:lang w:val="en-US" w:eastAsia="zh-CN" w:bidi="ar"/>
              </w:rPr>
              <w:t>2</w:t>
            </w:r>
          </w:p>
        </w:tc>
        <w:tc>
          <w:tcPr>
            <w:tcW w:w="572" w:type="pct"/>
            <w:tcBorders>
              <w:tl2br w:val="nil"/>
              <w:tr2bl w:val="nil"/>
            </w:tcBorders>
            <w:noWrap w:val="0"/>
            <w:vAlign w:val="center"/>
          </w:tcPr>
          <w:p w14:paraId="6EE5D64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2.1×10</w:t>
            </w:r>
            <w:r>
              <w:rPr>
                <w:rFonts w:hint="default" w:ascii="Times New Roman" w:hAnsi="Times New Roman" w:eastAsia="宋体" w:cs="Times New Roman"/>
                <w:i w:val="0"/>
                <w:iCs w:val="0"/>
                <w:color w:val="auto"/>
                <w:kern w:val="0"/>
                <w:sz w:val="20"/>
                <w:szCs w:val="20"/>
                <w:highlight w:val="none"/>
                <w:u w:val="none"/>
                <w:vertAlign w:val="superscript"/>
                <w:lang w:val="en-US" w:eastAsia="zh-CN" w:bidi="ar"/>
              </w:rPr>
              <w:t>2</w:t>
            </w:r>
          </w:p>
        </w:tc>
        <w:tc>
          <w:tcPr>
            <w:tcW w:w="564" w:type="pct"/>
            <w:tcBorders>
              <w:tl2br w:val="nil"/>
              <w:tr2bl w:val="nil"/>
            </w:tcBorders>
            <w:noWrap w:val="0"/>
            <w:vAlign w:val="center"/>
          </w:tcPr>
          <w:p w14:paraId="3C133C9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2.1×10</w:t>
            </w:r>
            <w:r>
              <w:rPr>
                <w:rFonts w:hint="default" w:ascii="Times New Roman" w:hAnsi="Times New Roman" w:eastAsia="宋体" w:cs="Times New Roman"/>
                <w:i w:val="0"/>
                <w:iCs w:val="0"/>
                <w:color w:val="auto"/>
                <w:kern w:val="0"/>
                <w:sz w:val="20"/>
                <w:szCs w:val="20"/>
                <w:highlight w:val="none"/>
                <w:u w:val="none"/>
                <w:vertAlign w:val="superscript"/>
                <w:lang w:val="en-US" w:eastAsia="zh-CN" w:bidi="ar"/>
              </w:rPr>
              <w:t>2</w:t>
            </w:r>
          </w:p>
        </w:tc>
        <w:tc>
          <w:tcPr>
            <w:tcW w:w="543" w:type="pct"/>
            <w:tcBorders>
              <w:tl2br w:val="nil"/>
              <w:tr2bl w:val="nil"/>
            </w:tcBorders>
            <w:noWrap w:val="0"/>
            <w:vAlign w:val="center"/>
          </w:tcPr>
          <w:p w14:paraId="733BCBB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10000</w:t>
            </w:r>
          </w:p>
        </w:tc>
        <w:tc>
          <w:tcPr>
            <w:tcW w:w="1680" w:type="dxa"/>
            <w:tcBorders>
              <w:tl2br w:val="nil"/>
              <w:tr2bl w:val="nil"/>
            </w:tcBorders>
            <w:noWrap w:val="0"/>
            <w:vAlign w:val="center"/>
          </w:tcPr>
          <w:p w14:paraId="6A1C371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0.21</w:t>
            </w:r>
          </w:p>
        </w:tc>
        <w:tc>
          <w:tcPr>
            <w:tcW w:w="462" w:type="pct"/>
            <w:tcBorders>
              <w:tl2br w:val="nil"/>
              <w:tr2bl w:val="nil"/>
            </w:tcBorders>
            <w:noWrap w:val="0"/>
            <w:vAlign w:val="center"/>
          </w:tcPr>
          <w:p w14:paraId="0391FF2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11DAF80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2146FD3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7BA716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default" w:ascii="Times New Roman" w:hAnsi="Times New Roman" w:eastAsia="宋体" w:cs="Times New Roman"/>
                <w:b w:val="0"/>
                <w:bCs w:val="0"/>
                <w:color w:val="auto"/>
                <w:kern w:val="2"/>
                <w:sz w:val="20"/>
                <w:szCs w:val="20"/>
                <w:highlight w:val="none"/>
                <w:lang w:val="en-US" w:eastAsia="zh-CN" w:bidi="ar-SA"/>
              </w:rPr>
              <w:t>六价铬</w:t>
            </w:r>
          </w:p>
        </w:tc>
        <w:tc>
          <w:tcPr>
            <w:tcW w:w="389" w:type="pct"/>
            <w:tcBorders>
              <w:tl2br w:val="nil"/>
              <w:tr2bl w:val="nil"/>
            </w:tcBorders>
            <w:noWrap w:val="0"/>
            <w:vAlign w:val="center"/>
          </w:tcPr>
          <w:p w14:paraId="185FE36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33D8A7F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0.008</w:t>
            </w:r>
          </w:p>
        </w:tc>
        <w:tc>
          <w:tcPr>
            <w:tcW w:w="570" w:type="pct"/>
            <w:tcBorders>
              <w:tl2br w:val="nil"/>
              <w:tr2bl w:val="nil"/>
            </w:tcBorders>
            <w:noWrap w:val="0"/>
            <w:vAlign w:val="center"/>
          </w:tcPr>
          <w:p w14:paraId="74198DF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0.004</w:t>
            </w:r>
          </w:p>
        </w:tc>
        <w:tc>
          <w:tcPr>
            <w:tcW w:w="572" w:type="pct"/>
            <w:tcBorders>
              <w:tl2br w:val="nil"/>
              <w:tr2bl w:val="nil"/>
            </w:tcBorders>
            <w:noWrap w:val="0"/>
            <w:vAlign w:val="center"/>
          </w:tcPr>
          <w:p w14:paraId="368BDEF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0.004L</w:t>
            </w:r>
          </w:p>
        </w:tc>
        <w:tc>
          <w:tcPr>
            <w:tcW w:w="564" w:type="pct"/>
            <w:tcBorders>
              <w:tl2br w:val="nil"/>
              <w:tr2bl w:val="nil"/>
            </w:tcBorders>
            <w:noWrap w:val="0"/>
            <w:vAlign w:val="center"/>
          </w:tcPr>
          <w:p w14:paraId="6E6B971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0.008</w:t>
            </w:r>
          </w:p>
        </w:tc>
        <w:tc>
          <w:tcPr>
            <w:tcW w:w="543" w:type="pct"/>
            <w:tcBorders>
              <w:tl2br w:val="nil"/>
              <w:tr2bl w:val="nil"/>
            </w:tcBorders>
            <w:noWrap w:val="0"/>
            <w:vAlign w:val="center"/>
          </w:tcPr>
          <w:p w14:paraId="5CFDBD4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0.05</w:t>
            </w:r>
          </w:p>
        </w:tc>
        <w:tc>
          <w:tcPr>
            <w:tcW w:w="1680" w:type="dxa"/>
            <w:tcBorders>
              <w:tl2br w:val="nil"/>
              <w:tr2bl w:val="nil"/>
            </w:tcBorders>
            <w:noWrap w:val="0"/>
            <w:vAlign w:val="center"/>
          </w:tcPr>
          <w:p w14:paraId="70D244C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0.16</w:t>
            </w:r>
          </w:p>
        </w:tc>
        <w:tc>
          <w:tcPr>
            <w:tcW w:w="462" w:type="pct"/>
            <w:tcBorders>
              <w:tl2br w:val="nil"/>
              <w:tr2bl w:val="nil"/>
            </w:tcBorders>
            <w:noWrap w:val="0"/>
            <w:vAlign w:val="center"/>
          </w:tcPr>
          <w:p w14:paraId="2516C80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6C339C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692618F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1AEF9CF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default" w:ascii="Times New Roman" w:hAnsi="Times New Roman" w:eastAsia="宋体" w:cs="Times New Roman"/>
                <w:b w:val="0"/>
                <w:bCs w:val="0"/>
                <w:color w:val="auto"/>
                <w:kern w:val="2"/>
                <w:sz w:val="20"/>
                <w:szCs w:val="20"/>
                <w:highlight w:val="none"/>
                <w:lang w:val="en-US" w:eastAsia="zh-CN" w:bidi="ar-SA"/>
              </w:rPr>
              <w:t>氨氮</w:t>
            </w:r>
          </w:p>
        </w:tc>
        <w:tc>
          <w:tcPr>
            <w:tcW w:w="389" w:type="pct"/>
            <w:tcBorders>
              <w:tl2br w:val="nil"/>
              <w:tr2bl w:val="nil"/>
            </w:tcBorders>
            <w:noWrap w:val="0"/>
            <w:vAlign w:val="center"/>
          </w:tcPr>
          <w:p w14:paraId="6C40DCD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5F599D4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0.772</w:t>
            </w:r>
          </w:p>
        </w:tc>
        <w:tc>
          <w:tcPr>
            <w:tcW w:w="570" w:type="pct"/>
            <w:tcBorders>
              <w:tl2br w:val="nil"/>
              <w:tr2bl w:val="nil"/>
            </w:tcBorders>
            <w:noWrap w:val="0"/>
            <w:vAlign w:val="center"/>
          </w:tcPr>
          <w:p w14:paraId="1BEB29D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0.815</w:t>
            </w:r>
          </w:p>
        </w:tc>
        <w:tc>
          <w:tcPr>
            <w:tcW w:w="572" w:type="pct"/>
            <w:tcBorders>
              <w:tl2br w:val="nil"/>
              <w:tr2bl w:val="nil"/>
            </w:tcBorders>
            <w:noWrap w:val="0"/>
            <w:vAlign w:val="center"/>
          </w:tcPr>
          <w:p w14:paraId="09E0197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0.895</w:t>
            </w:r>
          </w:p>
        </w:tc>
        <w:tc>
          <w:tcPr>
            <w:tcW w:w="564" w:type="pct"/>
            <w:tcBorders>
              <w:tl2br w:val="nil"/>
              <w:tr2bl w:val="nil"/>
            </w:tcBorders>
            <w:noWrap w:val="0"/>
            <w:vAlign w:val="center"/>
          </w:tcPr>
          <w:p w14:paraId="372F27F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0.895</w:t>
            </w:r>
          </w:p>
        </w:tc>
        <w:tc>
          <w:tcPr>
            <w:tcW w:w="543" w:type="pct"/>
            <w:tcBorders>
              <w:tl2br w:val="nil"/>
              <w:tr2bl w:val="nil"/>
            </w:tcBorders>
            <w:noWrap w:val="0"/>
            <w:vAlign w:val="center"/>
          </w:tcPr>
          <w:p w14:paraId="2FFCF26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1.0</w:t>
            </w:r>
          </w:p>
        </w:tc>
        <w:tc>
          <w:tcPr>
            <w:tcW w:w="1680" w:type="dxa"/>
            <w:tcBorders>
              <w:tl2br w:val="nil"/>
              <w:tr2bl w:val="nil"/>
            </w:tcBorders>
            <w:noWrap w:val="0"/>
            <w:vAlign w:val="center"/>
          </w:tcPr>
          <w:p w14:paraId="5C25398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0.895</w:t>
            </w:r>
          </w:p>
        </w:tc>
        <w:tc>
          <w:tcPr>
            <w:tcW w:w="462" w:type="pct"/>
            <w:tcBorders>
              <w:tl2br w:val="nil"/>
              <w:tr2bl w:val="nil"/>
            </w:tcBorders>
            <w:noWrap w:val="0"/>
            <w:vAlign w:val="center"/>
          </w:tcPr>
          <w:p w14:paraId="6BE2E62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183BB70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366BBF8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66D9F43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eastAsia" w:ascii="Times New Roman" w:hAnsi="Times New Roman" w:eastAsia="宋体" w:cs="Times New Roman"/>
                <w:b w:val="0"/>
                <w:bCs w:val="0"/>
                <w:color w:val="auto"/>
                <w:kern w:val="2"/>
                <w:sz w:val="20"/>
                <w:szCs w:val="20"/>
                <w:highlight w:val="none"/>
                <w:lang w:val="en-US" w:eastAsia="zh-CN" w:bidi="ar-SA"/>
              </w:rPr>
              <w:t>化学需氧量</w:t>
            </w:r>
          </w:p>
        </w:tc>
        <w:tc>
          <w:tcPr>
            <w:tcW w:w="389" w:type="pct"/>
            <w:tcBorders>
              <w:tl2br w:val="nil"/>
              <w:tr2bl w:val="nil"/>
            </w:tcBorders>
            <w:noWrap w:val="0"/>
            <w:vAlign w:val="center"/>
          </w:tcPr>
          <w:p w14:paraId="57AB280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29C36E1A">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16</w:t>
            </w:r>
          </w:p>
        </w:tc>
        <w:tc>
          <w:tcPr>
            <w:tcW w:w="570" w:type="pct"/>
            <w:tcBorders>
              <w:tl2br w:val="nil"/>
              <w:tr2bl w:val="nil"/>
            </w:tcBorders>
            <w:noWrap w:val="0"/>
            <w:vAlign w:val="center"/>
          </w:tcPr>
          <w:p w14:paraId="4FFDE8E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17</w:t>
            </w:r>
          </w:p>
        </w:tc>
        <w:tc>
          <w:tcPr>
            <w:tcW w:w="572" w:type="pct"/>
            <w:tcBorders>
              <w:tl2br w:val="nil"/>
              <w:tr2bl w:val="nil"/>
            </w:tcBorders>
            <w:noWrap w:val="0"/>
            <w:vAlign w:val="center"/>
          </w:tcPr>
          <w:p w14:paraId="46D8B27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16</w:t>
            </w:r>
          </w:p>
        </w:tc>
        <w:tc>
          <w:tcPr>
            <w:tcW w:w="564" w:type="pct"/>
            <w:tcBorders>
              <w:tl2br w:val="nil"/>
              <w:tr2bl w:val="nil"/>
            </w:tcBorders>
            <w:noWrap w:val="0"/>
            <w:vAlign w:val="center"/>
          </w:tcPr>
          <w:p w14:paraId="18744198">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17</w:t>
            </w:r>
          </w:p>
        </w:tc>
        <w:tc>
          <w:tcPr>
            <w:tcW w:w="543" w:type="pct"/>
            <w:tcBorders>
              <w:tl2br w:val="nil"/>
              <w:tr2bl w:val="nil"/>
            </w:tcBorders>
            <w:noWrap w:val="0"/>
            <w:vAlign w:val="center"/>
          </w:tcPr>
          <w:p w14:paraId="0A69FA3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20</w:t>
            </w:r>
          </w:p>
        </w:tc>
        <w:tc>
          <w:tcPr>
            <w:tcW w:w="1680" w:type="dxa"/>
            <w:tcBorders>
              <w:tl2br w:val="nil"/>
              <w:tr2bl w:val="nil"/>
            </w:tcBorders>
            <w:noWrap w:val="0"/>
            <w:vAlign w:val="center"/>
          </w:tcPr>
          <w:p w14:paraId="57ABFFD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0.85</w:t>
            </w:r>
          </w:p>
        </w:tc>
        <w:tc>
          <w:tcPr>
            <w:tcW w:w="462" w:type="pct"/>
            <w:tcBorders>
              <w:tl2br w:val="nil"/>
              <w:tr2bl w:val="nil"/>
            </w:tcBorders>
            <w:noWrap w:val="0"/>
            <w:vAlign w:val="center"/>
          </w:tcPr>
          <w:p w14:paraId="5798D4C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0568E6E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3524D5A8">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62D1D35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kern w:val="0"/>
                <w:sz w:val="20"/>
                <w:szCs w:val="20"/>
                <w:highlight w:val="none"/>
                <w:lang w:bidi="ar"/>
              </w:rPr>
            </w:pPr>
            <w:r>
              <w:rPr>
                <w:rFonts w:hint="default" w:ascii="Times New Roman" w:hAnsi="Times New Roman" w:eastAsia="宋体" w:cs="Times New Roman"/>
                <w:b w:val="0"/>
                <w:bCs w:val="0"/>
                <w:color w:val="auto"/>
                <w:sz w:val="20"/>
                <w:szCs w:val="20"/>
                <w:highlight w:val="none"/>
                <w:lang w:val="en-US" w:eastAsia="zh-CN"/>
              </w:rPr>
              <w:t>五日生化需氧量</w:t>
            </w:r>
          </w:p>
        </w:tc>
        <w:tc>
          <w:tcPr>
            <w:tcW w:w="389" w:type="pct"/>
            <w:tcBorders>
              <w:tl2br w:val="nil"/>
              <w:tr2bl w:val="nil"/>
            </w:tcBorders>
            <w:noWrap w:val="0"/>
            <w:vAlign w:val="center"/>
          </w:tcPr>
          <w:p w14:paraId="59D8755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507F065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3.2</w:t>
            </w:r>
          </w:p>
        </w:tc>
        <w:tc>
          <w:tcPr>
            <w:tcW w:w="570" w:type="pct"/>
            <w:tcBorders>
              <w:tl2br w:val="nil"/>
              <w:tr2bl w:val="nil"/>
            </w:tcBorders>
            <w:noWrap w:val="0"/>
            <w:vAlign w:val="center"/>
          </w:tcPr>
          <w:p w14:paraId="1AB0914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3.5</w:t>
            </w:r>
          </w:p>
        </w:tc>
        <w:tc>
          <w:tcPr>
            <w:tcW w:w="572" w:type="pct"/>
            <w:tcBorders>
              <w:tl2br w:val="nil"/>
              <w:tr2bl w:val="nil"/>
            </w:tcBorders>
            <w:noWrap w:val="0"/>
            <w:vAlign w:val="center"/>
          </w:tcPr>
          <w:p w14:paraId="495DA61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3.2</w:t>
            </w:r>
          </w:p>
        </w:tc>
        <w:tc>
          <w:tcPr>
            <w:tcW w:w="564" w:type="pct"/>
            <w:tcBorders>
              <w:tl2br w:val="nil"/>
              <w:tr2bl w:val="nil"/>
            </w:tcBorders>
            <w:noWrap w:val="0"/>
            <w:vAlign w:val="center"/>
          </w:tcPr>
          <w:p w14:paraId="4608045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3.5</w:t>
            </w:r>
          </w:p>
        </w:tc>
        <w:tc>
          <w:tcPr>
            <w:tcW w:w="543" w:type="pct"/>
            <w:tcBorders>
              <w:tl2br w:val="nil"/>
              <w:tr2bl w:val="nil"/>
            </w:tcBorders>
            <w:noWrap w:val="0"/>
            <w:vAlign w:val="center"/>
          </w:tcPr>
          <w:p w14:paraId="33289A5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4</w:t>
            </w:r>
          </w:p>
        </w:tc>
        <w:tc>
          <w:tcPr>
            <w:tcW w:w="1680" w:type="dxa"/>
            <w:tcBorders>
              <w:tl2br w:val="nil"/>
              <w:tr2bl w:val="nil"/>
            </w:tcBorders>
            <w:noWrap w:val="0"/>
            <w:vAlign w:val="center"/>
          </w:tcPr>
          <w:p w14:paraId="722AD63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0.875</w:t>
            </w:r>
          </w:p>
        </w:tc>
        <w:tc>
          <w:tcPr>
            <w:tcW w:w="462" w:type="pct"/>
            <w:tcBorders>
              <w:tl2br w:val="nil"/>
              <w:tr2bl w:val="nil"/>
            </w:tcBorders>
            <w:noWrap w:val="0"/>
            <w:vAlign w:val="center"/>
          </w:tcPr>
          <w:p w14:paraId="149D79E8">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1CF8769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630EA15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537E93A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pacing w:val="9"/>
                <w:sz w:val="20"/>
                <w:szCs w:val="20"/>
                <w:highlight w:val="none"/>
              </w:rPr>
            </w:pPr>
            <w:r>
              <w:rPr>
                <w:rFonts w:hint="default" w:ascii="Times New Roman" w:hAnsi="Times New Roman" w:eastAsia="宋体" w:cs="Times New Roman"/>
                <w:b w:val="0"/>
                <w:bCs w:val="0"/>
                <w:color w:val="auto"/>
                <w:kern w:val="2"/>
                <w:sz w:val="20"/>
                <w:szCs w:val="20"/>
                <w:highlight w:val="none"/>
                <w:lang w:val="en-US" w:eastAsia="zh-CN" w:bidi="ar-SA"/>
              </w:rPr>
              <w:t>悬浮物</w:t>
            </w:r>
          </w:p>
        </w:tc>
        <w:tc>
          <w:tcPr>
            <w:tcW w:w="389" w:type="pct"/>
            <w:tcBorders>
              <w:tl2br w:val="nil"/>
              <w:tr2bl w:val="nil"/>
            </w:tcBorders>
            <w:noWrap w:val="0"/>
            <w:vAlign w:val="center"/>
          </w:tcPr>
          <w:p w14:paraId="4EFE03D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2A34340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w:t>
            </w:r>
          </w:p>
        </w:tc>
        <w:tc>
          <w:tcPr>
            <w:tcW w:w="570" w:type="pct"/>
            <w:tcBorders>
              <w:tl2br w:val="nil"/>
              <w:tr2bl w:val="nil"/>
            </w:tcBorders>
            <w:noWrap w:val="0"/>
            <w:vAlign w:val="center"/>
          </w:tcPr>
          <w:p w14:paraId="09A370C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w:t>
            </w:r>
          </w:p>
        </w:tc>
        <w:tc>
          <w:tcPr>
            <w:tcW w:w="572" w:type="pct"/>
            <w:tcBorders>
              <w:tl2br w:val="nil"/>
              <w:tr2bl w:val="nil"/>
            </w:tcBorders>
            <w:noWrap w:val="0"/>
            <w:vAlign w:val="center"/>
          </w:tcPr>
          <w:p w14:paraId="3825757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5</w:t>
            </w:r>
          </w:p>
        </w:tc>
        <w:tc>
          <w:tcPr>
            <w:tcW w:w="564" w:type="pct"/>
            <w:tcBorders>
              <w:tl2br w:val="nil"/>
              <w:tr2bl w:val="nil"/>
            </w:tcBorders>
            <w:noWrap w:val="0"/>
            <w:vAlign w:val="center"/>
          </w:tcPr>
          <w:p w14:paraId="55F20F5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w:t>
            </w:r>
          </w:p>
        </w:tc>
        <w:tc>
          <w:tcPr>
            <w:tcW w:w="543" w:type="pct"/>
            <w:tcBorders>
              <w:tl2br w:val="nil"/>
              <w:tr2bl w:val="nil"/>
            </w:tcBorders>
            <w:noWrap w:val="0"/>
            <w:vAlign w:val="center"/>
          </w:tcPr>
          <w:p w14:paraId="08723C7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color w:val="auto"/>
                <w:spacing w:val="9"/>
                <w:sz w:val="20"/>
                <w:szCs w:val="20"/>
                <w:highlight w:val="none"/>
                <w:lang w:val="en-US" w:eastAsia="zh-CN"/>
              </w:rPr>
            </w:pPr>
            <w:r>
              <w:rPr>
                <w:rFonts w:hint="eastAsia" w:ascii="Times New Roman" w:hAnsi="Times New Roman" w:eastAsia="宋体" w:cs="Times New Roman"/>
                <w:color w:val="auto"/>
                <w:spacing w:val="9"/>
                <w:sz w:val="20"/>
                <w:szCs w:val="20"/>
                <w:highlight w:val="none"/>
                <w:lang w:val="en-US" w:eastAsia="zh-CN"/>
              </w:rPr>
              <w:t>/</w:t>
            </w:r>
          </w:p>
        </w:tc>
        <w:tc>
          <w:tcPr>
            <w:tcW w:w="1680" w:type="dxa"/>
            <w:tcBorders>
              <w:tl2br w:val="nil"/>
              <w:tr2bl w:val="nil"/>
            </w:tcBorders>
            <w:noWrap w:val="0"/>
            <w:vAlign w:val="center"/>
          </w:tcPr>
          <w:p w14:paraId="1CF45AE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30609C4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48B9BEA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540BBC6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014F90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b w:val="0"/>
                <w:bCs w:val="0"/>
                <w:color w:val="auto"/>
                <w:spacing w:val="9"/>
                <w:sz w:val="20"/>
                <w:szCs w:val="20"/>
                <w:highlight w:val="none"/>
              </w:rPr>
            </w:pPr>
            <w:r>
              <w:rPr>
                <w:rFonts w:hint="default" w:ascii="Times New Roman" w:hAnsi="Times New Roman" w:eastAsia="宋体" w:cs="Times New Roman"/>
                <w:b w:val="0"/>
                <w:bCs w:val="0"/>
                <w:color w:val="auto"/>
                <w:sz w:val="20"/>
                <w:szCs w:val="20"/>
                <w:highlight w:val="none"/>
                <w:lang w:val="en-US" w:eastAsia="zh-CN"/>
              </w:rPr>
              <w:t>总磷</w:t>
            </w:r>
          </w:p>
        </w:tc>
        <w:tc>
          <w:tcPr>
            <w:tcW w:w="389" w:type="pct"/>
            <w:tcBorders>
              <w:tl2br w:val="nil"/>
              <w:tr2bl w:val="nil"/>
            </w:tcBorders>
            <w:noWrap w:val="0"/>
            <w:vAlign w:val="center"/>
          </w:tcPr>
          <w:p w14:paraId="28F392F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71D6BEFA">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0.1</w:t>
            </w:r>
          </w:p>
        </w:tc>
        <w:tc>
          <w:tcPr>
            <w:tcW w:w="570" w:type="pct"/>
            <w:tcBorders>
              <w:tl2br w:val="nil"/>
              <w:tr2bl w:val="nil"/>
            </w:tcBorders>
            <w:noWrap w:val="0"/>
            <w:vAlign w:val="center"/>
          </w:tcPr>
          <w:p w14:paraId="4ED9092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0.1</w:t>
            </w:r>
          </w:p>
        </w:tc>
        <w:tc>
          <w:tcPr>
            <w:tcW w:w="572" w:type="pct"/>
            <w:tcBorders>
              <w:tl2br w:val="nil"/>
              <w:tr2bl w:val="nil"/>
            </w:tcBorders>
            <w:noWrap w:val="0"/>
            <w:vAlign w:val="center"/>
          </w:tcPr>
          <w:p w14:paraId="6609857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0.08</w:t>
            </w:r>
          </w:p>
        </w:tc>
        <w:tc>
          <w:tcPr>
            <w:tcW w:w="564" w:type="pct"/>
            <w:tcBorders>
              <w:tl2br w:val="nil"/>
              <w:tr2bl w:val="nil"/>
            </w:tcBorders>
            <w:noWrap w:val="0"/>
            <w:vAlign w:val="center"/>
          </w:tcPr>
          <w:p w14:paraId="406A449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0.1</w:t>
            </w:r>
          </w:p>
        </w:tc>
        <w:tc>
          <w:tcPr>
            <w:tcW w:w="543" w:type="pct"/>
            <w:tcBorders>
              <w:tl2br w:val="nil"/>
              <w:tr2bl w:val="nil"/>
            </w:tcBorders>
            <w:noWrap w:val="0"/>
            <w:vAlign w:val="center"/>
          </w:tcPr>
          <w:p w14:paraId="629EC3C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0.2</w:t>
            </w:r>
          </w:p>
        </w:tc>
        <w:tc>
          <w:tcPr>
            <w:tcW w:w="1680" w:type="dxa"/>
            <w:tcBorders>
              <w:tl2br w:val="nil"/>
              <w:tr2bl w:val="nil"/>
            </w:tcBorders>
            <w:noWrap w:val="0"/>
            <w:vAlign w:val="center"/>
          </w:tcPr>
          <w:p w14:paraId="2D69007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0.5</w:t>
            </w:r>
          </w:p>
        </w:tc>
        <w:tc>
          <w:tcPr>
            <w:tcW w:w="462" w:type="pct"/>
            <w:tcBorders>
              <w:tl2br w:val="nil"/>
              <w:tr2bl w:val="nil"/>
            </w:tcBorders>
            <w:noWrap w:val="0"/>
            <w:vAlign w:val="center"/>
          </w:tcPr>
          <w:p w14:paraId="29B9B1C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4D61CE6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0F69327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5DED5E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总</w:t>
            </w:r>
            <w:r>
              <w:rPr>
                <w:rFonts w:hint="default" w:ascii="Times New Roman" w:hAnsi="Times New Roman" w:eastAsia="宋体" w:cs="Times New Roman"/>
                <w:b w:val="0"/>
                <w:bCs/>
                <w:color w:val="auto"/>
                <w:sz w:val="20"/>
                <w:szCs w:val="20"/>
                <w:highlight w:val="none"/>
              </w:rPr>
              <w:t>铬</w:t>
            </w:r>
          </w:p>
        </w:tc>
        <w:tc>
          <w:tcPr>
            <w:tcW w:w="389" w:type="pct"/>
            <w:tcBorders>
              <w:tl2br w:val="nil"/>
              <w:tr2bl w:val="nil"/>
            </w:tcBorders>
            <w:noWrap w:val="0"/>
            <w:vAlign w:val="center"/>
          </w:tcPr>
          <w:p w14:paraId="6A37AA2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07A7817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0.032</w:t>
            </w:r>
          </w:p>
        </w:tc>
        <w:tc>
          <w:tcPr>
            <w:tcW w:w="570" w:type="pct"/>
            <w:tcBorders>
              <w:tl2br w:val="nil"/>
              <w:tr2bl w:val="nil"/>
            </w:tcBorders>
            <w:noWrap w:val="0"/>
            <w:vAlign w:val="center"/>
          </w:tcPr>
          <w:p w14:paraId="4A52983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0.035</w:t>
            </w:r>
          </w:p>
        </w:tc>
        <w:tc>
          <w:tcPr>
            <w:tcW w:w="572" w:type="pct"/>
            <w:tcBorders>
              <w:tl2br w:val="nil"/>
              <w:tr2bl w:val="nil"/>
            </w:tcBorders>
            <w:noWrap w:val="0"/>
            <w:vAlign w:val="center"/>
          </w:tcPr>
          <w:p w14:paraId="2ADCC44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0.03</w:t>
            </w:r>
          </w:p>
        </w:tc>
        <w:tc>
          <w:tcPr>
            <w:tcW w:w="564" w:type="pct"/>
            <w:tcBorders>
              <w:tl2br w:val="nil"/>
              <w:tr2bl w:val="nil"/>
            </w:tcBorders>
            <w:noWrap w:val="0"/>
            <w:vAlign w:val="center"/>
          </w:tcPr>
          <w:p w14:paraId="1E47CAF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0.035</w:t>
            </w:r>
          </w:p>
        </w:tc>
        <w:tc>
          <w:tcPr>
            <w:tcW w:w="543" w:type="pct"/>
            <w:tcBorders>
              <w:tl2br w:val="nil"/>
              <w:tr2bl w:val="nil"/>
            </w:tcBorders>
            <w:noWrap w:val="0"/>
            <w:vAlign w:val="center"/>
          </w:tcPr>
          <w:p w14:paraId="6A65DF8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w:t>
            </w:r>
          </w:p>
        </w:tc>
        <w:tc>
          <w:tcPr>
            <w:tcW w:w="1680" w:type="dxa"/>
            <w:tcBorders>
              <w:tl2br w:val="nil"/>
              <w:tr2bl w:val="nil"/>
            </w:tcBorders>
            <w:noWrap w:val="0"/>
            <w:vAlign w:val="center"/>
          </w:tcPr>
          <w:p w14:paraId="1B55E69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0993E83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4431C1B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restart"/>
            <w:tcBorders>
              <w:tl2br w:val="nil"/>
              <w:tr2bl w:val="nil"/>
            </w:tcBorders>
            <w:noWrap w:val="0"/>
            <w:vAlign w:val="center"/>
          </w:tcPr>
          <w:p w14:paraId="71F600A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cs="Times New Roman"/>
                <w:color w:val="auto"/>
                <w:sz w:val="20"/>
                <w:szCs w:val="20"/>
                <w:highlight w:val="none"/>
              </w:rPr>
              <w:t>Ⅱ</w:t>
            </w:r>
            <w:r>
              <w:rPr>
                <w:rFonts w:hint="eastAsia" w:ascii="Times New Roman" w:hAnsi="Times New Roman" w:eastAsia="宋体" w:cs="Times New Roman"/>
                <w:color w:val="auto"/>
                <w:sz w:val="20"/>
                <w:szCs w:val="20"/>
                <w:highlight w:val="none"/>
                <w:lang w:val="en-US" w:eastAsia="zh-CN"/>
              </w:rPr>
              <w:t>垃圾填埋场渗滤液处理站排口上游500m（闻溪河）</w:t>
            </w:r>
          </w:p>
        </w:tc>
        <w:tc>
          <w:tcPr>
            <w:tcW w:w="389" w:type="pct"/>
            <w:tcBorders>
              <w:tl2br w:val="nil"/>
              <w:tr2bl w:val="nil"/>
            </w:tcBorders>
            <w:noWrap w:val="0"/>
            <w:vAlign w:val="center"/>
          </w:tcPr>
          <w:p w14:paraId="759BF93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vertAlign w:val="baseline"/>
                <w:lang w:val="en-US" w:eastAsia="zh-CN" w:bidi="ar-SA"/>
              </w:rPr>
              <w:t>pH</w:t>
            </w:r>
          </w:p>
        </w:tc>
        <w:tc>
          <w:tcPr>
            <w:tcW w:w="389" w:type="pct"/>
            <w:tcBorders>
              <w:tl2br w:val="nil"/>
              <w:tr2bl w:val="nil"/>
            </w:tcBorders>
            <w:noWrap w:val="0"/>
            <w:vAlign w:val="center"/>
          </w:tcPr>
          <w:p w14:paraId="652D157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kern w:val="2"/>
                <w:sz w:val="20"/>
                <w:szCs w:val="20"/>
                <w:highlight w:val="none"/>
                <w:lang w:val="en-US" w:eastAsia="zh-CN" w:bidi="ar-SA"/>
              </w:rPr>
              <w:t>无量纲</w:t>
            </w:r>
          </w:p>
        </w:tc>
        <w:tc>
          <w:tcPr>
            <w:tcW w:w="570" w:type="pct"/>
            <w:tcBorders>
              <w:tl2br w:val="nil"/>
              <w:tr2bl w:val="nil"/>
            </w:tcBorders>
            <w:noWrap w:val="0"/>
            <w:vAlign w:val="center"/>
          </w:tcPr>
          <w:p w14:paraId="11AB8DB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8.2</w:t>
            </w:r>
          </w:p>
        </w:tc>
        <w:tc>
          <w:tcPr>
            <w:tcW w:w="570" w:type="pct"/>
            <w:tcBorders>
              <w:tl2br w:val="nil"/>
              <w:tr2bl w:val="nil"/>
            </w:tcBorders>
            <w:noWrap w:val="0"/>
            <w:vAlign w:val="center"/>
          </w:tcPr>
          <w:p w14:paraId="67B7E29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8.2</w:t>
            </w:r>
          </w:p>
        </w:tc>
        <w:tc>
          <w:tcPr>
            <w:tcW w:w="572" w:type="pct"/>
            <w:tcBorders>
              <w:tl2br w:val="nil"/>
              <w:tr2bl w:val="nil"/>
            </w:tcBorders>
            <w:noWrap w:val="0"/>
            <w:vAlign w:val="center"/>
          </w:tcPr>
          <w:p w14:paraId="6EC5776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8.3</w:t>
            </w:r>
          </w:p>
        </w:tc>
        <w:tc>
          <w:tcPr>
            <w:tcW w:w="564" w:type="pct"/>
            <w:tcBorders>
              <w:tl2br w:val="nil"/>
              <w:tr2bl w:val="nil"/>
            </w:tcBorders>
            <w:noWrap w:val="0"/>
            <w:vAlign w:val="center"/>
          </w:tcPr>
          <w:p w14:paraId="2877A94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8.3</w:t>
            </w:r>
          </w:p>
        </w:tc>
        <w:tc>
          <w:tcPr>
            <w:tcW w:w="1654" w:type="dxa"/>
            <w:tcBorders>
              <w:tl2br w:val="nil"/>
              <w:tr2bl w:val="nil"/>
            </w:tcBorders>
            <w:noWrap w:val="0"/>
            <w:vAlign w:val="center"/>
          </w:tcPr>
          <w:p w14:paraId="49EBC99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z w:val="20"/>
                <w:highlight w:val="none"/>
              </w:rPr>
              <w:t>6～9</w:t>
            </w:r>
          </w:p>
        </w:tc>
        <w:tc>
          <w:tcPr>
            <w:tcW w:w="1680" w:type="dxa"/>
            <w:tcBorders>
              <w:tl2br w:val="nil"/>
              <w:tr2bl w:val="nil"/>
            </w:tcBorders>
            <w:noWrap w:val="0"/>
            <w:vAlign w:val="center"/>
          </w:tcPr>
          <w:p w14:paraId="70FA2C3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0.65</w:t>
            </w:r>
          </w:p>
        </w:tc>
        <w:tc>
          <w:tcPr>
            <w:tcW w:w="462" w:type="pct"/>
            <w:tcBorders>
              <w:tl2br w:val="nil"/>
              <w:tr2bl w:val="nil"/>
            </w:tcBorders>
            <w:noWrap w:val="0"/>
            <w:vAlign w:val="center"/>
          </w:tcPr>
          <w:p w14:paraId="75EA79F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7F0FC42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5DBE268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DC935A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kern w:val="2"/>
                <w:sz w:val="20"/>
                <w:szCs w:val="20"/>
                <w:highlight w:val="none"/>
                <w:vertAlign w:val="baseline"/>
                <w:lang w:val="en-US" w:eastAsia="zh-CN" w:bidi="ar-SA"/>
              </w:rPr>
              <w:t>水温</w:t>
            </w:r>
          </w:p>
        </w:tc>
        <w:tc>
          <w:tcPr>
            <w:tcW w:w="389" w:type="pct"/>
            <w:tcBorders>
              <w:tl2br w:val="nil"/>
              <w:tr2bl w:val="nil"/>
            </w:tcBorders>
            <w:noWrap w:val="0"/>
            <w:vAlign w:val="center"/>
          </w:tcPr>
          <w:p w14:paraId="245D857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w:t>
            </w:r>
          </w:p>
        </w:tc>
        <w:tc>
          <w:tcPr>
            <w:tcW w:w="570" w:type="pct"/>
            <w:tcBorders>
              <w:tl2br w:val="nil"/>
              <w:tr2bl w:val="nil"/>
            </w:tcBorders>
            <w:noWrap w:val="0"/>
            <w:vAlign w:val="center"/>
          </w:tcPr>
          <w:p w14:paraId="194A76F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6.6</w:t>
            </w:r>
          </w:p>
        </w:tc>
        <w:tc>
          <w:tcPr>
            <w:tcW w:w="570" w:type="pct"/>
            <w:tcBorders>
              <w:tl2br w:val="nil"/>
              <w:tr2bl w:val="nil"/>
            </w:tcBorders>
            <w:noWrap w:val="0"/>
            <w:vAlign w:val="center"/>
          </w:tcPr>
          <w:p w14:paraId="284BA96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6.6</w:t>
            </w:r>
          </w:p>
        </w:tc>
        <w:tc>
          <w:tcPr>
            <w:tcW w:w="572" w:type="pct"/>
            <w:tcBorders>
              <w:tl2br w:val="nil"/>
              <w:tr2bl w:val="nil"/>
            </w:tcBorders>
            <w:noWrap w:val="0"/>
            <w:vAlign w:val="center"/>
          </w:tcPr>
          <w:p w14:paraId="59639B2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6.4</w:t>
            </w:r>
          </w:p>
        </w:tc>
        <w:tc>
          <w:tcPr>
            <w:tcW w:w="564" w:type="pct"/>
            <w:tcBorders>
              <w:tl2br w:val="nil"/>
              <w:tr2bl w:val="nil"/>
            </w:tcBorders>
            <w:noWrap w:val="0"/>
            <w:vAlign w:val="center"/>
          </w:tcPr>
          <w:p w14:paraId="29660A5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6.6</w:t>
            </w:r>
          </w:p>
        </w:tc>
        <w:tc>
          <w:tcPr>
            <w:tcW w:w="1654" w:type="dxa"/>
            <w:tcBorders>
              <w:tl2br w:val="nil"/>
              <w:tr2bl w:val="nil"/>
            </w:tcBorders>
            <w:noWrap w:val="0"/>
            <w:vAlign w:val="center"/>
          </w:tcPr>
          <w:p w14:paraId="47F972E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9"/>
                <w:sz w:val="20"/>
                <w:szCs w:val="20"/>
                <w:highlight w:val="none"/>
              </w:rPr>
              <w:t>/</w:t>
            </w:r>
          </w:p>
        </w:tc>
        <w:tc>
          <w:tcPr>
            <w:tcW w:w="1680" w:type="dxa"/>
            <w:tcBorders>
              <w:tl2br w:val="nil"/>
              <w:tr2bl w:val="nil"/>
            </w:tcBorders>
            <w:noWrap w:val="0"/>
            <w:vAlign w:val="center"/>
          </w:tcPr>
          <w:p w14:paraId="19C7998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001F9BC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7F2EAEA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37CB97E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3AFE60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铅</w:t>
            </w:r>
          </w:p>
        </w:tc>
        <w:tc>
          <w:tcPr>
            <w:tcW w:w="1187" w:type="dxa"/>
            <w:tcBorders>
              <w:tl2br w:val="nil"/>
              <w:tr2bl w:val="nil"/>
            </w:tcBorders>
            <w:noWrap w:val="0"/>
            <w:vAlign w:val="center"/>
          </w:tcPr>
          <w:p w14:paraId="59643D8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1C33882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70" w:type="pct"/>
            <w:tcBorders>
              <w:tl2br w:val="nil"/>
              <w:tr2bl w:val="nil"/>
            </w:tcBorders>
            <w:noWrap w:val="0"/>
            <w:vAlign w:val="center"/>
          </w:tcPr>
          <w:p w14:paraId="1D2284A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1×10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72" w:type="pct"/>
            <w:tcBorders>
              <w:tl2br w:val="nil"/>
              <w:tr2bl w:val="nil"/>
            </w:tcBorders>
            <w:noWrap w:val="0"/>
            <w:vAlign w:val="center"/>
          </w:tcPr>
          <w:p w14:paraId="36980AA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2×10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64" w:type="pct"/>
            <w:tcBorders>
              <w:tl2br w:val="nil"/>
              <w:tr2bl w:val="nil"/>
            </w:tcBorders>
            <w:noWrap w:val="0"/>
            <w:vAlign w:val="center"/>
          </w:tcPr>
          <w:p w14:paraId="79171BD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eastAsia" w:ascii="Times New Roman" w:hAnsi="Times New Roman" w:eastAsia="宋体" w:cs="Times New Roman"/>
                <w:color w:val="auto"/>
                <w:spacing w:val="9"/>
                <w:sz w:val="20"/>
                <w:szCs w:val="20"/>
                <w:highlight w:val="none"/>
                <w:lang w:val="en-US" w:eastAsia="zh-CN"/>
              </w:rPr>
            </w:pPr>
            <w:r>
              <w:rPr>
                <w:rFonts w:hint="eastAsia" w:ascii="Times New Roman" w:hAnsi="Times New Roman" w:eastAsia="宋体" w:cs="Times New Roman"/>
                <w:color w:val="auto"/>
                <w:spacing w:val="9"/>
                <w:sz w:val="20"/>
                <w:szCs w:val="20"/>
                <w:highlight w:val="none"/>
                <w:lang w:val="en-US" w:eastAsia="zh-CN"/>
              </w:rPr>
              <w:t>3</w:t>
            </w:r>
            <w:r>
              <w:rPr>
                <w:rFonts w:hint="default" w:ascii="Times New Roman" w:hAnsi="Times New Roman" w:eastAsia="宋体" w:cs="Times New Roman"/>
                <w:i w:val="0"/>
                <w:iCs w:val="0"/>
                <w:color w:val="auto"/>
                <w:kern w:val="0"/>
                <w:sz w:val="20"/>
                <w:szCs w:val="20"/>
                <w:highlight w:val="none"/>
                <w:u w:val="none"/>
                <w:lang w:val="en-US" w:eastAsia="zh-CN" w:bidi="ar"/>
              </w:rPr>
              <w:t>×10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1654" w:type="dxa"/>
            <w:tcBorders>
              <w:tl2br w:val="nil"/>
              <w:tr2bl w:val="nil"/>
            </w:tcBorders>
            <w:noWrap w:val="0"/>
            <w:vAlign w:val="center"/>
          </w:tcPr>
          <w:p w14:paraId="5EF6F6B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0"/>
                <w:sz w:val="20"/>
                <w:szCs w:val="20"/>
                <w:highlight w:val="none"/>
                <w:lang w:val="en-US" w:eastAsia="zh-CN" w:bidi="ar"/>
              </w:rPr>
              <w:t>0.</w:t>
            </w:r>
            <w:r>
              <w:rPr>
                <w:rFonts w:hint="eastAsia" w:ascii="Times New Roman" w:hAnsi="Times New Roman" w:eastAsia="宋体" w:cs="Times New Roman"/>
                <w:color w:val="auto"/>
                <w:sz w:val="20"/>
                <w:szCs w:val="20"/>
                <w:highlight w:val="none"/>
                <w:lang w:val="en-US" w:eastAsia="zh-CN"/>
              </w:rPr>
              <w:t>05</w:t>
            </w:r>
          </w:p>
        </w:tc>
        <w:tc>
          <w:tcPr>
            <w:tcW w:w="1680" w:type="dxa"/>
            <w:tcBorders>
              <w:tl2br w:val="nil"/>
              <w:tr2bl w:val="nil"/>
            </w:tcBorders>
            <w:noWrap w:val="0"/>
            <w:vAlign w:val="center"/>
          </w:tcPr>
          <w:p w14:paraId="3322238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0.06</w:t>
            </w:r>
          </w:p>
        </w:tc>
        <w:tc>
          <w:tcPr>
            <w:tcW w:w="462" w:type="pct"/>
            <w:tcBorders>
              <w:tl2br w:val="nil"/>
              <w:tr2bl w:val="nil"/>
            </w:tcBorders>
            <w:noWrap w:val="0"/>
            <w:vAlign w:val="center"/>
          </w:tcPr>
          <w:p w14:paraId="1C189D8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5B88598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03EF6B5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936E39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镉</w:t>
            </w:r>
          </w:p>
        </w:tc>
        <w:tc>
          <w:tcPr>
            <w:tcW w:w="1187" w:type="dxa"/>
            <w:tcBorders>
              <w:tl2br w:val="nil"/>
              <w:tr2bl w:val="nil"/>
            </w:tcBorders>
            <w:noWrap w:val="0"/>
            <w:vAlign w:val="center"/>
          </w:tcPr>
          <w:p w14:paraId="51307B5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493EDD0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70" w:type="pct"/>
            <w:tcBorders>
              <w:tl2br w:val="nil"/>
              <w:tr2bl w:val="nil"/>
            </w:tcBorders>
            <w:noWrap w:val="0"/>
            <w:vAlign w:val="center"/>
          </w:tcPr>
          <w:p w14:paraId="5EEC773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0.6×10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72" w:type="pct"/>
            <w:tcBorders>
              <w:tl2br w:val="nil"/>
              <w:tr2bl w:val="nil"/>
            </w:tcBorders>
            <w:noWrap w:val="0"/>
            <w:vAlign w:val="center"/>
          </w:tcPr>
          <w:p w14:paraId="2612526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0.9×10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564" w:type="pct"/>
            <w:tcBorders>
              <w:tl2br w:val="nil"/>
              <w:tr2bl w:val="nil"/>
            </w:tcBorders>
            <w:noWrap w:val="0"/>
            <w:vAlign w:val="center"/>
          </w:tcPr>
          <w:p w14:paraId="75D71F9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0.9×10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p>
        </w:tc>
        <w:tc>
          <w:tcPr>
            <w:tcW w:w="1654" w:type="dxa"/>
            <w:tcBorders>
              <w:tl2br w:val="nil"/>
              <w:tr2bl w:val="nil"/>
            </w:tcBorders>
            <w:noWrap w:val="0"/>
            <w:vAlign w:val="center"/>
          </w:tcPr>
          <w:p w14:paraId="2119C53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0.005</w:t>
            </w:r>
          </w:p>
        </w:tc>
        <w:tc>
          <w:tcPr>
            <w:tcW w:w="1680" w:type="dxa"/>
            <w:tcBorders>
              <w:tl2br w:val="nil"/>
              <w:tr2bl w:val="nil"/>
            </w:tcBorders>
            <w:noWrap w:val="0"/>
            <w:vAlign w:val="center"/>
          </w:tcPr>
          <w:p w14:paraId="3A2F2F6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0.18</w:t>
            </w:r>
          </w:p>
        </w:tc>
        <w:tc>
          <w:tcPr>
            <w:tcW w:w="462" w:type="pct"/>
            <w:tcBorders>
              <w:tl2br w:val="nil"/>
              <w:tr2bl w:val="nil"/>
            </w:tcBorders>
            <w:noWrap w:val="0"/>
            <w:vAlign w:val="center"/>
          </w:tcPr>
          <w:p w14:paraId="4D492D6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BBE062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2FD96A3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5875C45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kern w:val="2"/>
                <w:sz w:val="20"/>
                <w:szCs w:val="20"/>
                <w:highlight w:val="none"/>
                <w:lang w:val="en-US" w:eastAsia="zh-CN" w:bidi="ar-SA"/>
              </w:rPr>
              <w:t>总氮</w:t>
            </w:r>
          </w:p>
        </w:tc>
        <w:tc>
          <w:tcPr>
            <w:tcW w:w="389" w:type="pct"/>
            <w:tcBorders>
              <w:tl2br w:val="nil"/>
              <w:tr2bl w:val="nil"/>
            </w:tcBorders>
            <w:noWrap w:val="0"/>
            <w:vAlign w:val="center"/>
          </w:tcPr>
          <w:p w14:paraId="7A8FEB6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0AF6108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3.13</w:t>
            </w:r>
          </w:p>
        </w:tc>
        <w:tc>
          <w:tcPr>
            <w:tcW w:w="570" w:type="pct"/>
            <w:tcBorders>
              <w:tl2br w:val="nil"/>
              <w:tr2bl w:val="nil"/>
            </w:tcBorders>
            <w:noWrap w:val="0"/>
            <w:vAlign w:val="center"/>
          </w:tcPr>
          <w:p w14:paraId="2822EB5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2.87</w:t>
            </w:r>
          </w:p>
        </w:tc>
        <w:tc>
          <w:tcPr>
            <w:tcW w:w="572" w:type="pct"/>
            <w:tcBorders>
              <w:tl2br w:val="nil"/>
              <w:tr2bl w:val="nil"/>
            </w:tcBorders>
            <w:noWrap w:val="0"/>
            <w:vAlign w:val="center"/>
          </w:tcPr>
          <w:p w14:paraId="19A286A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4.65</w:t>
            </w:r>
          </w:p>
        </w:tc>
        <w:tc>
          <w:tcPr>
            <w:tcW w:w="564" w:type="pct"/>
            <w:tcBorders>
              <w:tl2br w:val="nil"/>
              <w:tr2bl w:val="nil"/>
            </w:tcBorders>
            <w:noWrap w:val="0"/>
            <w:vAlign w:val="center"/>
          </w:tcPr>
          <w:p w14:paraId="6CCB235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4.65</w:t>
            </w:r>
          </w:p>
        </w:tc>
        <w:tc>
          <w:tcPr>
            <w:tcW w:w="1654" w:type="dxa"/>
            <w:tcBorders>
              <w:tl2br w:val="nil"/>
              <w:tr2bl w:val="nil"/>
            </w:tcBorders>
            <w:noWrap w:val="0"/>
            <w:vAlign w:val="center"/>
          </w:tcPr>
          <w:p w14:paraId="3C71647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1.0*</w:t>
            </w:r>
          </w:p>
        </w:tc>
        <w:tc>
          <w:tcPr>
            <w:tcW w:w="1680" w:type="dxa"/>
            <w:tcBorders>
              <w:tl2br w:val="nil"/>
              <w:tr2bl w:val="nil"/>
            </w:tcBorders>
            <w:noWrap w:val="0"/>
            <w:vAlign w:val="center"/>
          </w:tcPr>
          <w:p w14:paraId="01461A7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5E7F4F7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763118C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2202AB8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085CEDD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kern w:val="2"/>
                <w:sz w:val="20"/>
                <w:szCs w:val="20"/>
                <w:highlight w:val="none"/>
                <w:lang w:val="en-US" w:eastAsia="zh-CN" w:bidi="ar-SA"/>
              </w:rPr>
              <w:t>硫化物</w:t>
            </w:r>
          </w:p>
        </w:tc>
        <w:tc>
          <w:tcPr>
            <w:tcW w:w="389" w:type="pct"/>
            <w:tcBorders>
              <w:tl2br w:val="nil"/>
              <w:tr2bl w:val="nil"/>
            </w:tcBorders>
            <w:noWrap w:val="0"/>
            <w:vAlign w:val="center"/>
          </w:tcPr>
          <w:p w14:paraId="3DBEBD3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53A7CE8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70" w:type="pct"/>
            <w:tcBorders>
              <w:tl2br w:val="nil"/>
              <w:tr2bl w:val="nil"/>
            </w:tcBorders>
            <w:noWrap w:val="0"/>
            <w:vAlign w:val="center"/>
          </w:tcPr>
          <w:p w14:paraId="74E2267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72" w:type="pct"/>
            <w:tcBorders>
              <w:tl2br w:val="nil"/>
              <w:tr2bl w:val="nil"/>
            </w:tcBorders>
            <w:noWrap w:val="0"/>
            <w:vAlign w:val="center"/>
          </w:tcPr>
          <w:p w14:paraId="4E2D5CD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0.01</w:t>
            </w:r>
          </w:p>
        </w:tc>
        <w:tc>
          <w:tcPr>
            <w:tcW w:w="564" w:type="pct"/>
            <w:tcBorders>
              <w:tl2br w:val="nil"/>
              <w:tr2bl w:val="nil"/>
            </w:tcBorders>
            <w:noWrap w:val="0"/>
            <w:vAlign w:val="center"/>
          </w:tcPr>
          <w:p w14:paraId="14FA8CF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i w:val="0"/>
                <w:iCs w:val="0"/>
                <w:color w:val="auto"/>
                <w:kern w:val="0"/>
                <w:sz w:val="20"/>
                <w:szCs w:val="20"/>
                <w:highlight w:val="none"/>
                <w:u w:val="none"/>
                <w:lang w:val="en-US" w:eastAsia="zh-CN" w:bidi="ar"/>
              </w:rPr>
              <w:t>0.01</w:t>
            </w:r>
          </w:p>
        </w:tc>
        <w:tc>
          <w:tcPr>
            <w:tcW w:w="1654" w:type="dxa"/>
            <w:tcBorders>
              <w:tl2br w:val="nil"/>
              <w:tr2bl w:val="nil"/>
            </w:tcBorders>
            <w:noWrap w:val="0"/>
            <w:vAlign w:val="center"/>
          </w:tcPr>
          <w:p w14:paraId="6DA042C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0.2</w:t>
            </w:r>
          </w:p>
        </w:tc>
        <w:tc>
          <w:tcPr>
            <w:tcW w:w="1680" w:type="dxa"/>
            <w:tcBorders>
              <w:tl2br w:val="nil"/>
              <w:tr2bl w:val="nil"/>
            </w:tcBorders>
            <w:noWrap w:val="0"/>
            <w:vAlign w:val="center"/>
          </w:tcPr>
          <w:p w14:paraId="5D066D9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0.05</w:t>
            </w:r>
          </w:p>
        </w:tc>
        <w:tc>
          <w:tcPr>
            <w:tcW w:w="462" w:type="pct"/>
            <w:tcBorders>
              <w:tl2br w:val="nil"/>
              <w:tr2bl w:val="nil"/>
            </w:tcBorders>
            <w:noWrap w:val="0"/>
            <w:vAlign w:val="center"/>
          </w:tcPr>
          <w:p w14:paraId="58CD191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A5048D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0B01E9A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23C787E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sz w:val="20"/>
                <w:szCs w:val="20"/>
                <w:highlight w:val="none"/>
                <w:lang w:val="en-US" w:eastAsia="zh-CN"/>
              </w:rPr>
              <w:t>石油类</w:t>
            </w:r>
          </w:p>
        </w:tc>
        <w:tc>
          <w:tcPr>
            <w:tcW w:w="389" w:type="pct"/>
            <w:tcBorders>
              <w:tl2br w:val="nil"/>
              <w:tr2bl w:val="nil"/>
            </w:tcBorders>
            <w:noWrap w:val="0"/>
            <w:vAlign w:val="center"/>
          </w:tcPr>
          <w:p w14:paraId="1561296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43A5903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70" w:type="pct"/>
            <w:tcBorders>
              <w:tl2br w:val="nil"/>
              <w:tr2bl w:val="nil"/>
            </w:tcBorders>
            <w:noWrap w:val="0"/>
            <w:vAlign w:val="center"/>
          </w:tcPr>
          <w:p w14:paraId="7C836FF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72" w:type="pct"/>
            <w:tcBorders>
              <w:tl2br w:val="nil"/>
              <w:tr2bl w:val="nil"/>
            </w:tcBorders>
            <w:noWrap w:val="0"/>
            <w:vAlign w:val="center"/>
          </w:tcPr>
          <w:p w14:paraId="018C83F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564" w:type="pct"/>
            <w:tcBorders>
              <w:tl2br w:val="nil"/>
              <w:tr2bl w:val="nil"/>
            </w:tcBorders>
            <w:noWrap w:val="0"/>
            <w:vAlign w:val="center"/>
          </w:tcPr>
          <w:p w14:paraId="0CC4518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0.01L</w:t>
            </w:r>
          </w:p>
        </w:tc>
        <w:tc>
          <w:tcPr>
            <w:tcW w:w="1654" w:type="dxa"/>
            <w:tcBorders>
              <w:tl2br w:val="nil"/>
              <w:tr2bl w:val="nil"/>
            </w:tcBorders>
            <w:noWrap w:val="0"/>
            <w:vAlign w:val="center"/>
          </w:tcPr>
          <w:p w14:paraId="1C5E1BA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0.05</w:t>
            </w:r>
          </w:p>
        </w:tc>
        <w:tc>
          <w:tcPr>
            <w:tcW w:w="1680" w:type="dxa"/>
            <w:tcBorders>
              <w:tl2br w:val="nil"/>
              <w:tr2bl w:val="nil"/>
            </w:tcBorders>
            <w:noWrap w:val="0"/>
            <w:vAlign w:val="center"/>
          </w:tcPr>
          <w:p w14:paraId="48AB6A7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i w:val="0"/>
                <w:iCs w:val="0"/>
                <w:color w:val="auto"/>
                <w:kern w:val="0"/>
                <w:sz w:val="20"/>
                <w:szCs w:val="20"/>
                <w:highlight w:val="none"/>
                <w:u w:val="none"/>
                <w:lang w:val="en-US" w:eastAsia="zh-CN" w:bidi="ar"/>
              </w:rPr>
              <w:t>&lt;</w:t>
            </w:r>
            <w:r>
              <w:rPr>
                <w:rFonts w:hint="default" w:ascii="Times New Roman" w:hAnsi="Times New Roman" w:eastAsia="宋体" w:cs="Times New Roman"/>
                <w:color w:val="auto"/>
                <w:sz w:val="20"/>
                <w:szCs w:val="20"/>
                <w:highlight w:val="none"/>
                <w:lang w:val="en-US" w:eastAsia="zh-CN"/>
              </w:rPr>
              <w:t>0.2</w:t>
            </w:r>
          </w:p>
        </w:tc>
        <w:tc>
          <w:tcPr>
            <w:tcW w:w="462" w:type="pct"/>
            <w:tcBorders>
              <w:tl2br w:val="nil"/>
              <w:tr2bl w:val="nil"/>
            </w:tcBorders>
            <w:noWrap w:val="0"/>
            <w:vAlign w:val="center"/>
          </w:tcPr>
          <w:p w14:paraId="09AABE9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CD1B22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3B8E59B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529535C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砷</w:t>
            </w:r>
          </w:p>
        </w:tc>
        <w:tc>
          <w:tcPr>
            <w:tcW w:w="1187" w:type="dxa"/>
            <w:tcBorders>
              <w:tl2br w:val="nil"/>
              <w:tr2bl w:val="nil"/>
            </w:tcBorders>
            <w:noWrap w:val="0"/>
            <w:vAlign w:val="center"/>
          </w:tcPr>
          <w:p w14:paraId="56DCE34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609EE08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70" w:type="pct"/>
            <w:tcBorders>
              <w:tl2br w:val="nil"/>
              <w:tr2bl w:val="nil"/>
            </w:tcBorders>
            <w:noWrap w:val="0"/>
            <w:vAlign w:val="center"/>
          </w:tcPr>
          <w:p w14:paraId="61A189A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72" w:type="pct"/>
            <w:tcBorders>
              <w:tl2br w:val="nil"/>
              <w:tr2bl w:val="nil"/>
            </w:tcBorders>
            <w:noWrap w:val="0"/>
            <w:vAlign w:val="center"/>
          </w:tcPr>
          <w:p w14:paraId="583A83D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64" w:type="pct"/>
            <w:tcBorders>
              <w:tl2br w:val="nil"/>
              <w:tr2bl w:val="nil"/>
            </w:tcBorders>
            <w:noWrap w:val="0"/>
            <w:vAlign w:val="center"/>
          </w:tcPr>
          <w:p w14:paraId="31C4EF7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0.3×10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1654" w:type="dxa"/>
            <w:tcBorders>
              <w:tl2br w:val="nil"/>
              <w:tr2bl w:val="nil"/>
            </w:tcBorders>
            <w:noWrap w:val="0"/>
            <w:vAlign w:val="center"/>
          </w:tcPr>
          <w:p w14:paraId="00AF18B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0.05</w:t>
            </w:r>
          </w:p>
        </w:tc>
        <w:tc>
          <w:tcPr>
            <w:tcW w:w="1680" w:type="dxa"/>
            <w:tcBorders>
              <w:tl2br w:val="nil"/>
              <w:tr2bl w:val="nil"/>
            </w:tcBorders>
            <w:noWrap w:val="0"/>
            <w:vAlign w:val="center"/>
          </w:tcPr>
          <w:p w14:paraId="07B43F8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i w:val="0"/>
                <w:iCs w:val="0"/>
                <w:color w:val="auto"/>
                <w:kern w:val="0"/>
                <w:sz w:val="20"/>
                <w:szCs w:val="20"/>
                <w:highlight w:val="none"/>
                <w:u w:val="none"/>
                <w:lang w:val="en-US" w:eastAsia="zh-CN" w:bidi="ar"/>
              </w:rPr>
              <w:t>&lt;</w:t>
            </w:r>
            <w:r>
              <w:rPr>
                <w:rFonts w:hint="default" w:ascii="Times New Roman" w:hAnsi="Times New Roman" w:eastAsia="宋体" w:cs="Times New Roman"/>
                <w:color w:val="auto"/>
                <w:sz w:val="20"/>
                <w:szCs w:val="20"/>
                <w:highlight w:val="none"/>
                <w:lang w:val="en-US" w:eastAsia="zh-CN"/>
              </w:rPr>
              <w:t>0.006</w:t>
            </w:r>
          </w:p>
        </w:tc>
        <w:tc>
          <w:tcPr>
            <w:tcW w:w="462" w:type="pct"/>
            <w:tcBorders>
              <w:tl2br w:val="nil"/>
              <w:tr2bl w:val="nil"/>
            </w:tcBorders>
            <w:noWrap w:val="0"/>
            <w:vAlign w:val="center"/>
          </w:tcPr>
          <w:p w14:paraId="1859F07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4DF727E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4F2A01A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8B32E8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汞</w:t>
            </w:r>
          </w:p>
        </w:tc>
        <w:tc>
          <w:tcPr>
            <w:tcW w:w="1187" w:type="dxa"/>
            <w:tcBorders>
              <w:tl2br w:val="nil"/>
              <w:tr2bl w:val="nil"/>
            </w:tcBorders>
            <w:noWrap w:val="0"/>
            <w:vAlign w:val="center"/>
          </w:tcPr>
          <w:p w14:paraId="1845372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05434BE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0.04×10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70" w:type="pct"/>
            <w:tcBorders>
              <w:tl2br w:val="nil"/>
              <w:tr2bl w:val="nil"/>
            </w:tcBorders>
            <w:noWrap w:val="0"/>
            <w:vAlign w:val="center"/>
          </w:tcPr>
          <w:p w14:paraId="194A030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0.04×10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72" w:type="pct"/>
            <w:tcBorders>
              <w:tl2br w:val="nil"/>
              <w:tr2bl w:val="nil"/>
            </w:tcBorders>
            <w:noWrap w:val="0"/>
            <w:vAlign w:val="center"/>
          </w:tcPr>
          <w:p w14:paraId="519EE8A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0.04×10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564" w:type="pct"/>
            <w:tcBorders>
              <w:tl2br w:val="nil"/>
              <w:tr2bl w:val="nil"/>
            </w:tcBorders>
            <w:noWrap w:val="0"/>
            <w:vAlign w:val="center"/>
          </w:tcPr>
          <w:p w14:paraId="06A95DA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0.04×10</w:t>
            </w:r>
            <w:r>
              <w:rPr>
                <w:rFonts w:hint="eastAsia" w:ascii="Times New Roman" w:hAnsi="Times New Roman" w:eastAsia="宋体" w:cs="Times New Roman"/>
                <w:i w:val="0"/>
                <w:iCs w:val="0"/>
                <w:color w:val="auto"/>
                <w:kern w:val="0"/>
                <w:sz w:val="20"/>
                <w:szCs w:val="20"/>
                <w:highlight w:val="none"/>
                <w:u w:val="none"/>
                <w:vertAlign w:val="superscript"/>
                <w:lang w:val="en-US" w:eastAsia="zh-CN" w:bidi="ar"/>
              </w:rPr>
              <w:t>-3</w:t>
            </w:r>
            <w:r>
              <w:rPr>
                <w:rFonts w:hint="default" w:ascii="Times New Roman" w:hAnsi="Times New Roman" w:eastAsia="宋体" w:cs="Times New Roman"/>
                <w:i w:val="0"/>
                <w:iCs w:val="0"/>
                <w:color w:val="auto"/>
                <w:kern w:val="0"/>
                <w:sz w:val="20"/>
                <w:szCs w:val="20"/>
                <w:highlight w:val="none"/>
                <w:u w:val="none"/>
                <w:lang w:val="en-US" w:eastAsia="zh-CN" w:bidi="ar"/>
              </w:rPr>
              <w:t>L</w:t>
            </w:r>
          </w:p>
        </w:tc>
        <w:tc>
          <w:tcPr>
            <w:tcW w:w="1654" w:type="dxa"/>
            <w:tcBorders>
              <w:tl2br w:val="nil"/>
              <w:tr2bl w:val="nil"/>
            </w:tcBorders>
            <w:noWrap w:val="0"/>
            <w:vAlign w:val="center"/>
          </w:tcPr>
          <w:p w14:paraId="17C41DA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0.0001</w:t>
            </w:r>
          </w:p>
        </w:tc>
        <w:tc>
          <w:tcPr>
            <w:tcW w:w="1680" w:type="dxa"/>
            <w:tcBorders>
              <w:tl2br w:val="nil"/>
              <w:tr2bl w:val="nil"/>
            </w:tcBorders>
            <w:noWrap w:val="0"/>
            <w:vAlign w:val="center"/>
          </w:tcPr>
          <w:p w14:paraId="1EDF087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i w:val="0"/>
                <w:iCs w:val="0"/>
                <w:color w:val="auto"/>
                <w:kern w:val="0"/>
                <w:sz w:val="20"/>
                <w:szCs w:val="20"/>
                <w:highlight w:val="none"/>
                <w:u w:val="none"/>
                <w:lang w:val="en-US" w:eastAsia="zh-CN" w:bidi="ar"/>
              </w:rPr>
              <w:t>&lt;</w:t>
            </w:r>
            <w:r>
              <w:rPr>
                <w:rFonts w:hint="default" w:ascii="Times New Roman" w:hAnsi="Times New Roman" w:eastAsia="宋体" w:cs="Times New Roman"/>
                <w:color w:val="auto"/>
                <w:sz w:val="20"/>
                <w:szCs w:val="20"/>
                <w:highlight w:val="none"/>
                <w:lang w:val="en-US" w:eastAsia="zh-CN"/>
              </w:rPr>
              <w:t>0.4</w:t>
            </w:r>
          </w:p>
        </w:tc>
        <w:tc>
          <w:tcPr>
            <w:tcW w:w="462" w:type="pct"/>
            <w:tcBorders>
              <w:tl2br w:val="nil"/>
              <w:tr2bl w:val="nil"/>
            </w:tcBorders>
            <w:noWrap w:val="0"/>
            <w:vAlign w:val="center"/>
          </w:tcPr>
          <w:p w14:paraId="5DF9A63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6019B33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4694D9A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3491FFD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eastAsia" w:ascii="Times New Roman" w:hAnsi="Times New Roman" w:eastAsia="宋体" w:cs="Times New Roman"/>
                <w:color w:val="auto"/>
                <w:kern w:val="2"/>
                <w:sz w:val="20"/>
                <w:szCs w:val="20"/>
                <w:highlight w:val="none"/>
                <w:lang w:val="en-US" w:eastAsia="zh-CN" w:bidi="ar-SA"/>
              </w:rPr>
              <w:t>色度</w:t>
            </w:r>
          </w:p>
        </w:tc>
        <w:tc>
          <w:tcPr>
            <w:tcW w:w="389" w:type="pct"/>
            <w:tcBorders>
              <w:tl2br w:val="nil"/>
              <w:tr2bl w:val="nil"/>
            </w:tcBorders>
            <w:noWrap w:val="0"/>
            <w:vAlign w:val="center"/>
          </w:tcPr>
          <w:p w14:paraId="290608F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eastAsia" w:ascii="Times New Roman" w:hAnsi="Times New Roman" w:eastAsia="宋体" w:cs="Times New Roman"/>
                <w:color w:val="auto"/>
                <w:kern w:val="2"/>
                <w:sz w:val="20"/>
                <w:szCs w:val="20"/>
                <w:highlight w:val="none"/>
                <w:lang w:val="en-US" w:eastAsia="zh-CN" w:bidi="ar-SA"/>
              </w:rPr>
              <w:t>度</w:t>
            </w:r>
          </w:p>
        </w:tc>
        <w:tc>
          <w:tcPr>
            <w:tcW w:w="570" w:type="pct"/>
            <w:tcBorders>
              <w:tl2br w:val="nil"/>
              <w:tr2bl w:val="nil"/>
            </w:tcBorders>
            <w:noWrap w:val="0"/>
            <w:vAlign w:val="center"/>
          </w:tcPr>
          <w:p w14:paraId="126731A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5L</w:t>
            </w:r>
          </w:p>
        </w:tc>
        <w:tc>
          <w:tcPr>
            <w:tcW w:w="570" w:type="pct"/>
            <w:tcBorders>
              <w:tl2br w:val="nil"/>
              <w:tr2bl w:val="nil"/>
            </w:tcBorders>
            <w:noWrap w:val="0"/>
            <w:vAlign w:val="center"/>
          </w:tcPr>
          <w:p w14:paraId="093D398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5L</w:t>
            </w:r>
          </w:p>
        </w:tc>
        <w:tc>
          <w:tcPr>
            <w:tcW w:w="572" w:type="pct"/>
            <w:tcBorders>
              <w:tl2br w:val="nil"/>
              <w:tr2bl w:val="nil"/>
            </w:tcBorders>
            <w:noWrap w:val="0"/>
            <w:vAlign w:val="center"/>
          </w:tcPr>
          <w:p w14:paraId="721856EA">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5L</w:t>
            </w:r>
          </w:p>
        </w:tc>
        <w:tc>
          <w:tcPr>
            <w:tcW w:w="564" w:type="pct"/>
            <w:tcBorders>
              <w:tl2br w:val="nil"/>
              <w:tr2bl w:val="nil"/>
            </w:tcBorders>
            <w:noWrap w:val="0"/>
            <w:vAlign w:val="center"/>
          </w:tcPr>
          <w:p w14:paraId="3F99F6B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5L</w:t>
            </w:r>
          </w:p>
        </w:tc>
        <w:tc>
          <w:tcPr>
            <w:tcW w:w="1654" w:type="dxa"/>
            <w:tcBorders>
              <w:tl2br w:val="nil"/>
              <w:tr2bl w:val="nil"/>
            </w:tcBorders>
            <w:noWrap w:val="0"/>
            <w:vAlign w:val="center"/>
          </w:tcPr>
          <w:p w14:paraId="1B53D30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w:t>
            </w:r>
          </w:p>
        </w:tc>
        <w:tc>
          <w:tcPr>
            <w:tcW w:w="1680" w:type="dxa"/>
            <w:tcBorders>
              <w:tl2br w:val="nil"/>
              <w:tr2bl w:val="nil"/>
            </w:tcBorders>
            <w:noWrap w:val="0"/>
            <w:vAlign w:val="center"/>
          </w:tcPr>
          <w:p w14:paraId="61CBE6F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66997EF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411BFDE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33D07E6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F534D6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eastAsia" w:ascii="Times New Roman" w:hAnsi="Times New Roman" w:eastAsia="宋体" w:cs="Times New Roman"/>
                <w:b w:val="0"/>
                <w:bCs/>
                <w:color w:val="auto"/>
                <w:sz w:val="20"/>
                <w:szCs w:val="20"/>
                <w:highlight w:val="none"/>
                <w:lang w:val="en-US" w:eastAsia="zh-CN"/>
              </w:rPr>
              <w:t>粪大肠菌群</w:t>
            </w:r>
          </w:p>
        </w:tc>
        <w:tc>
          <w:tcPr>
            <w:tcW w:w="389" w:type="pct"/>
            <w:tcBorders>
              <w:tl2br w:val="nil"/>
              <w:tr2bl w:val="nil"/>
            </w:tcBorders>
            <w:noWrap w:val="0"/>
            <w:vAlign w:val="center"/>
          </w:tcPr>
          <w:p w14:paraId="1967DD2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eastAsia" w:ascii="Times New Roman" w:hAnsi="Times New Roman" w:eastAsia="宋体" w:cs="Times New Roman"/>
                <w:color w:val="auto"/>
                <w:kern w:val="2"/>
                <w:sz w:val="20"/>
                <w:szCs w:val="20"/>
                <w:highlight w:val="none"/>
                <w:lang w:val="en-US" w:eastAsia="zh-CN" w:bidi="ar-SA"/>
              </w:rPr>
              <w:t>MPN/L</w:t>
            </w:r>
          </w:p>
        </w:tc>
        <w:tc>
          <w:tcPr>
            <w:tcW w:w="570" w:type="pct"/>
            <w:tcBorders>
              <w:tl2br w:val="nil"/>
              <w:tr2bl w:val="nil"/>
            </w:tcBorders>
            <w:noWrap w:val="0"/>
            <w:vAlign w:val="center"/>
          </w:tcPr>
          <w:p w14:paraId="0137A34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1.7×10</w:t>
            </w:r>
            <w:r>
              <w:rPr>
                <w:rFonts w:hint="default" w:ascii="Times New Roman" w:hAnsi="Times New Roman" w:eastAsia="宋体" w:cs="Times New Roman"/>
                <w:i w:val="0"/>
                <w:iCs w:val="0"/>
                <w:color w:val="auto"/>
                <w:kern w:val="0"/>
                <w:sz w:val="20"/>
                <w:szCs w:val="20"/>
                <w:highlight w:val="none"/>
                <w:u w:val="none"/>
                <w:vertAlign w:val="superscript"/>
                <w:lang w:val="en-US" w:eastAsia="zh-CN" w:bidi="ar"/>
              </w:rPr>
              <w:t>2</w:t>
            </w:r>
          </w:p>
        </w:tc>
        <w:tc>
          <w:tcPr>
            <w:tcW w:w="570" w:type="pct"/>
            <w:tcBorders>
              <w:tl2br w:val="nil"/>
              <w:tr2bl w:val="nil"/>
            </w:tcBorders>
            <w:noWrap w:val="0"/>
            <w:vAlign w:val="center"/>
          </w:tcPr>
          <w:p w14:paraId="4E17D29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70</w:t>
            </w:r>
          </w:p>
        </w:tc>
        <w:tc>
          <w:tcPr>
            <w:tcW w:w="572" w:type="pct"/>
            <w:tcBorders>
              <w:tl2br w:val="nil"/>
              <w:tr2bl w:val="nil"/>
            </w:tcBorders>
            <w:noWrap w:val="0"/>
            <w:vAlign w:val="center"/>
          </w:tcPr>
          <w:p w14:paraId="7C73BFB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1.2×10</w:t>
            </w:r>
            <w:r>
              <w:rPr>
                <w:rFonts w:hint="default" w:ascii="Times New Roman" w:hAnsi="Times New Roman" w:eastAsia="宋体" w:cs="Times New Roman"/>
                <w:i w:val="0"/>
                <w:iCs w:val="0"/>
                <w:color w:val="auto"/>
                <w:kern w:val="0"/>
                <w:sz w:val="20"/>
                <w:szCs w:val="20"/>
                <w:highlight w:val="none"/>
                <w:u w:val="none"/>
                <w:vertAlign w:val="superscript"/>
                <w:lang w:val="en-US" w:eastAsia="zh-CN" w:bidi="ar"/>
              </w:rPr>
              <w:t>2</w:t>
            </w:r>
          </w:p>
        </w:tc>
        <w:tc>
          <w:tcPr>
            <w:tcW w:w="564" w:type="pct"/>
            <w:tcBorders>
              <w:tl2br w:val="nil"/>
              <w:tr2bl w:val="nil"/>
            </w:tcBorders>
            <w:noWrap w:val="0"/>
            <w:vAlign w:val="center"/>
          </w:tcPr>
          <w:p w14:paraId="347D4B4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1.7×10</w:t>
            </w:r>
            <w:r>
              <w:rPr>
                <w:rFonts w:hint="default" w:ascii="Times New Roman" w:hAnsi="Times New Roman" w:eastAsia="宋体" w:cs="Times New Roman"/>
                <w:i w:val="0"/>
                <w:iCs w:val="0"/>
                <w:color w:val="auto"/>
                <w:kern w:val="0"/>
                <w:sz w:val="20"/>
                <w:szCs w:val="20"/>
                <w:highlight w:val="none"/>
                <w:u w:val="none"/>
                <w:vertAlign w:val="superscript"/>
                <w:lang w:val="en-US" w:eastAsia="zh-CN" w:bidi="ar"/>
              </w:rPr>
              <w:t>2</w:t>
            </w:r>
          </w:p>
        </w:tc>
        <w:tc>
          <w:tcPr>
            <w:tcW w:w="1654" w:type="dxa"/>
            <w:tcBorders>
              <w:tl2br w:val="nil"/>
              <w:tr2bl w:val="nil"/>
            </w:tcBorders>
            <w:noWrap w:val="0"/>
            <w:vAlign w:val="center"/>
          </w:tcPr>
          <w:p w14:paraId="49C3EB3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10000</w:t>
            </w:r>
          </w:p>
        </w:tc>
        <w:tc>
          <w:tcPr>
            <w:tcW w:w="1680" w:type="dxa"/>
            <w:tcBorders>
              <w:tl2br w:val="nil"/>
              <w:tr2bl w:val="nil"/>
            </w:tcBorders>
            <w:noWrap w:val="0"/>
            <w:vAlign w:val="center"/>
          </w:tcPr>
          <w:p w14:paraId="5960124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0.17</w:t>
            </w:r>
          </w:p>
        </w:tc>
        <w:tc>
          <w:tcPr>
            <w:tcW w:w="462" w:type="pct"/>
            <w:tcBorders>
              <w:tl2br w:val="nil"/>
              <w:tr2bl w:val="nil"/>
            </w:tcBorders>
            <w:noWrap w:val="0"/>
            <w:vAlign w:val="center"/>
          </w:tcPr>
          <w:p w14:paraId="477F653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C7DAC6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12E0D29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76A3B50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六价铬</w:t>
            </w:r>
          </w:p>
        </w:tc>
        <w:tc>
          <w:tcPr>
            <w:tcW w:w="389" w:type="pct"/>
            <w:tcBorders>
              <w:tl2br w:val="nil"/>
              <w:tr2bl w:val="nil"/>
            </w:tcBorders>
            <w:noWrap w:val="0"/>
            <w:vAlign w:val="center"/>
          </w:tcPr>
          <w:p w14:paraId="4F8A587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4754114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0.005</w:t>
            </w:r>
          </w:p>
        </w:tc>
        <w:tc>
          <w:tcPr>
            <w:tcW w:w="570" w:type="pct"/>
            <w:tcBorders>
              <w:tl2br w:val="nil"/>
              <w:tr2bl w:val="nil"/>
            </w:tcBorders>
            <w:noWrap w:val="0"/>
            <w:vAlign w:val="center"/>
          </w:tcPr>
          <w:p w14:paraId="012E427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0.004L</w:t>
            </w:r>
          </w:p>
        </w:tc>
        <w:tc>
          <w:tcPr>
            <w:tcW w:w="572" w:type="pct"/>
            <w:tcBorders>
              <w:tl2br w:val="nil"/>
              <w:tr2bl w:val="nil"/>
            </w:tcBorders>
            <w:noWrap w:val="0"/>
            <w:vAlign w:val="center"/>
          </w:tcPr>
          <w:p w14:paraId="7A0F54A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0.004L</w:t>
            </w:r>
          </w:p>
        </w:tc>
        <w:tc>
          <w:tcPr>
            <w:tcW w:w="564" w:type="pct"/>
            <w:tcBorders>
              <w:tl2br w:val="nil"/>
              <w:tr2bl w:val="nil"/>
            </w:tcBorders>
            <w:noWrap w:val="0"/>
            <w:vAlign w:val="center"/>
          </w:tcPr>
          <w:p w14:paraId="793A930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0.005</w:t>
            </w:r>
          </w:p>
        </w:tc>
        <w:tc>
          <w:tcPr>
            <w:tcW w:w="1654" w:type="dxa"/>
            <w:tcBorders>
              <w:tl2br w:val="nil"/>
              <w:tr2bl w:val="nil"/>
            </w:tcBorders>
            <w:noWrap w:val="0"/>
            <w:vAlign w:val="center"/>
          </w:tcPr>
          <w:p w14:paraId="54BBE99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0.05</w:t>
            </w:r>
          </w:p>
        </w:tc>
        <w:tc>
          <w:tcPr>
            <w:tcW w:w="1680" w:type="dxa"/>
            <w:tcBorders>
              <w:tl2br w:val="nil"/>
              <w:tr2bl w:val="nil"/>
            </w:tcBorders>
            <w:noWrap w:val="0"/>
            <w:vAlign w:val="center"/>
          </w:tcPr>
          <w:p w14:paraId="752C8E7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0.1</w:t>
            </w:r>
          </w:p>
        </w:tc>
        <w:tc>
          <w:tcPr>
            <w:tcW w:w="462" w:type="pct"/>
            <w:tcBorders>
              <w:tl2br w:val="nil"/>
              <w:tr2bl w:val="nil"/>
            </w:tcBorders>
            <w:noWrap w:val="0"/>
            <w:vAlign w:val="center"/>
          </w:tcPr>
          <w:p w14:paraId="71F7B28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1C6CC75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60777A8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3C501F9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氨氮</w:t>
            </w:r>
          </w:p>
        </w:tc>
        <w:tc>
          <w:tcPr>
            <w:tcW w:w="389" w:type="pct"/>
            <w:tcBorders>
              <w:tl2br w:val="nil"/>
              <w:tr2bl w:val="nil"/>
            </w:tcBorders>
            <w:noWrap w:val="0"/>
            <w:vAlign w:val="center"/>
          </w:tcPr>
          <w:p w14:paraId="4525AAE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4403458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0.61</w:t>
            </w:r>
          </w:p>
        </w:tc>
        <w:tc>
          <w:tcPr>
            <w:tcW w:w="570" w:type="pct"/>
            <w:tcBorders>
              <w:tl2br w:val="nil"/>
              <w:tr2bl w:val="nil"/>
            </w:tcBorders>
            <w:noWrap w:val="0"/>
            <w:vAlign w:val="center"/>
          </w:tcPr>
          <w:p w14:paraId="722A5CC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0.914</w:t>
            </w:r>
          </w:p>
        </w:tc>
        <w:tc>
          <w:tcPr>
            <w:tcW w:w="572" w:type="pct"/>
            <w:tcBorders>
              <w:tl2br w:val="nil"/>
              <w:tr2bl w:val="nil"/>
            </w:tcBorders>
            <w:noWrap w:val="0"/>
            <w:vAlign w:val="center"/>
          </w:tcPr>
          <w:p w14:paraId="07E2448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0.938</w:t>
            </w:r>
          </w:p>
        </w:tc>
        <w:tc>
          <w:tcPr>
            <w:tcW w:w="564" w:type="pct"/>
            <w:tcBorders>
              <w:tl2br w:val="nil"/>
              <w:tr2bl w:val="nil"/>
            </w:tcBorders>
            <w:noWrap w:val="0"/>
            <w:vAlign w:val="center"/>
          </w:tcPr>
          <w:p w14:paraId="23F97B7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0.938</w:t>
            </w:r>
          </w:p>
        </w:tc>
        <w:tc>
          <w:tcPr>
            <w:tcW w:w="1654" w:type="dxa"/>
            <w:tcBorders>
              <w:tl2br w:val="nil"/>
              <w:tr2bl w:val="nil"/>
            </w:tcBorders>
            <w:noWrap w:val="0"/>
            <w:vAlign w:val="center"/>
          </w:tcPr>
          <w:p w14:paraId="6D448F6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1.0</w:t>
            </w:r>
          </w:p>
        </w:tc>
        <w:tc>
          <w:tcPr>
            <w:tcW w:w="1680" w:type="dxa"/>
            <w:tcBorders>
              <w:tl2br w:val="nil"/>
              <w:tr2bl w:val="nil"/>
            </w:tcBorders>
            <w:noWrap w:val="0"/>
            <w:vAlign w:val="center"/>
          </w:tcPr>
          <w:p w14:paraId="47975FF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0.938</w:t>
            </w:r>
          </w:p>
        </w:tc>
        <w:tc>
          <w:tcPr>
            <w:tcW w:w="462" w:type="pct"/>
            <w:tcBorders>
              <w:tl2br w:val="nil"/>
              <w:tr2bl w:val="nil"/>
            </w:tcBorders>
            <w:noWrap w:val="0"/>
            <w:vAlign w:val="center"/>
          </w:tcPr>
          <w:p w14:paraId="64C6E46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365D97C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464F400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2D926CD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eastAsia" w:ascii="Times New Roman" w:hAnsi="Times New Roman" w:eastAsia="宋体" w:cs="Times New Roman"/>
                <w:color w:val="auto"/>
                <w:kern w:val="2"/>
                <w:sz w:val="20"/>
                <w:szCs w:val="20"/>
                <w:highlight w:val="none"/>
                <w:lang w:val="en-US" w:eastAsia="zh-CN" w:bidi="ar-SA"/>
              </w:rPr>
              <w:t>化学需氧量</w:t>
            </w:r>
          </w:p>
        </w:tc>
        <w:tc>
          <w:tcPr>
            <w:tcW w:w="389" w:type="pct"/>
            <w:tcBorders>
              <w:tl2br w:val="nil"/>
              <w:tr2bl w:val="nil"/>
            </w:tcBorders>
            <w:noWrap w:val="0"/>
            <w:vAlign w:val="center"/>
          </w:tcPr>
          <w:p w14:paraId="0847B4E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33A6645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10</w:t>
            </w:r>
          </w:p>
        </w:tc>
        <w:tc>
          <w:tcPr>
            <w:tcW w:w="570" w:type="pct"/>
            <w:tcBorders>
              <w:tl2br w:val="nil"/>
              <w:tr2bl w:val="nil"/>
            </w:tcBorders>
            <w:noWrap w:val="0"/>
            <w:vAlign w:val="center"/>
          </w:tcPr>
          <w:p w14:paraId="5FEE11AB">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12</w:t>
            </w:r>
          </w:p>
        </w:tc>
        <w:tc>
          <w:tcPr>
            <w:tcW w:w="572" w:type="pct"/>
            <w:tcBorders>
              <w:tl2br w:val="nil"/>
              <w:tr2bl w:val="nil"/>
            </w:tcBorders>
            <w:noWrap w:val="0"/>
            <w:vAlign w:val="center"/>
          </w:tcPr>
          <w:p w14:paraId="4FB6ACF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10</w:t>
            </w:r>
          </w:p>
        </w:tc>
        <w:tc>
          <w:tcPr>
            <w:tcW w:w="564" w:type="pct"/>
            <w:tcBorders>
              <w:tl2br w:val="nil"/>
              <w:tr2bl w:val="nil"/>
            </w:tcBorders>
            <w:noWrap w:val="0"/>
            <w:vAlign w:val="center"/>
          </w:tcPr>
          <w:p w14:paraId="56D622BA">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12</w:t>
            </w:r>
          </w:p>
        </w:tc>
        <w:tc>
          <w:tcPr>
            <w:tcW w:w="1654" w:type="dxa"/>
            <w:tcBorders>
              <w:tl2br w:val="nil"/>
              <w:tr2bl w:val="nil"/>
            </w:tcBorders>
            <w:noWrap w:val="0"/>
            <w:vAlign w:val="center"/>
          </w:tcPr>
          <w:p w14:paraId="50D804E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20</w:t>
            </w:r>
          </w:p>
        </w:tc>
        <w:tc>
          <w:tcPr>
            <w:tcW w:w="1680" w:type="dxa"/>
            <w:tcBorders>
              <w:tl2br w:val="nil"/>
              <w:tr2bl w:val="nil"/>
            </w:tcBorders>
            <w:noWrap w:val="0"/>
            <w:vAlign w:val="center"/>
          </w:tcPr>
          <w:p w14:paraId="46877CC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0.6</w:t>
            </w:r>
          </w:p>
        </w:tc>
        <w:tc>
          <w:tcPr>
            <w:tcW w:w="462" w:type="pct"/>
            <w:tcBorders>
              <w:tl2br w:val="nil"/>
              <w:tr2bl w:val="nil"/>
            </w:tcBorders>
            <w:noWrap w:val="0"/>
            <w:vAlign w:val="center"/>
          </w:tcPr>
          <w:p w14:paraId="27C22C5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749A8FE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1B9D598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2257173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b w:val="0"/>
                <w:bCs/>
                <w:color w:val="auto"/>
                <w:sz w:val="20"/>
                <w:szCs w:val="20"/>
                <w:highlight w:val="none"/>
                <w:lang w:val="en-US" w:eastAsia="zh-CN"/>
              </w:rPr>
              <w:t>五日生化需氧量</w:t>
            </w:r>
          </w:p>
        </w:tc>
        <w:tc>
          <w:tcPr>
            <w:tcW w:w="389" w:type="pct"/>
            <w:tcBorders>
              <w:tl2br w:val="nil"/>
              <w:tr2bl w:val="nil"/>
            </w:tcBorders>
            <w:noWrap w:val="0"/>
            <w:vAlign w:val="center"/>
          </w:tcPr>
          <w:p w14:paraId="164DD6A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5EDE3F2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2</w:t>
            </w:r>
          </w:p>
        </w:tc>
        <w:tc>
          <w:tcPr>
            <w:tcW w:w="570" w:type="pct"/>
            <w:tcBorders>
              <w:tl2br w:val="nil"/>
              <w:tr2bl w:val="nil"/>
            </w:tcBorders>
            <w:noWrap w:val="0"/>
            <w:vAlign w:val="center"/>
          </w:tcPr>
          <w:p w14:paraId="660ED112">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2.4</w:t>
            </w:r>
          </w:p>
        </w:tc>
        <w:tc>
          <w:tcPr>
            <w:tcW w:w="572" w:type="pct"/>
            <w:tcBorders>
              <w:tl2br w:val="nil"/>
              <w:tr2bl w:val="nil"/>
            </w:tcBorders>
            <w:noWrap w:val="0"/>
            <w:vAlign w:val="center"/>
          </w:tcPr>
          <w:p w14:paraId="0286E66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2.2</w:t>
            </w:r>
          </w:p>
        </w:tc>
        <w:tc>
          <w:tcPr>
            <w:tcW w:w="564" w:type="pct"/>
            <w:tcBorders>
              <w:tl2br w:val="nil"/>
              <w:tr2bl w:val="nil"/>
            </w:tcBorders>
            <w:noWrap w:val="0"/>
            <w:vAlign w:val="center"/>
          </w:tcPr>
          <w:p w14:paraId="0E5F907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2.4</w:t>
            </w:r>
          </w:p>
        </w:tc>
        <w:tc>
          <w:tcPr>
            <w:tcW w:w="1654" w:type="dxa"/>
            <w:tcBorders>
              <w:tl2br w:val="nil"/>
              <w:tr2bl w:val="nil"/>
            </w:tcBorders>
            <w:noWrap w:val="0"/>
            <w:vAlign w:val="center"/>
          </w:tcPr>
          <w:p w14:paraId="2803227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4</w:t>
            </w:r>
          </w:p>
        </w:tc>
        <w:tc>
          <w:tcPr>
            <w:tcW w:w="1680" w:type="dxa"/>
            <w:tcBorders>
              <w:tl2br w:val="nil"/>
              <w:tr2bl w:val="nil"/>
            </w:tcBorders>
            <w:noWrap w:val="0"/>
            <w:vAlign w:val="center"/>
          </w:tcPr>
          <w:p w14:paraId="30E8F73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0.6</w:t>
            </w:r>
          </w:p>
        </w:tc>
        <w:tc>
          <w:tcPr>
            <w:tcW w:w="462" w:type="pct"/>
            <w:tcBorders>
              <w:tl2br w:val="nil"/>
              <w:tr2bl w:val="nil"/>
            </w:tcBorders>
            <w:noWrap w:val="0"/>
            <w:vAlign w:val="center"/>
          </w:tcPr>
          <w:p w14:paraId="107CB5B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17CA7EA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221AC96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0DAF3FD8">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悬浮物</w:t>
            </w:r>
          </w:p>
        </w:tc>
        <w:tc>
          <w:tcPr>
            <w:tcW w:w="389" w:type="pct"/>
            <w:tcBorders>
              <w:tl2br w:val="nil"/>
              <w:tr2bl w:val="nil"/>
            </w:tcBorders>
            <w:noWrap w:val="0"/>
            <w:vAlign w:val="center"/>
          </w:tcPr>
          <w:p w14:paraId="4074666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0FE71A8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8</w:t>
            </w:r>
          </w:p>
        </w:tc>
        <w:tc>
          <w:tcPr>
            <w:tcW w:w="570" w:type="pct"/>
            <w:tcBorders>
              <w:tl2br w:val="nil"/>
              <w:tr2bl w:val="nil"/>
            </w:tcBorders>
            <w:noWrap w:val="0"/>
            <w:vAlign w:val="center"/>
          </w:tcPr>
          <w:p w14:paraId="09FB0E0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9</w:t>
            </w:r>
          </w:p>
        </w:tc>
        <w:tc>
          <w:tcPr>
            <w:tcW w:w="572" w:type="pct"/>
            <w:tcBorders>
              <w:tl2br w:val="nil"/>
              <w:tr2bl w:val="nil"/>
            </w:tcBorders>
            <w:noWrap w:val="0"/>
            <w:vAlign w:val="center"/>
          </w:tcPr>
          <w:p w14:paraId="58741BC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6</w:t>
            </w:r>
          </w:p>
        </w:tc>
        <w:tc>
          <w:tcPr>
            <w:tcW w:w="564" w:type="pct"/>
            <w:tcBorders>
              <w:tl2br w:val="nil"/>
              <w:tr2bl w:val="nil"/>
            </w:tcBorders>
            <w:noWrap w:val="0"/>
            <w:vAlign w:val="center"/>
          </w:tcPr>
          <w:p w14:paraId="2520988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9</w:t>
            </w:r>
          </w:p>
        </w:tc>
        <w:tc>
          <w:tcPr>
            <w:tcW w:w="1654" w:type="dxa"/>
            <w:tcBorders>
              <w:tl2br w:val="nil"/>
              <w:tr2bl w:val="nil"/>
            </w:tcBorders>
            <w:noWrap w:val="0"/>
            <w:vAlign w:val="center"/>
          </w:tcPr>
          <w:p w14:paraId="15DB979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pacing w:val="9"/>
                <w:sz w:val="20"/>
                <w:szCs w:val="20"/>
                <w:highlight w:val="none"/>
                <w:lang w:val="en-US" w:eastAsia="zh-CN"/>
              </w:rPr>
              <w:t>/</w:t>
            </w:r>
          </w:p>
        </w:tc>
        <w:tc>
          <w:tcPr>
            <w:tcW w:w="1680" w:type="dxa"/>
            <w:tcBorders>
              <w:tl2br w:val="nil"/>
              <w:tr2bl w:val="nil"/>
            </w:tcBorders>
            <w:noWrap w:val="0"/>
            <w:vAlign w:val="center"/>
          </w:tcPr>
          <w:p w14:paraId="6FA6770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2367687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615D0C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193DAF0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67D2C11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b w:val="0"/>
                <w:bCs/>
                <w:color w:val="auto"/>
                <w:sz w:val="20"/>
                <w:szCs w:val="20"/>
                <w:highlight w:val="none"/>
                <w:lang w:val="en-US" w:eastAsia="zh-CN"/>
              </w:rPr>
              <w:t>总磷</w:t>
            </w:r>
          </w:p>
        </w:tc>
        <w:tc>
          <w:tcPr>
            <w:tcW w:w="389" w:type="pct"/>
            <w:tcBorders>
              <w:tl2br w:val="nil"/>
              <w:tr2bl w:val="nil"/>
            </w:tcBorders>
            <w:noWrap w:val="0"/>
            <w:vAlign w:val="center"/>
          </w:tcPr>
          <w:p w14:paraId="032E556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324B521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0.1</w:t>
            </w:r>
          </w:p>
        </w:tc>
        <w:tc>
          <w:tcPr>
            <w:tcW w:w="570" w:type="pct"/>
            <w:tcBorders>
              <w:tl2br w:val="nil"/>
              <w:tr2bl w:val="nil"/>
            </w:tcBorders>
            <w:noWrap w:val="0"/>
            <w:vAlign w:val="center"/>
          </w:tcPr>
          <w:p w14:paraId="3FDEA5F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0.11</w:t>
            </w:r>
          </w:p>
        </w:tc>
        <w:tc>
          <w:tcPr>
            <w:tcW w:w="572" w:type="pct"/>
            <w:tcBorders>
              <w:tl2br w:val="nil"/>
              <w:tr2bl w:val="nil"/>
            </w:tcBorders>
            <w:noWrap w:val="0"/>
            <w:vAlign w:val="center"/>
          </w:tcPr>
          <w:p w14:paraId="7227398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0.11</w:t>
            </w:r>
          </w:p>
        </w:tc>
        <w:tc>
          <w:tcPr>
            <w:tcW w:w="564" w:type="pct"/>
            <w:tcBorders>
              <w:tl2br w:val="nil"/>
              <w:tr2bl w:val="nil"/>
            </w:tcBorders>
            <w:noWrap w:val="0"/>
            <w:vAlign w:val="center"/>
          </w:tcPr>
          <w:p w14:paraId="4EF3F2D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0.11</w:t>
            </w:r>
          </w:p>
        </w:tc>
        <w:tc>
          <w:tcPr>
            <w:tcW w:w="1654" w:type="dxa"/>
            <w:tcBorders>
              <w:tl2br w:val="nil"/>
              <w:tr2bl w:val="nil"/>
            </w:tcBorders>
            <w:noWrap w:val="0"/>
            <w:vAlign w:val="center"/>
          </w:tcPr>
          <w:p w14:paraId="08964D2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0.2</w:t>
            </w:r>
          </w:p>
        </w:tc>
        <w:tc>
          <w:tcPr>
            <w:tcW w:w="1680" w:type="dxa"/>
            <w:tcBorders>
              <w:tl2br w:val="nil"/>
              <w:tr2bl w:val="nil"/>
            </w:tcBorders>
            <w:noWrap w:val="0"/>
            <w:vAlign w:val="center"/>
          </w:tcPr>
          <w:p w14:paraId="1ADD83B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0.55</w:t>
            </w:r>
          </w:p>
        </w:tc>
        <w:tc>
          <w:tcPr>
            <w:tcW w:w="462" w:type="pct"/>
            <w:tcBorders>
              <w:tl2br w:val="nil"/>
              <w:tr2bl w:val="nil"/>
            </w:tcBorders>
            <w:noWrap w:val="0"/>
            <w:vAlign w:val="center"/>
          </w:tcPr>
          <w:p w14:paraId="5784B93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539E33F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384" w:type="pct"/>
            <w:vMerge w:val="continue"/>
            <w:tcBorders>
              <w:tl2br w:val="nil"/>
              <w:tr2bl w:val="nil"/>
            </w:tcBorders>
            <w:noWrap w:val="0"/>
            <w:vAlign w:val="center"/>
          </w:tcPr>
          <w:p w14:paraId="5D2D7A7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kern w:val="0"/>
                <w:sz w:val="20"/>
                <w:szCs w:val="20"/>
                <w:highlight w:val="none"/>
                <w:lang w:bidi="ar"/>
              </w:rPr>
            </w:pPr>
          </w:p>
        </w:tc>
        <w:tc>
          <w:tcPr>
            <w:tcW w:w="389" w:type="pct"/>
            <w:tcBorders>
              <w:tl2br w:val="nil"/>
              <w:tr2bl w:val="nil"/>
            </w:tcBorders>
            <w:noWrap w:val="0"/>
            <w:vAlign w:val="center"/>
          </w:tcPr>
          <w:p w14:paraId="44D5B8B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总</w:t>
            </w:r>
            <w:r>
              <w:rPr>
                <w:rFonts w:hint="default" w:ascii="Times New Roman" w:hAnsi="Times New Roman" w:eastAsia="宋体" w:cs="Times New Roman"/>
                <w:b w:val="0"/>
                <w:bCs/>
                <w:color w:val="auto"/>
                <w:sz w:val="20"/>
                <w:szCs w:val="20"/>
                <w:highlight w:val="none"/>
              </w:rPr>
              <w:t>铬</w:t>
            </w:r>
          </w:p>
        </w:tc>
        <w:tc>
          <w:tcPr>
            <w:tcW w:w="389" w:type="pct"/>
            <w:tcBorders>
              <w:tl2br w:val="nil"/>
              <w:tr2bl w:val="nil"/>
            </w:tcBorders>
            <w:noWrap w:val="0"/>
            <w:vAlign w:val="center"/>
          </w:tcPr>
          <w:p w14:paraId="7C0DC55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color w:val="auto"/>
                <w:kern w:val="2"/>
                <w:sz w:val="20"/>
                <w:szCs w:val="20"/>
                <w:highlight w:val="none"/>
                <w:lang w:val="en-US" w:eastAsia="zh-CN" w:bidi="ar-SA"/>
              </w:rPr>
              <w:t>mg/L</w:t>
            </w:r>
          </w:p>
        </w:tc>
        <w:tc>
          <w:tcPr>
            <w:tcW w:w="570" w:type="pct"/>
            <w:tcBorders>
              <w:tl2br w:val="nil"/>
              <w:tr2bl w:val="nil"/>
            </w:tcBorders>
            <w:noWrap w:val="0"/>
            <w:vAlign w:val="center"/>
          </w:tcPr>
          <w:p w14:paraId="7937266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0.023</w:t>
            </w:r>
          </w:p>
        </w:tc>
        <w:tc>
          <w:tcPr>
            <w:tcW w:w="570" w:type="pct"/>
            <w:tcBorders>
              <w:tl2br w:val="nil"/>
              <w:tr2bl w:val="nil"/>
            </w:tcBorders>
            <w:noWrap w:val="0"/>
            <w:vAlign w:val="center"/>
          </w:tcPr>
          <w:p w14:paraId="0F4C07A4">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0.027</w:t>
            </w:r>
          </w:p>
        </w:tc>
        <w:tc>
          <w:tcPr>
            <w:tcW w:w="572" w:type="pct"/>
            <w:tcBorders>
              <w:tl2br w:val="nil"/>
              <w:tr2bl w:val="nil"/>
            </w:tcBorders>
            <w:noWrap w:val="0"/>
            <w:vAlign w:val="center"/>
          </w:tcPr>
          <w:p w14:paraId="488D158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0.02</w:t>
            </w:r>
          </w:p>
        </w:tc>
        <w:tc>
          <w:tcPr>
            <w:tcW w:w="564" w:type="pct"/>
            <w:tcBorders>
              <w:tl2br w:val="nil"/>
              <w:tr2bl w:val="nil"/>
            </w:tcBorders>
            <w:noWrap w:val="0"/>
            <w:vAlign w:val="center"/>
          </w:tcPr>
          <w:p w14:paraId="5337E3F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center"/>
              <w:rPr>
                <w:rFonts w:hint="default" w:ascii="Times New Roman" w:hAnsi="Times New Roman" w:eastAsia="宋体" w:cs="Times New Roman"/>
                <w:color w:val="auto"/>
                <w:kern w:val="0"/>
                <w:sz w:val="20"/>
                <w:szCs w:val="20"/>
                <w:highlight w:val="none"/>
                <w:lang w:bidi="ar"/>
              </w:rPr>
            </w:pPr>
            <w:r>
              <w:rPr>
                <w:rFonts w:hint="default" w:ascii="Times New Roman" w:hAnsi="Times New Roman" w:eastAsia="宋体" w:cs="Times New Roman"/>
                <w:i w:val="0"/>
                <w:iCs w:val="0"/>
                <w:color w:val="auto"/>
                <w:kern w:val="0"/>
                <w:sz w:val="20"/>
                <w:szCs w:val="20"/>
                <w:highlight w:val="none"/>
                <w:u w:val="none"/>
                <w:lang w:val="en-US" w:eastAsia="zh-CN" w:bidi="ar"/>
              </w:rPr>
              <w:t>0.027</w:t>
            </w:r>
          </w:p>
        </w:tc>
        <w:tc>
          <w:tcPr>
            <w:tcW w:w="1654" w:type="dxa"/>
            <w:tcBorders>
              <w:tl2br w:val="nil"/>
              <w:tr2bl w:val="nil"/>
            </w:tcBorders>
            <w:noWrap w:val="0"/>
            <w:vAlign w:val="center"/>
          </w:tcPr>
          <w:p w14:paraId="1E674F4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9"/>
                <w:sz w:val="20"/>
                <w:szCs w:val="20"/>
                <w:highlight w:val="none"/>
              </w:rPr>
            </w:pPr>
            <w:r>
              <w:rPr>
                <w:rFonts w:hint="eastAsia" w:ascii="Times New Roman" w:hAnsi="Times New Roman" w:eastAsia="宋体" w:cs="Times New Roman"/>
                <w:color w:val="auto"/>
                <w:sz w:val="20"/>
                <w:szCs w:val="20"/>
                <w:highlight w:val="none"/>
                <w:lang w:val="en-US" w:eastAsia="zh-CN"/>
              </w:rPr>
              <w:t>/</w:t>
            </w:r>
          </w:p>
        </w:tc>
        <w:tc>
          <w:tcPr>
            <w:tcW w:w="1680" w:type="dxa"/>
            <w:tcBorders>
              <w:tl2br w:val="nil"/>
              <w:tr2bl w:val="nil"/>
            </w:tcBorders>
            <w:noWrap w:val="0"/>
            <w:vAlign w:val="center"/>
          </w:tcPr>
          <w:p w14:paraId="0A283AB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w:t>
            </w:r>
          </w:p>
        </w:tc>
        <w:tc>
          <w:tcPr>
            <w:tcW w:w="462" w:type="pct"/>
            <w:tcBorders>
              <w:tl2br w:val="nil"/>
              <w:tr2bl w:val="nil"/>
            </w:tcBorders>
            <w:noWrap w:val="0"/>
            <w:vAlign w:val="center"/>
          </w:tcPr>
          <w:p w14:paraId="283A6A9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pacing w:val="8"/>
                <w:sz w:val="20"/>
                <w:szCs w:val="20"/>
                <w:highlight w:val="none"/>
              </w:rPr>
            </w:pPr>
            <w:r>
              <w:rPr>
                <w:rFonts w:hint="default" w:ascii="Times New Roman" w:hAnsi="Times New Roman" w:eastAsia="宋体" w:cs="Times New Roman"/>
                <w:color w:val="auto"/>
                <w:spacing w:val="8"/>
                <w:sz w:val="20"/>
                <w:szCs w:val="20"/>
                <w:highlight w:val="none"/>
              </w:rPr>
              <w:t>达标</w:t>
            </w:r>
          </w:p>
        </w:tc>
      </w:tr>
      <w:tr w14:paraId="2BE94B5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cantSplit/>
          <w:trHeight w:val="340" w:hRule="atLeast"/>
          <w:jc w:val="center"/>
        </w:trPr>
        <w:tc>
          <w:tcPr>
            <w:tcW w:w="5000" w:type="pct"/>
            <w:gridSpan w:val="10"/>
            <w:tcBorders>
              <w:tl2br w:val="nil"/>
              <w:tr2bl w:val="nil"/>
            </w:tcBorders>
            <w:noWrap w:val="0"/>
            <w:vAlign w:val="center"/>
          </w:tcPr>
          <w:p w14:paraId="58CB21B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both"/>
              <w:rPr>
                <w:rFonts w:hint="default" w:ascii="Times New Roman" w:hAnsi="Times New Roman" w:eastAsia="宋体" w:cs="Times New Roman"/>
                <w:color w:val="auto"/>
                <w:spacing w:val="8"/>
                <w:sz w:val="20"/>
                <w:szCs w:val="20"/>
                <w:highlight w:val="none"/>
                <w:lang w:val="en-US" w:eastAsia="zh-CN"/>
              </w:rPr>
            </w:pPr>
            <w:r>
              <w:rPr>
                <w:rFonts w:hint="eastAsia" w:ascii="Times New Roman" w:hAnsi="Times New Roman" w:eastAsia="宋体" w:cs="Times New Roman"/>
                <w:color w:val="auto"/>
                <w:spacing w:val="8"/>
                <w:sz w:val="20"/>
                <w:szCs w:val="20"/>
                <w:highlight w:val="none"/>
                <w:lang w:val="en-US" w:eastAsia="zh-CN"/>
              </w:rPr>
              <w:t>注：</w:t>
            </w:r>
            <w:r>
              <w:rPr>
                <w:rFonts w:hint="eastAsia" w:ascii="Times New Roman" w:hAnsi="Times New Roman" w:eastAsia="宋体" w:cs="Times New Roman"/>
                <w:b w:val="0"/>
                <w:bCs w:val="0"/>
                <w:color w:val="auto"/>
                <w:kern w:val="2"/>
                <w:sz w:val="20"/>
                <w:szCs w:val="20"/>
                <w:highlight w:val="none"/>
                <w:lang w:val="en-US" w:eastAsia="zh-CN" w:bidi="ar-SA"/>
              </w:rPr>
              <w:t>当测定结果低于分析方法检出限或最低检出浓度时，报使用的“方法检出限或最低检出浓度”，并加标志位“L”表示；总氮不计入评价。</w:t>
            </w:r>
          </w:p>
        </w:tc>
      </w:tr>
    </w:tbl>
    <w:p w14:paraId="268DF15E">
      <w:pPr>
        <w:keepNext w:val="0"/>
        <w:keepLines w:val="0"/>
        <w:pageBreakBefore w:val="0"/>
        <w:widowControl w:val="0"/>
        <w:kinsoku/>
        <w:wordWrap/>
        <w:overflowPunct/>
        <w:topLinePunct w:val="0"/>
        <w:autoSpaceDE/>
        <w:autoSpaceDN/>
        <w:bidi w:val="0"/>
        <w:adjustRightInd/>
        <w:snapToGrid w:val="0"/>
        <w:spacing w:before="156" w:beforeLines="50" w:line="360" w:lineRule="auto"/>
        <w:ind w:firstLine="464" w:firstLineChars="200"/>
        <w:textAlignment w:val="auto"/>
        <w:rPr>
          <w:rFonts w:hint="default" w:ascii="Times New Roman" w:hAnsi="Times New Roman" w:cs="Times New Roman"/>
          <w:color w:val="auto"/>
          <w:sz w:val="24"/>
          <w:szCs w:val="24"/>
          <w:highlight w:val="none"/>
          <w:lang w:val="en-US" w:eastAsia="zh-CN"/>
        </w:rPr>
        <w:sectPr>
          <w:headerReference r:id="rId25" w:type="default"/>
          <w:pgSz w:w="16838" w:h="11906" w:orient="landscape"/>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r>
        <w:rPr>
          <w:rFonts w:hint="default" w:ascii="Times New Roman" w:hAnsi="Times New Roman" w:cs="Times New Roman"/>
          <w:bCs/>
          <w:color w:val="auto"/>
          <w:spacing w:val="-4"/>
          <w:sz w:val="24"/>
          <w:szCs w:val="24"/>
          <w:highlight w:val="none"/>
          <w:lang w:eastAsia="zh-CN"/>
        </w:rPr>
        <w:t>根据上表</w:t>
      </w:r>
      <w:r>
        <w:rPr>
          <w:rFonts w:hint="eastAsia" w:ascii="Times New Roman" w:hAnsi="Times New Roman" w:cs="Times New Roman"/>
          <w:bCs/>
          <w:color w:val="auto"/>
          <w:spacing w:val="-4"/>
          <w:sz w:val="24"/>
          <w:szCs w:val="24"/>
          <w:highlight w:val="none"/>
          <w:lang w:val="en-US" w:eastAsia="zh-CN"/>
        </w:rPr>
        <w:t>可知</w:t>
      </w:r>
      <w:r>
        <w:rPr>
          <w:rFonts w:hint="default" w:ascii="Times New Roman" w:hAnsi="Times New Roman" w:cs="Times New Roman"/>
          <w:bCs/>
          <w:color w:val="auto"/>
          <w:spacing w:val="-4"/>
          <w:sz w:val="24"/>
          <w:szCs w:val="24"/>
          <w:highlight w:val="none"/>
        </w:rPr>
        <w:t>，</w:t>
      </w:r>
      <w:r>
        <w:rPr>
          <w:rFonts w:hint="eastAsia" w:ascii="Times New Roman" w:hAnsi="Times New Roman" w:cs="Times New Roman"/>
          <w:bCs/>
          <w:color w:val="auto"/>
          <w:spacing w:val="-4"/>
          <w:sz w:val="24"/>
          <w:szCs w:val="24"/>
          <w:highlight w:val="none"/>
          <w:lang w:val="en-US" w:eastAsia="zh-CN"/>
        </w:rPr>
        <w:t>各</w:t>
      </w:r>
      <w:r>
        <w:rPr>
          <w:rFonts w:hint="default" w:ascii="Times New Roman" w:hAnsi="Times New Roman" w:cs="Times New Roman"/>
          <w:color w:val="auto"/>
          <w:sz w:val="24"/>
          <w:szCs w:val="24"/>
          <w:highlight w:val="none"/>
          <w:lang w:eastAsia="zh-CN"/>
        </w:rPr>
        <w:t>监测断面监测指标均满足</w:t>
      </w:r>
      <w:r>
        <w:rPr>
          <w:rFonts w:hint="default" w:ascii="Times New Roman" w:hAnsi="Times New Roman" w:cs="Times New Roman"/>
          <w:color w:val="auto"/>
          <w:sz w:val="24"/>
          <w:szCs w:val="24"/>
          <w:highlight w:val="none"/>
        </w:rPr>
        <w:t>《地表水环境质量标准》（GB3838-2002）中Ⅲ类水域标准要求</w:t>
      </w:r>
      <w:r>
        <w:rPr>
          <w:rFonts w:hint="default" w:ascii="Times New Roman" w:hAnsi="Times New Roman" w:cs="Times New Roman"/>
          <w:color w:val="auto"/>
          <w:sz w:val="24"/>
          <w:szCs w:val="24"/>
          <w:highlight w:val="none"/>
          <w:lang w:val="en-US" w:eastAsia="zh-CN"/>
        </w:rPr>
        <w:t>。</w:t>
      </w:r>
    </w:p>
    <w:p w14:paraId="6EE03D35">
      <w:pPr>
        <w:pStyle w:val="3"/>
        <w:spacing w:before="156" w:after="156"/>
        <w:rPr>
          <w:rFonts w:hint="default" w:ascii="Times New Roman" w:hAnsi="Times New Roman" w:cs="Times New Roman"/>
          <w:color w:val="auto"/>
          <w:highlight w:val="none"/>
        </w:rPr>
      </w:pPr>
      <w:bookmarkStart w:id="94" w:name="_Toc19321"/>
      <w:bookmarkStart w:id="95" w:name="_Toc17285"/>
      <w:bookmarkStart w:id="96" w:name="_Toc31239"/>
      <w:r>
        <w:rPr>
          <w:rFonts w:hint="default" w:ascii="Times New Roman" w:hAnsi="Times New Roman" w:cs="Times New Roman"/>
          <w:color w:val="auto"/>
          <w:highlight w:val="none"/>
        </w:rPr>
        <w:t>地下水环境质量现状监测及评价</w:t>
      </w:r>
      <w:bookmarkEnd w:id="94"/>
      <w:bookmarkEnd w:id="95"/>
      <w:bookmarkEnd w:id="96"/>
    </w:p>
    <w:p w14:paraId="5AE5C6F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为了解项目所在区域地下水环境质量现状，特委托</w:t>
      </w:r>
      <w:r>
        <w:rPr>
          <w:rFonts w:hint="default" w:ascii="Times New Roman" w:hAnsi="Times New Roman" w:cs="Times New Roman"/>
          <w:color w:val="auto"/>
          <w:highlight w:val="none"/>
          <w:lang w:val="en-US" w:eastAsia="zh-CN"/>
        </w:rPr>
        <w:t>绵阳凯乐监测技术有限公司</w:t>
      </w:r>
      <w:r>
        <w:rPr>
          <w:rFonts w:hint="default" w:ascii="Times New Roman" w:hAnsi="Times New Roman" w:cs="Times New Roman"/>
          <w:color w:val="auto"/>
          <w:highlight w:val="none"/>
        </w:rPr>
        <w:t>对项目所在地地下水进行了取样监测</w:t>
      </w:r>
      <w:r>
        <w:rPr>
          <w:rFonts w:hint="default" w:ascii="Times New Roman" w:hAnsi="Times New Roman" w:cs="Times New Roman"/>
          <w:color w:val="auto"/>
          <w:highlight w:val="none"/>
          <w:lang w:eastAsia="zh-CN"/>
        </w:rPr>
        <w:t>。</w:t>
      </w:r>
    </w:p>
    <w:p w14:paraId="5D6FEE27">
      <w:pPr>
        <w:pStyle w:val="43"/>
        <w:spacing w:line="360" w:lineRule="auto"/>
        <w:ind w:firstLine="464" w:firstLineChars="200"/>
        <w:rPr>
          <w:rFonts w:hint="default"/>
          <w:color w:val="auto"/>
          <w:highlight w:val="none"/>
        </w:rPr>
        <w:sectPr>
          <w:headerReference r:id="rId26"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r>
        <w:rPr>
          <w:rFonts w:hint="default" w:ascii="Times New Roman" w:hAnsi="Times New Roman" w:cs="Times New Roman"/>
          <w:bCs/>
          <w:color w:val="auto"/>
          <w:spacing w:val="-4"/>
          <w:sz w:val="24"/>
          <w:szCs w:val="24"/>
          <w:highlight w:val="none"/>
          <w:lang w:eastAsia="zh-CN"/>
        </w:rPr>
        <w:t>根据上表</w:t>
      </w:r>
      <w:r>
        <w:rPr>
          <w:rFonts w:hint="eastAsia" w:ascii="Times New Roman" w:hAnsi="Times New Roman" w:cs="Times New Roman"/>
          <w:bCs/>
          <w:color w:val="auto"/>
          <w:spacing w:val="-4"/>
          <w:sz w:val="24"/>
          <w:szCs w:val="24"/>
          <w:highlight w:val="none"/>
          <w:lang w:val="en-US" w:eastAsia="zh-CN"/>
        </w:rPr>
        <w:t>可知</w:t>
      </w:r>
      <w:r>
        <w:rPr>
          <w:rFonts w:hint="default" w:ascii="Times New Roman" w:hAnsi="Times New Roman" w:cs="Times New Roman"/>
          <w:bCs/>
          <w:color w:val="auto"/>
          <w:spacing w:val="-4"/>
          <w:sz w:val="24"/>
          <w:szCs w:val="24"/>
          <w:highlight w:val="none"/>
        </w:rPr>
        <w:t>，</w:t>
      </w:r>
      <w:r>
        <w:rPr>
          <w:rFonts w:hint="default" w:ascii="Times New Roman" w:hAnsi="Times New Roman" w:cs="Times New Roman"/>
          <w:color w:val="auto"/>
          <w:sz w:val="24"/>
          <w:szCs w:val="24"/>
          <w:highlight w:val="none"/>
          <w:lang w:val="en-US" w:eastAsia="zh-CN"/>
        </w:rPr>
        <w:t>各监测点位监测指标均满足</w:t>
      </w:r>
      <w:r>
        <w:rPr>
          <w:rFonts w:hint="default" w:ascii="Times New Roman" w:hAnsi="Times New Roman" w:cs="Times New Roman"/>
          <w:color w:val="auto"/>
          <w:sz w:val="24"/>
          <w:szCs w:val="24"/>
          <w:highlight w:val="none"/>
        </w:rPr>
        <w:t>《地下水质量标准》（GB/T14848-2017）III类标准</w:t>
      </w:r>
      <w:r>
        <w:rPr>
          <w:rFonts w:hint="default" w:ascii="Times New Roman" w:hAnsi="Times New Roman" w:cs="Times New Roman"/>
          <w:color w:val="auto"/>
          <w:sz w:val="24"/>
          <w:szCs w:val="24"/>
          <w:highlight w:val="none"/>
          <w:lang w:eastAsia="zh-CN"/>
        </w:rPr>
        <w:t>。</w:t>
      </w:r>
    </w:p>
    <w:p w14:paraId="1F018AF3">
      <w:pPr>
        <w:pStyle w:val="3"/>
        <w:spacing w:before="156" w:after="156"/>
        <w:rPr>
          <w:rFonts w:hint="default" w:ascii="Times New Roman" w:hAnsi="Times New Roman" w:cs="Times New Roman"/>
          <w:color w:val="auto"/>
          <w:highlight w:val="none"/>
        </w:rPr>
      </w:pPr>
      <w:bookmarkStart w:id="97" w:name="_Toc24309"/>
      <w:bookmarkStart w:id="98" w:name="_Toc16680"/>
      <w:bookmarkStart w:id="99" w:name="_Toc17224"/>
      <w:r>
        <w:rPr>
          <w:rFonts w:hint="default" w:ascii="Times New Roman" w:hAnsi="Times New Roman" w:cs="Times New Roman"/>
          <w:color w:val="auto"/>
          <w:highlight w:val="none"/>
        </w:rPr>
        <w:t>声环境质量现状监测及评价</w:t>
      </w:r>
      <w:bookmarkEnd w:id="97"/>
      <w:bookmarkEnd w:id="98"/>
      <w:bookmarkEnd w:id="99"/>
    </w:p>
    <w:p w14:paraId="7387296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为了解项目所在区域声环境质量现状，</w:t>
      </w:r>
      <w:r>
        <w:rPr>
          <w:rFonts w:hint="default" w:ascii="Times New Roman" w:hAnsi="Times New Roman" w:cs="Times New Roman"/>
          <w:color w:val="auto"/>
          <w:sz w:val="24"/>
          <w:highlight w:val="none"/>
          <w:lang w:val="en-US" w:eastAsia="zh-CN"/>
        </w:rPr>
        <w:t>本次评价</w:t>
      </w:r>
      <w:r>
        <w:rPr>
          <w:rFonts w:hint="default" w:ascii="Times New Roman" w:hAnsi="Times New Roman" w:cs="Times New Roman"/>
          <w:color w:val="auto"/>
          <w:sz w:val="24"/>
          <w:highlight w:val="none"/>
        </w:rPr>
        <w:t>特委托</w:t>
      </w:r>
      <w:r>
        <w:rPr>
          <w:rFonts w:hint="default" w:ascii="Times New Roman" w:hAnsi="Times New Roman" w:cs="Times New Roman"/>
          <w:color w:val="auto"/>
          <w:highlight w:val="none"/>
          <w:lang w:val="en-US" w:eastAsia="zh-CN"/>
        </w:rPr>
        <w:t>绵阳凯乐监测技术有限公司于202</w:t>
      </w:r>
      <w:r>
        <w:rPr>
          <w:rFonts w:hint="eastAsia" w:cs="Times New Roman"/>
          <w:color w:val="auto"/>
          <w:highlight w:val="none"/>
          <w:lang w:val="en-US" w:eastAsia="zh-CN"/>
        </w:rPr>
        <w:t>5</w:t>
      </w:r>
      <w:r>
        <w:rPr>
          <w:rFonts w:hint="default" w:ascii="Times New Roman" w:hAnsi="Times New Roman" w:cs="Times New Roman"/>
          <w:color w:val="auto"/>
          <w:highlight w:val="none"/>
          <w:lang w:val="en-US" w:eastAsia="zh-CN"/>
        </w:rPr>
        <w:t>年</w:t>
      </w:r>
      <w:r>
        <w:rPr>
          <w:rFonts w:hint="eastAsia" w:cs="Times New Roman"/>
          <w:color w:val="auto"/>
          <w:highlight w:val="none"/>
          <w:lang w:val="en-US" w:eastAsia="zh-CN"/>
        </w:rPr>
        <w:t>01</w:t>
      </w:r>
      <w:r>
        <w:rPr>
          <w:rFonts w:hint="default" w:ascii="Times New Roman" w:hAnsi="Times New Roman" w:cs="Times New Roman"/>
          <w:color w:val="auto"/>
          <w:highlight w:val="none"/>
          <w:lang w:val="en-US" w:eastAsia="zh-CN"/>
        </w:rPr>
        <w:t>月</w:t>
      </w:r>
      <w:r>
        <w:rPr>
          <w:rFonts w:hint="eastAsia" w:cs="Times New Roman"/>
          <w:color w:val="auto"/>
          <w:highlight w:val="none"/>
          <w:lang w:val="en-US" w:eastAsia="zh-CN"/>
        </w:rPr>
        <w:t>19</w:t>
      </w:r>
      <w:r>
        <w:rPr>
          <w:rFonts w:hint="default" w:ascii="Times New Roman" w:hAnsi="Times New Roman" w:cs="Times New Roman"/>
          <w:color w:val="auto"/>
          <w:highlight w:val="none"/>
          <w:lang w:val="en-US" w:eastAsia="zh-CN"/>
        </w:rPr>
        <w:t>日~</w:t>
      </w:r>
      <w:r>
        <w:rPr>
          <w:rFonts w:hint="eastAsia" w:cs="Times New Roman"/>
          <w:color w:val="auto"/>
          <w:highlight w:val="none"/>
          <w:lang w:val="en-US" w:eastAsia="zh-CN"/>
        </w:rPr>
        <w:t>20</w:t>
      </w:r>
      <w:r>
        <w:rPr>
          <w:rFonts w:hint="default" w:ascii="Times New Roman" w:hAnsi="Times New Roman" w:cs="Times New Roman"/>
          <w:color w:val="auto"/>
          <w:highlight w:val="none"/>
          <w:lang w:val="en-US" w:eastAsia="zh-CN"/>
        </w:rPr>
        <w:t>日对声环境质量现状</w:t>
      </w:r>
      <w:r>
        <w:rPr>
          <w:rFonts w:hint="default" w:ascii="Times New Roman" w:hAnsi="Times New Roman" w:cs="Times New Roman"/>
          <w:color w:val="auto"/>
          <w:sz w:val="24"/>
          <w:highlight w:val="none"/>
          <w:lang w:val="en-US" w:eastAsia="zh-CN"/>
        </w:rPr>
        <w:t>进行了监测。</w:t>
      </w:r>
    </w:p>
    <w:p w14:paraId="62E3294D">
      <w:pPr>
        <w:pStyle w:val="3"/>
        <w:spacing w:before="156" w:after="156"/>
        <w:rPr>
          <w:rFonts w:hint="default" w:ascii="Times New Roman" w:hAnsi="Times New Roman" w:cs="Times New Roman"/>
          <w:color w:val="auto"/>
          <w:highlight w:val="none"/>
          <w:lang w:eastAsia="zh-CN"/>
        </w:rPr>
      </w:pPr>
      <w:bookmarkStart w:id="100" w:name="_Toc28553"/>
      <w:bookmarkStart w:id="101" w:name="_Toc2091"/>
      <w:r>
        <w:rPr>
          <w:rFonts w:hint="default" w:ascii="Times New Roman" w:hAnsi="Times New Roman" w:cs="Times New Roman"/>
          <w:color w:val="auto"/>
          <w:highlight w:val="none"/>
          <w:lang w:eastAsia="zh-CN"/>
        </w:rPr>
        <w:t>生态环境质量现状调查</w:t>
      </w:r>
      <w:bookmarkEnd w:id="100"/>
      <w:bookmarkEnd w:id="101"/>
    </w:p>
    <w:p w14:paraId="4CE96395">
      <w:pPr>
        <w:pStyle w:val="4"/>
        <w:keepNext/>
        <w:keepLines/>
        <w:pageBreakBefore w:val="0"/>
        <w:widowControl w:val="0"/>
        <w:kinsoku/>
        <w:wordWrap/>
        <w:overflowPunct/>
        <w:topLinePunct w:val="0"/>
        <w:autoSpaceDE/>
        <w:autoSpaceDN/>
        <w:bidi w:val="0"/>
        <w:adjustRightInd/>
        <w:snapToGrid w:val="0"/>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生态环境现状</w:t>
      </w:r>
    </w:p>
    <w:p w14:paraId="387A30D8">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区域生态环境质量现状</w:t>
      </w:r>
    </w:p>
    <w:p w14:paraId="6E2617AF">
      <w:pPr>
        <w:pageBreakBefore w:val="0"/>
        <w:widowControl w:val="0"/>
        <w:kinsoku/>
        <w:wordWrap/>
        <w:overflowPunct/>
        <w:topLinePunct w:val="0"/>
        <w:bidi w:val="0"/>
        <w:snapToGrid w:val="0"/>
        <w:ind w:firstLine="48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本项目位于剑阁县普安镇剑坪村1组，项目用地属于普安环卫所用地的餐厨垃圾处理地块，区域受人为活动影响较大，不涉及相关保护动植物，主要为常见物种及人工栽培植物。</w:t>
      </w:r>
    </w:p>
    <w:p w14:paraId="78692296">
      <w:pPr>
        <w:pageBreakBefore w:val="0"/>
        <w:widowControl w:val="0"/>
        <w:kinsoku/>
        <w:wordWrap/>
        <w:overflowPunct/>
        <w:topLinePunct w:val="0"/>
        <w:bidi w:val="0"/>
        <w:snapToGrid w:val="0"/>
        <w:ind w:firstLine="480"/>
        <w:jc w:val="both"/>
        <w:textAlignment w:val="auto"/>
        <w:rPr>
          <w:rFonts w:hint="default" w:ascii="Times New Roman" w:hAnsi="Times New Roman" w:cs="Times New Roman"/>
          <w:color w:val="auto"/>
          <w:sz w:val="24"/>
          <w:szCs w:val="24"/>
          <w:highlight w:val="none"/>
        </w:rPr>
      </w:pPr>
      <w:r>
        <w:rPr>
          <w:rFonts w:hint="default" w:ascii="Times New Roman" w:hAnsi="Times New Roman" w:eastAsia="宋体" w:cs="Times New Roman"/>
          <w:color w:val="auto"/>
          <w:sz w:val="24"/>
          <w:szCs w:val="24"/>
          <w:highlight w:val="none"/>
          <w:lang w:val="en-US" w:eastAsia="zh-CN"/>
        </w:rPr>
        <w:t>剑门山区植被丰</w:t>
      </w:r>
      <w:r>
        <w:rPr>
          <w:rFonts w:hint="default" w:ascii="Times New Roman" w:hAnsi="Times New Roman" w:cs="Times New Roman"/>
          <w:color w:val="auto"/>
          <w:sz w:val="24"/>
          <w:szCs w:val="24"/>
          <w:highlight w:val="none"/>
        </w:rPr>
        <w:t>富，境内森林以常绿针叶树柏，松和落叶阔叶树桤，栎及小量杨、桐、枫、榆等杂树组成。境内有天然气、膨润土、</w:t>
      </w: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sz w:val="24"/>
          <w:szCs w:val="24"/>
          <w:highlight w:val="none"/>
        </w:rPr>
        <w:instrText xml:space="preserve"> HYPERLINK "http://baike.baidu.com/subview/360841/12984086.htm" \t "_blank"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t>沙金</w:t>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rPr>
        <w:fldChar w:fldCharType="begin"/>
      </w:r>
      <w:r>
        <w:rPr>
          <w:rFonts w:hint="default" w:ascii="Times New Roman" w:hAnsi="Times New Roman" w:cs="Times New Roman"/>
          <w:color w:val="auto"/>
          <w:sz w:val="24"/>
          <w:szCs w:val="24"/>
          <w:highlight w:val="none"/>
        </w:rPr>
        <w:instrText xml:space="preserve"> HYPERLINK "http://baike.baidu.com/view/1254323.htm" \t "_blank" </w:instrText>
      </w:r>
      <w:r>
        <w:rPr>
          <w:rFonts w:hint="default" w:ascii="Times New Roman" w:hAnsi="Times New Roman" w:cs="Times New Roman"/>
          <w:color w:val="auto"/>
          <w:sz w:val="24"/>
          <w:szCs w:val="24"/>
          <w:highlight w:val="none"/>
        </w:rPr>
        <w:fldChar w:fldCharType="separate"/>
      </w:r>
      <w:r>
        <w:rPr>
          <w:rFonts w:hint="default" w:ascii="Times New Roman" w:hAnsi="Times New Roman" w:cs="Times New Roman"/>
          <w:color w:val="auto"/>
          <w:sz w:val="24"/>
          <w:szCs w:val="24"/>
          <w:highlight w:val="none"/>
        </w:rPr>
        <w:t>铀矿</w:t>
      </w:r>
      <w:r>
        <w:rPr>
          <w:rFonts w:hint="default" w:ascii="Times New Roman" w:hAnsi="Times New Roman" w:cs="Times New Roman"/>
          <w:color w:val="auto"/>
          <w:sz w:val="24"/>
          <w:szCs w:val="24"/>
          <w:highlight w:val="none"/>
        </w:rPr>
        <w:fldChar w:fldCharType="end"/>
      </w:r>
      <w:r>
        <w:rPr>
          <w:rFonts w:hint="default" w:ascii="Times New Roman" w:hAnsi="Times New Roman" w:cs="Times New Roman"/>
          <w:color w:val="auto"/>
          <w:sz w:val="24"/>
          <w:szCs w:val="24"/>
          <w:highlight w:val="none"/>
        </w:rPr>
        <w:t>等矿藏资源。</w:t>
      </w:r>
    </w:p>
    <w:p w14:paraId="6BC0266E">
      <w:pPr>
        <w:keepNext w:val="0"/>
        <w:keepLines w:val="0"/>
        <w:pageBreakBefore w:val="0"/>
        <w:widowControl w:val="0"/>
        <w:kinsoku/>
        <w:wordWrap/>
        <w:overflowPunct/>
        <w:topLinePunct w:val="0"/>
        <w:bidi w:val="0"/>
        <w:snapToGrid w:val="0"/>
        <w:spacing w:line="360" w:lineRule="auto"/>
        <w:ind w:firstLine="480" w:firstLineChars="200"/>
        <w:jc w:val="left"/>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剑阁县属四川省松栎林亚区，境内森林以常绿针叶树柏、松和落叶阔叶树桤、栎及少量杨、桐、枫、榆等杂树组成。森林覆盖率50%以上。境内成林植被主要为柏木林、马尾松林、栎林、桤木林、杂树林、竹林及茶林等。 珍稀植物包括古柏</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树龄一般在400～2000年</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、剑阁柏木、银杏、白皮松、天师栗、香樟、飞蛾树、红豆木及剑门兰花等。</w:t>
      </w:r>
    </w:p>
    <w:p w14:paraId="679D6E5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区域内有野生动物224种，哺乳类动物有47种、鸟类84种、爬行动物12种、两栖动物6种、鱼类75种；属国家重点保护的野生动物25种，包括金钱豹、锦鸡、猕猴、小熊猫、龟、剑门画眉等。</w:t>
      </w:r>
    </w:p>
    <w:p w14:paraId="45173A2A">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default" w:ascii="Times New Roman" w:hAnsi="Times New Roman" w:cs="Times New Roman"/>
          <w:b/>
          <w:bCs/>
          <w:color w:val="auto"/>
          <w:sz w:val="24"/>
          <w:szCs w:val="24"/>
          <w:highlight w:val="none"/>
          <w:lang w:eastAsia="zh-CN"/>
        </w:rPr>
      </w:pPr>
      <w:r>
        <w:rPr>
          <w:rFonts w:hint="default" w:ascii="Times New Roman" w:hAnsi="Times New Roman" w:cs="Times New Roman"/>
          <w:b/>
          <w:bCs/>
          <w:color w:val="auto"/>
          <w:sz w:val="24"/>
          <w:szCs w:val="24"/>
          <w:highlight w:val="none"/>
          <w:lang w:val="en-US" w:eastAsia="zh-CN"/>
        </w:rPr>
        <w:t>根据调查，本项目评价范围不涉及</w:t>
      </w:r>
      <w:r>
        <w:rPr>
          <w:rFonts w:hint="default" w:ascii="Times New Roman" w:hAnsi="Times New Roman" w:cs="Times New Roman"/>
          <w:b/>
          <w:bCs/>
          <w:color w:val="auto"/>
          <w:sz w:val="24"/>
          <w:szCs w:val="24"/>
          <w:highlight w:val="none"/>
        </w:rPr>
        <w:t>国家重点保护的野生动物</w:t>
      </w:r>
      <w:r>
        <w:rPr>
          <w:rFonts w:hint="default" w:ascii="Times New Roman" w:hAnsi="Times New Roman" w:cs="Times New Roman"/>
          <w:b/>
          <w:bCs/>
          <w:color w:val="auto"/>
          <w:sz w:val="24"/>
          <w:szCs w:val="24"/>
          <w:highlight w:val="none"/>
          <w:lang w:eastAsia="zh-CN"/>
        </w:rPr>
        <w:t>、</w:t>
      </w:r>
      <w:r>
        <w:rPr>
          <w:rFonts w:hint="default" w:ascii="Times New Roman" w:hAnsi="Times New Roman" w:cs="Times New Roman"/>
          <w:b/>
          <w:bCs/>
          <w:color w:val="auto"/>
          <w:sz w:val="24"/>
          <w:szCs w:val="24"/>
          <w:highlight w:val="none"/>
        </w:rPr>
        <w:t>珍稀植物</w:t>
      </w:r>
      <w:r>
        <w:rPr>
          <w:rFonts w:hint="default" w:ascii="Times New Roman" w:hAnsi="Times New Roman" w:cs="Times New Roman"/>
          <w:b/>
          <w:bCs/>
          <w:color w:val="auto"/>
          <w:sz w:val="24"/>
          <w:szCs w:val="24"/>
          <w:highlight w:val="none"/>
          <w:lang w:eastAsia="zh-CN"/>
        </w:rPr>
        <w:t>。</w:t>
      </w:r>
    </w:p>
    <w:p w14:paraId="2446CB8B">
      <w:pPr>
        <w:pStyle w:val="5"/>
        <w:pageBreakBefore w:val="0"/>
        <w:widowControl w:val="0"/>
        <w:kinsoku/>
        <w:wordWrap/>
        <w:overflowPunct/>
        <w:topLinePunct w:val="0"/>
        <w:bidi w:val="0"/>
        <w:snapToGrid w:val="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翠云廊古柏省级自然保护区</w:t>
      </w:r>
    </w:p>
    <w:p w14:paraId="7B0E9123">
      <w:pPr>
        <w:pageBreakBefore w:val="0"/>
        <w:widowControl w:val="0"/>
        <w:kinsoku/>
        <w:wordWrap/>
        <w:overflowPunct/>
        <w:topLinePunct w:val="0"/>
        <w:bidi w:val="0"/>
        <w:snapToGrid w:val="0"/>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四川翠云廊古柏省级自然保护区，东北起自广元市昭化区昭化古镇，向西南横跨剑阁县境进入梓潼县，向南纵贯剑阁县境与阆中市接壤，呈带状“人”型分布。两旁古柏参天的古驿道从中穿过，人称“翠云廊”。2002年3月，由四川省人民政府批准成立（川府函[2002]50号），将原属于三个县区的三个市级古柏自然保护区合并，建立省级自然保护区，以古柏及其生存环境为主要保护对象的野生植物类型自然保护区，2011年获得了省政府同意范围调整的批复（《四川省人民政府关于同意调整翠云廊古柏省级自然保护区面积和范围的批复》（川府函［2011］231号），2013年8月获得了《四川省林业厅关于四川翠云廊省级自然保护区总体规划（2013-2025年）的批复》（川林规函［2013］845号）。</w:t>
      </w:r>
    </w:p>
    <w:p w14:paraId="4A0A500E">
      <w:pPr>
        <w:pageBreakBefore w:val="0"/>
        <w:widowControl w:val="0"/>
        <w:kinsoku/>
        <w:wordWrap/>
        <w:overflowPunct/>
        <w:topLinePunct w:val="0"/>
        <w:bidi w:val="0"/>
        <w:snapToGrid w:val="0"/>
        <w:ind w:firstLine="480" w:firstLineChars="200"/>
        <w:textAlignment w:val="auto"/>
        <w:rPr>
          <w:rFonts w:hint="default" w:ascii="Times New Roman" w:hAnsi="Times New Roman" w:cs="Times New Roman" w:eastAsiaTheme="minorEastAsia"/>
          <w:color w:val="auto"/>
          <w:sz w:val="24"/>
          <w:highlight w:val="none"/>
          <w:lang w:eastAsia="zh-CN"/>
        </w:rPr>
      </w:pPr>
      <w:r>
        <w:rPr>
          <w:rFonts w:hint="default" w:ascii="Times New Roman" w:hAnsi="Times New Roman" w:cs="Times New Roman"/>
          <w:color w:val="auto"/>
          <w:sz w:val="24"/>
          <w:highlight w:val="none"/>
        </w:rPr>
        <w:t>保护区总面积27155公顷，有自秦汉以来百年以上的古柏28150株，其中三百年以上的驿道古柏8173株</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其中昭化区境内面积为4000.0公顷，占保护区总面积的14.7%；剑阁县境内面积15772.0公顷，占保护区总面积的58.1%；梓潼县境内面积7383公顷，占保护区总面积的27.2%。保护区有高等植物595种，还有极具保护价值、研究价值和观赏价值的古黄连木、古丹桂、古铁尖衫等珍贵树种。栖息繁衍的野生动物有脊椎动物225种，其中属于国家重点保护的珍</w:t>
      </w:r>
      <w:r>
        <w:rPr>
          <w:rFonts w:hint="default" w:ascii="Times New Roman" w:hAnsi="Times New Roman" w:cs="Times New Roman"/>
          <w:color w:val="auto"/>
          <w:sz w:val="24"/>
          <w:highlight w:val="none"/>
          <w:lang w:eastAsia="zh-CN"/>
        </w:rPr>
        <w:t>稀</w:t>
      </w:r>
      <w:r>
        <w:rPr>
          <w:rFonts w:hint="default" w:ascii="Times New Roman" w:hAnsi="Times New Roman" w:cs="Times New Roman"/>
          <w:color w:val="auto"/>
          <w:sz w:val="24"/>
          <w:highlight w:val="none"/>
        </w:rPr>
        <w:t>濒危野生动物有猕猴、黑熊、红腹角雉、苍鹰、猎隼、红隼等</w:t>
      </w:r>
      <w:r>
        <w:rPr>
          <w:rFonts w:hint="default" w:ascii="Times New Roman" w:hAnsi="Times New Roman" w:cs="Times New Roman"/>
          <w:color w:val="auto"/>
          <w:sz w:val="24"/>
          <w:highlight w:val="none"/>
          <w:lang w:eastAsia="zh-CN"/>
        </w:rPr>
        <w:t>。</w:t>
      </w:r>
    </w:p>
    <w:p w14:paraId="13454EA8">
      <w:pPr>
        <w:pageBreakBefore w:val="0"/>
        <w:widowControl w:val="0"/>
        <w:kinsoku/>
        <w:wordWrap/>
        <w:overflowPunct/>
        <w:topLinePunct w:val="0"/>
        <w:bidi w:val="0"/>
        <w:snapToGrid w:val="0"/>
        <w:jc w:val="center"/>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highlight w:val="none"/>
        </w:rPr>
        <w:drawing>
          <wp:inline distT="0" distB="0" distL="114300" distR="114300">
            <wp:extent cx="2555875" cy="1896110"/>
            <wp:effectExtent l="0" t="0" r="15875" b="8890"/>
            <wp:docPr id="84"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17"/>
                    <pic:cNvPicPr>
                      <a:picLocks noChangeAspect="1"/>
                    </pic:cNvPicPr>
                  </pic:nvPicPr>
                  <pic:blipFill>
                    <a:blip r:embed="rId56"/>
                    <a:stretch>
                      <a:fillRect/>
                    </a:stretch>
                  </pic:blipFill>
                  <pic:spPr>
                    <a:xfrm>
                      <a:off x="0" y="0"/>
                      <a:ext cx="2555875" cy="1896110"/>
                    </a:xfrm>
                    <a:prstGeom prst="rect">
                      <a:avLst/>
                    </a:prstGeom>
                    <a:noFill/>
                    <a:ln>
                      <a:noFill/>
                    </a:ln>
                  </pic:spPr>
                </pic:pic>
              </a:graphicData>
            </a:graphic>
          </wp:inline>
        </w:drawing>
      </w:r>
    </w:p>
    <w:p w14:paraId="4CE927AF">
      <w:pPr>
        <w:keepNext w:val="0"/>
        <w:keepLines w:val="0"/>
        <w:pageBreakBefore w:val="0"/>
        <w:widowControl w:val="0"/>
        <w:numPr>
          <w:ilvl w:val="0"/>
          <w:numId w:val="0"/>
        </w:numPr>
        <w:kinsoku/>
        <w:wordWrap/>
        <w:overflowPunct/>
        <w:topLinePunct w:val="0"/>
        <w:autoSpaceDE/>
        <w:autoSpaceDN/>
        <w:bidi w:val="0"/>
        <w:adjustRightInd/>
        <w:snapToGrid w:val="0"/>
        <w:ind w:leftChars="0"/>
        <w:jc w:val="center"/>
        <w:textAlignment w:val="auto"/>
        <w:rPr>
          <w:rFonts w:hint="default" w:ascii="Times New Roman" w:hAnsi="Times New Roman" w:cs="Times New Roman" w:eastAsiaTheme="minorEastAsia"/>
          <w:b/>
          <w:bCs/>
          <w:color w:val="auto"/>
          <w:sz w:val="21"/>
          <w:szCs w:val="21"/>
          <w:highlight w:val="none"/>
          <w:lang w:eastAsia="zh-CN"/>
        </w:rPr>
      </w:pPr>
      <w:r>
        <w:rPr>
          <w:rFonts w:hint="default" w:ascii="Times New Roman" w:hAnsi="Times New Roman" w:cs="Times New Roman"/>
          <w:b/>
          <w:bCs/>
          <w:color w:val="auto"/>
          <w:sz w:val="21"/>
          <w:szCs w:val="21"/>
          <w:highlight w:val="none"/>
          <w:lang w:eastAsia="zh-CN"/>
        </w:rPr>
        <w:t>图</w:t>
      </w:r>
      <w:r>
        <w:rPr>
          <w:rFonts w:hint="default" w:ascii="Times New Roman" w:hAnsi="Times New Roman" w:cs="Times New Roman"/>
          <w:b/>
          <w:bCs/>
          <w:color w:val="auto"/>
          <w:sz w:val="21"/>
          <w:szCs w:val="21"/>
          <w:highlight w:val="none"/>
          <w:lang w:val="en-US" w:eastAsia="zh-CN"/>
        </w:rPr>
        <w:t xml:space="preserve">3.3-1  </w:t>
      </w:r>
      <w:r>
        <w:rPr>
          <w:rFonts w:hint="default" w:ascii="Times New Roman" w:hAnsi="Times New Roman" w:cs="Times New Roman"/>
          <w:b/>
          <w:bCs/>
          <w:color w:val="auto"/>
          <w:sz w:val="21"/>
          <w:szCs w:val="21"/>
          <w:highlight w:val="none"/>
        </w:rPr>
        <w:t>翠云廊古柏自然保护区</w:t>
      </w:r>
      <w:r>
        <w:rPr>
          <w:rFonts w:hint="default" w:ascii="Times New Roman" w:hAnsi="Times New Roman" w:cs="Times New Roman"/>
          <w:b/>
          <w:bCs/>
          <w:color w:val="auto"/>
          <w:sz w:val="21"/>
          <w:szCs w:val="21"/>
          <w:highlight w:val="none"/>
          <w:lang w:eastAsia="zh-CN"/>
        </w:rPr>
        <w:t>照片</w:t>
      </w:r>
    </w:p>
    <w:p w14:paraId="77EC27D7">
      <w:pPr>
        <w:pageBreakBefore w:val="0"/>
        <w:widowControl w:val="0"/>
        <w:kinsoku/>
        <w:wordWrap/>
        <w:overflowPunct/>
        <w:topLinePunct w:val="0"/>
        <w:autoSpaceDE/>
        <w:autoSpaceDN/>
        <w:bidi w:val="0"/>
        <w:adjustRightInd/>
        <w:snapToGrid w:val="0"/>
        <w:ind w:firstLine="480" w:firstLineChars="200"/>
        <w:textAlignment w:val="auto"/>
        <w:rPr>
          <w:rFonts w:hint="default" w:ascii="Times New Roman" w:hAnsi="Times New Roman" w:eastAsia="黑体" w:cs="Times New Roman"/>
          <w:b/>
          <w:bCs/>
          <w:color w:val="auto"/>
          <w:sz w:val="24"/>
          <w:highlight w:val="none"/>
        </w:rPr>
      </w:pPr>
      <w:r>
        <w:rPr>
          <w:rFonts w:hint="default" w:ascii="Times New Roman" w:hAnsi="Times New Roman" w:eastAsia="宋体" w:cs="Times New Roman"/>
          <w:b/>
          <w:bCs/>
          <w:color w:val="auto"/>
          <w:kern w:val="0"/>
          <w:sz w:val="24"/>
          <w:szCs w:val="24"/>
          <w:highlight w:val="none"/>
          <w:lang w:val="en-US" w:eastAsia="zh-CN" w:bidi="ar"/>
        </w:rPr>
        <w:t>本项目西侧距四川翠云廊古柏（省级）自然保护区边界999m。根据调查，本项目评价范围内涉及的四川翠云廊古柏（省级）自然保护区主要分布有普安工业园和普安镇场镇，为已开发程度较大的区域，分布古柏较少，无其它国家重点保护的珍稀濒危野生动植物分布。</w:t>
      </w:r>
    </w:p>
    <w:p w14:paraId="63129011">
      <w:pPr>
        <w:pStyle w:val="5"/>
        <w:pageBreakBefore w:val="0"/>
        <w:widowControl w:val="0"/>
        <w:kinsoku/>
        <w:wordWrap/>
        <w:overflowPunct/>
        <w:topLinePunct w:val="0"/>
        <w:autoSpaceDE/>
        <w:autoSpaceDN/>
        <w:bidi w:val="0"/>
        <w:adjustRightInd/>
        <w:snapToGrid w:val="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剑门蜀道国家级风景名胜区</w:t>
      </w:r>
    </w:p>
    <w:p w14:paraId="0D4AC12F">
      <w:pPr>
        <w:pageBreakBefore w:val="0"/>
        <w:widowControl w:val="0"/>
        <w:kinsoku/>
        <w:wordWrap/>
        <w:overflowPunct/>
        <w:topLinePunct w:val="0"/>
        <w:autoSpaceDE/>
        <w:autoSpaceDN/>
        <w:bidi w:val="0"/>
        <w:adjustRightInd/>
        <w:snapToGrid w:val="0"/>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剑门蜀道属于剑门蜀道风景区，是国务院首批批准的国家级风景名胜区</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位于绵阳、广元市境内。剑门关距广元较近，因此，剑门蜀道风景名胜区，主要是指广元经剑门关、剑阁到绵阳这一线的风景名胜</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是在连绵不断的秦岭、巴山、岷山之间，以“蜀道”为主干的带状风景名胜区。蜀道北起陕西汉中宁强县，南到四川成都，全长450公里，入川经广元、剑阁、梓潼、绵阳、德阳等地。沿线地势险要，山峦叠翠，风光峻丽，关隘众多，唐代李白有“蜀道难，</w:t>
      </w:r>
      <w:r>
        <w:rPr>
          <w:rFonts w:hint="default" w:ascii="Times New Roman" w:hAnsi="Times New Roman" w:cs="Times New Roman"/>
          <w:color w:val="auto"/>
          <w:sz w:val="24"/>
          <w:highlight w:val="none"/>
          <w:lang w:val="en-US" w:eastAsia="zh-CN"/>
        </w:rPr>
        <w:t xml:space="preserve"> </w:t>
      </w:r>
      <w:r>
        <w:rPr>
          <w:rFonts w:hint="default" w:ascii="Times New Roman" w:hAnsi="Times New Roman" w:cs="Times New Roman"/>
          <w:color w:val="auto"/>
          <w:sz w:val="24"/>
          <w:highlight w:val="none"/>
        </w:rPr>
        <w:t>难于上青天”的形容。景区范围广大，山水林泉等自然景观丰富，沿蜀道分布着众多的名胜古迹，主要有古栈道、三国古战场遗迹、武则天庙皇泽寺、唐宋石刻千佛岩、剑门关、古驿道翠云廊、七曲山大庙、李白故里等。</w:t>
      </w:r>
    </w:p>
    <w:p w14:paraId="5AAEDF5E">
      <w:pPr>
        <w:pageBreakBefore w:val="0"/>
        <w:widowControl w:val="0"/>
        <w:kinsoku/>
        <w:wordWrap/>
        <w:overflowPunct/>
        <w:topLinePunct w:val="0"/>
        <w:autoSpaceDE/>
        <w:autoSpaceDN/>
        <w:bidi w:val="0"/>
        <w:adjustRightInd/>
        <w:snapToGrid w:val="0"/>
        <w:ind w:firstLine="480" w:firstLineChars="200"/>
        <w:textAlignment w:val="auto"/>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根据《住房城乡建设部关于剑门蜀道风景名胜区总体规划的函》（建城函[2017]313号），剑门蜀道风景名胜区总面积为790平方公里，核心景区面积为43.2平方公里。</w:t>
      </w:r>
    </w:p>
    <w:p w14:paraId="1748B4B4">
      <w:pPr>
        <w:pageBreakBefore w:val="0"/>
        <w:widowControl w:val="0"/>
        <w:kinsoku/>
        <w:wordWrap/>
        <w:overflowPunct/>
        <w:topLinePunct w:val="0"/>
        <w:autoSpaceDE/>
        <w:autoSpaceDN/>
        <w:bidi w:val="0"/>
        <w:adjustRightInd/>
        <w:snapToGrid w:val="0"/>
        <w:ind w:firstLine="480" w:firstLineChars="200"/>
        <w:textAlignment w:val="auto"/>
        <w:rPr>
          <w:rFonts w:hint="default" w:ascii="Times New Roman" w:hAnsi="Times New Roman" w:eastAsia="黑体" w:cs="Times New Roman"/>
          <w:b/>
          <w:bCs/>
          <w:color w:val="auto"/>
          <w:sz w:val="24"/>
          <w:highlight w:val="none"/>
        </w:rPr>
      </w:pPr>
      <w:r>
        <w:rPr>
          <w:rFonts w:hint="default" w:ascii="Times New Roman" w:hAnsi="Times New Roman" w:eastAsia="宋体" w:cs="Times New Roman"/>
          <w:b/>
          <w:bCs/>
          <w:color w:val="auto"/>
          <w:kern w:val="0"/>
          <w:sz w:val="24"/>
          <w:szCs w:val="24"/>
          <w:highlight w:val="none"/>
          <w:lang w:val="en-US" w:eastAsia="zh-CN" w:bidi="ar"/>
        </w:rPr>
        <w:t>根据调查，本项目评价范围内涉及的剑门蜀道风景名胜区现状主要为农村环境，不属于核心景区。</w:t>
      </w:r>
    </w:p>
    <w:p w14:paraId="3F88815E">
      <w:pPr>
        <w:adjustRightInd/>
        <w:snapToGrid/>
        <w:spacing w:line="240" w:lineRule="atLeast"/>
        <w:ind w:firstLine="0" w:firstLineChars="0"/>
        <w:jc w:val="center"/>
        <w:rPr>
          <w:rFonts w:hint="default" w:ascii="Times New Roman" w:hAnsi="Times New Roman" w:eastAsia="宋体" w:cs="Times New Roman"/>
          <w:b/>
          <w:color w:val="auto"/>
          <w:sz w:val="21"/>
          <w:szCs w:val="21"/>
          <w:highlight w:val="none"/>
          <w:lang w:val="en-US" w:eastAsia="zh-CN"/>
        </w:rPr>
      </w:pPr>
    </w:p>
    <w:p w14:paraId="2BDFC485">
      <w:pPr>
        <w:spacing w:before="120" w:beforeLines="50"/>
        <w:ind w:firstLine="480"/>
        <w:jc w:val="both"/>
        <w:rPr>
          <w:rFonts w:hint="default" w:ascii="Times New Roman" w:hAnsi="Times New Roman" w:cs="Times New Roman"/>
          <w:color w:val="auto"/>
          <w:sz w:val="24"/>
          <w:szCs w:val="24"/>
          <w:highlight w:val="none"/>
        </w:rPr>
      </w:pPr>
    </w:p>
    <w:p w14:paraId="31D52C80">
      <w:pPr>
        <w:spacing w:before="120" w:beforeLines="50"/>
        <w:ind w:firstLine="480"/>
        <w:jc w:val="both"/>
        <w:rPr>
          <w:rFonts w:hint="default" w:ascii="Times New Roman" w:hAnsi="Times New Roman" w:cs="Times New Roman"/>
          <w:color w:val="auto"/>
          <w:sz w:val="24"/>
          <w:szCs w:val="24"/>
          <w:highlight w:val="none"/>
        </w:rPr>
      </w:pPr>
    </w:p>
    <w:p w14:paraId="2B86FD06">
      <w:pPr>
        <w:pStyle w:val="14"/>
        <w:ind w:firstLine="480"/>
        <w:rPr>
          <w:rFonts w:hint="default" w:ascii="Times New Roman" w:hAnsi="Times New Roman" w:cs="Times New Roman"/>
          <w:color w:val="auto"/>
          <w:highlight w:val="none"/>
        </w:rPr>
      </w:pPr>
    </w:p>
    <w:p w14:paraId="1F1C97D0">
      <w:pPr>
        <w:pStyle w:val="14"/>
        <w:ind w:firstLine="480"/>
        <w:rPr>
          <w:rFonts w:hint="default" w:ascii="Times New Roman" w:hAnsi="Times New Roman" w:cs="Times New Roman"/>
          <w:color w:val="auto"/>
          <w:highlight w:val="none"/>
        </w:rPr>
      </w:pPr>
    </w:p>
    <w:p w14:paraId="551BE57A">
      <w:pPr>
        <w:pStyle w:val="14"/>
        <w:ind w:firstLine="480"/>
        <w:rPr>
          <w:rFonts w:hint="default" w:ascii="Times New Roman" w:hAnsi="Times New Roman" w:cs="Times New Roman"/>
          <w:color w:val="auto"/>
          <w:highlight w:val="none"/>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051B4439">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102" w:name="_Toc2656"/>
      <w:bookmarkStart w:id="103" w:name="_Toc24456"/>
      <w:bookmarkStart w:id="104" w:name="_Toc14819"/>
      <w:r>
        <w:rPr>
          <w:rFonts w:hint="default" w:ascii="Times New Roman" w:hAnsi="Times New Roman" w:cs="Times New Roman"/>
          <w:color w:val="auto"/>
          <w:highlight w:val="none"/>
          <w:lang w:val="en-US" w:eastAsia="zh-CN"/>
        </w:rPr>
        <w:t>施工期环境影响分析</w:t>
      </w:r>
      <w:bookmarkEnd w:id="102"/>
      <w:bookmarkEnd w:id="103"/>
      <w:bookmarkEnd w:id="104"/>
    </w:p>
    <w:p w14:paraId="45F0466A">
      <w:pPr>
        <w:pStyle w:val="3"/>
        <w:spacing w:before="156" w:after="156"/>
        <w:rPr>
          <w:rFonts w:hint="default" w:ascii="Times New Roman" w:hAnsi="Times New Roman" w:cs="Times New Roman"/>
          <w:color w:val="auto"/>
          <w:highlight w:val="none"/>
        </w:rPr>
      </w:pPr>
      <w:bookmarkStart w:id="105" w:name="_Toc18324"/>
      <w:bookmarkStart w:id="106" w:name="_Toc3216"/>
      <w:bookmarkStart w:id="107" w:name="_Toc31965"/>
      <w:r>
        <w:rPr>
          <w:rFonts w:hint="default" w:ascii="Times New Roman" w:hAnsi="Times New Roman" w:cs="Times New Roman"/>
          <w:color w:val="auto"/>
          <w:highlight w:val="none"/>
        </w:rPr>
        <w:t>施工期环境影响分析</w:t>
      </w:r>
      <w:bookmarkEnd w:id="105"/>
      <w:bookmarkEnd w:id="106"/>
      <w:bookmarkEnd w:id="107"/>
    </w:p>
    <w:p w14:paraId="1A21634D">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大气环境影响分析</w:t>
      </w:r>
    </w:p>
    <w:p w14:paraId="1DA52F0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施工期对空气的污染主要是扬尘。新建建筑物的基础开挖、地基处理、土地平整等，开挖的土方堆放如遇大风天气，会造成扬尘污染；施工所需建筑材料数量较大，施工将增加车流量，加之建筑砂石、土、水泥等泄漏，会增加路面起尘量。因此，新建建筑物施工期扬尘的起尘量与许多因素有关，包括：基础开挖起尘量、施工渣土堆场起尘量、进出车辆带泥砂量、废渣外运装载起尘量以及起尘高度、采取的防护措施、空气湿度、风速等。</w:t>
      </w:r>
    </w:p>
    <w:p w14:paraId="3443C197">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建设单位应要求工程施工单位制定施工期环境管理计划，加强管理，按进度、有计划地进行文明施工，认真执行《中华人民共和国大气污染防治法》中相关要求，同时建设单位应进一步采取以下措施：</w:t>
      </w:r>
    </w:p>
    <w:p w14:paraId="784FB61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①要求施工单位文明施工，定期对地面及施工道路洒水，每天定时洒水达到有效防尘；</w:t>
      </w:r>
    </w:p>
    <w:p w14:paraId="3FB29CA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②施工运输车辆，车厢应严密清洁，尽量减少渣土运输时洒落在地面上，并对撒落在路面的渣土及时清除，清理时做到先洒水后清扫，避免产生扬尘对周边居民正常生活造成影响；</w:t>
      </w:r>
    </w:p>
    <w:p w14:paraId="3BC28D9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③在施工场地对施工车辆必须实施限速行驶，同时施工现场运输道路采用硬化路面；</w:t>
      </w:r>
    </w:p>
    <w:p w14:paraId="4D86B41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④建材堆放地点要相对集中，应堆放在项目施工场地上设置的材料堆放间处，减少建材的露天堆放时间，对建材使用毡布覆盖；</w:t>
      </w:r>
    </w:p>
    <w:p w14:paraId="6F7FA95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⑤自卸车、垃圾运输车、拉土车等运输车辆不允许超载，选择对周围环境影响较小的运输路线，定时对运输路线进行清扫，运输车辆出场时必须封闭，避免在运输过程中的抛洒现象；</w:t>
      </w:r>
    </w:p>
    <w:p w14:paraId="6DF214F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⑥禁止在大风天进行渣土堆放作业，临时废弃土石方及时清运；</w:t>
      </w:r>
    </w:p>
    <w:p w14:paraId="7561973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⑦合理选择运输路线，选择环境影响最小的路线至指定的场地，尽量减少经过居住区、学校、医院次数，避免对其的影响；</w:t>
      </w:r>
    </w:p>
    <w:p w14:paraId="76CD683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⑧加强对施工人员的环保教育，提高全体施工人员的环保意识，坚持文明施工、科学施工、减少施工期的大气污染。</w:t>
      </w:r>
    </w:p>
    <w:p w14:paraId="11B2AE3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本项目土建工程量较小，且</w:t>
      </w:r>
      <w:r>
        <w:rPr>
          <w:rFonts w:hint="default" w:ascii="Times New Roman" w:hAnsi="Times New Roman" w:cs="Times New Roman"/>
          <w:color w:val="auto"/>
          <w:highlight w:val="none"/>
          <w:lang w:val="en-US" w:eastAsia="zh-CN"/>
        </w:rPr>
        <w:t>周边100m范围内均无居民居住</w:t>
      </w:r>
      <w:r>
        <w:rPr>
          <w:rFonts w:hint="default" w:ascii="Times New Roman" w:hAnsi="Times New Roman" w:cs="Times New Roman"/>
          <w:color w:val="auto"/>
          <w:highlight w:val="none"/>
        </w:rPr>
        <w:t>，在采取有效的扬尘治理措施的前提下，对周围大气环境的影响较小。</w:t>
      </w:r>
    </w:p>
    <w:p w14:paraId="02CDA601">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地表水环境影响分析</w:t>
      </w:r>
    </w:p>
    <w:p w14:paraId="7F2E47A8">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施工生活污水</w:t>
      </w:r>
    </w:p>
    <w:p w14:paraId="459FF8D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本项目建设施工期间，施工高峰时工地施工及管理人员合计约</w:t>
      </w:r>
      <w:r>
        <w:rPr>
          <w:rFonts w:hint="default" w:ascii="Times New Roman" w:hAnsi="Times New Roman" w:cs="Times New Roman"/>
          <w:color w:val="auto"/>
          <w:highlight w:val="none"/>
          <w:lang w:val="en-US" w:eastAsia="zh-CN"/>
        </w:rPr>
        <w:t>1</w:t>
      </w:r>
      <w:r>
        <w:rPr>
          <w:rFonts w:hint="default" w:ascii="Times New Roman" w:hAnsi="Times New Roman" w:cs="Times New Roman"/>
          <w:color w:val="auto"/>
          <w:highlight w:val="none"/>
        </w:rPr>
        <w:t>0人。施工期间，工地不设简易住宿和食堂，产生的生活污水</w:t>
      </w:r>
      <w:r>
        <w:rPr>
          <w:rFonts w:hint="default" w:ascii="Times New Roman" w:hAnsi="Times New Roman" w:cs="Times New Roman"/>
          <w:color w:val="auto"/>
          <w:highlight w:val="none"/>
          <w:lang w:val="en-US" w:eastAsia="zh-CN"/>
        </w:rPr>
        <w:t>依托周边已有设施解决，对周围影响很小</w:t>
      </w:r>
      <w:r>
        <w:rPr>
          <w:rFonts w:hint="default" w:ascii="Times New Roman" w:hAnsi="Times New Roman" w:cs="Times New Roman"/>
          <w:color w:val="auto"/>
          <w:highlight w:val="none"/>
        </w:rPr>
        <w:t>。</w:t>
      </w:r>
    </w:p>
    <w:p w14:paraId="52C47C97">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施工</w:t>
      </w:r>
      <w:r>
        <w:rPr>
          <w:rFonts w:hint="default" w:ascii="Times New Roman" w:hAnsi="Times New Roman" w:cs="Times New Roman"/>
          <w:color w:val="auto"/>
          <w:highlight w:val="none"/>
          <w:lang w:val="en-US" w:eastAsia="zh-CN"/>
        </w:rPr>
        <w:t>生产废水</w:t>
      </w:r>
    </w:p>
    <w:p w14:paraId="3376993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现场进行砂、石冲洗等作业过程中将有施工废水产生，含有大量泥砂，悬浮物浓度较高。因此要求施工方在建筑施工现场开挖修建临时废水储存池，使施工废水经隔油、沉淀除渣后循环使用，不外排。池内泥浆弃土定时挖出与建筑垃圾一起运到指定的建筑垃圾堆放场。</w:t>
      </w:r>
    </w:p>
    <w:p w14:paraId="7AB0F0B2">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噪声环境影响分析</w:t>
      </w:r>
    </w:p>
    <w:p w14:paraId="77C88191">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期噪声源主要来源于各种施工机械和机具、装载机、运输车辆等，噪声源强为75~105dB（A）。经建筑工程施工工地噪声源强类比调查分析，确定拟建项目的噪声影响主要来源于施工现场（场址区内）的声源噪声，这些噪声将对作业人员和场址周围环境造成一定影响。</w:t>
      </w:r>
    </w:p>
    <w:p w14:paraId="70D8766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为了降低施工噪声的影响，施工单位应采取如下措施：</w:t>
      </w:r>
    </w:p>
    <w:p w14:paraId="2313945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①合理布局施工场地，将高噪声设备布置于</w:t>
      </w:r>
      <w:r>
        <w:rPr>
          <w:rFonts w:hint="default" w:ascii="Times New Roman" w:hAnsi="Times New Roman" w:cs="Times New Roman"/>
          <w:color w:val="auto"/>
          <w:highlight w:val="none"/>
          <w:lang w:val="en-US" w:eastAsia="zh-CN"/>
        </w:rPr>
        <w:t>场地中部</w:t>
      </w:r>
      <w:r>
        <w:rPr>
          <w:rFonts w:hint="default" w:ascii="Times New Roman" w:hAnsi="Times New Roman" w:cs="Times New Roman"/>
          <w:color w:val="auto"/>
          <w:highlight w:val="none"/>
        </w:rPr>
        <w:t>；</w:t>
      </w:r>
    </w:p>
    <w:p w14:paraId="48A2887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②合理安排施工时间，将强噪声作业尽量安排在白天进行，严禁夜间高噪声设备施工；</w:t>
      </w:r>
    </w:p>
    <w:p w14:paraId="4111FFD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③施工现场提倡文明施工，建立健全控制人为噪声的管理制度，尽量减少人为的大声喧哗，增强全体施工人员的防噪声扰民的自觉意识；</w:t>
      </w:r>
    </w:p>
    <w:p w14:paraId="472C3699">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④运输材料及设备时，必须轻拿轻放，严禁野蛮装卸，并在装卸点铺垫草包等降噪物体；大型物件装卸，应当使用起吊设备，严禁汽车自卸；</w:t>
      </w:r>
    </w:p>
    <w:p w14:paraId="09804EE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⑤材料运输等汽车进场安排专人指挥，场内禁止运输车辆鸣笛；材料装卸采用人工传递，严禁抛掷或汽车一次性下料；</w:t>
      </w:r>
    </w:p>
    <w:p w14:paraId="021960C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⑥建材、施工机械器具、建渣等的运输尽量选择影响最小的路线，途经敏感点时减速慢行，严禁鸣笛；</w:t>
      </w:r>
    </w:p>
    <w:p w14:paraId="68F5618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⑦项目施工管理由专人负责，并设定专门负责人定期对该区的施工噪声污染防治措施以及环保管理进行检查和核实，严格按照国家、</w:t>
      </w:r>
      <w:r>
        <w:rPr>
          <w:rFonts w:hint="default" w:ascii="Times New Roman" w:hAnsi="Times New Roman" w:cs="Times New Roman"/>
          <w:color w:val="auto"/>
          <w:highlight w:val="none"/>
          <w:lang w:val="en-US" w:eastAsia="zh-CN"/>
        </w:rPr>
        <w:t>地方</w:t>
      </w:r>
      <w:r>
        <w:rPr>
          <w:rFonts w:hint="default" w:ascii="Times New Roman" w:hAnsi="Times New Roman" w:cs="Times New Roman"/>
          <w:color w:val="auto"/>
          <w:highlight w:val="none"/>
        </w:rPr>
        <w:t>的施工噪声防治和管理规范中的相关规程要求进行治理，尽量减少施工噪声对外环境的影响程度。</w:t>
      </w:r>
    </w:p>
    <w:p w14:paraId="4C83C24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采取上述措施后，施工期间的厂界噪声能够满足《建筑施工场界环境噪声排放标准》（GB12523-2011）标准要求。</w:t>
      </w:r>
    </w:p>
    <w:p w14:paraId="781CF92C">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固体废物环境影响分析</w:t>
      </w:r>
    </w:p>
    <w:p w14:paraId="4E643DE1">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（1）土石方</w:t>
      </w:r>
    </w:p>
    <w:p w14:paraId="797B513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项目施工期挖方量约</w:t>
      </w:r>
      <w:r>
        <w:rPr>
          <w:rFonts w:hint="default" w:ascii="Times New Roman" w:hAnsi="Times New Roman" w:cs="Times New Roman"/>
          <w:color w:val="auto"/>
          <w:highlight w:val="none"/>
          <w:lang w:val="en-US" w:eastAsia="zh-CN"/>
        </w:rPr>
        <w:t>5</w:t>
      </w:r>
      <w:r>
        <w:rPr>
          <w:rFonts w:hint="default" w:ascii="Times New Roman" w:hAnsi="Times New Roman" w:cs="Times New Roman"/>
          <w:color w:val="auto"/>
          <w:highlight w:val="none"/>
        </w:rPr>
        <w:t>m</w:t>
      </w:r>
      <w:r>
        <w:rPr>
          <w:rFonts w:hint="default" w:ascii="Times New Roman" w:hAnsi="Times New Roman" w:cs="Times New Roman"/>
          <w:color w:val="auto"/>
          <w:highlight w:val="none"/>
          <w:vertAlign w:val="superscript"/>
        </w:rPr>
        <w:t>3</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用于</w:t>
      </w:r>
      <w:r>
        <w:rPr>
          <w:rFonts w:hint="default" w:ascii="Times New Roman" w:hAnsi="Times New Roman" w:cs="Times New Roman"/>
          <w:color w:val="auto"/>
          <w:highlight w:val="none"/>
          <w:lang w:val="en-US" w:eastAsia="zh-CN"/>
        </w:rPr>
        <w:t>场地周边</w:t>
      </w:r>
      <w:r>
        <w:rPr>
          <w:rFonts w:hint="default" w:ascii="Times New Roman" w:hAnsi="Times New Roman" w:cs="Times New Roman"/>
          <w:color w:val="auto"/>
          <w:highlight w:val="none"/>
        </w:rPr>
        <w:t>土地平整和绿化，因此本项目土石方能实现区域挖填平衡，无弃土方产生。</w:t>
      </w:r>
    </w:p>
    <w:p w14:paraId="13D8243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（2）建筑垃圾</w:t>
      </w:r>
    </w:p>
    <w:p w14:paraId="485DCEC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建筑垃圾的成分主要有土、渣土、废钢筋、废铁丝和各种废钢配件、金属管线废料、散落的砂浆和混凝土、碎砖和碎混凝土块、石子和块石等。</w:t>
      </w:r>
    </w:p>
    <w:p w14:paraId="2955D70C">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要求施工方对施工过程中产生的废弃钢板、钢板等下角料分类回收，交废物回收站处理；产生的混凝土废料、含砖、石、砂的杂土等建筑垃圾，采取集中堆放，定时清运的措施，送当地管理部门指定的建筑废渣专用堆放场，以免影响施工和环境卫生。</w:t>
      </w:r>
    </w:p>
    <w:p w14:paraId="2A07B6F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（3）施工人员产生的生活垃圾</w:t>
      </w:r>
    </w:p>
    <w:p w14:paraId="1FA6972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本项目施工人员约</w:t>
      </w:r>
      <w:r>
        <w:rPr>
          <w:rFonts w:hint="default" w:ascii="Times New Roman" w:hAnsi="Times New Roman" w:cs="Times New Roman"/>
          <w:color w:val="auto"/>
          <w:highlight w:val="none"/>
          <w:lang w:val="en-US" w:eastAsia="zh-CN"/>
        </w:rPr>
        <w:t>1</w:t>
      </w:r>
      <w:r>
        <w:rPr>
          <w:rFonts w:hint="default" w:ascii="Times New Roman" w:hAnsi="Times New Roman" w:cs="Times New Roman"/>
          <w:color w:val="auto"/>
          <w:highlight w:val="none"/>
        </w:rPr>
        <w:t>0人，产生的生活垃圾要求施工单位采取袋装收集后送入垃圾中转站，然后由市政环卫人员统一清运处理。</w:t>
      </w:r>
    </w:p>
    <w:p w14:paraId="3DC4D3BD">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生态环境影响分析</w:t>
      </w:r>
    </w:p>
    <w:p w14:paraId="269BDB2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cs="Times New Roman"/>
          <w:color w:val="auto"/>
          <w:kern w:val="2"/>
          <w:sz w:val="24"/>
          <w:szCs w:val="24"/>
          <w:highlight w:val="none"/>
          <w:lang w:val="en-US" w:eastAsia="zh-CN" w:bidi="ar-SA"/>
        </w:rPr>
      </w:pPr>
      <w:r>
        <w:rPr>
          <w:rFonts w:hint="default" w:ascii="Times New Roman" w:hAnsi="Times New Roman" w:cs="Times New Roman" w:eastAsiaTheme="minorEastAsia"/>
          <w:color w:val="auto"/>
          <w:kern w:val="2"/>
          <w:sz w:val="24"/>
          <w:szCs w:val="24"/>
          <w:highlight w:val="none"/>
          <w:lang w:val="en-US" w:eastAsia="zh-CN" w:bidi="ar-SA"/>
        </w:rPr>
        <w:t>本项目在普安环卫所用地范围内的餐厨垃圾处理地块建设，未新征地</w:t>
      </w:r>
      <w:r>
        <w:rPr>
          <w:rFonts w:hint="default" w:ascii="Times New Roman" w:hAnsi="Times New Roman" w:cs="Times New Roman"/>
          <w:color w:val="auto"/>
          <w:kern w:val="2"/>
          <w:sz w:val="24"/>
          <w:szCs w:val="24"/>
          <w:highlight w:val="none"/>
          <w:lang w:val="en-US" w:eastAsia="zh-CN" w:bidi="ar-SA"/>
        </w:rPr>
        <w:t>，</w:t>
      </w:r>
      <w:r>
        <w:rPr>
          <w:rFonts w:hint="default" w:ascii="Times New Roman" w:hAnsi="Times New Roman" w:cs="Times New Roman" w:eastAsiaTheme="minorEastAsia"/>
          <w:color w:val="auto"/>
          <w:kern w:val="2"/>
          <w:sz w:val="24"/>
          <w:szCs w:val="24"/>
          <w:highlight w:val="none"/>
          <w:lang w:val="en-US" w:eastAsia="zh-CN" w:bidi="ar-SA"/>
        </w:rPr>
        <w:t>普安环卫所用地范围内已建有垃圾转运站，垃圾填埋场，剑阁县医疗废物处置中心。</w:t>
      </w:r>
      <w:r>
        <w:rPr>
          <w:rFonts w:hint="default" w:ascii="Times New Roman" w:hAnsi="Times New Roman" w:cs="Times New Roman"/>
          <w:color w:val="auto"/>
          <w:sz w:val="24"/>
          <w:szCs w:val="24"/>
          <w:highlight w:val="none"/>
          <w:lang w:val="en-US" w:eastAsia="zh-CN"/>
        </w:rPr>
        <w:t>根据调查，</w:t>
      </w:r>
      <w:r>
        <w:rPr>
          <w:rFonts w:hint="default" w:ascii="Times New Roman" w:hAnsi="Times New Roman" w:cs="Times New Roman" w:eastAsiaTheme="minorEastAsia"/>
          <w:color w:val="auto"/>
          <w:kern w:val="2"/>
          <w:sz w:val="24"/>
          <w:szCs w:val="24"/>
          <w:highlight w:val="none"/>
          <w:lang w:val="en-US" w:eastAsia="zh-CN" w:bidi="ar-SA"/>
        </w:rPr>
        <w:t>项目北侧距</w:t>
      </w:r>
      <w:r>
        <w:rPr>
          <w:rFonts w:hint="default" w:ascii="Times New Roman" w:hAnsi="Times New Roman" w:cs="Times New Roman"/>
          <w:color w:val="auto"/>
          <w:kern w:val="2"/>
          <w:sz w:val="24"/>
          <w:szCs w:val="24"/>
          <w:highlight w:val="none"/>
          <w:lang w:val="en-US" w:eastAsia="zh-CN" w:bidi="ar-SA"/>
        </w:rPr>
        <w:t>剑门蜀道风景名胜区</w:t>
      </w:r>
      <w:r>
        <w:rPr>
          <w:rFonts w:hint="default" w:ascii="Times New Roman" w:hAnsi="Times New Roman" w:cs="Times New Roman" w:eastAsiaTheme="minorEastAsia"/>
          <w:color w:val="auto"/>
          <w:kern w:val="2"/>
          <w:sz w:val="24"/>
          <w:szCs w:val="24"/>
          <w:highlight w:val="none"/>
          <w:lang w:val="en-US" w:eastAsia="zh-CN" w:bidi="ar-SA"/>
        </w:rPr>
        <w:t>最近距离59m、西侧距四川翠云廊古柏（省级）自然保护区最近距离999m，西侧距西河湿地自然保护区直线距离约6.9km</w:t>
      </w:r>
      <w:r>
        <w:rPr>
          <w:rFonts w:hint="default" w:ascii="Times New Roman" w:hAnsi="Times New Roman" w:cs="Times New Roman"/>
          <w:color w:val="auto"/>
          <w:kern w:val="2"/>
          <w:sz w:val="24"/>
          <w:szCs w:val="24"/>
          <w:highlight w:val="none"/>
          <w:lang w:val="en-US" w:eastAsia="zh-CN" w:bidi="ar-SA"/>
        </w:rPr>
        <w:t>，项目东北侧约460m处分布有国家二级公益林</w:t>
      </w:r>
      <w:r>
        <w:rPr>
          <w:rFonts w:hint="default" w:ascii="Times New Roman" w:hAnsi="Times New Roman" w:cs="Times New Roman" w:eastAsiaTheme="minorEastAsia"/>
          <w:color w:val="auto"/>
          <w:kern w:val="2"/>
          <w:sz w:val="24"/>
          <w:szCs w:val="24"/>
          <w:highlight w:val="none"/>
          <w:lang w:val="en-US" w:eastAsia="zh-CN" w:bidi="ar-SA"/>
        </w:rPr>
        <w:t>。根据“三线一单”分析，本</w:t>
      </w:r>
      <w:r>
        <w:rPr>
          <w:rFonts w:hint="default" w:ascii="Times New Roman" w:hAnsi="Times New Roman" w:cs="Times New Roman"/>
          <w:color w:val="auto"/>
          <w:kern w:val="2"/>
          <w:sz w:val="24"/>
          <w:szCs w:val="21"/>
          <w:highlight w:val="none"/>
          <w:lang w:val="en-US" w:eastAsia="zh-CN" w:bidi="ar-SA"/>
        </w:rPr>
        <w:t>项目不涉及生态红线</w:t>
      </w:r>
      <w:r>
        <w:rPr>
          <w:rFonts w:hint="default" w:ascii="Times New Roman" w:hAnsi="Times New Roman" w:cs="Times New Roman"/>
          <w:color w:val="auto"/>
          <w:kern w:val="2"/>
          <w:sz w:val="24"/>
          <w:szCs w:val="24"/>
          <w:highlight w:val="none"/>
          <w:lang w:val="en-US" w:eastAsia="zh-CN" w:bidi="ar-SA"/>
        </w:rPr>
        <w:t>。</w:t>
      </w:r>
    </w:p>
    <w:p w14:paraId="7AF0DAB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eastAsia="宋体" w:cs="Times New Roman"/>
          <w:bCs/>
          <w:snapToGrid/>
          <w:color w:val="auto"/>
          <w:kern w:val="2"/>
          <w:sz w:val="24"/>
          <w:szCs w:val="22"/>
          <w:highlight w:val="none"/>
          <w:lang w:val="en-US" w:eastAsia="zh-CN" w:bidi="ar"/>
        </w:rPr>
      </w:pPr>
      <w:r>
        <w:rPr>
          <w:rFonts w:hint="default" w:ascii="Times New Roman" w:hAnsi="Times New Roman" w:eastAsia="宋体" w:cs="Times New Roman"/>
          <w:bCs/>
          <w:snapToGrid/>
          <w:color w:val="auto"/>
          <w:kern w:val="2"/>
          <w:sz w:val="24"/>
          <w:szCs w:val="22"/>
          <w:highlight w:val="none"/>
          <w:lang w:val="en-US" w:eastAsia="zh-CN" w:bidi="ar"/>
        </w:rPr>
        <w:t>本项目的施工建设，必然会对所在区域的生态环境带来一定的破坏，使现有地表植被会消失，同时各种机动车辆碾压和施工人员的践踏及土石的堆放，也会对植被造成较为严重的破坏和影响。随着施工的进行，用地范围内的一些植物种类将会消失，绝大部分的植物种类数量将会大大减少，区域生物多样性受到一定影响。</w:t>
      </w:r>
    </w:p>
    <w:p w14:paraId="20798D0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eastAsia="宋体" w:cs="Times New Roman"/>
          <w:bCs/>
          <w:snapToGrid/>
          <w:color w:val="auto"/>
          <w:kern w:val="2"/>
          <w:sz w:val="24"/>
          <w:szCs w:val="22"/>
          <w:highlight w:val="none"/>
          <w:lang w:val="en-US" w:eastAsia="zh-CN" w:bidi="ar"/>
        </w:rPr>
      </w:pPr>
      <w:r>
        <w:rPr>
          <w:rFonts w:hint="default" w:ascii="Times New Roman" w:hAnsi="Times New Roman" w:cs="Times New Roman"/>
          <w:color w:val="auto"/>
          <w:sz w:val="24"/>
          <w:highlight w:val="none"/>
          <w:lang w:val="en-US" w:eastAsia="zh-CN"/>
        </w:rPr>
        <w:t>本项目</w:t>
      </w:r>
      <w:r>
        <w:rPr>
          <w:rFonts w:hint="default" w:ascii="Times New Roman" w:hAnsi="Times New Roman" w:eastAsia="宋体" w:cs="Times New Roman"/>
          <w:color w:val="auto"/>
          <w:kern w:val="0"/>
          <w:sz w:val="24"/>
          <w:szCs w:val="24"/>
          <w:highlight w:val="none"/>
          <w:lang w:val="en-US" w:eastAsia="zh-CN" w:bidi="ar"/>
        </w:rPr>
        <w:t>用地位于普安环卫所用地的</w:t>
      </w:r>
      <w:r>
        <w:rPr>
          <w:rFonts w:hint="default" w:ascii="Times New Roman" w:hAnsi="Times New Roman" w:cs="Times New Roman"/>
          <w:color w:val="auto"/>
          <w:sz w:val="24"/>
          <w:highlight w:val="none"/>
          <w:lang w:val="en-US" w:eastAsia="zh-CN"/>
        </w:rPr>
        <w:t>餐厨垃圾处理地块，与剑阁县普安镇垃圾填埋场相邻，</w:t>
      </w:r>
      <w:r>
        <w:rPr>
          <w:rFonts w:hint="default" w:ascii="Times New Roman" w:hAnsi="Times New Roman" w:eastAsia="宋体" w:cs="Times New Roman"/>
          <w:bCs/>
          <w:snapToGrid/>
          <w:color w:val="auto"/>
          <w:kern w:val="2"/>
          <w:sz w:val="24"/>
          <w:szCs w:val="22"/>
          <w:highlight w:val="none"/>
          <w:lang w:val="en-US" w:eastAsia="zh-CN" w:bidi="ar"/>
        </w:rPr>
        <w:t xml:space="preserve">由于施工场地内受破坏的植被类型均为评价区的常见类型，且所破坏的植物种类亦为评价区的常见种类或世界广布种，无国家重点保护的珍稀濒危植物和野生植物。因此，本项目的建设施工对植物区系、植被类型的影响不大，不会导致区域内现有种类和植物类型的消失灭绝，且随着施工期的结束，经过绿化建设，植被会得到逐步恢复，将可弥补植物种属多样性的损失。 </w:t>
      </w:r>
    </w:p>
    <w:p w14:paraId="45D2456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eastAsia="宋体" w:cs="Times New Roman"/>
          <w:bCs/>
          <w:snapToGrid/>
          <w:color w:val="auto"/>
          <w:kern w:val="2"/>
          <w:sz w:val="24"/>
          <w:szCs w:val="22"/>
          <w:highlight w:val="none"/>
          <w:lang w:val="en-US" w:eastAsia="zh-CN" w:bidi="ar"/>
        </w:rPr>
      </w:pPr>
      <w:r>
        <w:rPr>
          <w:rFonts w:hint="default" w:ascii="Times New Roman" w:hAnsi="Times New Roman" w:eastAsia="宋体" w:cs="Times New Roman"/>
          <w:bCs/>
          <w:snapToGrid/>
          <w:color w:val="auto"/>
          <w:kern w:val="2"/>
          <w:sz w:val="24"/>
          <w:szCs w:val="22"/>
          <w:highlight w:val="none"/>
          <w:lang w:val="en-US" w:eastAsia="zh-CN" w:bidi="ar"/>
        </w:rPr>
        <w:t xml:space="preserve">施工期对陆生动物的直接影响主要是施工人员集中活动和工程施工过程对动物的惊扰；间接影响主要是工业企业建设破坏植被和土壤，造成部分陆生动物栖息地的丧失。但施工区没有发现重要的兽类及两栖爬行动物的活动痕迹，主要动物是小型常见鸟类，且数量不多，具有较强的迁移能力，因此，施工期不会影响这些动物的生存。 </w:t>
      </w:r>
    </w:p>
    <w:p w14:paraId="305F321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Times New Roman" w:hAnsi="Times New Roman" w:eastAsia="宋体" w:cs="Times New Roman"/>
          <w:bCs/>
          <w:snapToGrid/>
          <w:color w:val="auto"/>
          <w:kern w:val="2"/>
          <w:sz w:val="24"/>
          <w:szCs w:val="22"/>
          <w:highlight w:val="none"/>
          <w:lang w:val="en-US" w:eastAsia="zh-CN" w:bidi="ar"/>
        </w:rPr>
      </w:pPr>
      <w:r>
        <w:rPr>
          <w:rFonts w:hint="default" w:ascii="Times New Roman" w:hAnsi="Times New Roman" w:eastAsia="宋体" w:cs="Times New Roman"/>
          <w:bCs/>
          <w:snapToGrid/>
          <w:color w:val="auto"/>
          <w:kern w:val="2"/>
          <w:sz w:val="24"/>
          <w:szCs w:val="22"/>
          <w:highlight w:val="none"/>
          <w:lang w:val="en-US" w:eastAsia="zh-CN" w:bidi="ar"/>
        </w:rPr>
        <w:t>项目场址内现状为荒草地，因此不涉及国家重点保护生物多样性资源，主要敏感的生态影响问题是施工期现有土地的破坏及水土流失问题。即施工期对生态环境的破坏主要在于基础设施建设、植被还未恢复时由于施工和土方的堆放引起的局部少量水土流失，以及绿地植被覆盖率暂时性的降低等。随着时间的推移，项目配套绿化的建设完成，区域内植被将逐渐恢复和成长，区域内的生态环境质量将逐步得到改善和提高。</w:t>
      </w:r>
    </w:p>
    <w:p w14:paraId="29C0E3F4">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项目实施工程中造成场地内土质结构松散，易被雨水冲刷造成水土流失，另外土方临时堆场若未及时清运以及对堆场进行覆盖将由于雨水冲刷造成水土流失。施工时采取修建挡土墙、排水沟、对土方临时堆场覆盖塑料布等措施，并对施工期间产生的弃土及时清运，可有效防止水土流失。</w:t>
      </w:r>
    </w:p>
    <w:p w14:paraId="2B164474">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为了有效的控制施工期水土流失影响，环评要求施工单位必须采取以下防治措施：</w:t>
      </w:r>
    </w:p>
    <w:p w14:paraId="587FAF19">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1、施工要求</w:t>
      </w:r>
    </w:p>
    <w:p w14:paraId="0BD712F1">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（1）整个尽可能避开雨天开挖施工；</w:t>
      </w:r>
    </w:p>
    <w:p w14:paraId="467D7D88">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（2）在施工作业过程中，不得随意开挖，尽量减少对植被的破坏，保护水土资源；</w:t>
      </w:r>
    </w:p>
    <w:p w14:paraId="63CB412F">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（3）强化生态环境保护意识，严格控制施工作业区，不得随意扩大范围，必须减少对附近植被和道路的破坏；</w:t>
      </w:r>
    </w:p>
    <w:p w14:paraId="24488C30">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（4）施工单位必须办《建筑垃圾处置许可证》，严禁无证开挖；</w:t>
      </w:r>
    </w:p>
    <w:p w14:paraId="4FCD4BD6">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（5）对于排弃的开挖方，减少临时堆放和不必要的转运过程，直接用于就近回填，尽可能与市政建设和景观要求结合，就近造景，采取植物措施绿化。</w:t>
      </w:r>
    </w:p>
    <w:p w14:paraId="0113926B">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2、临时防护</w:t>
      </w:r>
    </w:p>
    <w:p w14:paraId="50EEFB8F">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（1）在基础清理开挖时，为防止开挖土方进入施工区外，在开挖线外缘一侧用编织袋装清理表层土临时拦挡；</w:t>
      </w:r>
    </w:p>
    <w:p w14:paraId="4255F063">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（2）对于土方临时堆放场做好围栏围护及表面用塑料薄膜覆盖；</w:t>
      </w:r>
    </w:p>
    <w:p w14:paraId="055E5E84">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bCs/>
          <w:color w:val="auto"/>
          <w:highlight w:val="none"/>
          <w:lang w:val="en-US"/>
        </w:rPr>
      </w:pPr>
      <w:r>
        <w:rPr>
          <w:rFonts w:hint="default" w:ascii="Times New Roman" w:hAnsi="Times New Roman" w:eastAsia="宋体" w:cs="Times New Roman"/>
          <w:bCs/>
          <w:snapToGrid/>
          <w:color w:val="auto"/>
          <w:kern w:val="2"/>
          <w:sz w:val="24"/>
          <w:szCs w:val="22"/>
          <w:highlight w:val="none"/>
          <w:lang w:val="en-US" w:eastAsia="zh-CN" w:bidi="ar"/>
        </w:rPr>
        <w:t>（3）临时堆放场地周围设置导流明渠，将雨水引导到沉淀池后再排入城市雨水管网，避免雨水的冲涮；</w:t>
      </w:r>
    </w:p>
    <w:p w14:paraId="11F53A8F">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bCs/>
          <w:snapToGrid/>
          <w:color w:val="auto"/>
          <w:kern w:val="2"/>
          <w:sz w:val="24"/>
          <w:szCs w:val="22"/>
          <w:highlight w:val="none"/>
          <w:lang w:val="en-US" w:eastAsia="zh-CN" w:bidi="ar"/>
        </w:rPr>
      </w:pPr>
      <w:r>
        <w:rPr>
          <w:rFonts w:hint="default" w:ascii="Times New Roman" w:hAnsi="Times New Roman" w:eastAsia="宋体" w:cs="Times New Roman"/>
          <w:bCs/>
          <w:snapToGrid/>
          <w:color w:val="auto"/>
          <w:kern w:val="2"/>
          <w:sz w:val="24"/>
          <w:szCs w:val="22"/>
          <w:highlight w:val="none"/>
          <w:lang w:val="en-US" w:eastAsia="zh-CN" w:bidi="ar"/>
        </w:rPr>
        <w:t>（4）对于开挖的土方及时清运，控制废弃土石和回填土临时堆放场占地面积和堆放量。</w:t>
      </w:r>
    </w:p>
    <w:p w14:paraId="7A18E36F">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cs="Times New Roman"/>
          <w:color w:val="auto"/>
          <w:highlight w:val="none"/>
        </w:rPr>
      </w:pPr>
      <w:r>
        <w:rPr>
          <w:rFonts w:hint="default" w:ascii="Times New Roman" w:hAnsi="Times New Roman" w:eastAsia="宋体" w:cs="Times New Roman"/>
          <w:bCs/>
          <w:snapToGrid/>
          <w:color w:val="auto"/>
          <w:kern w:val="2"/>
          <w:sz w:val="24"/>
          <w:szCs w:val="22"/>
          <w:highlight w:val="none"/>
          <w:lang w:val="en-US" w:eastAsia="zh-CN" w:bidi="ar"/>
        </w:rPr>
        <w:t>综上分析，项目施工采取有效的水土流失防止措施后，项目水土流失能够得到有效的控制，对生态环境影响范围小、时间短，并且随着项目绿化的实施，生态环境能够得到一定的恢复。</w:t>
      </w:r>
    </w:p>
    <w:p w14:paraId="45AB195A">
      <w:pPr>
        <w:pStyle w:val="3"/>
        <w:spacing w:before="156" w:after="156"/>
        <w:rPr>
          <w:rFonts w:hint="default" w:ascii="Times New Roman" w:hAnsi="Times New Roman" w:cs="Times New Roman"/>
          <w:color w:val="auto"/>
          <w:highlight w:val="none"/>
        </w:rPr>
      </w:pPr>
      <w:bookmarkStart w:id="108" w:name="_Toc24894"/>
      <w:bookmarkStart w:id="109" w:name="_Toc685"/>
      <w:bookmarkStart w:id="110" w:name="_Toc19198"/>
      <w:r>
        <w:rPr>
          <w:rFonts w:hint="default" w:ascii="Times New Roman" w:hAnsi="Times New Roman" w:cs="Times New Roman"/>
          <w:color w:val="auto"/>
          <w:highlight w:val="none"/>
        </w:rPr>
        <w:t>施工期环境影响</w:t>
      </w:r>
      <w:r>
        <w:rPr>
          <w:rFonts w:hint="default" w:ascii="Times New Roman" w:hAnsi="Times New Roman" w:cs="Times New Roman"/>
          <w:color w:val="auto"/>
          <w:highlight w:val="none"/>
          <w:lang w:val="en-US" w:eastAsia="zh-CN"/>
        </w:rPr>
        <w:t>小结</w:t>
      </w:r>
      <w:bookmarkEnd w:id="108"/>
      <w:bookmarkEnd w:id="109"/>
      <w:bookmarkEnd w:id="110"/>
    </w:p>
    <w:p w14:paraId="6542D261">
      <w:pPr>
        <w:pStyle w:val="14"/>
        <w:ind w:firstLine="480"/>
        <w:rPr>
          <w:rFonts w:hint="default" w:ascii="Times New Roman" w:hAnsi="Times New Roman" w:cs="Times New Roman" w:eastAsiaTheme="minorEastAsia"/>
          <w:color w:val="auto"/>
          <w:highlight w:val="none"/>
          <w:lang w:eastAsia="zh-CN"/>
        </w:rPr>
      </w:pPr>
      <w:r>
        <w:rPr>
          <w:rFonts w:hint="default" w:ascii="Times New Roman" w:hAnsi="Times New Roman" w:cs="Times New Roman"/>
          <w:color w:val="auto"/>
          <w:sz w:val="24"/>
          <w:highlight w:val="none"/>
        </w:rPr>
        <w:t>综上所述，项目施工期的影响是暂时的，在施工结束后，影响区域的各环境要素基本都可以得到恢复。只要项目施工期认真制定和落实工程期应该采取的环保对策措施，工程施工的环境影响问题可得到消除或有效控制，可使其对环境的影响降至最小</w:t>
      </w:r>
      <w:r>
        <w:rPr>
          <w:rFonts w:hint="default" w:ascii="Times New Roman" w:hAnsi="Times New Roman" w:cs="Times New Roman"/>
          <w:color w:val="auto"/>
          <w:sz w:val="24"/>
          <w:highlight w:val="none"/>
          <w:lang w:eastAsia="zh-CN"/>
        </w:rPr>
        <w:t>。</w:t>
      </w:r>
    </w:p>
    <w:p w14:paraId="5841C3B6">
      <w:pPr>
        <w:pStyle w:val="14"/>
        <w:ind w:firstLine="480"/>
        <w:rPr>
          <w:rFonts w:hint="default" w:ascii="Times New Roman" w:hAnsi="Times New Roman" w:cs="Times New Roman"/>
          <w:color w:val="auto"/>
          <w:highlight w:val="none"/>
        </w:rPr>
      </w:pPr>
    </w:p>
    <w:p w14:paraId="515C393B">
      <w:pPr>
        <w:pStyle w:val="14"/>
        <w:ind w:firstLine="480"/>
        <w:rPr>
          <w:rFonts w:hint="default" w:ascii="Times New Roman" w:hAnsi="Times New Roman" w:cs="Times New Roman"/>
          <w:color w:val="auto"/>
          <w:highlight w:val="none"/>
        </w:rPr>
        <w:sectPr>
          <w:headerReference r:id="rId27"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4FFA24CF">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 xml:space="preserve">  </w:t>
      </w:r>
      <w:bookmarkStart w:id="111" w:name="_Toc32036"/>
      <w:bookmarkStart w:id="112" w:name="_Toc10157"/>
      <w:bookmarkStart w:id="113" w:name="_Toc5730"/>
      <w:r>
        <w:rPr>
          <w:rFonts w:hint="default" w:ascii="Times New Roman" w:hAnsi="Times New Roman" w:cs="Times New Roman"/>
          <w:color w:val="auto"/>
          <w:highlight w:val="none"/>
          <w:lang w:eastAsia="zh-CN"/>
        </w:rPr>
        <w:t>运营期</w:t>
      </w:r>
      <w:r>
        <w:rPr>
          <w:rFonts w:hint="default" w:ascii="Times New Roman" w:hAnsi="Times New Roman" w:cs="Times New Roman"/>
          <w:color w:val="auto"/>
          <w:highlight w:val="none"/>
        </w:rPr>
        <w:t>环境影响</w:t>
      </w:r>
      <w:r>
        <w:rPr>
          <w:rFonts w:hint="default" w:ascii="Times New Roman" w:hAnsi="Times New Roman" w:cs="Times New Roman"/>
          <w:color w:val="auto"/>
          <w:highlight w:val="none"/>
          <w:lang w:val="en-US" w:eastAsia="zh-CN"/>
        </w:rPr>
        <w:t>分析</w:t>
      </w:r>
      <w:bookmarkEnd w:id="111"/>
      <w:bookmarkEnd w:id="112"/>
      <w:bookmarkEnd w:id="113"/>
    </w:p>
    <w:p w14:paraId="2BB3C551">
      <w:pPr>
        <w:pStyle w:val="3"/>
        <w:spacing w:before="156" w:after="156"/>
        <w:rPr>
          <w:rFonts w:hint="default" w:ascii="Times New Roman" w:hAnsi="Times New Roman" w:cs="Times New Roman"/>
          <w:color w:val="auto"/>
          <w:highlight w:val="none"/>
        </w:rPr>
      </w:pPr>
      <w:bookmarkStart w:id="114" w:name="_Toc11267"/>
      <w:bookmarkStart w:id="115" w:name="_Toc26071"/>
      <w:bookmarkStart w:id="116" w:name="_Toc20158"/>
      <w:r>
        <w:rPr>
          <w:rFonts w:hint="default" w:ascii="Times New Roman" w:hAnsi="Times New Roman" w:cs="Times New Roman"/>
          <w:color w:val="auto"/>
          <w:highlight w:val="none"/>
          <w:lang w:val="en-US" w:eastAsia="zh-CN"/>
        </w:rPr>
        <w:t>大气环境影响分析</w:t>
      </w:r>
      <w:bookmarkEnd w:id="114"/>
      <w:bookmarkEnd w:id="115"/>
      <w:bookmarkEnd w:id="116"/>
    </w:p>
    <w:p w14:paraId="597416EB">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根据</w:t>
      </w:r>
      <w:r>
        <w:rPr>
          <w:rFonts w:hint="default" w:ascii="Times New Roman" w:hAnsi="Times New Roman" w:cs="Times New Roman"/>
          <w:color w:val="auto"/>
          <w:highlight w:val="none"/>
        </w:rPr>
        <w:t>评价工作等级划分的相关判据，则本次</w:t>
      </w:r>
      <w:r>
        <w:rPr>
          <w:rFonts w:hint="default" w:ascii="Times New Roman" w:hAnsi="Times New Roman" w:cs="Times New Roman"/>
          <w:color w:val="auto"/>
          <w:highlight w:val="none"/>
          <w:lang w:eastAsia="zh-CN"/>
        </w:rPr>
        <w:t>环评</w:t>
      </w:r>
      <w:r>
        <w:rPr>
          <w:rFonts w:hint="default" w:ascii="Times New Roman" w:hAnsi="Times New Roman" w:cs="Times New Roman"/>
          <w:color w:val="auto"/>
          <w:highlight w:val="none"/>
        </w:rPr>
        <w:t>大气评价等级为</w:t>
      </w:r>
      <w:r>
        <w:rPr>
          <w:rFonts w:hint="eastAsia" w:cs="Times New Roman"/>
          <w:color w:val="auto"/>
          <w:highlight w:val="none"/>
          <w:lang w:val="en-US" w:eastAsia="zh-CN"/>
        </w:rPr>
        <w:t>一</w:t>
      </w:r>
      <w:r>
        <w:rPr>
          <w:rFonts w:hint="default" w:ascii="Times New Roman" w:hAnsi="Times New Roman" w:cs="Times New Roman"/>
          <w:color w:val="auto"/>
          <w:highlight w:val="none"/>
        </w:rPr>
        <w:t>级，评价范围确定为</w:t>
      </w:r>
      <w:r>
        <w:rPr>
          <w:rFonts w:hint="default" w:ascii="Times New Roman" w:hAnsi="Times New Roman" w:eastAsia="宋体" w:cs="Times New Roman"/>
          <w:color w:val="auto"/>
          <w:kern w:val="0"/>
          <w:sz w:val="24"/>
          <w:szCs w:val="24"/>
          <w:highlight w:val="none"/>
          <w:lang w:val="en-US" w:eastAsia="zh-CN" w:bidi="ar"/>
        </w:rPr>
        <w:t>以项目厂址为中心，边长为5km 的矩形区域</w:t>
      </w:r>
      <w:r>
        <w:rPr>
          <w:rFonts w:hint="default" w:ascii="Times New Roman" w:hAnsi="Times New Roman" w:cs="Times New Roman"/>
          <w:color w:val="auto"/>
          <w:highlight w:val="none"/>
          <w:lang w:val="en-US" w:eastAsia="zh-CN"/>
        </w:rPr>
        <w:t>。</w:t>
      </w:r>
    </w:p>
    <w:p w14:paraId="61DD5D0F">
      <w:pPr>
        <w:ind w:firstLine="480" w:firstLineChars="200"/>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本项目同时满足新增污染源正常排放新污染物短期浓度贡献值的最大浓度占标率≤100%，新增污染源正常排放新污染物年均浓度贡献值的最大浓度占标率 ≤30%，叠加现状浓度后，污染物保证率日平均质量浓度和年平均质量浓度均满足项目《环境空气质量标准》（GB3095-2012）中的二级标准和《环境影响评价技术导则  大气环境》（HJ2.2-2018）中的相关要求，因此，本环评认为该项目大气环境影响可以接受。</w:t>
      </w:r>
    </w:p>
    <w:p w14:paraId="29B9C43F">
      <w:pPr>
        <w:ind w:firstLine="480" w:firstLineChars="200"/>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非正常排放情况下，本项目排放的污染物等对周边敏感目标的影响显著增加，但污染因子在周边敏感点及预测网格内最大浓度均未超过环境标准。</w:t>
      </w:r>
    </w:p>
    <w:p w14:paraId="70DAF498">
      <w:pPr>
        <w:ind w:firstLine="480" w:firstLineChars="200"/>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 xml:space="preserve">本次评价设置 </w:t>
      </w:r>
      <w:r>
        <w:rPr>
          <w:rFonts w:hint="eastAsia" w:ascii="Times New Roman" w:hAnsi="Times New Roman" w:cs="Times New Roman"/>
          <w:color w:val="auto"/>
          <w:kern w:val="2"/>
          <w:sz w:val="24"/>
          <w:szCs w:val="21"/>
          <w:highlight w:val="none"/>
          <w:lang w:val="en-US" w:eastAsia="zh-CN" w:bidi="ar-SA"/>
        </w:rPr>
        <w:t>3</w:t>
      </w:r>
      <w:r>
        <w:rPr>
          <w:rFonts w:hint="default" w:ascii="Times New Roman" w:hAnsi="Times New Roman" w:cs="Times New Roman" w:eastAsiaTheme="minorEastAsia"/>
          <w:color w:val="auto"/>
          <w:kern w:val="2"/>
          <w:sz w:val="24"/>
          <w:szCs w:val="21"/>
          <w:highlight w:val="none"/>
          <w:lang w:val="en-US" w:eastAsia="zh-CN" w:bidi="ar-SA"/>
        </w:rPr>
        <w:t>00m 的防护距离，防护距离范围内</w:t>
      </w:r>
      <w:r>
        <w:rPr>
          <w:rFonts w:hint="default" w:ascii="Times New Roman" w:hAnsi="Times New Roman" w:cs="Times New Roman"/>
          <w:color w:val="auto"/>
          <w:sz w:val="24"/>
          <w:highlight w:val="none"/>
          <w:lang w:val="en-US" w:eastAsia="zh-CN"/>
        </w:rPr>
        <w:t>在上述卫生防护距离范围内无医院、学校、食品加工等敏感保护目标，有零散居民分布。同时本次评价要求：</w:t>
      </w:r>
      <w:r>
        <w:rPr>
          <w:rFonts w:hint="default" w:ascii="Times New Roman" w:hAnsi="Times New Roman" w:cs="Times New Roman"/>
          <w:b/>
          <w:bCs/>
          <w:color w:val="auto"/>
          <w:sz w:val="24"/>
          <w:highlight w:val="none"/>
          <w:lang w:val="en-US" w:eastAsia="zh-CN"/>
        </w:rPr>
        <w:t>禁止在卫生防护距离范围内新增集中居民区、学校、医院及食品加工企业等易受本项目废气污染影响的建设项目</w:t>
      </w:r>
      <w:r>
        <w:rPr>
          <w:rFonts w:hint="default" w:ascii="Times New Roman" w:hAnsi="Times New Roman" w:cs="Times New Roman" w:eastAsiaTheme="minorEastAsia"/>
          <w:color w:val="auto"/>
          <w:kern w:val="2"/>
          <w:sz w:val="24"/>
          <w:szCs w:val="21"/>
          <w:highlight w:val="none"/>
          <w:lang w:val="en-US" w:eastAsia="zh-CN" w:bidi="ar-SA"/>
        </w:rPr>
        <w:t>。</w:t>
      </w:r>
    </w:p>
    <w:p w14:paraId="3730E437">
      <w:pPr>
        <w:ind w:firstLine="480" w:firstLineChars="200"/>
        <w:rPr>
          <w:rFonts w:hint="default" w:ascii="Times New Roman" w:hAnsi="Times New Roman" w:cs="Times New Roman" w:eastAsiaTheme="minorEastAsia"/>
          <w:color w:val="auto"/>
          <w:kern w:val="2"/>
          <w:sz w:val="24"/>
          <w:szCs w:val="21"/>
          <w:highlight w:val="none"/>
          <w:lang w:val="en-US" w:eastAsia="zh-CN" w:bidi="ar-SA"/>
        </w:rPr>
      </w:pPr>
      <w:r>
        <w:rPr>
          <w:rFonts w:hint="default" w:ascii="Times New Roman" w:hAnsi="Times New Roman" w:cs="Times New Roman" w:eastAsiaTheme="minorEastAsia"/>
          <w:color w:val="auto"/>
          <w:kern w:val="2"/>
          <w:sz w:val="24"/>
          <w:szCs w:val="21"/>
          <w:highlight w:val="none"/>
          <w:lang w:val="en-US" w:eastAsia="zh-CN" w:bidi="ar-SA"/>
        </w:rPr>
        <w:t>因此，本环评认为该项目大气环境影响可以接受。</w:t>
      </w:r>
    </w:p>
    <w:p w14:paraId="32589124">
      <w:pPr>
        <w:pStyle w:val="3"/>
        <w:spacing w:before="156" w:after="156"/>
        <w:rPr>
          <w:rFonts w:hint="default" w:ascii="Times New Roman" w:hAnsi="Times New Roman" w:cs="Times New Roman"/>
          <w:color w:val="auto"/>
          <w:highlight w:val="none"/>
          <w:lang w:val="en-US" w:eastAsia="zh-CN"/>
        </w:rPr>
      </w:pPr>
      <w:bookmarkStart w:id="117" w:name="_Toc6728"/>
      <w:bookmarkStart w:id="118" w:name="_Toc17338"/>
      <w:bookmarkStart w:id="119" w:name="_Toc16031"/>
      <w:r>
        <w:rPr>
          <w:rFonts w:hint="default" w:ascii="Times New Roman" w:hAnsi="Times New Roman" w:cs="Times New Roman"/>
          <w:color w:val="auto"/>
          <w:highlight w:val="none"/>
          <w:lang w:val="en-US" w:eastAsia="zh-CN"/>
        </w:rPr>
        <w:t>地表水环境影响分析</w:t>
      </w:r>
      <w:bookmarkEnd w:id="117"/>
      <w:bookmarkEnd w:id="118"/>
      <w:bookmarkEnd w:id="119"/>
    </w:p>
    <w:p w14:paraId="304F614B">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评价等级及评价范围</w:t>
      </w:r>
    </w:p>
    <w:p w14:paraId="2B7C0B38">
      <w:pPr>
        <w:numPr>
          <w:ilvl w:val="0"/>
          <w:numId w:val="0"/>
        </w:numPr>
        <w:adjustRightInd w:val="0"/>
        <w:spacing w:line="360" w:lineRule="auto"/>
        <w:ind w:firstLine="480" w:firstLineChars="200"/>
        <w:jc w:val="left"/>
        <w:textAlignment w:val="baseline"/>
        <w:rPr>
          <w:rFonts w:hint="default" w:ascii="Times New Roman" w:hAnsi="Times New Roman" w:cs="Times New Roman"/>
          <w:color w:val="auto"/>
          <w:spacing w:val="-3"/>
          <w:sz w:val="24"/>
          <w:szCs w:val="24"/>
          <w:highlight w:val="none"/>
          <w:lang w:val="en-US" w:eastAsia="zh-CN"/>
        </w:rPr>
      </w:pPr>
      <w:r>
        <w:rPr>
          <w:rFonts w:hint="default" w:ascii="Times New Roman" w:hAnsi="Times New Roman" w:cs="Times New Roman"/>
          <w:color w:val="auto"/>
          <w:sz w:val="24"/>
          <w:szCs w:val="24"/>
          <w:highlight w:val="none"/>
          <w:lang w:eastAsia="zh-CN"/>
        </w:rPr>
        <w:t>本项目</w:t>
      </w:r>
      <w:r>
        <w:rPr>
          <w:rFonts w:hint="default" w:ascii="Times New Roman" w:hAnsi="Times New Roman" w:eastAsia="宋体" w:cs="Times New Roman"/>
          <w:color w:val="auto"/>
          <w:kern w:val="0"/>
          <w:sz w:val="24"/>
          <w:szCs w:val="24"/>
          <w:highlight w:val="none"/>
          <w:lang w:val="en-US" w:eastAsia="zh-CN" w:bidi="ar"/>
        </w:rPr>
        <w:t>不直接外排</w:t>
      </w:r>
      <w:r>
        <w:rPr>
          <w:rFonts w:hint="default"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rPr>
        <w:t>根据</w:t>
      </w:r>
      <w:r>
        <w:rPr>
          <w:rFonts w:hint="default" w:ascii="Times New Roman" w:hAnsi="Times New Roman" w:eastAsia="宋体" w:cs="Times New Roman"/>
          <w:color w:val="auto"/>
          <w:kern w:val="0"/>
          <w:sz w:val="24"/>
          <w:szCs w:val="24"/>
          <w:highlight w:val="none"/>
          <w:lang w:val="en-US" w:eastAsia="zh-CN" w:bidi="ar"/>
        </w:rPr>
        <w:t>《环境影响评价技术导则</w:t>
      </w:r>
      <w:r>
        <w:rPr>
          <w:rFonts w:hint="eastAsia" w:ascii="Times New Roman" w:hAnsi="Times New Roman" w:eastAsia="宋体" w:cs="Times New Roman"/>
          <w:color w:val="auto"/>
          <w:kern w:val="0"/>
          <w:sz w:val="24"/>
          <w:szCs w:val="24"/>
          <w:highlight w:val="none"/>
          <w:lang w:val="en-US" w:eastAsia="zh-CN" w:bidi="ar"/>
        </w:rPr>
        <w:t xml:space="preserve"> </w:t>
      </w:r>
      <w:r>
        <w:rPr>
          <w:rFonts w:hint="default" w:ascii="Times New Roman" w:hAnsi="Times New Roman" w:eastAsia="宋体" w:cs="Times New Roman"/>
          <w:color w:val="auto"/>
          <w:kern w:val="0"/>
          <w:sz w:val="24"/>
          <w:szCs w:val="24"/>
          <w:highlight w:val="none"/>
          <w:lang w:val="en-US" w:eastAsia="zh-CN" w:bidi="ar"/>
        </w:rPr>
        <w:t>地表水环境》（HJ2.3-2018）</w:t>
      </w:r>
      <w:r>
        <w:rPr>
          <w:rFonts w:hint="default" w:ascii="Times New Roman" w:hAnsi="Times New Roman" w:cs="Times New Roman"/>
          <w:color w:val="auto"/>
          <w:sz w:val="24"/>
          <w:szCs w:val="24"/>
          <w:highlight w:val="none"/>
        </w:rPr>
        <w:t>，本</w:t>
      </w:r>
      <w:r>
        <w:rPr>
          <w:rFonts w:hint="default" w:ascii="Times New Roman" w:hAnsi="Times New Roman" w:cs="Times New Roman"/>
          <w:color w:val="auto"/>
          <w:sz w:val="24"/>
          <w:szCs w:val="24"/>
          <w:highlight w:val="none"/>
          <w:lang w:val="en-US" w:eastAsia="zh-CN"/>
        </w:rPr>
        <w:t>项目</w:t>
      </w:r>
      <w:r>
        <w:rPr>
          <w:rFonts w:hint="default" w:ascii="Times New Roman" w:hAnsi="Times New Roman" w:cs="Times New Roman"/>
          <w:b/>
          <w:bCs/>
          <w:color w:val="auto"/>
          <w:sz w:val="24"/>
          <w:szCs w:val="24"/>
          <w:highlight w:val="none"/>
          <w:lang w:val="en-US" w:eastAsia="zh-CN"/>
        </w:rPr>
        <w:t>地表水</w:t>
      </w:r>
      <w:r>
        <w:rPr>
          <w:rFonts w:hint="default" w:ascii="Times New Roman" w:hAnsi="Times New Roman" w:cs="Times New Roman"/>
          <w:b/>
          <w:bCs/>
          <w:color w:val="auto"/>
          <w:sz w:val="24"/>
          <w:szCs w:val="24"/>
          <w:highlight w:val="none"/>
        </w:rPr>
        <w:t>评价等级为</w:t>
      </w:r>
      <w:r>
        <w:rPr>
          <w:rFonts w:hint="default" w:ascii="Times New Roman" w:hAnsi="Times New Roman" w:cs="Times New Roman"/>
          <w:b/>
          <w:bCs/>
          <w:color w:val="auto"/>
          <w:sz w:val="24"/>
          <w:szCs w:val="24"/>
          <w:highlight w:val="none"/>
          <w:lang w:val="en-US" w:eastAsia="zh-CN"/>
        </w:rPr>
        <w:t>三级B，可不进行水环境影响预测</w:t>
      </w:r>
      <w:r>
        <w:rPr>
          <w:rFonts w:hint="default" w:ascii="Times New Roman" w:hAnsi="Times New Roman" w:cs="Times New Roman"/>
          <w:b w:val="0"/>
          <w:bCs w:val="0"/>
          <w:color w:val="auto"/>
          <w:sz w:val="24"/>
          <w:szCs w:val="24"/>
          <w:highlight w:val="none"/>
          <w:lang w:val="en-US" w:eastAsia="zh-CN"/>
        </w:rPr>
        <w:t>，</w:t>
      </w:r>
      <w:r>
        <w:rPr>
          <w:rFonts w:hint="default" w:ascii="Times New Roman" w:hAnsi="Times New Roman" w:cs="Times New Roman"/>
          <w:b/>
          <w:bCs/>
          <w:color w:val="auto"/>
          <w:sz w:val="24"/>
          <w:szCs w:val="24"/>
          <w:highlight w:val="none"/>
          <w:lang w:val="en-US" w:eastAsia="zh-CN"/>
        </w:rPr>
        <w:t>本次评价主要对废水处置措施的可行性进行评价</w:t>
      </w:r>
      <w:r>
        <w:rPr>
          <w:rFonts w:hint="default" w:ascii="Times New Roman" w:hAnsi="Times New Roman" w:cs="Times New Roman"/>
          <w:color w:val="auto"/>
          <w:spacing w:val="-3"/>
          <w:sz w:val="24"/>
          <w:szCs w:val="24"/>
          <w:highlight w:val="none"/>
          <w:lang w:val="en-US" w:eastAsia="zh-CN"/>
        </w:rPr>
        <w:t>。</w:t>
      </w:r>
    </w:p>
    <w:p w14:paraId="3BCE860B">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cs="Times New Roman"/>
          <w:color w:val="auto"/>
          <w:highlight w:val="none"/>
          <w:lang w:val="en-US" w:eastAsia="zh-CN"/>
        </w:rPr>
        <w:t>废水处理方案</w:t>
      </w:r>
      <w:r>
        <w:rPr>
          <w:rFonts w:hint="default" w:ascii="Times New Roman" w:hAnsi="Times New Roman" w:eastAsia="宋体" w:cs="Times New Roman"/>
          <w:b/>
          <w:bCs/>
          <w:color w:val="auto"/>
          <w:sz w:val="21"/>
          <w:szCs w:val="21"/>
          <w:highlight w:val="none"/>
          <w:lang w:val="en-US" w:eastAsia="zh-CN"/>
        </w:rPr>
        <w:t xml:space="preserve">                    </w:t>
      </w:r>
    </w:p>
    <w:p w14:paraId="79C99F02">
      <w:pPr>
        <w:pStyle w:val="5"/>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废水处理方案</w:t>
      </w:r>
    </w:p>
    <w:p w14:paraId="0C76BEC6">
      <w:pPr>
        <w:numPr>
          <w:ilvl w:val="0"/>
          <w:numId w:val="0"/>
        </w:numPr>
        <w:adjustRightInd w:val="0"/>
        <w:spacing w:line="360" w:lineRule="auto"/>
        <w:ind w:firstLine="468" w:firstLineChars="200"/>
        <w:jc w:val="left"/>
        <w:textAlignment w:val="baseline"/>
        <w:rPr>
          <w:rFonts w:hint="eastAsia" w:ascii="Times New Roman" w:hAnsi="Times New Roman" w:cs="Times New Roman"/>
          <w:color w:val="auto"/>
          <w:spacing w:val="-3"/>
          <w:sz w:val="24"/>
          <w:szCs w:val="24"/>
          <w:highlight w:val="none"/>
          <w:lang w:val="en-US" w:eastAsia="zh-CN"/>
        </w:rPr>
      </w:pPr>
      <w:r>
        <w:rPr>
          <w:rFonts w:hint="eastAsia" w:ascii="Times New Roman" w:hAnsi="Times New Roman" w:cs="Times New Roman"/>
          <w:color w:val="auto"/>
          <w:spacing w:val="-3"/>
          <w:sz w:val="24"/>
          <w:szCs w:val="24"/>
          <w:highlight w:val="none"/>
          <w:lang w:val="en-US" w:eastAsia="zh-CN"/>
        </w:rPr>
        <w:t>根据调查，剑阁县内生活垃圾填埋场均已封场，剑阁县内产生的生活垃圾经收集后均转运至临近县、市的垃圾处理场所（如南部、西充、射洪等）进行处置，由于运输距离远，处理成本高，处理难度很大，合理解决剑阁县生活垃圾处理问题已十分紧迫。</w:t>
      </w:r>
    </w:p>
    <w:p w14:paraId="131F6126">
      <w:pPr>
        <w:numPr>
          <w:ilvl w:val="0"/>
          <w:numId w:val="0"/>
        </w:numPr>
        <w:adjustRightInd w:val="0"/>
        <w:spacing w:line="360" w:lineRule="auto"/>
        <w:ind w:firstLine="468" w:firstLineChars="200"/>
        <w:jc w:val="left"/>
        <w:textAlignment w:val="baseline"/>
        <w:rPr>
          <w:rFonts w:hint="default" w:ascii="Times New Roman" w:hAnsi="Times New Roman" w:cs="Times New Roman"/>
          <w:color w:val="auto"/>
          <w:spacing w:val="-3"/>
          <w:sz w:val="24"/>
          <w:szCs w:val="24"/>
          <w:highlight w:val="none"/>
          <w:lang w:val="en-US" w:eastAsia="zh-CN"/>
        </w:rPr>
      </w:pPr>
      <w:r>
        <w:rPr>
          <w:rFonts w:hint="eastAsia" w:ascii="Times New Roman" w:hAnsi="Times New Roman" w:cs="Times New Roman"/>
          <w:color w:val="auto"/>
          <w:spacing w:val="-3"/>
          <w:sz w:val="24"/>
          <w:szCs w:val="24"/>
          <w:highlight w:val="none"/>
          <w:lang w:val="en-US" w:eastAsia="zh-CN"/>
        </w:rPr>
        <w:t>本项目为剑阁县城乡生活垃圾无害化处理设施建设项目，运营期</w:t>
      </w:r>
      <w:r>
        <w:rPr>
          <w:rFonts w:hint="eastAsia" w:ascii="Times New Roman" w:hAnsi="Times New Roman" w:cs="Times New Roman"/>
          <w:color w:val="auto"/>
          <w:sz w:val="24"/>
          <w:szCs w:val="24"/>
          <w:highlight w:val="none"/>
          <w:lang w:val="en-US" w:eastAsia="zh-CN"/>
        </w:rPr>
        <w:t>废水主要包括垃圾渗滤液、喷淋塔碱液喷淋废液、冲洗废水、冷却塔循环排污水、初期雨水、生活污水等。目前</w:t>
      </w:r>
      <w:r>
        <w:rPr>
          <w:rFonts w:hint="eastAsia" w:ascii="Times New Roman" w:hAnsi="Times New Roman" w:cs="Times New Roman"/>
          <w:color w:val="auto"/>
          <w:spacing w:val="-3"/>
          <w:sz w:val="24"/>
          <w:szCs w:val="24"/>
          <w:highlight w:val="none"/>
          <w:lang w:val="en-US" w:eastAsia="zh-CN"/>
        </w:rPr>
        <w:t>普安镇垃圾填埋场配套的渗滤液处理站正在进行提标改造（暂时停运中），为保障本项目尽早顺利投运，经各方沟通协调，确定本项目废水处理方案如下：</w:t>
      </w:r>
    </w:p>
    <w:p w14:paraId="4BD4E483">
      <w:pPr>
        <w:numPr>
          <w:ilvl w:val="0"/>
          <w:numId w:val="15"/>
        </w:numPr>
        <w:adjustRightInd w:val="0"/>
        <w:spacing w:line="360" w:lineRule="auto"/>
        <w:ind w:firstLine="480" w:firstLineChars="200"/>
        <w:jc w:val="left"/>
        <w:textAlignment w:val="baseline"/>
        <w:rPr>
          <w:rFonts w:hint="eastAsia" w:ascii="Times New Roman" w:hAnsi="Times New Roman" w:cs="Times New Roman"/>
          <w:color w:val="auto"/>
          <w:spacing w:val="-3"/>
          <w:sz w:val="24"/>
          <w:szCs w:val="24"/>
          <w:highlight w:val="none"/>
          <w:lang w:val="en-US" w:eastAsia="zh-CN"/>
        </w:rPr>
      </w:pPr>
      <w:r>
        <w:rPr>
          <w:rFonts w:hint="eastAsia" w:ascii="Times New Roman" w:hAnsi="Times New Roman" w:eastAsia="宋体" w:cs="Times New Roman"/>
          <w:b/>
          <w:bCs/>
          <w:color w:val="auto"/>
          <w:kern w:val="0"/>
          <w:sz w:val="24"/>
          <w:szCs w:val="24"/>
          <w:highlight w:val="none"/>
          <w:lang w:val="en-US" w:eastAsia="zh-CN" w:bidi="ar"/>
        </w:rPr>
        <w:t>方案一 依托普安镇污水处理厂处置方案：</w:t>
      </w:r>
      <w:r>
        <w:rPr>
          <w:rFonts w:hint="eastAsia" w:ascii="Times New Roman" w:hAnsi="Times New Roman" w:eastAsia="宋体" w:cs="Times New Roman"/>
          <w:b w:val="0"/>
          <w:bCs w:val="0"/>
          <w:color w:val="auto"/>
          <w:kern w:val="0"/>
          <w:sz w:val="24"/>
          <w:szCs w:val="24"/>
          <w:highlight w:val="none"/>
          <w:lang w:val="en-US" w:eastAsia="zh-CN" w:bidi="ar"/>
        </w:rPr>
        <w:t>厂内</w:t>
      </w:r>
      <w:r>
        <w:rPr>
          <w:rFonts w:hint="eastAsia" w:ascii="Times New Roman" w:hAnsi="Times New Roman" w:eastAsia="宋体" w:cs="Times New Roman"/>
          <w:color w:val="auto"/>
          <w:kern w:val="0"/>
          <w:sz w:val="24"/>
          <w:szCs w:val="24"/>
          <w:highlight w:val="none"/>
          <w:lang w:val="en-US" w:eastAsia="zh-CN" w:bidi="ar"/>
        </w:rPr>
        <w:t>新建1套渗滤液处理系统（45t/d），</w:t>
      </w:r>
      <w:r>
        <w:rPr>
          <w:rFonts w:hint="default" w:ascii="Times New Roman" w:hAnsi="Times New Roman" w:eastAsia="宋体" w:cs="Times New Roman"/>
          <w:color w:val="auto"/>
          <w:kern w:val="0"/>
          <w:sz w:val="24"/>
          <w:szCs w:val="24"/>
          <w:highlight w:val="none"/>
          <w:lang w:val="en-US" w:eastAsia="zh-CN" w:bidi="ar"/>
        </w:rPr>
        <w:t>废水</w:t>
      </w:r>
      <w:r>
        <w:rPr>
          <w:rFonts w:hint="eastAsia" w:ascii="Times New Roman" w:hAnsi="Times New Roman" w:eastAsia="宋体" w:cs="Times New Roman"/>
          <w:color w:val="auto"/>
          <w:kern w:val="0"/>
          <w:sz w:val="24"/>
          <w:szCs w:val="24"/>
          <w:highlight w:val="none"/>
          <w:lang w:val="en-US" w:eastAsia="zh-CN" w:bidi="ar"/>
        </w:rPr>
        <w:t>经渗</w:t>
      </w:r>
      <w:r>
        <w:rPr>
          <w:rFonts w:hint="eastAsia" w:ascii="Times New Roman" w:hAnsi="Times New Roman" w:cs="Times New Roman"/>
          <w:color w:val="auto"/>
          <w:spacing w:val="-3"/>
          <w:sz w:val="24"/>
          <w:szCs w:val="24"/>
          <w:highlight w:val="none"/>
          <w:lang w:val="en-US" w:eastAsia="zh-CN"/>
        </w:rPr>
        <w:t>滤液处理系统预处理达普安镇污水处理厂设计进水水质要求后由罐车转运至普安镇污水处理厂，处理达</w:t>
      </w:r>
      <w:r>
        <w:rPr>
          <w:rFonts w:hint="default" w:ascii="Times New Roman" w:hAnsi="Times New Roman" w:cs="Times New Roman"/>
          <w:color w:val="auto"/>
          <w:spacing w:val="-3"/>
          <w:sz w:val="24"/>
          <w:szCs w:val="24"/>
          <w:highlight w:val="none"/>
          <w:lang w:val="en-US" w:eastAsia="zh-CN"/>
        </w:rPr>
        <w:t>《城镇污水处理厂污染物排放标准》</w:t>
      </w:r>
      <w:r>
        <w:rPr>
          <w:rFonts w:hint="eastAsia" w:ascii="Times New Roman" w:hAnsi="Times New Roman" w:cs="Times New Roman"/>
          <w:color w:val="auto"/>
          <w:spacing w:val="-3"/>
          <w:sz w:val="24"/>
          <w:szCs w:val="24"/>
          <w:highlight w:val="none"/>
          <w:lang w:val="en-US" w:eastAsia="zh-CN"/>
        </w:rPr>
        <w:t>GB18918-2002）</w:t>
      </w:r>
      <w:r>
        <w:rPr>
          <w:rFonts w:hint="default" w:ascii="Times New Roman" w:hAnsi="Times New Roman" w:cs="Times New Roman"/>
          <w:color w:val="auto"/>
          <w:spacing w:val="-3"/>
          <w:sz w:val="24"/>
          <w:szCs w:val="24"/>
          <w:highlight w:val="none"/>
          <w:lang w:val="en-US" w:eastAsia="zh-CN"/>
        </w:rPr>
        <w:t>一级A</w:t>
      </w:r>
      <w:r>
        <w:rPr>
          <w:rFonts w:hint="eastAsia" w:ascii="Times New Roman" w:hAnsi="Times New Roman" w:cs="Times New Roman"/>
          <w:color w:val="auto"/>
          <w:spacing w:val="-3"/>
          <w:sz w:val="24"/>
          <w:szCs w:val="24"/>
          <w:highlight w:val="none"/>
          <w:lang w:val="en-US" w:eastAsia="zh-CN"/>
        </w:rPr>
        <w:t>标准后外排闻溪河。</w:t>
      </w:r>
    </w:p>
    <w:p w14:paraId="326AC789">
      <w:pPr>
        <w:numPr>
          <w:ilvl w:val="0"/>
          <w:numId w:val="15"/>
        </w:numPr>
        <w:adjustRightInd w:val="0"/>
        <w:spacing w:line="360" w:lineRule="auto"/>
        <w:ind w:left="0" w:leftChars="0" w:firstLine="468" w:firstLineChars="200"/>
        <w:jc w:val="left"/>
        <w:textAlignment w:val="baseline"/>
        <w:rPr>
          <w:rFonts w:hint="eastAsia" w:ascii="Times New Roman" w:hAnsi="Times New Roman" w:cs="Times New Roman"/>
          <w:color w:val="auto"/>
          <w:sz w:val="24"/>
          <w:szCs w:val="24"/>
          <w:highlight w:val="none"/>
          <w:lang w:eastAsia="zh-CN"/>
        </w:rPr>
      </w:pPr>
      <w:r>
        <w:rPr>
          <w:rFonts w:hint="eastAsia" w:ascii="Times New Roman" w:hAnsi="Times New Roman" w:cs="Times New Roman"/>
          <w:b/>
          <w:bCs/>
          <w:color w:val="auto"/>
          <w:spacing w:val="-3"/>
          <w:sz w:val="24"/>
          <w:szCs w:val="24"/>
          <w:highlight w:val="none"/>
          <w:lang w:val="en-US" w:eastAsia="zh-CN"/>
        </w:rPr>
        <w:t>方案二 依托垃圾填埋场渗滤液处理站处置方案：</w:t>
      </w:r>
      <w:r>
        <w:rPr>
          <w:rFonts w:hint="eastAsia" w:ascii="Times New Roman" w:hAnsi="Times New Roman" w:cs="Times New Roman"/>
          <w:color w:val="auto"/>
          <w:spacing w:val="-3"/>
          <w:sz w:val="24"/>
          <w:szCs w:val="24"/>
          <w:highlight w:val="none"/>
          <w:lang w:val="en-US" w:eastAsia="zh-CN"/>
        </w:rPr>
        <w:t>待</w:t>
      </w:r>
      <w:r>
        <w:rPr>
          <w:rFonts w:hint="default" w:ascii="Times New Roman" w:hAnsi="Times New Roman" w:cs="Times New Roman"/>
          <w:color w:val="auto"/>
          <w:sz w:val="24"/>
          <w:szCs w:val="24"/>
          <w:highlight w:val="none"/>
          <w:lang w:val="en-US" w:eastAsia="zh-CN"/>
        </w:rPr>
        <w:t>填埋场垃圾渗滤液处理站</w:t>
      </w:r>
      <w:r>
        <w:rPr>
          <w:rFonts w:hint="eastAsia" w:ascii="Times New Roman" w:hAnsi="Times New Roman" w:cs="Times New Roman"/>
          <w:color w:val="auto"/>
          <w:spacing w:val="-3"/>
          <w:sz w:val="24"/>
          <w:szCs w:val="24"/>
          <w:highlight w:val="none"/>
          <w:lang w:val="en-US" w:eastAsia="zh-CN"/>
        </w:rPr>
        <w:t>提标改造完成后，废水经管道进入</w:t>
      </w:r>
      <w:r>
        <w:rPr>
          <w:rFonts w:hint="default" w:ascii="Times New Roman" w:hAnsi="Times New Roman" w:cs="Times New Roman"/>
          <w:color w:val="auto"/>
          <w:sz w:val="24"/>
          <w:szCs w:val="24"/>
          <w:highlight w:val="none"/>
          <w:lang w:val="en-US" w:eastAsia="zh-CN"/>
        </w:rPr>
        <w:t>垃圾填埋场</w:t>
      </w:r>
      <w:r>
        <w:rPr>
          <w:rFonts w:hint="eastAsia" w:ascii="Times New Roman" w:hAnsi="Times New Roman" w:cs="Times New Roman"/>
          <w:color w:val="auto"/>
          <w:sz w:val="24"/>
          <w:szCs w:val="24"/>
          <w:highlight w:val="none"/>
          <w:lang w:val="en-US" w:eastAsia="zh-CN"/>
        </w:rPr>
        <w:t>渗滤液处理站</w:t>
      </w:r>
      <w:r>
        <w:rPr>
          <w:rFonts w:hint="default" w:ascii="Times New Roman" w:hAnsi="Times New Roman" w:cs="Times New Roman"/>
          <w:color w:val="auto"/>
          <w:sz w:val="24"/>
          <w:szCs w:val="24"/>
          <w:highlight w:val="none"/>
          <w:lang w:val="en-US" w:eastAsia="zh-CN"/>
        </w:rPr>
        <w:t>，处理达</w:t>
      </w:r>
      <w:r>
        <w:rPr>
          <w:rFonts w:hint="default" w:ascii="Times New Roman" w:hAnsi="Times New Roman" w:cs="Times New Roman"/>
          <w:color w:val="auto"/>
          <w:sz w:val="24"/>
          <w:szCs w:val="24"/>
          <w:highlight w:val="none"/>
        </w:rPr>
        <w:t>《生活垃圾填埋污染控制标准》</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GB16889-2008</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中</w:t>
      </w:r>
      <w:r>
        <w:rPr>
          <w:rFonts w:hint="default" w:ascii="Times New Roman" w:hAnsi="Times New Roman" w:cs="Times New Roman"/>
          <w:color w:val="auto"/>
          <w:sz w:val="24"/>
          <w:szCs w:val="24"/>
          <w:highlight w:val="none"/>
          <w:lang w:eastAsia="zh-CN"/>
        </w:rPr>
        <w:t>标准限值要求后</w:t>
      </w:r>
      <w:r>
        <w:rPr>
          <w:rFonts w:hint="eastAsia" w:ascii="Times New Roman" w:hAnsi="Times New Roman" w:cs="Times New Roman"/>
          <w:color w:val="auto"/>
          <w:sz w:val="24"/>
          <w:szCs w:val="24"/>
          <w:highlight w:val="none"/>
          <w:lang w:val="en-US" w:eastAsia="zh-CN"/>
        </w:rPr>
        <w:t>外排</w:t>
      </w:r>
      <w:r>
        <w:rPr>
          <w:rFonts w:hint="default" w:ascii="Times New Roman" w:hAnsi="Times New Roman" w:cs="Times New Roman"/>
          <w:color w:val="auto"/>
          <w:sz w:val="24"/>
          <w:szCs w:val="24"/>
          <w:highlight w:val="none"/>
          <w:lang w:eastAsia="zh-CN"/>
        </w:rPr>
        <w:t>闻溪河</w:t>
      </w:r>
      <w:r>
        <w:rPr>
          <w:rFonts w:hint="eastAsia" w:ascii="Times New Roman" w:hAnsi="Times New Roman" w:cs="Times New Roman"/>
          <w:color w:val="auto"/>
          <w:sz w:val="24"/>
          <w:szCs w:val="24"/>
          <w:highlight w:val="none"/>
          <w:lang w:eastAsia="zh-CN"/>
        </w:rPr>
        <w:t>。</w:t>
      </w:r>
    </w:p>
    <w:p w14:paraId="6B1AB0A6">
      <w:pPr>
        <w:pStyle w:val="3"/>
        <w:spacing w:before="156" w:after="156"/>
        <w:rPr>
          <w:rFonts w:hint="default" w:ascii="Times New Roman" w:hAnsi="Times New Roman" w:cs="Times New Roman"/>
          <w:color w:val="auto"/>
          <w:highlight w:val="none"/>
          <w:lang w:val="en-US" w:eastAsia="zh-CN"/>
        </w:rPr>
      </w:pPr>
      <w:bookmarkStart w:id="120" w:name="_Toc23110"/>
      <w:bookmarkStart w:id="121" w:name="_Toc7055"/>
      <w:bookmarkStart w:id="122" w:name="_Toc3287"/>
      <w:r>
        <w:rPr>
          <w:rFonts w:hint="default" w:ascii="Times New Roman" w:hAnsi="Times New Roman" w:cs="Times New Roman"/>
          <w:color w:val="auto"/>
          <w:highlight w:val="none"/>
          <w:lang w:val="en-US" w:eastAsia="zh-CN"/>
        </w:rPr>
        <w:t>地下水环境影响分析</w:t>
      </w:r>
      <w:bookmarkEnd w:id="120"/>
      <w:bookmarkEnd w:id="121"/>
      <w:bookmarkEnd w:id="122"/>
      <w:r>
        <w:rPr>
          <w:rFonts w:hint="default" w:ascii="Times New Roman" w:hAnsi="Times New Roman" w:cs="Times New Roman"/>
          <w:color w:val="auto"/>
          <w:highlight w:val="none"/>
          <w:lang w:val="en-US" w:eastAsia="zh-CN"/>
        </w:rPr>
        <w:tab/>
      </w:r>
    </w:p>
    <w:p w14:paraId="651B6E7F">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评价内容</w:t>
      </w:r>
    </w:p>
    <w:p w14:paraId="407454A5">
      <w:pPr>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_x0001_婠..." w:cs="Times New Roman"/>
          <w:color w:val="auto"/>
          <w:sz w:val="24"/>
          <w:szCs w:val="24"/>
          <w:highlight w:val="none"/>
          <w:lang w:val="en-US" w:eastAsia="zh-CN"/>
        </w:rPr>
        <w:t>根据《环境影响评价技术导则  地下水环境》（HJ610-2016）附录 A</w:t>
      </w:r>
      <w:r>
        <w:rPr>
          <w:rFonts w:hint="default" w:ascii="Times New Roman" w:hAnsi="Times New Roman" w:cs="Times New Roman"/>
          <w:color w:val="auto"/>
          <w:sz w:val="24"/>
          <w:szCs w:val="24"/>
          <w:highlight w:val="none"/>
        </w:rPr>
        <w:t>，</w:t>
      </w:r>
      <w:r>
        <w:rPr>
          <w:rFonts w:hint="default" w:ascii="Times New Roman" w:hAnsi="Times New Roman" w:eastAsia="宋体" w:cs="Times New Roman"/>
          <w:color w:val="auto"/>
          <w:kern w:val="0"/>
          <w:sz w:val="24"/>
          <w:szCs w:val="24"/>
          <w:highlight w:val="none"/>
          <w:lang w:val="en-US" w:eastAsia="zh-CN" w:bidi="ar"/>
        </w:rPr>
        <w:t>本项目属于“149、生活垃圾（含餐厨废弃物）集中处置”中“全部”，</w:t>
      </w:r>
      <w:r>
        <w:rPr>
          <w:rFonts w:hint="default" w:ascii="Times New Roman" w:hAnsi="Times New Roman" w:eastAsia="宋体_x0001_婠..." w:cs="Times New Roman"/>
          <w:color w:val="auto"/>
          <w:sz w:val="24"/>
          <w:szCs w:val="24"/>
          <w:highlight w:val="none"/>
        </w:rPr>
        <w:t>本项目</w:t>
      </w:r>
      <w:r>
        <w:rPr>
          <w:rFonts w:hint="default" w:ascii="Times New Roman" w:hAnsi="Times New Roman" w:eastAsia="宋体_x0001_婠..." w:cs="Times New Roman"/>
          <w:color w:val="auto"/>
          <w:sz w:val="24"/>
          <w:szCs w:val="24"/>
          <w:highlight w:val="none"/>
          <w:lang w:eastAsia="zh-CN"/>
        </w:rPr>
        <w:t>不属于生活垃圾填埋处置，</w:t>
      </w:r>
      <w:r>
        <w:rPr>
          <w:rFonts w:hint="default" w:ascii="Times New Roman" w:hAnsi="Times New Roman" w:eastAsia="宋体" w:cs="Times New Roman"/>
          <w:color w:val="auto"/>
          <w:kern w:val="0"/>
          <w:sz w:val="24"/>
          <w:szCs w:val="24"/>
          <w:highlight w:val="none"/>
          <w:lang w:val="en-US" w:eastAsia="zh-CN" w:bidi="ar"/>
        </w:rPr>
        <w:t>因此，</w:t>
      </w:r>
      <w:r>
        <w:rPr>
          <w:rFonts w:hint="default" w:ascii="Times New Roman" w:hAnsi="Times New Roman" w:cs="Times New Roman"/>
          <w:color w:val="auto"/>
          <w:sz w:val="24"/>
          <w:szCs w:val="24"/>
          <w:highlight w:val="none"/>
        </w:rPr>
        <w:t>地下水环境影响评价项目类别为</w:t>
      </w:r>
      <w:r>
        <w:rPr>
          <w:rFonts w:hint="default" w:ascii="Times New Roman" w:hAnsi="Times New Roman" w:eastAsia="宋体" w:cs="Times New Roman"/>
          <w:b/>
          <w:bCs/>
          <w:color w:val="auto"/>
          <w:kern w:val="0"/>
          <w:sz w:val="24"/>
          <w:szCs w:val="24"/>
          <w:highlight w:val="none"/>
          <w:lang w:val="en-US" w:eastAsia="zh-CN" w:bidi="ar"/>
        </w:rPr>
        <w:t>Ⅱ</w:t>
      </w:r>
      <w:r>
        <w:rPr>
          <w:rFonts w:hint="default" w:ascii="Times New Roman" w:hAnsi="Times New Roman" w:cs="Times New Roman"/>
          <w:b/>
          <w:bCs/>
          <w:color w:val="auto"/>
          <w:sz w:val="24"/>
          <w:szCs w:val="24"/>
          <w:highlight w:val="none"/>
        </w:rPr>
        <w:t>类。</w:t>
      </w:r>
      <w:r>
        <w:rPr>
          <w:rFonts w:hint="default" w:ascii="Times New Roman" w:hAnsi="Times New Roman" w:eastAsia="宋体" w:cs="Times New Roman"/>
          <w:color w:val="auto"/>
          <w:kern w:val="0"/>
          <w:sz w:val="24"/>
          <w:szCs w:val="24"/>
          <w:highlight w:val="none"/>
          <w:lang w:val="en-US" w:eastAsia="zh-CN" w:bidi="ar"/>
        </w:rPr>
        <w:t>根据调查，本项目及其下游范围内无集中式饮用水水源保护区，</w:t>
      </w:r>
      <w:r>
        <w:rPr>
          <w:rFonts w:hint="default" w:ascii="Times New Roman" w:hAnsi="Times New Roman" w:eastAsia="宋体" w:cs="Times New Roman"/>
          <w:color w:val="auto"/>
          <w:sz w:val="24"/>
          <w:szCs w:val="24"/>
          <w:highlight w:val="none"/>
        </w:rPr>
        <w:t>不在国家或地方政府设定的与地下水环境相关的其他保护区范围内，</w:t>
      </w:r>
      <w:r>
        <w:rPr>
          <w:rFonts w:hint="default" w:ascii="Times New Roman" w:hAnsi="Times New Roman" w:eastAsia="宋体" w:cs="Times New Roman"/>
          <w:color w:val="auto"/>
          <w:kern w:val="0"/>
          <w:sz w:val="24"/>
          <w:szCs w:val="24"/>
          <w:highlight w:val="none"/>
          <w:lang w:val="en-US" w:eastAsia="zh-CN" w:bidi="ar"/>
        </w:rPr>
        <w:t>项目周边散居居民已与市政自来水接通，生活用水采用市政自来水，</w:t>
      </w:r>
      <w:r>
        <w:rPr>
          <w:rFonts w:hint="default" w:ascii="Times New Roman" w:hAnsi="Times New Roman" w:eastAsia="宋体" w:cs="Times New Roman"/>
          <w:color w:val="auto"/>
          <w:sz w:val="24"/>
          <w:szCs w:val="24"/>
          <w:highlight w:val="none"/>
        </w:rPr>
        <w:t>地下水环境敏感程度为不敏感。故本项目地下水评价等级为三级。</w:t>
      </w:r>
    </w:p>
    <w:p w14:paraId="647CF0D5">
      <w:pPr>
        <w:ind w:firstLine="480" w:firstLineChars="200"/>
        <w:rPr>
          <w:rFonts w:hint="default" w:ascii="Times New Roman" w:hAnsi="Times New Roman" w:eastAsia="宋体" w:cs="Times New Roman"/>
          <w:color w:val="auto"/>
          <w:sz w:val="24"/>
          <w:szCs w:val="24"/>
          <w:highlight w:val="none"/>
          <w:lang w:eastAsia="zh-CN"/>
        </w:rPr>
      </w:pPr>
      <w:r>
        <w:rPr>
          <w:rFonts w:hint="default" w:ascii="Times New Roman" w:hAnsi="Times New Roman" w:eastAsia="宋体" w:cs="Times New Roman"/>
          <w:color w:val="auto"/>
          <w:sz w:val="24"/>
          <w:szCs w:val="24"/>
          <w:highlight w:val="none"/>
          <w:lang w:eastAsia="zh-CN"/>
        </w:rPr>
        <w:t>根据导则，地下水三级的主要评价内容包括：</w:t>
      </w:r>
    </w:p>
    <w:p w14:paraId="1CFF5137">
      <w:pPr>
        <w:numPr>
          <w:ilvl w:val="0"/>
          <w:numId w:val="16"/>
        </w:numPr>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了解调查评价区和场地环境水文地质条件；</w:t>
      </w:r>
    </w:p>
    <w:p w14:paraId="4E9BF0FD">
      <w:pPr>
        <w:numPr>
          <w:ilvl w:val="0"/>
          <w:numId w:val="16"/>
        </w:numPr>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 xml:space="preserve">基本掌握调查评价区的地下水补径排条件和地下水环境质量状况； </w:t>
      </w:r>
    </w:p>
    <w:p w14:paraId="08A95C2E">
      <w:pPr>
        <w:numPr>
          <w:ilvl w:val="0"/>
          <w:numId w:val="16"/>
        </w:numPr>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采用解析法或类比分析法进行地下水影响分析与评价；</w:t>
      </w:r>
    </w:p>
    <w:p w14:paraId="100CB323">
      <w:pPr>
        <w:numPr>
          <w:ilvl w:val="0"/>
          <w:numId w:val="16"/>
        </w:numPr>
        <w:ind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提出切实可行的环境保护措施与地下水环境影响跟踪监测计划</w:t>
      </w:r>
      <w:r>
        <w:rPr>
          <w:rFonts w:hint="default" w:ascii="Times New Roman" w:hAnsi="Times New Roman" w:eastAsia="宋体" w:cs="Times New Roman"/>
          <w:color w:val="auto"/>
          <w:sz w:val="24"/>
          <w:szCs w:val="24"/>
          <w:highlight w:val="none"/>
          <w:lang w:eastAsia="zh-CN"/>
        </w:rPr>
        <w:t>。</w:t>
      </w:r>
    </w:p>
    <w:p w14:paraId="4C5BEB61">
      <w:pPr>
        <w:keepNext w:val="0"/>
        <w:keepLines w:val="0"/>
        <w:pageBreakBefore w:val="0"/>
        <w:widowControl w:val="0"/>
        <w:kinsoku/>
        <w:wordWrap/>
        <w:overflowPunct/>
        <w:topLinePunct w:val="0"/>
        <w:autoSpaceDE/>
        <w:autoSpaceDN/>
        <w:bidi w:val="0"/>
        <w:spacing w:line="360" w:lineRule="auto"/>
        <w:ind w:firstLine="480" w:firstLineChars="200"/>
        <w:textAlignment w:val="auto"/>
        <w:outlineLvl w:val="9"/>
        <w:rPr>
          <w:rFonts w:hint="default" w:ascii="Times New Roman" w:hAnsi="Times New Roman" w:cs="Times New Roman"/>
          <w:b/>
          <w:bCs/>
          <w:color w:val="auto"/>
          <w:sz w:val="24"/>
          <w:szCs w:val="24"/>
          <w:highlight w:val="none"/>
          <w:lang w:eastAsia="zh-CN"/>
        </w:rPr>
      </w:pPr>
      <w:r>
        <w:rPr>
          <w:rFonts w:hint="default" w:ascii="Times New Roman" w:hAnsi="Times New Roman" w:cs="Times New Roman"/>
          <w:b/>
          <w:bCs/>
          <w:color w:val="auto"/>
          <w:sz w:val="24"/>
          <w:szCs w:val="24"/>
          <w:highlight w:val="none"/>
          <w:lang w:eastAsia="zh-CN"/>
        </w:rPr>
        <w:t>根据《环境影响评价技术导则</w:t>
      </w:r>
      <w:r>
        <w:rPr>
          <w:rFonts w:hint="eastAsia" w:ascii="Times New Roman" w:hAnsi="Times New Roman" w:cs="Times New Roman"/>
          <w:b/>
          <w:bCs/>
          <w:color w:val="auto"/>
          <w:sz w:val="24"/>
          <w:szCs w:val="24"/>
          <w:highlight w:val="none"/>
          <w:lang w:val="en-US" w:eastAsia="zh-CN"/>
        </w:rPr>
        <w:t xml:space="preserve"> </w:t>
      </w:r>
      <w:r>
        <w:rPr>
          <w:rFonts w:hint="default" w:ascii="Times New Roman" w:hAnsi="Times New Roman" w:cs="Times New Roman"/>
          <w:b/>
          <w:bCs/>
          <w:color w:val="auto"/>
          <w:sz w:val="24"/>
          <w:szCs w:val="24"/>
          <w:highlight w:val="none"/>
          <w:lang w:eastAsia="zh-CN"/>
        </w:rPr>
        <w:t>地下水环境》(HJ610-2016)，本项目属于“II类建设项目”，地下水环境敏感程度为“不敏感”，地下水为三级评价</w:t>
      </w:r>
      <w:r>
        <w:rPr>
          <w:rFonts w:hint="eastAsia" w:ascii="Times New Roman" w:hAnsi="Times New Roman" w:cs="Times New Roman"/>
          <w:b/>
          <w:bCs/>
          <w:color w:val="auto"/>
          <w:sz w:val="24"/>
          <w:szCs w:val="24"/>
          <w:highlight w:val="none"/>
          <w:lang w:eastAsia="zh-CN"/>
        </w:rPr>
        <w:t>。</w:t>
      </w:r>
      <w:r>
        <w:rPr>
          <w:rFonts w:hint="default" w:ascii="Times New Roman" w:hAnsi="Times New Roman" w:cs="Times New Roman"/>
          <w:b/>
          <w:bCs/>
          <w:color w:val="auto"/>
          <w:sz w:val="24"/>
          <w:szCs w:val="24"/>
          <w:highlight w:val="none"/>
          <w:lang w:eastAsia="zh-CN"/>
        </w:rPr>
        <w:t>建设单位在严格执行“源头控制、分区防治、污染监控、应急响应”及风险防范措施之后，本项目运营期对地下水的环境影响可降至最低</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bCs/>
          <w:color w:val="auto"/>
          <w:sz w:val="24"/>
          <w:szCs w:val="24"/>
          <w:highlight w:val="none"/>
          <w:lang w:eastAsia="zh-CN"/>
        </w:rPr>
        <w:t>从地下水环境保护角度而言，项目建设可行。</w:t>
      </w:r>
    </w:p>
    <w:p w14:paraId="012EADAD">
      <w:pPr>
        <w:pStyle w:val="3"/>
        <w:spacing w:before="156" w:after="156"/>
        <w:rPr>
          <w:rFonts w:hint="default" w:ascii="Times New Roman" w:hAnsi="Times New Roman" w:cs="Times New Roman"/>
          <w:color w:val="auto"/>
          <w:highlight w:val="none"/>
          <w:lang w:val="en-US" w:eastAsia="zh-CN"/>
        </w:rPr>
      </w:pPr>
      <w:bookmarkStart w:id="123" w:name="_Toc12147"/>
      <w:bookmarkStart w:id="124" w:name="_Toc1813"/>
      <w:bookmarkStart w:id="125" w:name="_Toc12072"/>
      <w:r>
        <w:rPr>
          <w:rFonts w:hint="default" w:ascii="Times New Roman" w:hAnsi="Times New Roman" w:cs="Times New Roman"/>
          <w:color w:val="auto"/>
          <w:highlight w:val="none"/>
          <w:lang w:val="en-US" w:eastAsia="zh-CN"/>
        </w:rPr>
        <w:t>声环境影响分析</w:t>
      </w:r>
      <w:bookmarkEnd w:id="123"/>
      <w:bookmarkEnd w:id="124"/>
      <w:bookmarkEnd w:id="125"/>
    </w:p>
    <w:p w14:paraId="3077E252">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评价等级及评价范围</w:t>
      </w:r>
    </w:p>
    <w:p w14:paraId="1773F54D">
      <w:pPr>
        <w:pStyle w:val="14"/>
        <w:ind w:firstLine="480"/>
        <w:rPr>
          <w:rFonts w:hint="default" w:ascii="Times New Roman" w:hAnsi="Times New Roman" w:cs="Times New Roman"/>
          <w:b/>
          <w:bCs/>
          <w:color w:val="auto"/>
          <w:highlight w:val="none"/>
        </w:rPr>
      </w:pPr>
      <w:r>
        <w:rPr>
          <w:rFonts w:hint="default" w:ascii="Times New Roman" w:hAnsi="Times New Roman" w:cs="Times New Roman" w:eastAsiaTheme="minorEastAsia"/>
          <w:color w:val="auto"/>
          <w:kern w:val="2"/>
          <w:sz w:val="24"/>
          <w:szCs w:val="21"/>
          <w:highlight w:val="none"/>
          <w:lang w:val="en-US" w:eastAsia="zh-CN" w:bidi="ar-SA"/>
        </w:rPr>
        <w:t>本项目</w:t>
      </w:r>
      <w:r>
        <w:rPr>
          <w:rFonts w:hint="default" w:ascii="Times New Roman" w:hAnsi="Times New Roman" w:cs="Times New Roman"/>
          <w:color w:val="auto"/>
          <w:kern w:val="2"/>
          <w:sz w:val="24"/>
          <w:szCs w:val="21"/>
          <w:highlight w:val="none"/>
          <w:lang w:val="en-US" w:eastAsia="zh-CN" w:bidi="ar-SA"/>
        </w:rPr>
        <w:t>所在地属</w:t>
      </w:r>
      <w:r>
        <w:rPr>
          <w:rFonts w:hint="default" w:ascii="Times New Roman" w:hAnsi="Times New Roman" w:cs="Times New Roman" w:eastAsiaTheme="minorEastAsia"/>
          <w:color w:val="auto"/>
          <w:kern w:val="2"/>
          <w:sz w:val="24"/>
          <w:szCs w:val="21"/>
          <w:highlight w:val="none"/>
          <w:lang w:val="en-US" w:eastAsia="zh-CN" w:bidi="ar-SA"/>
        </w:rPr>
        <w:t>2类声环境</w:t>
      </w:r>
      <w:r>
        <w:rPr>
          <w:rFonts w:hint="default" w:ascii="Times New Roman" w:hAnsi="Times New Roman" w:cs="Times New Roman"/>
          <w:color w:val="auto"/>
          <w:kern w:val="2"/>
          <w:sz w:val="24"/>
          <w:szCs w:val="21"/>
          <w:highlight w:val="none"/>
          <w:lang w:val="en-US" w:eastAsia="zh-CN" w:bidi="ar-SA"/>
        </w:rPr>
        <w:t>功能区，</w:t>
      </w:r>
      <w:r>
        <w:rPr>
          <w:rFonts w:hint="default" w:ascii="Times New Roman" w:hAnsi="Times New Roman" w:cs="Times New Roman" w:eastAsiaTheme="minorEastAsia"/>
          <w:color w:val="auto"/>
          <w:kern w:val="2"/>
          <w:sz w:val="24"/>
          <w:szCs w:val="21"/>
          <w:highlight w:val="none"/>
          <w:lang w:val="en-US" w:eastAsia="zh-CN" w:bidi="ar-SA"/>
        </w:rPr>
        <w:t>项目建设前后</w:t>
      </w:r>
      <w:r>
        <w:rPr>
          <w:rFonts w:hint="default" w:ascii="Times New Roman" w:hAnsi="Times New Roman" w:cs="Times New Roman"/>
          <w:color w:val="auto"/>
          <w:kern w:val="2"/>
          <w:sz w:val="24"/>
          <w:szCs w:val="21"/>
          <w:highlight w:val="none"/>
          <w:lang w:val="en-US" w:eastAsia="zh-CN" w:bidi="ar-SA"/>
        </w:rPr>
        <w:t>评价范围内敏感目标噪声级</w:t>
      </w:r>
      <w:r>
        <w:rPr>
          <w:rFonts w:hint="default" w:ascii="Times New Roman" w:hAnsi="Times New Roman" w:cs="Times New Roman" w:eastAsiaTheme="minorEastAsia"/>
          <w:color w:val="auto"/>
          <w:kern w:val="2"/>
          <w:sz w:val="24"/>
          <w:szCs w:val="21"/>
          <w:highlight w:val="none"/>
          <w:lang w:val="en-US" w:eastAsia="zh-CN" w:bidi="ar-SA"/>
        </w:rPr>
        <w:t>增</w:t>
      </w:r>
      <w:r>
        <w:rPr>
          <w:rFonts w:hint="default" w:ascii="Times New Roman" w:hAnsi="Times New Roman" w:cs="Times New Roman"/>
          <w:color w:val="auto"/>
          <w:kern w:val="2"/>
          <w:sz w:val="24"/>
          <w:szCs w:val="21"/>
          <w:highlight w:val="none"/>
          <w:lang w:val="en-US" w:eastAsia="zh-CN" w:bidi="ar-SA"/>
        </w:rPr>
        <w:t>高</w:t>
      </w:r>
      <w:r>
        <w:rPr>
          <w:rFonts w:hint="default" w:ascii="Times New Roman" w:hAnsi="Times New Roman" w:cs="Times New Roman" w:eastAsiaTheme="minorEastAsia"/>
          <w:color w:val="auto"/>
          <w:kern w:val="2"/>
          <w:sz w:val="24"/>
          <w:szCs w:val="21"/>
          <w:highlight w:val="none"/>
          <w:lang w:val="en-US" w:eastAsia="zh-CN" w:bidi="ar-SA"/>
        </w:rPr>
        <w:t>量＜3dB（A）</w:t>
      </w:r>
      <w:r>
        <w:rPr>
          <w:rFonts w:hint="default" w:ascii="Times New Roman" w:hAnsi="Times New Roman" w:cs="Times New Roman"/>
          <w:color w:val="auto"/>
          <w:kern w:val="2"/>
          <w:sz w:val="24"/>
          <w:szCs w:val="21"/>
          <w:highlight w:val="none"/>
          <w:lang w:val="en-US" w:eastAsia="zh-CN" w:bidi="ar-SA"/>
        </w:rPr>
        <w:t>，且</w:t>
      </w:r>
      <w:r>
        <w:rPr>
          <w:rFonts w:hint="default" w:ascii="Times New Roman" w:hAnsi="Times New Roman" w:cs="Times New Roman" w:eastAsiaTheme="minorEastAsia"/>
          <w:color w:val="auto"/>
          <w:kern w:val="2"/>
          <w:sz w:val="24"/>
          <w:szCs w:val="21"/>
          <w:highlight w:val="none"/>
          <w:lang w:val="en-US" w:eastAsia="zh-CN" w:bidi="ar-SA"/>
        </w:rPr>
        <w:t>受影响人口</w:t>
      </w:r>
      <w:r>
        <w:rPr>
          <w:rFonts w:hint="default" w:ascii="Times New Roman" w:hAnsi="Times New Roman" w:cs="Times New Roman"/>
          <w:color w:val="auto"/>
          <w:kern w:val="2"/>
          <w:sz w:val="24"/>
          <w:szCs w:val="21"/>
          <w:highlight w:val="none"/>
          <w:lang w:val="en-US" w:eastAsia="zh-CN" w:bidi="ar-SA"/>
        </w:rPr>
        <w:t>数量</w:t>
      </w:r>
      <w:r>
        <w:rPr>
          <w:rFonts w:hint="default" w:ascii="Times New Roman" w:hAnsi="Times New Roman" w:cs="Times New Roman" w:eastAsiaTheme="minorEastAsia"/>
          <w:color w:val="auto"/>
          <w:kern w:val="2"/>
          <w:sz w:val="24"/>
          <w:szCs w:val="21"/>
          <w:highlight w:val="none"/>
          <w:lang w:val="en-US" w:eastAsia="zh-CN" w:bidi="ar-SA"/>
        </w:rPr>
        <w:t>变化</w:t>
      </w:r>
      <w:r>
        <w:rPr>
          <w:rFonts w:hint="default" w:ascii="Times New Roman" w:hAnsi="Times New Roman" w:cs="Times New Roman"/>
          <w:color w:val="auto"/>
          <w:kern w:val="2"/>
          <w:sz w:val="24"/>
          <w:szCs w:val="21"/>
          <w:highlight w:val="none"/>
          <w:lang w:val="en-US" w:eastAsia="zh-CN" w:bidi="ar-SA"/>
        </w:rPr>
        <w:t>不大</w:t>
      </w:r>
      <w:r>
        <w:rPr>
          <w:rFonts w:hint="default" w:ascii="Times New Roman" w:hAnsi="Times New Roman" w:cs="Times New Roman" w:eastAsiaTheme="minorEastAsia"/>
          <w:color w:val="auto"/>
          <w:kern w:val="2"/>
          <w:sz w:val="24"/>
          <w:szCs w:val="21"/>
          <w:highlight w:val="none"/>
          <w:lang w:val="en-US" w:eastAsia="zh-CN" w:bidi="ar-SA"/>
        </w:rPr>
        <w:t>，对周围环境影响较小。根据《环境影响评价技术导则  声环境》（</w:t>
      </w:r>
      <w:r>
        <w:rPr>
          <w:rFonts w:hint="default" w:ascii="Times New Roman" w:hAnsi="Times New Roman" w:cs="Times New Roman"/>
          <w:color w:val="auto"/>
          <w:kern w:val="2"/>
          <w:sz w:val="24"/>
          <w:szCs w:val="21"/>
          <w:highlight w:val="none"/>
          <w:lang w:val="en-US" w:eastAsia="zh-CN" w:bidi="ar-SA"/>
        </w:rPr>
        <w:t>HJ2.4-2021</w:t>
      </w:r>
      <w:r>
        <w:rPr>
          <w:rFonts w:hint="default" w:ascii="Times New Roman" w:hAnsi="Times New Roman" w:cs="Times New Roman" w:eastAsiaTheme="minorEastAsia"/>
          <w:color w:val="auto"/>
          <w:kern w:val="2"/>
          <w:sz w:val="24"/>
          <w:szCs w:val="21"/>
          <w:highlight w:val="none"/>
          <w:lang w:val="en-US" w:eastAsia="zh-CN" w:bidi="ar-SA"/>
        </w:rPr>
        <w:t>）</w:t>
      </w:r>
      <w:r>
        <w:rPr>
          <w:rFonts w:hint="default" w:ascii="Times New Roman" w:hAnsi="Times New Roman" w:cs="Times New Roman"/>
          <w:color w:val="auto"/>
          <w:highlight w:val="none"/>
        </w:rPr>
        <w:t>中评价工作分级的规定，本</w:t>
      </w:r>
      <w:r>
        <w:rPr>
          <w:rFonts w:hint="default" w:ascii="Times New Roman" w:hAnsi="Times New Roman" w:cs="Times New Roman"/>
          <w:color w:val="auto"/>
          <w:highlight w:val="none"/>
          <w:lang w:val="en-US" w:eastAsia="zh-CN"/>
        </w:rPr>
        <w:t>项目</w:t>
      </w:r>
      <w:r>
        <w:rPr>
          <w:rFonts w:hint="default" w:ascii="Times New Roman" w:hAnsi="Times New Roman" w:cs="Times New Roman"/>
          <w:b/>
          <w:bCs/>
          <w:color w:val="auto"/>
          <w:highlight w:val="none"/>
        </w:rPr>
        <w:t>声环境评价等级为二级。</w:t>
      </w:r>
    </w:p>
    <w:p w14:paraId="38F15EBA">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噪声源</w:t>
      </w:r>
    </w:p>
    <w:p w14:paraId="4E9E60C7">
      <w:pPr>
        <w:pStyle w:val="14"/>
        <w:ind w:firstLine="480"/>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本项目主要噪声源包括</w:t>
      </w:r>
      <w:r>
        <w:rPr>
          <w:rFonts w:hint="default" w:ascii="Times New Roman" w:hAnsi="Times New Roman" w:cs="Times New Roman"/>
          <w:color w:val="auto"/>
          <w:sz w:val="24"/>
          <w:szCs w:val="24"/>
          <w:highlight w:val="none"/>
          <w:lang w:val="en-US" w:eastAsia="zh-CN"/>
        </w:rPr>
        <w:t>破碎机、</w:t>
      </w:r>
      <w:r>
        <w:rPr>
          <w:rFonts w:hint="default" w:ascii="Times New Roman" w:hAnsi="Times New Roman" w:cs="Times New Roman"/>
          <w:color w:val="auto"/>
          <w:sz w:val="24"/>
          <w:szCs w:val="24"/>
          <w:highlight w:val="none"/>
        </w:rPr>
        <w:t>磁选机</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热分解焚烧设备</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风机</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冷却塔、水泵</w:t>
      </w:r>
      <w:r>
        <w:rPr>
          <w:rFonts w:hint="default" w:ascii="Times New Roman" w:hAnsi="Times New Roman" w:cs="Times New Roman"/>
          <w:color w:val="auto"/>
          <w:sz w:val="24"/>
          <w:szCs w:val="24"/>
          <w:highlight w:val="none"/>
        </w:rPr>
        <w:t>等设备运行时产生的噪声，</w:t>
      </w:r>
      <w:r>
        <w:rPr>
          <w:rFonts w:hint="default" w:ascii="Times New Roman" w:hAnsi="Times New Roman" w:eastAsia="宋体" w:cs="Times New Roman"/>
          <w:color w:val="auto"/>
          <w:kern w:val="0"/>
          <w:sz w:val="24"/>
          <w:szCs w:val="24"/>
          <w:highlight w:val="none"/>
          <w:lang w:val="en-US" w:eastAsia="zh-CN" w:bidi="ar"/>
        </w:rPr>
        <w:t>类比同类型项目，</w:t>
      </w:r>
      <w:r>
        <w:rPr>
          <w:rFonts w:hint="default" w:ascii="Times New Roman" w:hAnsi="Times New Roman" w:cs="Times New Roman"/>
          <w:color w:val="auto"/>
          <w:sz w:val="24"/>
          <w:szCs w:val="24"/>
          <w:highlight w:val="none"/>
        </w:rPr>
        <w:t>产噪声级值为80～9</w:t>
      </w:r>
      <w:r>
        <w:rPr>
          <w:rFonts w:hint="default" w:ascii="Times New Roman" w:hAnsi="Times New Roman" w:cs="Times New Roman"/>
          <w:color w:val="auto"/>
          <w:sz w:val="24"/>
          <w:szCs w:val="24"/>
          <w:highlight w:val="none"/>
          <w:lang w:val="en-US" w:eastAsia="zh-CN"/>
        </w:rPr>
        <w:t>0</w:t>
      </w:r>
      <w:r>
        <w:rPr>
          <w:rFonts w:hint="default" w:ascii="Times New Roman" w:hAnsi="Times New Roman" w:cs="Times New Roman"/>
          <w:color w:val="auto"/>
          <w:sz w:val="24"/>
          <w:szCs w:val="24"/>
          <w:highlight w:val="none"/>
        </w:rPr>
        <w:t>dB</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A</w:t>
      </w:r>
      <w:r>
        <w:rPr>
          <w:rFonts w:hint="eastAsia" w:cs="Times New Roman"/>
          <w:color w:val="auto"/>
          <w:sz w:val="24"/>
          <w:szCs w:val="24"/>
          <w:highlight w:val="none"/>
          <w:lang w:eastAsia="zh-CN"/>
        </w:rPr>
        <w:t>）</w:t>
      </w:r>
      <w:r>
        <w:rPr>
          <w:rFonts w:hint="default" w:ascii="Times New Roman" w:hAnsi="Times New Roman" w:eastAsia="宋体" w:cs="Times New Roman"/>
          <w:color w:val="auto"/>
          <w:kern w:val="0"/>
          <w:sz w:val="24"/>
          <w:szCs w:val="24"/>
          <w:highlight w:val="none"/>
          <w:lang w:val="en-US" w:eastAsia="zh-CN" w:bidi="ar"/>
        </w:rPr>
        <w:t>。</w:t>
      </w:r>
    </w:p>
    <w:p w14:paraId="71E5734C">
      <w:pPr>
        <w:pStyle w:val="17"/>
        <w:widowControl w:val="0"/>
        <w:numPr>
          <w:ilvl w:val="0"/>
          <w:numId w:val="0"/>
        </w:numPr>
        <w:spacing w:line="360" w:lineRule="auto"/>
        <w:jc w:val="both"/>
        <w:rPr>
          <w:rFonts w:hint="default" w:ascii="Times New Roman" w:hAnsi="Times New Roman" w:cs="Times New Roman"/>
          <w:color w:val="auto"/>
          <w:highlight w:val="none"/>
          <w:lang w:val="en-US" w:eastAsia="zh-CN"/>
        </w:rPr>
      </w:pPr>
    </w:p>
    <w:p w14:paraId="5A437860">
      <w:pPr>
        <w:pStyle w:val="17"/>
        <w:widowControl w:val="0"/>
        <w:numPr>
          <w:ilvl w:val="0"/>
          <w:numId w:val="0"/>
        </w:numPr>
        <w:spacing w:line="360" w:lineRule="auto"/>
        <w:jc w:val="both"/>
        <w:rPr>
          <w:rFonts w:hint="default" w:ascii="Times New Roman" w:hAnsi="Times New Roman" w:cs="Times New Roman"/>
          <w:color w:val="auto"/>
          <w:highlight w:val="none"/>
          <w:lang w:val="en-US" w:eastAsia="zh-CN"/>
        </w:rPr>
      </w:pPr>
    </w:p>
    <w:p w14:paraId="56943AF5">
      <w:pPr>
        <w:pStyle w:val="17"/>
        <w:widowControl w:val="0"/>
        <w:numPr>
          <w:ilvl w:val="0"/>
          <w:numId w:val="0"/>
        </w:numPr>
        <w:spacing w:line="360" w:lineRule="auto"/>
        <w:jc w:val="both"/>
        <w:rPr>
          <w:rFonts w:hint="default" w:ascii="Times New Roman" w:hAnsi="Times New Roman" w:cs="Times New Roman"/>
          <w:color w:val="auto"/>
          <w:highlight w:val="none"/>
          <w:lang w:val="en-US" w:eastAsia="zh-CN"/>
        </w:rPr>
        <w:sectPr>
          <w:headerReference r:id="rId28"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60CF5404">
      <w:pPr>
        <w:pStyle w:val="3"/>
        <w:spacing w:before="156" w:after="156"/>
        <w:rPr>
          <w:rFonts w:hint="default" w:ascii="Times New Roman" w:hAnsi="Times New Roman" w:cs="Times New Roman"/>
          <w:color w:val="auto"/>
          <w:highlight w:val="none"/>
          <w:lang w:val="en-US" w:eastAsia="zh-CN"/>
        </w:rPr>
      </w:pPr>
      <w:bookmarkStart w:id="126" w:name="_Toc6895"/>
      <w:bookmarkStart w:id="127" w:name="_Toc31875"/>
      <w:bookmarkStart w:id="128" w:name="_Toc31505"/>
      <w:r>
        <w:rPr>
          <w:rFonts w:hint="default" w:ascii="Times New Roman" w:hAnsi="Times New Roman" w:cs="Times New Roman"/>
          <w:color w:val="auto"/>
          <w:highlight w:val="none"/>
          <w:lang w:val="en-US" w:eastAsia="zh-CN"/>
        </w:rPr>
        <w:t>固体废物环境影响分析</w:t>
      </w:r>
      <w:bookmarkEnd w:id="126"/>
      <w:bookmarkEnd w:id="127"/>
      <w:bookmarkEnd w:id="128"/>
    </w:p>
    <w:p w14:paraId="63473664">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本项目运营期固废</w:t>
      </w:r>
      <w:r>
        <w:rPr>
          <w:rFonts w:hint="default" w:ascii="Times New Roman" w:hAnsi="Times New Roman" w:cs="Times New Roman"/>
          <w:color w:val="auto"/>
          <w:sz w:val="24"/>
          <w:szCs w:val="24"/>
          <w:highlight w:val="none"/>
        </w:rPr>
        <w:t>包括一般固废、危险废物。其中一般固废</w:t>
      </w:r>
      <w:r>
        <w:rPr>
          <w:rFonts w:hint="default" w:ascii="Times New Roman" w:hAnsi="Times New Roman" w:cs="Times New Roman"/>
          <w:color w:val="auto"/>
          <w:sz w:val="24"/>
          <w:szCs w:val="24"/>
          <w:highlight w:val="none"/>
          <w:lang w:val="en-US" w:eastAsia="zh-CN"/>
        </w:rPr>
        <w:t>包括预处理分选无机物（废金属、</w:t>
      </w:r>
      <w:r>
        <w:rPr>
          <w:rFonts w:hint="default" w:ascii="Times New Roman" w:hAnsi="Times New Roman" w:eastAsia="宋体" w:cs="Times New Roman"/>
          <w:color w:val="auto"/>
          <w:kern w:val="0"/>
          <w:sz w:val="24"/>
          <w:szCs w:val="24"/>
          <w:highlight w:val="none"/>
          <w:lang w:val="en-US" w:eastAsia="zh-CN" w:bidi="ar"/>
        </w:rPr>
        <w:t>玻璃、陶瓷及砂石</w:t>
      </w:r>
      <w:r>
        <w:rPr>
          <w:rFonts w:hint="default" w:ascii="Times New Roman" w:hAnsi="Times New Roman" w:cs="Times New Roman"/>
          <w:color w:val="auto"/>
          <w:sz w:val="24"/>
          <w:szCs w:val="24"/>
          <w:highlight w:val="none"/>
          <w:lang w:val="en-US" w:eastAsia="zh-CN"/>
        </w:rPr>
        <w:t>等）、</w:t>
      </w:r>
      <w:r>
        <w:rPr>
          <w:rFonts w:hint="default" w:ascii="Times New Roman" w:hAnsi="Times New Roman" w:cs="Times New Roman"/>
          <w:color w:val="auto"/>
          <w:sz w:val="24"/>
          <w:szCs w:val="24"/>
          <w:highlight w:val="none"/>
        </w:rPr>
        <w:t>炭黑渣、碱液喷淋塔沉渣</w:t>
      </w:r>
      <w:r>
        <w:rPr>
          <w:rFonts w:hint="default" w:ascii="Times New Roman" w:hAnsi="Times New Roman" w:cs="Times New Roman"/>
          <w:color w:val="auto"/>
          <w:sz w:val="24"/>
          <w:szCs w:val="24"/>
          <w:highlight w:val="none"/>
          <w:lang w:val="en-US" w:eastAsia="zh-CN"/>
        </w:rPr>
        <w:t>等；</w:t>
      </w:r>
      <w:r>
        <w:rPr>
          <w:rFonts w:hint="default" w:ascii="Times New Roman" w:hAnsi="Times New Roman" w:cs="Times New Roman"/>
          <w:color w:val="auto"/>
          <w:sz w:val="24"/>
          <w:szCs w:val="24"/>
          <w:highlight w:val="none"/>
        </w:rPr>
        <w:t>危险废物包括飞灰、</w:t>
      </w:r>
      <w:r>
        <w:rPr>
          <w:rFonts w:hint="default" w:ascii="Times New Roman" w:hAnsi="Times New Roman" w:cs="Times New Roman"/>
          <w:color w:val="auto"/>
          <w:sz w:val="24"/>
          <w:szCs w:val="24"/>
          <w:highlight w:val="none"/>
          <w:lang w:val="en-US" w:eastAsia="zh-CN"/>
        </w:rPr>
        <w:t>焦油、</w:t>
      </w:r>
      <w:r>
        <w:rPr>
          <w:rFonts w:hint="default" w:ascii="Times New Roman" w:hAnsi="Times New Roman" w:cs="Times New Roman"/>
          <w:color w:val="auto"/>
          <w:sz w:val="24"/>
          <w:szCs w:val="24"/>
          <w:highlight w:val="none"/>
        </w:rPr>
        <w:t>废活性炭、废布袋、废机油</w:t>
      </w:r>
      <w:r>
        <w:rPr>
          <w:rFonts w:hint="default" w:ascii="Times New Roman" w:hAnsi="Times New Roman" w:cs="Times New Roman"/>
          <w:color w:val="auto"/>
          <w:sz w:val="24"/>
          <w:szCs w:val="24"/>
          <w:highlight w:val="none"/>
          <w:lang w:val="en-US" w:eastAsia="zh-CN"/>
        </w:rPr>
        <w:t>及</w:t>
      </w:r>
      <w:r>
        <w:rPr>
          <w:rFonts w:hint="default" w:ascii="Times New Roman" w:hAnsi="Times New Roman" w:cs="Times New Roman"/>
          <w:color w:val="auto"/>
          <w:sz w:val="24"/>
          <w:szCs w:val="24"/>
          <w:highlight w:val="none"/>
        </w:rPr>
        <w:t>废含油棉纱手套。</w:t>
      </w:r>
      <w:r>
        <w:rPr>
          <w:rFonts w:hint="default" w:ascii="Times New Roman" w:hAnsi="Times New Roman" w:cs="Times New Roman"/>
          <w:color w:val="auto"/>
          <w:sz w:val="24"/>
          <w:szCs w:val="24"/>
          <w:highlight w:val="none"/>
          <w:lang w:val="en-US" w:eastAsia="zh-CN"/>
        </w:rPr>
        <w:t>本</w:t>
      </w:r>
      <w:r>
        <w:rPr>
          <w:rFonts w:hint="default" w:ascii="Times New Roman" w:hAnsi="Times New Roman" w:cs="Times New Roman"/>
          <w:color w:val="auto"/>
          <w:sz w:val="24"/>
          <w:szCs w:val="24"/>
          <w:highlight w:val="none"/>
        </w:rPr>
        <w:t>项目</w:t>
      </w:r>
      <w:r>
        <w:rPr>
          <w:rFonts w:hint="default" w:ascii="Times New Roman" w:hAnsi="Times New Roman" w:cs="Times New Roman"/>
          <w:color w:val="auto"/>
          <w:sz w:val="24"/>
          <w:szCs w:val="24"/>
          <w:highlight w:val="none"/>
          <w:lang w:val="en-US" w:eastAsia="zh-CN"/>
        </w:rPr>
        <w:t>租赁周边房</w:t>
      </w:r>
      <w:r>
        <w:rPr>
          <w:rFonts w:hint="default" w:ascii="Times New Roman" w:hAnsi="Times New Roman" w:cs="Times New Roman"/>
          <w:bCs/>
          <w:color w:val="auto"/>
          <w:sz w:val="24"/>
          <w:szCs w:val="24"/>
          <w:highlight w:val="none"/>
          <w:lang w:val="en-US" w:eastAsia="zh-CN"/>
        </w:rPr>
        <w:t>屋作为办公室、生活区，厂区内不产生生活垃圾</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炭黑渣</w:t>
      </w:r>
      <w:r>
        <w:rPr>
          <w:rFonts w:hint="default" w:ascii="Times New Roman" w:hAnsi="Times New Roman" w:eastAsia="宋体" w:cs="Times New Roman"/>
          <w:b w:val="0"/>
          <w:bCs w:val="0"/>
          <w:color w:val="auto"/>
          <w:sz w:val="24"/>
          <w:szCs w:val="24"/>
          <w:highlight w:val="none"/>
          <w:lang w:val="en-US" w:eastAsia="zh-CN"/>
        </w:rPr>
        <w:t>经破碎、筛分、冲压成型成碳棒外售</w:t>
      </w:r>
      <w:r>
        <w:rPr>
          <w:rFonts w:hint="eastAsia" w:ascii="Times New Roman" w:hAnsi="Times New Roman" w:eastAsia="宋体" w:cs="Times New Roman"/>
          <w:color w:val="auto"/>
          <w:sz w:val="24"/>
          <w:szCs w:val="24"/>
          <w:highlight w:val="none"/>
          <w:lang w:eastAsia="zh-CN"/>
        </w:rPr>
        <w:t>，</w:t>
      </w:r>
      <w:r>
        <w:rPr>
          <w:rFonts w:hint="default" w:ascii="Times New Roman" w:hAnsi="Times New Roman" w:eastAsia="宋体" w:cs="Times New Roman"/>
          <w:color w:val="auto"/>
          <w:kern w:val="0"/>
          <w:sz w:val="24"/>
          <w:szCs w:val="24"/>
          <w:highlight w:val="none"/>
          <w:lang w:val="en-US" w:eastAsia="zh-CN" w:bidi="ar"/>
        </w:rPr>
        <w:t>不纳入固废管理。</w:t>
      </w:r>
    </w:p>
    <w:p w14:paraId="6C52E08E">
      <w:pPr>
        <w:pStyle w:val="14"/>
        <w:numPr>
          <w:ilvl w:val="0"/>
          <w:numId w:val="0"/>
        </w:numPr>
        <w:ind w:firstLine="480" w:firstLineChars="20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1、一般固废</w:t>
      </w:r>
    </w:p>
    <w:p w14:paraId="4DB901C8">
      <w:pPr>
        <w:pStyle w:val="14"/>
        <w:numPr>
          <w:ilvl w:val="0"/>
          <w:numId w:val="0"/>
        </w:numPr>
        <w:ind w:firstLine="480" w:firstLineChars="200"/>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（1）分选无机物S1</w:t>
      </w:r>
    </w:p>
    <w:p w14:paraId="1222633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cs="Times New Roman"/>
          <w:color w:val="auto"/>
          <w:sz w:val="24"/>
          <w:szCs w:val="24"/>
          <w:highlight w:val="none"/>
          <w:lang w:val="en-US" w:eastAsia="zh-CN"/>
        </w:rPr>
        <w:t>生活垃圾中混杂有少量废金属、</w:t>
      </w:r>
      <w:r>
        <w:rPr>
          <w:rFonts w:hint="default" w:ascii="Times New Roman" w:hAnsi="Times New Roman" w:eastAsia="宋体" w:cs="Times New Roman"/>
          <w:color w:val="auto"/>
          <w:kern w:val="0"/>
          <w:sz w:val="24"/>
          <w:szCs w:val="24"/>
          <w:highlight w:val="none"/>
          <w:lang w:val="en-US" w:eastAsia="zh-CN" w:bidi="ar"/>
        </w:rPr>
        <w:t>玻璃、陶瓷及砂石等无机物</w:t>
      </w:r>
      <w:r>
        <w:rPr>
          <w:rFonts w:hint="default" w:ascii="Times New Roman" w:hAnsi="Times New Roman" w:cs="Times New Roman"/>
          <w:color w:val="auto"/>
          <w:sz w:val="24"/>
          <w:szCs w:val="24"/>
          <w:highlight w:val="none"/>
          <w:lang w:val="en-US" w:eastAsia="zh-CN"/>
        </w:rPr>
        <w:t>。根据类比调查，一般预处理工序分选出的废金属、</w:t>
      </w:r>
      <w:r>
        <w:rPr>
          <w:rFonts w:hint="default" w:ascii="Times New Roman" w:hAnsi="Times New Roman" w:eastAsia="宋体" w:cs="Times New Roman"/>
          <w:color w:val="auto"/>
          <w:kern w:val="0"/>
          <w:sz w:val="24"/>
          <w:szCs w:val="24"/>
          <w:highlight w:val="none"/>
          <w:lang w:val="en-US" w:eastAsia="zh-CN" w:bidi="ar"/>
        </w:rPr>
        <w:t>玻璃、陶瓷及砂石等无机物约占生活垃圾处理量的5%，其中废金属约占2%，玻璃、陶瓷及砂石等约占3%。</w:t>
      </w:r>
    </w:p>
    <w:p w14:paraId="32B5FD60">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bidi="ar"/>
        </w:rPr>
        <w:t>本项目处理垃圾量为180t/d，65700t/a，则预处理分选无机物</w:t>
      </w:r>
      <w:r>
        <w:rPr>
          <w:rFonts w:hint="default" w:ascii="Times New Roman" w:hAnsi="Times New Roman" w:cs="Times New Roman"/>
          <w:color w:val="auto"/>
          <w:sz w:val="24"/>
          <w:szCs w:val="24"/>
          <w:highlight w:val="none"/>
          <w:lang w:val="en-US" w:eastAsia="zh-CN"/>
        </w:rPr>
        <w:t>产生量为9t/d，3285t/a，其中废金属产生量为3.6</w:t>
      </w:r>
      <w:r>
        <w:rPr>
          <w:rFonts w:hint="default" w:ascii="Times New Roman" w:hAnsi="Times New Roman" w:eastAsia="宋体" w:cs="Times New Roman"/>
          <w:color w:val="auto"/>
          <w:kern w:val="0"/>
          <w:sz w:val="24"/>
          <w:szCs w:val="24"/>
          <w:highlight w:val="none"/>
          <w:lang w:val="en-US" w:eastAsia="zh-CN" w:bidi="ar"/>
        </w:rPr>
        <w:t>t/d，1314t/a，废</w:t>
      </w:r>
      <w:r>
        <w:rPr>
          <w:rFonts w:hint="default" w:ascii="Times New Roman" w:hAnsi="Times New Roman" w:cs="Times New Roman"/>
          <w:color w:val="auto"/>
          <w:sz w:val="24"/>
          <w:szCs w:val="24"/>
          <w:highlight w:val="none"/>
          <w:lang w:val="en-US" w:eastAsia="zh-CN"/>
        </w:rPr>
        <w:t>金属回收后外售；</w:t>
      </w:r>
      <w:r>
        <w:rPr>
          <w:rFonts w:hint="default" w:ascii="Times New Roman" w:hAnsi="Times New Roman" w:eastAsia="宋体" w:cs="Times New Roman"/>
          <w:color w:val="auto"/>
          <w:kern w:val="0"/>
          <w:sz w:val="24"/>
          <w:szCs w:val="24"/>
          <w:highlight w:val="none"/>
          <w:lang w:val="en-US" w:eastAsia="zh-CN" w:bidi="ar"/>
        </w:rPr>
        <w:t>玻璃、陶瓷及砂石等产生量为5.4t/d，1971t/a，收集后送至</w:t>
      </w:r>
      <w:r>
        <w:rPr>
          <w:rFonts w:hint="default" w:ascii="Times New Roman" w:hAnsi="Times New Roman" w:cs="Times New Roman"/>
          <w:color w:val="auto"/>
          <w:sz w:val="24"/>
          <w:szCs w:val="24"/>
          <w:highlight w:val="none"/>
        </w:rPr>
        <w:t>一般固废填埋场填埋</w:t>
      </w:r>
      <w:r>
        <w:rPr>
          <w:rFonts w:hint="default" w:ascii="Times New Roman" w:hAnsi="Times New Roman" w:cs="Times New Roman"/>
          <w:color w:val="auto"/>
          <w:sz w:val="24"/>
          <w:szCs w:val="24"/>
          <w:highlight w:val="none"/>
          <w:lang w:val="en-US" w:eastAsia="zh-CN"/>
        </w:rPr>
        <w:t>处</w:t>
      </w:r>
      <w:r>
        <w:rPr>
          <w:rFonts w:hint="default" w:ascii="Times New Roman" w:hAnsi="Times New Roman" w:eastAsia="宋体" w:cs="Times New Roman"/>
          <w:color w:val="auto"/>
          <w:kern w:val="0"/>
          <w:sz w:val="24"/>
          <w:szCs w:val="24"/>
          <w:highlight w:val="none"/>
          <w:lang w:val="en-US" w:eastAsia="zh-CN" w:bidi="ar"/>
        </w:rPr>
        <w:t>置。</w:t>
      </w:r>
    </w:p>
    <w:p w14:paraId="42BE8513">
      <w:pPr>
        <w:pStyle w:val="14"/>
        <w:numPr>
          <w:ilvl w:val="0"/>
          <w:numId w:val="0"/>
        </w:numPr>
        <w:ind w:firstLine="480" w:firstLineChars="20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（2）炭黑渣</w:t>
      </w:r>
      <w:r>
        <w:rPr>
          <w:rFonts w:hint="default" w:ascii="Times New Roman" w:hAnsi="Times New Roman" w:cs="Times New Roman"/>
          <w:b/>
          <w:bCs/>
          <w:color w:val="auto"/>
          <w:sz w:val="24"/>
          <w:szCs w:val="24"/>
          <w:highlight w:val="none"/>
          <w:lang w:val="en-US" w:eastAsia="zh-CN"/>
        </w:rPr>
        <w:t>S2</w:t>
      </w:r>
    </w:p>
    <w:p w14:paraId="1AE2063B">
      <w:pPr>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color w:val="auto"/>
          <w:sz w:val="24"/>
          <w:szCs w:val="24"/>
          <w:highlight w:val="none"/>
          <w:lang w:eastAsia="zh-CN"/>
        </w:rPr>
      </w:pPr>
      <w:r>
        <w:rPr>
          <w:rFonts w:hint="default" w:ascii="Times New Roman" w:hAnsi="Times New Roman" w:eastAsia="宋体" w:cs="Times New Roman"/>
          <w:b w:val="0"/>
          <w:bCs w:val="0"/>
          <w:color w:val="auto"/>
          <w:sz w:val="24"/>
          <w:szCs w:val="22"/>
          <w:highlight w:val="none"/>
          <w:lang w:val="en-US" w:eastAsia="zh-CN"/>
        </w:rPr>
        <w:t>生活垃圾在</w:t>
      </w:r>
      <w:r>
        <w:rPr>
          <w:rFonts w:hint="default" w:ascii="Times New Roman" w:hAnsi="Times New Roman" w:eastAsia="宋体" w:cs="Times New Roman"/>
          <w:b w:val="0"/>
          <w:bCs w:val="0"/>
          <w:color w:val="auto"/>
          <w:sz w:val="24"/>
          <w:szCs w:val="22"/>
          <w:highlight w:val="none"/>
        </w:rPr>
        <w:t>无氧或缺氧条件下热</w:t>
      </w:r>
      <w:r>
        <w:rPr>
          <w:rFonts w:hint="default" w:ascii="Times New Roman" w:hAnsi="Times New Roman" w:eastAsia="宋体" w:cs="Times New Roman"/>
          <w:b w:val="0"/>
          <w:bCs w:val="0"/>
          <w:color w:val="auto"/>
          <w:sz w:val="24"/>
          <w:szCs w:val="22"/>
          <w:highlight w:val="none"/>
          <w:lang w:val="en-US" w:eastAsia="zh-CN"/>
        </w:rPr>
        <w:t>分解后会产生</w:t>
      </w:r>
      <w:r>
        <w:rPr>
          <w:rFonts w:hint="default" w:ascii="Times New Roman" w:hAnsi="Times New Roman" w:eastAsia="宋体" w:cs="Times New Roman"/>
          <w:b w:val="0"/>
          <w:bCs w:val="0"/>
          <w:color w:val="auto"/>
          <w:sz w:val="24"/>
          <w:szCs w:val="22"/>
          <w:highlight w:val="none"/>
        </w:rPr>
        <w:t>纯碳与土砂等混合形成的炭黑渣</w:t>
      </w:r>
      <w:r>
        <w:rPr>
          <w:rFonts w:hint="default" w:ascii="Times New Roman" w:hAnsi="Times New Roman" w:eastAsia="宋体" w:cs="Times New Roman"/>
          <w:b w:val="0"/>
          <w:bCs w:val="0"/>
          <w:color w:val="auto"/>
          <w:sz w:val="24"/>
          <w:szCs w:val="22"/>
          <w:highlight w:val="none"/>
          <w:lang w:eastAsia="zh-CN"/>
        </w:rPr>
        <w:t>，</w:t>
      </w:r>
      <w:r>
        <w:rPr>
          <w:rFonts w:hint="default" w:ascii="Times New Roman" w:hAnsi="Times New Roman" w:eastAsia="宋体" w:cs="Times New Roman"/>
          <w:b w:val="0"/>
          <w:bCs w:val="0"/>
          <w:color w:val="auto"/>
          <w:sz w:val="24"/>
          <w:szCs w:val="22"/>
          <w:highlight w:val="none"/>
          <w:lang w:val="en-US" w:eastAsia="zh-CN"/>
        </w:rPr>
        <w:t>根据建设单位提供资料，炭黑渣产生量约占处理生活垃圾量的</w:t>
      </w:r>
      <w:r>
        <w:rPr>
          <w:rFonts w:hint="default" w:ascii="Times New Roman" w:hAnsi="Times New Roman" w:eastAsia="宋体" w:cs="Times New Roman"/>
          <w:b w:val="0"/>
          <w:bCs w:val="0"/>
          <w:color w:val="auto"/>
          <w:sz w:val="24"/>
          <w:szCs w:val="22"/>
          <w:highlight w:val="none"/>
        </w:rPr>
        <w:t>10-16%，</w:t>
      </w:r>
      <w:r>
        <w:rPr>
          <w:rFonts w:hint="default" w:ascii="Times New Roman" w:hAnsi="Times New Roman" w:eastAsia="宋体" w:cs="Times New Roman"/>
          <w:b w:val="0"/>
          <w:bCs w:val="0"/>
          <w:color w:val="auto"/>
          <w:sz w:val="24"/>
          <w:szCs w:val="22"/>
          <w:highlight w:val="none"/>
          <w:lang w:val="en-US" w:eastAsia="zh-CN"/>
        </w:rPr>
        <w:t>即炭黑渣产生量约6570t（按10%计），炭黑渣通过冷却出料机冷却后，经破碎、筛分、冲压成型成碳棒外售。</w:t>
      </w:r>
    </w:p>
    <w:p w14:paraId="2CA994FD">
      <w:pPr>
        <w:pStyle w:val="14"/>
        <w:numPr>
          <w:ilvl w:val="0"/>
          <w:numId w:val="0"/>
        </w:numPr>
        <w:ind w:firstLine="480" w:firstLineChars="200"/>
        <w:rPr>
          <w:rFonts w:hint="default" w:ascii="Times New Roman" w:hAnsi="Times New Roman" w:eastAsia="宋体" w:cs="Times New Roman"/>
          <w:b/>
          <w:bCs/>
          <w:color w:val="auto"/>
          <w:sz w:val="24"/>
          <w:szCs w:val="22"/>
          <w:highlight w:val="none"/>
          <w:lang w:val="en-US" w:eastAsia="zh-CN"/>
        </w:rPr>
      </w:pPr>
      <w:r>
        <w:rPr>
          <w:rFonts w:hint="default" w:ascii="Times New Roman" w:hAnsi="Times New Roman" w:eastAsia="宋体" w:cs="Times New Roman"/>
          <w:b/>
          <w:bCs/>
          <w:color w:val="auto"/>
          <w:sz w:val="24"/>
          <w:szCs w:val="22"/>
          <w:highlight w:val="none"/>
          <w:lang w:val="en-US" w:eastAsia="zh-CN"/>
        </w:rPr>
        <w:t>（3）碱液喷淋塔沉渣</w:t>
      </w:r>
      <w:r>
        <w:rPr>
          <w:rFonts w:hint="default" w:ascii="Times New Roman" w:hAnsi="Times New Roman" w:cs="Times New Roman"/>
          <w:b/>
          <w:bCs/>
          <w:color w:val="auto"/>
          <w:sz w:val="24"/>
          <w:szCs w:val="24"/>
          <w:highlight w:val="none"/>
          <w:lang w:val="en-US" w:eastAsia="zh-CN"/>
        </w:rPr>
        <w:t>S3</w:t>
      </w:r>
    </w:p>
    <w:p w14:paraId="193F406C">
      <w:pPr>
        <w:pStyle w:val="14"/>
        <w:ind w:firstLine="48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本项目碱液喷淋塔沉渣产生量约 1.2t/a，送至一般固废填埋场填埋</w:t>
      </w:r>
      <w:r>
        <w:rPr>
          <w:rFonts w:hint="default" w:ascii="Times New Roman" w:hAnsi="Times New Roman" w:cs="Times New Roman"/>
          <w:color w:val="auto"/>
          <w:sz w:val="24"/>
          <w:szCs w:val="24"/>
          <w:highlight w:val="none"/>
          <w:lang w:val="en-US" w:eastAsia="zh-CN"/>
        </w:rPr>
        <w:t>处置</w:t>
      </w:r>
      <w:r>
        <w:rPr>
          <w:rFonts w:hint="default" w:ascii="Times New Roman" w:hAnsi="Times New Roman" w:cs="Times New Roman"/>
          <w:color w:val="auto"/>
          <w:sz w:val="24"/>
          <w:szCs w:val="24"/>
          <w:highlight w:val="none"/>
        </w:rPr>
        <w:t>。</w:t>
      </w:r>
    </w:p>
    <w:p w14:paraId="4B5A43B8">
      <w:pPr>
        <w:pStyle w:val="14"/>
        <w:numPr>
          <w:ilvl w:val="0"/>
          <w:numId w:val="0"/>
        </w:numPr>
        <w:ind w:firstLine="480" w:firstLineChars="20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2、危险废物</w:t>
      </w:r>
    </w:p>
    <w:p w14:paraId="2C1A70E5">
      <w:pPr>
        <w:adjustRightInd w:val="0"/>
        <w:ind w:firstLine="480" w:firstLineChars="200"/>
        <w:rPr>
          <w:rFonts w:hint="default" w:ascii="Times New Roman" w:hAnsi="Times New Roman" w:cs="Times New Roman"/>
          <w:b/>
          <w:color w:val="auto"/>
          <w:sz w:val="24"/>
          <w:szCs w:val="24"/>
          <w:highlight w:val="none"/>
          <w:lang w:val="en-US"/>
        </w:rPr>
      </w:pPr>
      <w:r>
        <w:rPr>
          <w:rFonts w:hint="default" w:ascii="Times New Roman" w:hAnsi="Times New Roman" w:cs="Times New Roman"/>
          <w:b/>
          <w:color w:val="auto"/>
          <w:sz w:val="24"/>
          <w:szCs w:val="24"/>
          <w:highlight w:val="none"/>
          <w:lang w:eastAsia="zh-CN"/>
        </w:rPr>
        <w:t>（</w:t>
      </w:r>
      <w:r>
        <w:rPr>
          <w:rFonts w:hint="default" w:ascii="Times New Roman" w:hAnsi="Times New Roman" w:cs="Times New Roman"/>
          <w:b/>
          <w:color w:val="auto"/>
          <w:sz w:val="24"/>
          <w:szCs w:val="24"/>
          <w:highlight w:val="none"/>
          <w:lang w:val="en-US" w:eastAsia="zh-CN"/>
        </w:rPr>
        <w:t>1</w:t>
      </w:r>
      <w:r>
        <w:rPr>
          <w:rFonts w:hint="default" w:ascii="Times New Roman" w:hAnsi="Times New Roman" w:cs="Times New Roman"/>
          <w:b/>
          <w:color w:val="auto"/>
          <w:sz w:val="24"/>
          <w:szCs w:val="24"/>
          <w:highlight w:val="none"/>
          <w:lang w:eastAsia="zh-CN"/>
        </w:rPr>
        <w:t>）</w:t>
      </w:r>
      <w:r>
        <w:rPr>
          <w:rFonts w:hint="default" w:ascii="Times New Roman" w:hAnsi="Times New Roman" w:cs="Times New Roman"/>
          <w:b/>
          <w:color w:val="auto"/>
          <w:sz w:val="24"/>
          <w:szCs w:val="24"/>
          <w:highlight w:val="none"/>
        </w:rPr>
        <w:t>飞灰</w:t>
      </w:r>
      <w:r>
        <w:rPr>
          <w:rFonts w:hint="default" w:ascii="Times New Roman" w:hAnsi="Times New Roman" w:cs="Times New Roman"/>
          <w:b/>
          <w:bCs/>
          <w:color w:val="auto"/>
          <w:sz w:val="24"/>
          <w:szCs w:val="24"/>
          <w:highlight w:val="none"/>
          <w:lang w:val="en-US" w:eastAsia="zh-CN"/>
        </w:rPr>
        <w:t>S4</w:t>
      </w:r>
    </w:p>
    <w:p w14:paraId="0B9F8AF4">
      <w:pPr>
        <w:adjustRightInd w:val="0"/>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根据《生活垃圾焚烧副产物产生源特征》</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环境工程，2005年8月第23卷第4期</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，飞灰是指在烟气净化系统中收集而得的残余物，约占焚烧垃圾量的2%-4%，包括烟气中的悬浮颗粒物、烟道气的冷凝产物、注入的吸附剂</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活性炭</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、反应塔中的反应产物以及过量的反应物。本项目根据设备供应商提供的经验数据，飞灰按垃圾处理量的2%计，其中2%的飞灰不包括废活性炭，本评价对废活性炭已进行单独估算。本项目生活垃圾热解设计规模为</w:t>
      </w:r>
      <w:r>
        <w:rPr>
          <w:rFonts w:hint="default" w:ascii="Times New Roman" w:hAnsi="Times New Roman" w:cs="Times New Roman"/>
          <w:color w:val="auto"/>
          <w:sz w:val="24"/>
          <w:szCs w:val="24"/>
          <w:highlight w:val="none"/>
          <w:lang w:val="en-US" w:eastAsia="zh-CN"/>
        </w:rPr>
        <w:t>180</w:t>
      </w:r>
      <w:r>
        <w:rPr>
          <w:rFonts w:hint="default" w:ascii="Times New Roman" w:hAnsi="Times New Roman" w:cs="Times New Roman"/>
          <w:color w:val="auto"/>
          <w:sz w:val="24"/>
          <w:szCs w:val="24"/>
          <w:highlight w:val="none"/>
        </w:rPr>
        <w:t>t/d，年工作365d。经计算，飞灰产生量为</w:t>
      </w:r>
      <w:r>
        <w:rPr>
          <w:rFonts w:hint="default" w:ascii="Times New Roman" w:hAnsi="Times New Roman" w:cs="Times New Roman"/>
          <w:color w:val="auto"/>
          <w:sz w:val="24"/>
          <w:szCs w:val="24"/>
          <w:highlight w:val="none"/>
          <w:lang w:val="en-US" w:eastAsia="zh-CN"/>
        </w:rPr>
        <w:t>3.6</w:t>
      </w:r>
      <w:r>
        <w:rPr>
          <w:rFonts w:hint="default" w:ascii="Times New Roman" w:hAnsi="Times New Roman" w:cs="Times New Roman"/>
          <w:color w:val="auto"/>
          <w:sz w:val="24"/>
          <w:szCs w:val="24"/>
          <w:highlight w:val="none"/>
        </w:rPr>
        <w:t>t/d，</w:t>
      </w:r>
      <w:r>
        <w:rPr>
          <w:rFonts w:hint="default" w:ascii="Times New Roman" w:hAnsi="Times New Roman" w:cs="Times New Roman"/>
          <w:color w:val="auto"/>
          <w:sz w:val="24"/>
          <w:szCs w:val="24"/>
          <w:highlight w:val="none"/>
          <w:lang w:val="en-US" w:eastAsia="zh-CN"/>
        </w:rPr>
        <w:t>1314</w:t>
      </w:r>
      <w:r>
        <w:rPr>
          <w:rFonts w:hint="default" w:ascii="Times New Roman" w:hAnsi="Times New Roman" w:cs="Times New Roman"/>
          <w:color w:val="auto"/>
          <w:sz w:val="24"/>
          <w:szCs w:val="24"/>
          <w:highlight w:val="none"/>
        </w:rPr>
        <w:t>t/a。</w:t>
      </w:r>
    </w:p>
    <w:p w14:paraId="6494440E">
      <w:pPr>
        <w:adjustRightInd w:val="0"/>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飞灰的成份受多重因素的影响，其变化范围也较大。其主要成分为CaCl</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、CaSO</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、SiO</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、CaO、Al</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O</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、Fe</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O</w:t>
      </w:r>
      <w:r>
        <w:rPr>
          <w:rFonts w:hint="default" w:ascii="Times New Roman" w:hAnsi="Times New Roman" w:cs="Times New Roman"/>
          <w:color w:val="auto"/>
          <w:sz w:val="24"/>
          <w:szCs w:val="24"/>
          <w:highlight w:val="none"/>
          <w:vertAlign w:val="subscript"/>
        </w:rPr>
        <w:t>3</w:t>
      </w:r>
      <w:r>
        <w:rPr>
          <w:rFonts w:hint="default" w:ascii="Times New Roman" w:hAnsi="Times New Roman" w:cs="Times New Roman"/>
          <w:color w:val="auto"/>
          <w:sz w:val="24"/>
          <w:szCs w:val="24"/>
          <w:highlight w:val="none"/>
        </w:rPr>
        <w:t>等，另外还有少量的Hg、Pb、Cr、Ge、Mn、Zn、Mg等重金属和微量的二噁英等有毒有机物。</w:t>
      </w:r>
    </w:p>
    <w:p w14:paraId="722AA04F">
      <w:pPr>
        <w:adjustRightInd w:val="0"/>
        <w:ind w:firstLine="480" w:firstLineChars="200"/>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lang w:val="en-US" w:eastAsia="zh-CN"/>
        </w:rPr>
        <w:t>本项目产生飞灰</w:t>
      </w:r>
      <w:r>
        <w:rPr>
          <w:rFonts w:hint="default" w:ascii="Times New Roman" w:hAnsi="Times New Roman" w:cs="Times New Roman"/>
          <w:color w:val="auto"/>
          <w:sz w:val="24"/>
          <w:szCs w:val="24"/>
          <w:highlight w:val="none"/>
        </w:rPr>
        <w:t>暂存于危废暂存间</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固体废物焚烧飞灰</w:t>
      </w:r>
      <w:r>
        <w:rPr>
          <w:rFonts w:hint="default" w:ascii="Times New Roman" w:hAnsi="Times New Roman" w:cs="Times New Roman"/>
          <w:color w:val="auto"/>
          <w:sz w:val="24"/>
          <w:szCs w:val="24"/>
          <w:highlight w:val="none"/>
          <w:lang w:val="en-US" w:eastAsia="zh-CN"/>
        </w:rPr>
        <w:t>属于</w:t>
      </w:r>
      <w:r>
        <w:rPr>
          <w:rFonts w:hint="default" w:ascii="Times New Roman" w:hAnsi="Times New Roman" w:cs="Times New Roman"/>
          <w:color w:val="auto"/>
          <w:sz w:val="24"/>
          <w:szCs w:val="24"/>
          <w:highlight w:val="none"/>
        </w:rPr>
        <w:t>《国家危险废物名录》（2021</w:t>
      </w:r>
      <w:r>
        <w:rPr>
          <w:rFonts w:hint="default" w:ascii="Times New Roman" w:hAnsi="Times New Roman" w:cs="Times New Roman"/>
          <w:color w:val="auto"/>
          <w:sz w:val="24"/>
          <w:szCs w:val="24"/>
          <w:highlight w:val="none"/>
          <w:lang w:val="en-US" w:eastAsia="zh-CN"/>
        </w:rPr>
        <w:t>版</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中“</w:t>
      </w:r>
      <w:r>
        <w:rPr>
          <w:rFonts w:hint="default" w:ascii="Times New Roman" w:hAnsi="Times New Roman" w:cs="Times New Roman"/>
          <w:color w:val="auto"/>
          <w:sz w:val="24"/>
          <w:szCs w:val="24"/>
          <w:highlight w:val="none"/>
        </w:rPr>
        <w:t>HW18</w:t>
      </w:r>
      <w:r>
        <w:rPr>
          <w:rFonts w:hint="default" w:ascii="Times New Roman" w:hAnsi="Times New Roman" w:cs="Times New Roman"/>
          <w:color w:val="auto"/>
          <w:sz w:val="24"/>
          <w:szCs w:val="24"/>
          <w:highlight w:val="none"/>
          <w:lang w:val="en-US" w:eastAsia="zh-CN"/>
        </w:rPr>
        <w:t>焚烧处置残渣/环境治理业/</w:t>
      </w:r>
      <w:r>
        <w:rPr>
          <w:rFonts w:hint="default" w:ascii="Times New Roman" w:hAnsi="Times New Roman" w:cs="Times New Roman"/>
          <w:color w:val="auto"/>
          <w:sz w:val="24"/>
          <w:szCs w:val="24"/>
          <w:highlight w:val="none"/>
        </w:rPr>
        <w:t xml:space="preserve">772-002-18生活垃圾焚烧飞灰 </w:t>
      </w:r>
      <w:r>
        <w:rPr>
          <w:rFonts w:hint="default" w:ascii="Times New Roman" w:hAnsi="Times New Roman" w:cs="Times New Roman"/>
          <w:color w:val="auto"/>
          <w:sz w:val="24"/>
          <w:szCs w:val="24"/>
          <w:highlight w:val="none"/>
          <w:lang w:val="en-US" w:eastAsia="zh-CN"/>
        </w:rPr>
        <w:t>”</w:t>
      </w:r>
      <w:r>
        <w:rPr>
          <w:rFonts w:hint="default" w:ascii="Times New Roman" w:hAnsi="Times New Roman" w:cs="Times New Roman"/>
          <w:color w:val="auto"/>
          <w:kern w:val="0"/>
          <w:sz w:val="24"/>
          <w:szCs w:val="24"/>
          <w:highlight w:val="none"/>
          <w:lang w:eastAsia="zh-CN" w:bidi="ar"/>
        </w:rPr>
        <w:t>，</w:t>
      </w:r>
      <w:r>
        <w:rPr>
          <w:rFonts w:hint="default" w:ascii="Times New Roman" w:hAnsi="Times New Roman" w:eastAsia="宋体" w:cs="Times New Roman"/>
          <w:color w:val="auto"/>
          <w:kern w:val="0"/>
          <w:sz w:val="24"/>
          <w:szCs w:val="24"/>
          <w:highlight w:val="none"/>
          <w:lang w:val="en-US" w:eastAsia="zh-CN" w:bidi="ar"/>
        </w:rPr>
        <w:t>危险特性为T。</w:t>
      </w:r>
      <w:r>
        <w:rPr>
          <w:rFonts w:hint="default" w:ascii="Times New Roman" w:hAnsi="Times New Roman" w:cs="Times New Roman"/>
          <w:color w:val="auto"/>
          <w:sz w:val="24"/>
          <w:szCs w:val="24"/>
          <w:highlight w:val="none"/>
        </w:rPr>
        <w:t>本项目</w:t>
      </w:r>
      <w:r>
        <w:rPr>
          <w:rFonts w:hint="default" w:ascii="Times New Roman" w:hAnsi="Times New Roman" w:cs="Times New Roman"/>
          <w:color w:val="auto"/>
          <w:sz w:val="24"/>
          <w:szCs w:val="24"/>
          <w:highlight w:val="none"/>
          <w:lang w:val="en-US" w:eastAsia="zh-CN"/>
        </w:rPr>
        <w:t>为</w:t>
      </w:r>
      <w:r>
        <w:rPr>
          <w:rFonts w:hint="default" w:ascii="Times New Roman" w:hAnsi="Times New Roman" w:cs="Times New Roman"/>
          <w:color w:val="auto"/>
          <w:sz w:val="24"/>
          <w:szCs w:val="24"/>
          <w:highlight w:val="none"/>
        </w:rPr>
        <w:t>生活垃圾热解工艺，不同于垃圾焚烧工艺，环评要求产生的</w:t>
      </w:r>
      <w:r>
        <w:rPr>
          <w:rFonts w:hint="default" w:ascii="Times New Roman" w:hAnsi="Times New Roman" w:cs="Times New Roman"/>
          <w:color w:val="auto"/>
          <w:sz w:val="24"/>
          <w:szCs w:val="24"/>
          <w:highlight w:val="none"/>
          <w:lang w:val="en-US" w:eastAsia="zh-CN"/>
        </w:rPr>
        <w:t>飞灰应</w:t>
      </w:r>
      <w:r>
        <w:rPr>
          <w:rFonts w:hint="default" w:ascii="Times New Roman" w:hAnsi="Times New Roman" w:cs="Times New Roman"/>
          <w:color w:val="auto"/>
          <w:sz w:val="24"/>
          <w:szCs w:val="24"/>
          <w:highlight w:val="none"/>
        </w:rPr>
        <w:t>按照固废浸出毒性鉴别方法</w:t>
      </w:r>
      <w:r>
        <w:rPr>
          <w:rFonts w:hint="default" w:ascii="Times New Roman" w:hAnsi="Times New Roman" w:cs="Times New Roman"/>
          <w:color w:val="auto"/>
          <w:sz w:val="24"/>
          <w:szCs w:val="24"/>
          <w:highlight w:val="none"/>
          <w:lang w:val="en-US" w:eastAsia="zh-CN"/>
        </w:rPr>
        <w:t>进行鉴别</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若</w:t>
      </w:r>
      <w:r>
        <w:rPr>
          <w:rFonts w:hint="default" w:ascii="Times New Roman" w:hAnsi="Times New Roman" w:cs="Times New Roman"/>
          <w:color w:val="auto"/>
          <w:sz w:val="24"/>
          <w:szCs w:val="24"/>
          <w:highlight w:val="none"/>
        </w:rPr>
        <w:t>满足《生活垃圾填埋场污染控制标准》</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GB16889-</w:t>
      </w:r>
      <w:r>
        <w:rPr>
          <w:rFonts w:hint="default" w:ascii="Times New Roman" w:hAnsi="Times New Roman" w:cs="Times New Roman"/>
          <w:color w:val="auto"/>
          <w:sz w:val="24"/>
          <w:szCs w:val="24"/>
          <w:highlight w:val="none"/>
          <w:lang w:val="en-US" w:eastAsia="zh-CN"/>
        </w:rPr>
        <w:t>2024</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中</w:t>
      </w:r>
      <w:r>
        <w:rPr>
          <w:rFonts w:hint="default" w:ascii="Times New Roman" w:hAnsi="Times New Roman" w:cs="Times New Roman"/>
          <w:color w:val="auto"/>
          <w:sz w:val="24"/>
          <w:szCs w:val="24"/>
          <w:highlight w:val="none"/>
        </w:rPr>
        <w:t>下列条件，可以进入生活垃圾填埋场</w:t>
      </w:r>
      <w:r>
        <w:rPr>
          <w:rFonts w:hint="default" w:ascii="Times New Roman" w:hAnsi="Times New Roman" w:cs="Times New Roman"/>
          <w:color w:val="auto"/>
          <w:sz w:val="24"/>
          <w:szCs w:val="24"/>
          <w:highlight w:val="none"/>
          <w:lang w:val="en-US" w:eastAsia="zh-CN"/>
        </w:rPr>
        <w:t>的独立填埋分区进行</w:t>
      </w:r>
      <w:r>
        <w:rPr>
          <w:rFonts w:hint="default" w:ascii="Times New Roman" w:hAnsi="Times New Roman" w:cs="Times New Roman"/>
          <w:color w:val="auto"/>
          <w:sz w:val="24"/>
          <w:szCs w:val="24"/>
          <w:highlight w:val="none"/>
        </w:rPr>
        <w:t>填埋处置：①二噁英含量低于3μg</w:t>
      </w:r>
      <w:r>
        <w:rPr>
          <w:rFonts w:hint="default" w:ascii="Times New Roman" w:hAnsi="Times New Roman" w:cs="Times New Roman"/>
          <w:color w:val="auto"/>
          <w:sz w:val="24"/>
          <w:szCs w:val="24"/>
          <w:highlight w:val="none"/>
          <w:lang w:val="en-US" w:eastAsia="zh-CN"/>
        </w:rPr>
        <w:t>TEQ</w:t>
      </w:r>
      <w:r>
        <w:rPr>
          <w:rFonts w:hint="default" w:ascii="Times New Roman" w:hAnsi="Times New Roman" w:cs="Times New Roman"/>
          <w:color w:val="auto"/>
          <w:sz w:val="24"/>
          <w:szCs w:val="24"/>
          <w:highlight w:val="none"/>
        </w:rPr>
        <w:t>/kg</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②按照 H</w:t>
      </w:r>
      <w:r>
        <w:rPr>
          <w:rFonts w:hint="default" w:ascii="Times New Roman" w:hAnsi="Times New Roman" w:cs="Times New Roman"/>
          <w:color w:val="auto"/>
          <w:sz w:val="24"/>
          <w:szCs w:val="24"/>
          <w:highlight w:val="none"/>
          <w:lang w:val="en-US" w:eastAsia="zh-CN"/>
        </w:rPr>
        <w:t>J</w:t>
      </w:r>
      <w:r>
        <w:rPr>
          <w:rFonts w:hint="default" w:ascii="Times New Roman" w:hAnsi="Times New Roman" w:cs="Times New Roman"/>
          <w:color w:val="auto"/>
          <w:sz w:val="24"/>
          <w:szCs w:val="24"/>
          <w:highlight w:val="none"/>
        </w:rPr>
        <w:t>/T300 制备的浸出液中危害成分浓度低于表1的限值。否则纳入危险废物管理范畴，</w:t>
      </w:r>
      <w:r>
        <w:rPr>
          <w:rFonts w:hint="default" w:ascii="Times New Roman" w:hAnsi="Times New Roman" w:cs="Times New Roman"/>
          <w:color w:val="auto"/>
          <w:sz w:val="24"/>
          <w:szCs w:val="24"/>
          <w:highlight w:val="none"/>
          <w:lang w:val="en-US" w:eastAsia="zh-CN"/>
        </w:rPr>
        <w:t>在废品库（危废暂存间）暂存后，</w:t>
      </w:r>
      <w:r>
        <w:rPr>
          <w:rFonts w:hint="default" w:ascii="Times New Roman" w:hAnsi="Times New Roman" w:eastAsia="宋体" w:cs="Times New Roman"/>
          <w:color w:val="auto"/>
          <w:kern w:val="0"/>
          <w:sz w:val="24"/>
          <w:szCs w:val="24"/>
          <w:highlight w:val="none"/>
          <w:lang w:val="en-US" w:eastAsia="zh-CN" w:bidi="ar"/>
        </w:rPr>
        <w:t>定期交由危废资质单位处置</w:t>
      </w:r>
      <w:r>
        <w:rPr>
          <w:rFonts w:hint="default" w:ascii="Times New Roman" w:hAnsi="Times New Roman" w:cs="Times New Roman"/>
          <w:color w:val="auto"/>
          <w:sz w:val="24"/>
          <w:szCs w:val="24"/>
          <w:highlight w:val="none"/>
          <w:lang w:eastAsia="zh-CN"/>
        </w:rPr>
        <w:t>。</w:t>
      </w:r>
    </w:p>
    <w:p w14:paraId="0901C35B">
      <w:pPr>
        <w:pStyle w:val="14"/>
        <w:numPr>
          <w:ilvl w:val="0"/>
          <w:numId w:val="0"/>
        </w:numPr>
        <w:ind w:firstLine="480" w:firstLineChars="200"/>
        <w:rPr>
          <w:rFonts w:hint="default" w:ascii="Times New Roman" w:hAnsi="Times New Roman" w:eastAsia="宋体" w:cs="Times New Roman"/>
          <w:b/>
          <w:bCs/>
          <w:color w:val="auto"/>
          <w:sz w:val="24"/>
          <w:szCs w:val="22"/>
          <w:highlight w:val="none"/>
          <w:lang w:val="en-US" w:eastAsia="zh-CN"/>
        </w:rPr>
      </w:pPr>
      <w:r>
        <w:rPr>
          <w:rFonts w:hint="default" w:ascii="Times New Roman" w:hAnsi="Times New Roman" w:eastAsia="宋体" w:cs="Times New Roman"/>
          <w:b/>
          <w:bCs/>
          <w:color w:val="auto"/>
          <w:sz w:val="24"/>
          <w:szCs w:val="22"/>
          <w:highlight w:val="none"/>
          <w:lang w:val="en-US" w:eastAsia="zh-CN"/>
        </w:rPr>
        <w:t>（2）焦油</w:t>
      </w:r>
      <w:r>
        <w:rPr>
          <w:rFonts w:hint="default" w:ascii="Times New Roman" w:hAnsi="Times New Roman" w:cs="Times New Roman"/>
          <w:b/>
          <w:bCs/>
          <w:color w:val="auto"/>
          <w:sz w:val="24"/>
          <w:szCs w:val="24"/>
          <w:highlight w:val="none"/>
          <w:lang w:val="en-US" w:eastAsia="zh-CN"/>
        </w:rPr>
        <w:t>S5</w:t>
      </w:r>
    </w:p>
    <w:p w14:paraId="50659D04">
      <w:pPr>
        <w:adjustRightInd w:val="0"/>
        <w:ind w:firstLine="480" w:firstLineChars="200"/>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b w:val="0"/>
          <w:bCs w:val="0"/>
          <w:color w:val="auto"/>
          <w:sz w:val="24"/>
          <w:szCs w:val="22"/>
          <w:highlight w:val="none"/>
          <w:lang w:val="en-US" w:eastAsia="zh-CN"/>
        </w:rPr>
        <w:t>活垃圾在</w:t>
      </w:r>
      <w:r>
        <w:rPr>
          <w:rFonts w:hint="default" w:ascii="Times New Roman" w:hAnsi="Times New Roman" w:eastAsia="宋体" w:cs="Times New Roman"/>
          <w:b w:val="0"/>
          <w:bCs w:val="0"/>
          <w:color w:val="auto"/>
          <w:sz w:val="24"/>
          <w:szCs w:val="22"/>
          <w:highlight w:val="none"/>
        </w:rPr>
        <w:t>无氧或缺氧条件下热</w:t>
      </w:r>
      <w:r>
        <w:rPr>
          <w:rFonts w:hint="default" w:ascii="Times New Roman" w:hAnsi="Times New Roman" w:eastAsia="宋体" w:cs="Times New Roman"/>
          <w:b w:val="0"/>
          <w:bCs w:val="0"/>
          <w:color w:val="auto"/>
          <w:sz w:val="24"/>
          <w:szCs w:val="22"/>
          <w:highlight w:val="none"/>
          <w:lang w:val="en-US" w:eastAsia="zh-CN"/>
        </w:rPr>
        <w:t>分解会产生</w:t>
      </w:r>
      <w:r>
        <w:rPr>
          <w:rFonts w:hint="default" w:ascii="Times New Roman" w:hAnsi="Times New Roman" w:cs="Times New Roman"/>
          <w:color w:val="auto"/>
          <w:sz w:val="24"/>
          <w:szCs w:val="24"/>
          <w:highlight w:val="none"/>
          <w:lang w:val="en-US" w:eastAsia="zh-CN"/>
        </w:rPr>
        <w:t>含有机酸成分的焦油。</w:t>
      </w:r>
      <w:r>
        <w:rPr>
          <w:rFonts w:hint="default" w:ascii="Times New Roman" w:hAnsi="Times New Roman" w:eastAsia="宋体" w:cs="Times New Roman"/>
          <w:b w:val="0"/>
          <w:bCs w:val="0"/>
          <w:color w:val="auto"/>
          <w:sz w:val="24"/>
          <w:szCs w:val="22"/>
          <w:highlight w:val="none"/>
          <w:lang w:val="en-US" w:eastAsia="zh-CN"/>
        </w:rPr>
        <w:t>根据建设单位提供资料并类比同类项目，焦油产生量约400t/a。焦油属于《国家危险废物名录》（2021</w:t>
      </w:r>
      <w:r>
        <w:rPr>
          <w:rFonts w:hint="default" w:ascii="Times New Roman" w:hAnsi="Times New Roman" w:cs="Times New Roman"/>
          <w:color w:val="auto"/>
          <w:sz w:val="24"/>
          <w:szCs w:val="24"/>
          <w:highlight w:val="none"/>
          <w:lang w:val="en-US" w:eastAsia="zh-CN"/>
        </w:rPr>
        <w:t>版</w:t>
      </w:r>
      <w:r>
        <w:rPr>
          <w:rFonts w:hint="default" w:ascii="Times New Roman" w:hAnsi="Times New Roman" w:eastAsia="宋体" w:cs="Times New Roman"/>
          <w:b w:val="0"/>
          <w:bCs w:val="0"/>
          <w:color w:val="auto"/>
          <w:sz w:val="24"/>
          <w:szCs w:val="22"/>
          <w:highlight w:val="none"/>
          <w:lang w:val="en-US" w:eastAsia="zh-CN"/>
        </w:rPr>
        <w:t>）中“HW11精（蒸）馏残渣/非特定行业/ 900-013-11其他化工生产过程（不包括以生物质为主要原料的加工过程）中精馏、蒸馏和热解工艺产生的高沸点釜底残余物”，</w:t>
      </w:r>
      <w:r>
        <w:rPr>
          <w:rFonts w:hint="default" w:ascii="Times New Roman" w:hAnsi="Times New Roman" w:eastAsia="宋体" w:cs="Times New Roman"/>
          <w:color w:val="auto"/>
          <w:kern w:val="0"/>
          <w:sz w:val="24"/>
          <w:szCs w:val="24"/>
          <w:highlight w:val="none"/>
          <w:lang w:val="en-US" w:eastAsia="zh-CN" w:bidi="ar"/>
        </w:rPr>
        <w:t>危险特性为T</w:t>
      </w:r>
      <w:r>
        <w:rPr>
          <w:rFonts w:hint="default" w:ascii="Times New Roman" w:hAnsi="Times New Roman" w:eastAsia="宋体" w:cs="Times New Roman"/>
          <w:b w:val="0"/>
          <w:bCs w:val="0"/>
          <w:color w:val="auto"/>
          <w:sz w:val="24"/>
          <w:szCs w:val="22"/>
          <w:highlight w:val="none"/>
          <w:lang w:val="en-US" w:eastAsia="zh-CN"/>
        </w:rPr>
        <w:t>。焦油罐在危废暂存间暂存，</w:t>
      </w:r>
      <w:r>
        <w:rPr>
          <w:rFonts w:hint="default" w:ascii="Times New Roman" w:hAnsi="Times New Roman" w:eastAsia="宋体" w:cs="Times New Roman"/>
          <w:color w:val="auto"/>
          <w:kern w:val="0"/>
          <w:sz w:val="24"/>
          <w:szCs w:val="24"/>
          <w:highlight w:val="none"/>
          <w:lang w:val="en-US" w:eastAsia="zh-CN" w:bidi="ar"/>
        </w:rPr>
        <w:t>交由危废资质单位处置。</w:t>
      </w:r>
    </w:p>
    <w:p w14:paraId="2D4A4125">
      <w:pPr>
        <w:pStyle w:val="14"/>
        <w:numPr>
          <w:ilvl w:val="0"/>
          <w:numId w:val="0"/>
        </w:numPr>
        <w:ind w:firstLine="480" w:firstLineChars="200"/>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（3）废活性炭</w:t>
      </w:r>
      <w:r>
        <w:rPr>
          <w:rFonts w:hint="default" w:ascii="Times New Roman" w:hAnsi="Times New Roman" w:cs="Times New Roman"/>
          <w:b/>
          <w:bCs/>
          <w:color w:val="auto"/>
          <w:sz w:val="24"/>
          <w:szCs w:val="24"/>
          <w:highlight w:val="none"/>
          <w:lang w:val="en-US" w:eastAsia="zh-CN"/>
        </w:rPr>
        <w:t>S6</w:t>
      </w:r>
    </w:p>
    <w:p w14:paraId="7E1E1CCD">
      <w:pPr>
        <w:pStyle w:val="14"/>
        <w:numPr>
          <w:ilvl w:val="0"/>
          <w:numId w:val="0"/>
        </w:numPr>
        <w:ind w:firstLine="480" w:firstLineChars="200"/>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本项目除臭系统采用“活性炭吸附+光氧催化”工艺处理；烟气净化系统采用“</w:t>
      </w:r>
      <w:r>
        <w:rPr>
          <w:rFonts w:hint="eastAsia" w:eastAsia="宋体" w:cs="Times New Roman"/>
          <w:color w:val="auto"/>
          <w:kern w:val="0"/>
          <w:sz w:val="24"/>
          <w:szCs w:val="24"/>
          <w:highlight w:val="none"/>
          <w:lang w:val="en-US" w:eastAsia="zh-CN" w:bidi="ar"/>
        </w:rPr>
        <w:t>SNCR+湿式喷淋脱酸除雾+活性炭吸附+布袋除尘</w:t>
      </w:r>
      <w:r>
        <w:rPr>
          <w:rFonts w:hint="default" w:ascii="Times New Roman" w:hAnsi="Times New Roman" w:eastAsia="宋体" w:cs="Times New Roman"/>
          <w:color w:val="auto"/>
          <w:kern w:val="0"/>
          <w:sz w:val="24"/>
          <w:szCs w:val="24"/>
          <w:highlight w:val="none"/>
          <w:lang w:val="en-US" w:eastAsia="zh-CN" w:bidi="ar"/>
        </w:rPr>
        <w:t>”工艺处理。废气进入活性炭吸附装置进行处置，由于活性炭吸附能力有限，一定时间后将饱和，从而失去吸附性，需及时更换，因此除臭系统和烟气净化系统会产生废弃活性炭。</w:t>
      </w:r>
    </w:p>
    <w:p w14:paraId="28DB4667">
      <w:pPr>
        <w:adjustRightInd w:val="0"/>
        <w:ind w:firstLine="480" w:firstLineChars="200"/>
        <w:rPr>
          <w:rFonts w:hint="default" w:ascii="Times New Roman" w:hAnsi="Times New Roman"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1）除臭系统活性炭吸附装置主要吸附氨和硫化氢等，定期更换活性炭。</w:t>
      </w:r>
      <w:r>
        <w:rPr>
          <w:rFonts w:hint="default" w:ascii="Times New Roman" w:hAnsi="Times New Roman" w:cs="Times New Roman"/>
          <w:color w:val="auto"/>
          <w:sz w:val="24"/>
          <w:szCs w:val="24"/>
          <w:highlight w:val="none"/>
        </w:rPr>
        <w:t>废活性炭</w:t>
      </w:r>
      <w:r>
        <w:rPr>
          <w:rFonts w:hint="default" w:ascii="Times New Roman" w:hAnsi="Times New Roman" w:cs="Times New Roman"/>
          <w:color w:val="auto"/>
          <w:sz w:val="24"/>
          <w:szCs w:val="24"/>
          <w:highlight w:val="none"/>
          <w:lang w:val="en-US" w:eastAsia="zh-CN"/>
        </w:rPr>
        <w:t>S1</w:t>
      </w:r>
      <w:r>
        <w:rPr>
          <w:rFonts w:hint="default" w:ascii="Times New Roman" w:hAnsi="Times New Roman" w:cs="Times New Roman"/>
          <w:color w:val="auto"/>
          <w:sz w:val="24"/>
          <w:szCs w:val="24"/>
          <w:highlight w:val="none"/>
        </w:rPr>
        <w:t>属于《国家危险废物名录》（2021</w:t>
      </w:r>
      <w:r>
        <w:rPr>
          <w:rFonts w:hint="default" w:ascii="Times New Roman" w:hAnsi="Times New Roman" w:cs="Times New Roman"/>
          <w:color w:val="auto"/>
          <w:sz w:val="24"/>
          <w:szCs w:val="24"/>
          <w:highlight w:val="none"/>
          <w:lang w:val="en-US" w:eastAsia="zh-CN"/>
        </w:rPr>
        <w:t>版</w:t>
      </w:r>
      <w:r>
        <w:rPr>
          <w:rFonts w:hint="default" w:ascii="Times New Roman" w:hAnsi="Times New Roman" w:cs="Times New Roman"/>
          <w:color w:val="auto"/>
          <w:sz w:val="24"/>
          <w:szCs w:val="24"/>
          <w:highlight w:val="none"/>
        </w:rPr>
        <w:t xml:space="preserve">）中 </w:t>
      </w:r>
      <w:r>
        <w:rPr>
          <w:rFonts w:hint="default" w:ascii="Times New Roman" w:hAnsi="Times New Roman" w:cs="Times New Roman"/>
          <w:color w:val="auto"/>
          <w:kern w:val="0"/>
          <w:sz w:val="24"/>
          <w:szCs w:val="24"/>
          <w:highlight w:val="none"/>
          <w:lang w:val="en-US" w:eastAsia="zh-CN" w:bidi="ar"/>
        </w:rPr>
        <w:t>“HW49其他废物/非特定行业/ 900-039-49烟气、VOCs治理过程（不包括餐饮行业油烟治理过程）产生的废活性炭，化学原料和化学制品脱色（不包括有机合成食品添加剂脱色）、除杂、净化过程产生的废活性炭”，危险特性为T。</w:t>
      </w:r>
    </w:p>
    <w:p w14:paraId="01502C61">
      <w:pPr>
        <w:pStyle w:val="14"/>
        <w:numPr>
          <w:ilvl w:val="0"/>
          <w:numId w:val="0"/>
        </w:numPr>
        <w:ind w:firstLine="480" w:firstLineChars="200"/>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eastAsia="宋体" w:cs="Times New Roman"/>
          <w:color w:val="auto"/>
          <w:kern w:val="0"/>
          <w:sz w:val="24"/>
          <w:szCs w:val="24"/>
          <w:highlight w:val="none"/>
          <w:lang w:val="en-US" w:eastAsia="zh-CN" w:bidi="ar"/>
        </w:rPr>
        <w:t>2）烟气净化系统废气活性炭吸附装置主要吸附烟气中的重金属及二噁英，在运行过程中会产生废活性炭。</w:t>
      </w:r>
      <w:r>
        <w:rPr>
          <w:rFonts w:hint="default" w:ascii="Times New Roman" w:hAnsi="Times New Roman" w:cs="Times New Roman"/>
          <w:color w:val="auto"/>
          <w:sz w:val="24"/>
          <w:szCs w:val="24"/>
          <w:highlight w:val="none"/>
        </w:rPr>
        <w:t>废活性炭</w:t>
      </w:r>
      <w:r>
        <w:rPr>
          <w:rFonts w:hint="default" w:ascii="Times New Roman" w:hAnsi="Times New Roman" w:cs="Times New Roman"/>
          <w:color w:val="auto"/>
          <w:sz w:val="24"/>
          <w:szCs w:val="24"/>
          <w:highlight w:val="none"/>
          <w:lang w:val="en-US" w:eastAsia="zh-CN"/>
        </w:rPr>
        <w:t>S2</w:t>
      </w:r>
      <w:r>
        <w:rPr>
          <w:rFonts w:hint="default" w:ascii="Times New Roman" w:hAnsi="Times New Roman" w:cs="Times New Roman"/>
          <w:color w:val="auto"/>
          <w:sz w:val="24"/>
          <w:szCs w:val="24"/>
          <w:highlight w:val="none"/>
        </w:rPr>
        <w:t>属于《国家危险废物名录》（2021</w:t>
      </w:r>
      <w:r>
        <w:rPr>
          <w:rFonts w:hint="default" w:ascii="Times New Roman" w:hAnsi="Times New Roman" w:cs="Times New Roman"/>
          <w:color w:val="auto"/>
          <w:sz w:val="24"/>
          <w:szCs w:val="24"/>
          <w:highlight w:val="none"/>
          <w:lang w:val="en-US" w:eastAsia="zh-CN"/>
        </w:rPr>
        <w:t>版</w:t>
      </w:r>
      <w:r>
        <w:rPr>
          <w:rFonts w:hint="default" w:ascii="Times New Roman" w:hAnsi="Times New Roman" w:cs="Times New Roman"/>
          <w:color w:val="auto"/>
          <w:sz w:val="24"/>
          <w:szCs w:val="24"/>
          <w:highlight w:val="none"/>
        </w:rPr>
        <w:t>）中</w:t>
      </w:r>
      <w:r>
        <w:rPr>
          <w:rFonts w:hint="default" w:ascii="Times New Roman" w:hAnsi="Times New Roman" w:cs="Times New Roman"/>
          <w:color w:val="auto"/>
          <w:sz w:val="24"/>
          <w:szCs w:val="24"/>
          <w:highlight w:val="none"/>
          <w:lang w:val="en-US" w:eastAsia="zh-CN"/>
        </w:rPr>
        <w:t>“HW18焚烧处置残渣/环境治理业/</w:t>
      </w:r>
      <w:r>
        <w:rPr>
          <w:rFonts w:hint="default" w:ascii="Times New Roman" w:hAnsi="Times New Roman" w:cs="Times New Roman"/>
          <w:color w:val="auto"/>
          <w:sz w:val="24"/>
          <w:szCs w:val="24"/>
          <w:highlight w:val="none"/>
        </w:rPr>
        <w:t>772-005-18</w:t>
      </w:r>
      <w:r>
        <w:rPr>
          <w:rFonts w:hint="default" w:ascii="Times New Roman" w:hAnsi="Times New Roman" w:cs="Times New Roman"/>
          <w:color w:val="auto"/>
          <w:sz w:val="24"/>
          <w:szCs w:val="24"/>
          <w:highlight w:val="none"/>
          <w:lang w:val="en-US" w:eastAsia="zh-CN"/>
        </w:rPr>
        <w:t>固体废物焚烧处置过程中废气处理产生的废活性炭”，危险特性为T。</w:t>
      </w:r>
    </w:p>
    <w:p w14:paraId="1B08E963">
      <w:pPr>
        <w:pStyle w:val="14"/>
        <w:numPr>
          <w:ilvl w:val="0"/>
          <w:numId w:val="0"/>
        </w:numPr>
        <w:ind w:firstLine="480" w:firstLineChars="200"/>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根据</w:t>
      </w:r>
      <w:r>
        <w:rPr>
          <w:rFonts w:hint="default" w:ascii="Times New Roman" w:hAnsi="Times New Roman" w:cs="Times New Roman"/>
          <w:color w:val="auto"/>
          <w:szCs w:val="24"/>
          <w:highlight w:val="none"/>
        </w:rPr>
        <w:t>类比同类项目，处理1t生活垃圾设计需要消耗2.5kg活性炭</w:t>
      </w:r>
      <w:r>
        <w:rPr>
          <w:rFonts w:hint="default" w:ascii="Times New Roman" w:hAnsi="Times New Roman" w:cs="Times New Roman"/>
          <w:color w:val="auto"/>
          <w:szCs w:val="24"/>
          <w:highlight w:val="none"/>
          <w:lang w:eastAsia="zh-CN"/>
        </w:rPr>
        <w:t>，</w:t>
      </w:r>
      <w:r>
        <w:rPr>
          <w:rFonts w:hint="default" w:ascii="Times New Roman" w:hAnsi="Times New Roman" w:cs="Times New Roman"/>
          <w:color w:val="auto"/>
          <w:szCs w:val="24"/>
          <w:highlight w:val="none"/>
          <w:lang w:val="en-US" w:eastAsia="zh-CN"/>
        </w:rPr>
        <w:t>则本项目</w:t>
      </w:r>
      <w:r>
        <w:rPr>
          <w:rFonts w:hint="default" w:ascii="Times New Roman" w:hAnsi="Times New Roman" w:cs="Times New Roman"/>
          <w:color w:val="auto"/>
          <w:sz w:val="24"/>
          <w:szCs w:val="24"/>
          <w:highlight w:val="none"/>
        </w:rPr>
        <w:t>活性炭</w:t>
      </w:r>
      <w:r>
        <w:rPr>
          <w:rFonts w:hint="default" w:ascii="Times New Roman" w:hAnsi="Times New Roman" w:cs="Times New Roman"/>
          <w:color w:val="auto"/>
          <w:sz w:val="24"/>
          <w:szCs w:val="24"/>
          <w:highlight w:val="none"/>
          <w:lang w:val="en-US" w:eastAsia="zh-CN"/>
        </w:rPr>
        <w:t>年总消耗量为164.25t/a</w:t>
      </w:r>
      <w:r>
        <w:rPr>
          <w:rFonts w:hint="default" w:ascii="Times New Roman" w:hAnsi="Times New Roman" w:cs="Times New Roman"/>
          <w:color w:val="auto"/>
          <w:szCs w:val="24"/>
          <w:highlight w:val="none"/>
        </w:rPr>
        <w:t>。</w:t>
      </w:r>
      <w:r>
        <w:rPr>
          <w:rFonts w:hint="default" w:ascii="Times New Roman" w:hAnsi="Times New Roman" w:cs="Times New Roman"/>
          <w:color w:val="auto"/>
          <w:sz w:val="24"/>
          <w:szCs w:val="24"/>
          <w:highlight w:val="none"/>
        </w:rPr>
        <w:t>根据资料类比分析，1t 活性炭吸附 0.25t 废气，经计算，本项目废活性炭产生量约为2.75t/a。</w:t>
      </w:r>
      <w:r>
        <w:rPr>
          <w:rFonts w:hint="default" w:ascii="Times New Roman" w:hAnsi="Times New Roman" w:cs="Times New Roman"/>
          <w:color w:val="auto"/>
          <w:sz w:val="24"/>
          <w:szCs w:val="24"/>
          <w:highlight w:val="none"/>
          <w:lang w:eastAsia="zh-CN"/>
        </w:rPr>
        <w:t>活性炭</w:t>
      </w:r>
      <w:r>
        <w:rPr>
          <w:rFonts w:hint="default" w:ascii="Times New Roman" w:hAnsi="Times New Roman" w:cs="Times New Roman"/>
          <w:color w:val="auto"/>
          <w:sz w:val="24"/>
          <w:szCs w:val="24"/>
          <w:highlight w:val="none"/>
          <w:lang w:val="en-US" w:eastAsia="zh-CN"/>
        </w:rPr>
        <w:t>每3个月更换一次，</w:t>
      </w:r>
      <w:r>
        <w:rPr>
          <w:rFonts w:hint="default" w:ascii="Times New Roman" w:hAnsi="Times New Roman" w:cs="Times New Roman"/>
          <w:color w:val="auto"/>
          <w:sz w:val="24"/>
          <w:szCs w:val="24"/>
          <w:highlight w:val="none"/>
          <w:lang w:eastAsia="zh-CN"/>
        </w:rPr>
        <w:t>每次填装量约</w:t>
      </w:r>
      <w:r>
        <w:rPr>
          <w:rFonts w:hint="default" w:ascii="Times New Roman" w:hAnsi="Times New Roman" w:cs="Times New Roman"/>
          <w:color w:val="auto"/>
          <w:sz w:val="24"/>
          <w:szCs w:val="24"/>
          <w:highlight w:val="none"/>
          <w:lang w:val="en-US" w:eastAsia="zh-CN"/>
        </w:rPr>
        <w:t>0.7t。废活性炭收集后暂存于危废暂存间，交由危废资</w:t>
      </w:r>
      <w:r>
        <w:rPr>
          <w:rFonts w:hint="default" w:ascii="Times New Roman" w:hAnsi="Times New Roman" w:cs="Times New Roman"/>
          <w:color w:val="auto"/>
          <w:kern w:val="0"/>
          <w:sz w:val="24"/>
          <w:szCs w:val="24"/>
          <w:highlight w:val="none"/>
          <w:lang w:val="en-US" w:eastAsia="zh-CN" w:bidi="ar"/>
        </w:rPr>
        <w:t>质单位处置。</w:t>
      </w:r>
    </w:p>
    <w:p w14:paraId="4635C0FF">
      <w:pPr>
        <w:pStyle w:val="143"/>
        <w:spacing w:line="360" w:lineRule="auto"/>
        <w:ind w:firstLine="480" w:firstLineChars="200"/>
        <w:jc w:val="left"/>
        <w:rPr>
          <w:rFonts w:hint="default" w:ascii="Times New Roman" w:hAnsi="Times New Roman" w:eastAsia="宋体" w:cs="Times New Roman"/>
          <w:b w:val="0"/>
          <w:bCs/>
          <w:color w:val="auto"/>
          <w:kern w:val="0"/>
          <w:sz w:val="24"/>
          <w:szCs w:val="24"/>
          <w:highlight w:val="none"/>
          <w:lang w:bidi="ar"/>
        </w:rPr>
      </w:pPr>
      <w:r>
        <w:rPr>
          <w:rFonts w:hint="default" w:ascii="Times New Roman" w:hAnsi="Times New Roman" w:eastAsia="宋体" w:cs="Times New Roman"/>
          <w:b w:val="0"/>
          <w:bCs/>
          <w:color w:val="auto"/>
          <w:kern w:val="0"/>
          <w:sz w:val="24"/>
          <w:szCs w:val="24"/>
          <w:highlight w:val="none"/>
          <w:lang w:bidi="ar"/>
        </w:rPr>
        <w:t>同时，环评要求企业采用碘值不低于800mg/g的活性炭，企业应按照设计定期更换活性炭，确保处理效率，建立台账，记录废气收集系统、</w:t>
      </w:r>
      <w:r>
        <w:rPr>
          <w:rFonts w:hint="default" w:ascii="Times New Roman" w:hAnsi="Times New Roman" w:eastAsia="宋体" w:cs="Times New Roman"/>
          <w:b w:val="0"/>
          <w:bCs/>
          <w:color w:val="auto"/>
          <w:kern w:val="0"/>
          <w:sz w:val="24"/>
          <w:szCs w:val="24"/>
          <w:highlight w:val="none"/>
          <w:lang w:val="en-US" w:eastAsia="zh-CN" w:bidi="ar"/>
        </w:rPr>
        <w:t>废气</w:t>
      </w:r>
      <w:r>
        <w:rPr>
          <w:rFonts w:hint="default" w:ascii="Times New Roman" w:hAnsi="Times New Roman" w:eastAsia="宋体" w:cs="Times New Roman"/>
          <w:b w:val="0"/>
          <w:bCs/>
          <w:color w:val="auto"/>
          <w:kern w:val="0"/>
          <w:sz w:val="24"/>
          <w:szCs w:val="24"/>
          <w:highlight w:val="none"/>
          <w:lang w:bidi="ar"/>
        </w:rPr>
        <w:t>处理设施的主要运行和维护信息。</w:t>
      </w:r>
    </w:p>
    <w:p w14:paraId="5EC98ED2">
      <w:pPr>
        <w:pStyle w:val="14"/>
        <w:numPr>
          <w:ilvl w:val="0"/>
          <w:numId w:val="0"/>
        </w:numPr>
        <w:ind w:firstLine="480" w:firstLineChars="200"/>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（4）废布袋</w:t>
      </w:r>
      <w:r>
        <w:rPr>
          <w:rFonts w:hint="default" w:ascii="Times New Roman" w:hAnsi="Times New Roman" w:cs="Times New Roman"/>
          <w:b/>
          <w:bCs/>
          <w:color w:val="auto"/>
          <w:sz w:val="24"/>
          <w:szCs w:val="24"/>
          <w:highlight w:val="none"/>
          <w:lang w:val="en-US" w:eastAsia="zh-CN"/>
        </w:rPr>
        <w:t>S7</w:t>
      </w:r>
      <w:r>
        <w:rPr>
          <w:rFonts w:hint="default" w:ascii="Times New Roman" w:hAnsi="Times New Roman" w:eastAsia="宋体" w:cs="Times New Roman"/>
          <w:b/>
          <w:bCs/>
          <w:color w:val="auto"/>
          <w:kern w:val="0"/>
          <w:sz w:val="24"/>
          <w:szCs w:val="24"/>
          <w:highlight w:val="none"/>
          <w:lang w:val="en-US" w:eastAsia="zh-CN" w:bidi="ar"/>
        </w:rPr>
        <w:t xml:space="preserve"> </w:t>
      </w:r>
    </w:p>
    <w:p w14:paraId="679B2A36">
      <w:pPr>
        <w:pStyle w:val="14"/>
        <w:numPr>
          <w:ilvl w:val="0"/>
          <w:numId w:val="0"/>
        </w:numPr>
        <w:ind w:firstLine="480" w:firstLineChars="200"/>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lang w:eastAsia="zh-CN"/>
        </w:rPr>
        <w:t>本项目烟气净化系统的布袋除尘器会产生废布袋，</w:t>
      </w:r>
      <w:r>
        <w:rPr>
          <w:rFonts w:hint="default" w:ascii="Times New Roman" w:hAnsi="Times New Roman" w:cs="Times New Roman"/>
          <w:color w:val="auto"/>
          <w:spacing w:val="1"/>
          <w:highlight w:val="none"/>
        </w:rPr>
        <w:t>废布袋主要成分为废滤料</w:t>
      </w:r>
      <w:r>
        <w:rPr>
          <w:rFonts w:hint="default" w:ascii="Times New Roman" w:hAnsi="Times New Roman" w:cs="Times New Roman"/>
          <w:color w:val="auto"/>
          <w:spacing w:val="-17"/>
          <w:highlight w:val="none"/>
        </w:rPr>
        <w:t>，</w:t>
      </w:r>
      <w:r>
        <w:rPr>
          <w:rFonts w:hint="default" w:ascii="Times New Roman" w:hAnsi="Times New Roman" w:cs="Times New Roman"/>
          <w:color w:val="auto"/>
          <w:spacing w:val="1"/>
          <w:highlight w:val="none"/>
        </w:rPr>
        <w:t>内有飞灰</w:t>
      </w:r>
      <w:r>
        <w:rPr>
          <w:rFonts w:hint="default" w:ascii="Times New Roman" w:hAnsi="Times New Roman" w:cs="Times New Roman"/>
          <w:color w:val="auto"/>
          <w:highlight w:val="none"/>
        </w:rPr>
        <w:t>，可以浸出较高浓度的</w:t>
      </w:r>
      <w:r>
        <w:rPr>
          <w:rFonts w:hint="default" w:ascii="Times New Roman" w:hAnsi="Times New Roman" w:eastAsia="Times New Roman" w:cs="Times New Roman"/>
          <w:color w:val="auto"/>
          <w:highlight w:val="none"/>
        </w:rPr>
        <w:t>Pb</w:t>
      </w:r>
      <w:r>
        <w:rPr>
          <w:rFonts w:hint="default" w:ascii="Times New Roman" w:hAnsi="Times New Roman" w:cs="Times New Roman"/>
          <w:color w:val="auto"/>
          <w:highlight w:val="none"/>
        </w:rPr>
        <w:t>、</w:t>
      </w:r>
      <w:r>
        <w:rPr>
          <w:rFonts w:hint="default" w:ascii="Times New Roman" w:hAnsi="Times New Roman" w:eastAsia="Times New Roman" w:cs="Times New Roman"/>
          <w:color w:val="auto"/>
          <w:highlight w:val="none"/>
        </w:rPr>
        <w:t xml:space="preserve">Cd </w:t>
      </w:r>
      <w:r>
        <w:rPr>
          <w:rFonts w:hint="default" w:ascii="Times New Roman" w:hAnsi="Times New Roman" w:cs="Times New Roman"/>
          <w:color w:val="auto"/>
          <w:highlight w:val="none"/>
        </w:rPr>
        <w:t>等重金属和其它毒性物质，平均更换周期约为</w:t>
      </w:r>
      <w:r>
        <w:rPr>
          <w:rFonts w:hint="default" w:ascii="Times New Roman" w:hAnsi="Times New Roman" w:eastAsia="Times New Roman" w:cs="Times New Roman"/>
          <w:color w:val="auto"/>
          <w:highlight w:val="none"/>
        </w:rPr>
        <w:t>3</w:t>
      </w:r>
      <w:r>
        <w:rPr>
          <w:rFonts w:hint="default" w:ascii="Times New Roman" w:hAnsi="Times New Roman" w:cs="Times New Roman"/>
          <w:color w:val="auto"/>
          <w:highlight w:val="none"/>
        </w:rPr>
        <w:t>～</w:t>
      </w:r>
      <w:r>
        <w:rPr>
          <w:rFonts w:hint="default" w:ascii="Times New Roman" w:hAnsi="Times New Roman" w:eastAsia="Times New Roman" w:cs="Times New Roman"/>
          <w:color w:val="auto"/>
          <w:highlight w:val="none"/>
        </w:rPr>
        <w:t>5</w:t>
      </w:r>
      <w:r>
        <w:rPr>
          <w:rFonts w:hint="default" w:ascii="Times New Roman" w:hAnsi="Times New Roman" w:cs="Times New Roman"/>
          <w:color w:val="auto"/>
          <w:spacing w:val="-1"/>
          <w:highlight w:val="none"/>
        </w:rPr>
        <w:t>年，产生量约</w:t>
      </w:r>
      <w:r>
        <w:rPr>
          <w:rFonts w:hint="default" w:ascii="Times New Roman" w:hAnsi="Times New Roman" w:eastAsia="Times New Roman" w:cs="Times New Roman"/>
          <w:color w:val="auto"/>
          <w:spacing w:val="-1"/>
          <w:highlight w:val="none"/>
        </w:rPr>
        <w:t>1t/a</w:t>
      </w:r>
      <w:r>
        <w:rPr>
          <w:rFonts w:hint="default" w:ascii="Times New Roman" w:hAnsi="Times New Roman" w:cs="Times New Roman"/>
          <w:color w:val="auto"/>
          <w:spacing w:val="-1"/>
          <w:highlight w:val="none"/>
        </w:rPr>
        <w:t>。</w:t>
      </w:r>
      <w:r>
        <w:rPr>
          <w:rFonts w:hint="default" w:ascii="Times New Roman" w:hAnsi="Times New Roman" w:cs="Times New Roman"/>
          <w:color w:val="auto"/>
          <w:sz w:val="24"/>
          <w:szCs w:val="24"/>
          <w:highlight w:val="none"/>
          <w:lang w:eastAsia="zh-CN"/>
        </w:rPr>
        <w:t>废布袋</w:t>
      </w:r>
      <w:r>
        <w:rPr>
          <w:rFonts w:hint="default" w:ascii="Times New Roman" w:hAnsi="Times New Roman" w:cs="Times New Roman"/>
          <w:color w:val="auto"/>
          <w:sz w:val="24"/>
          <w:szCs w:val="24"/>
          <w:highlight w:val="none"/>
        </w:rPr>
        <w:t>属于《国家危险废物名录》（2021</w:t>
      </w:r>
      <w:r>
        <w:rPr>
          <w:rFonts w:hint="default" w:ascii="Times New Roman" w:hAnsi="Times New Roman" w:cs="Times New Roman"/>
          <w:color w:val="auto"/>
          <w:sz w:val="24"/>
          <w:szCs w:val="24"/>
          <w:highlight w:val="none"/>
          <w:lang w:val="en-US" w:eastAsia="zh-CN"/>
        </w:rPr>
        <w:t>版）中“</w:t>
      </w:r>
      <w:r>
        <w:rPr>
          <w:rFonts w:hint="default" w:ascii="Times New Roman" w:hAnsi="Times New Roman" w:cs="Times New Roman"/>
          <w:color w:val="auto"/>
          <w:sz w:val="24"/>
          <w:szCs w:val="24"/>
          <w:highlight w:val="none"/>
        </w:rPr>
        <w:t>HW</w:t>
      </w:r>
      <w:r>
        <w:rPr>
          <w:rFonts w:hint="default" w:ascii="Times New Roman" w:hAnsi="Times New Roman" w:cs="Times New Roman"/>
          <w:color w:val="auto"/>
          <w:sz w:val="24"/>
          <w:szCs w:val="24"/>
          <w:highlight w:val="none"/>
          <w:lang w:val="en-US" w:eastAsia="zh-CN"/>
        </w:rPr>
        <w:t>49其他废物/非特定行业/</w:t>
      </w:r>
      <w:r>
        <w:rPr>
          <w:rFonts w:hint="default" w:ascii="Times New Roman" w:hAnsi="Times New Roman" w:cs="Times New Roman"/>
          <w:color w:val="auto"/>
          <w:sz w:val="24"/>
          <w:szCs w:val="24"/>
          <w:highlight w:val="none"/>
          <w:lang w:eastAsia="zh-CN"/>
        </w:rPr>
        <w:t>900-041-49</w:t>
      </w:r>
      <w:r>
        <w:rPr>
          <w:rFonts w:hint="default" w:ascii="Times New Roman" w:hAnsi="Times New Roman" w:cs="Times New Roman"/>
          <w:color w:val="auto"/>
          <w:sz w:val="24"/>
          <w:szCs w:val="24"/>
          <w:highlight w:val="none"/>
          <w:lang w:val="en-US" w:eastAsia="zh-CN"/>
        </w:rPr>
        <w:t>/含有或沾染毒性、感染性危险废物的废弃包装物、容器、过滤吸附介质”</w:t>
      </w:r>
      <w:r>
        <w:rPr>
          <w:rFonts w:hint="default" w:ascii="Times New Roman" w:hAnsi="Times New Roman" w:cs="Times New Roman"/>
          <w:color w:val="auto"/>
          <w:kern w:val="0"/>
          <w:sz w:val="24"/>
          <w:szCs w:val="24"/>
          <w:highlight w:val="none"/>
          <w:lang w:eastAsia="zh-CN" w:bidi="ar"/>
        </w:rPr>
        <w:t>，</w:t>
      </w:r>
      <w:r>
        <w:rPr>
          <w:rFonts w:hint="default" w:ascii="Times New Roman" w:hAnsi="Times New Roman" w:cs="Times New Roman"/>
          <w:color w:val="auto"/>
          <w:kern w:val="0"/>
          <w:sz w:val="24"/>
          <w:szCs w:val="24"/>
          <w:highlight w:val="none"/>
          <w:lang w:val="en-US" w:eastAsia="zh-CN" w:bidi="ar"/>
        </w:rPr>
        <w:t>危险特性为T、</w:t>
      </w:r>
      <w:r>
        <w:rPr>
          <w:rFonts w:hint="default" w:ascii="Times New Roman" w:hAnsi="Times New Roman" w:cs="Times New Roman"/>
          <w:color w:val="auto"/>
          <w:kern w:val="0"/>
          <w:sz w:val="24"/>
          <w:szCs w:val="24"/>
          <w:highlight w:val="none"/>
          <w:lang w:eastAsia="zh-CN" w:bidi="ar"/>
        </w:rPr>
        <w:t>In</w:t>
      </w:r>
      <w:r>
        <w:rPr>
          <w:rFonts w:hint="default" w:ascii="Times New Roman" w:hAnsi="Times New Roman" w:cs="Times New Roman"/>
          <w:color w:val="auto"/>
          <w:kern w:val="0"/>
          <w:sz w:val="24"/>
          <w:szCs w:val="24"/>
          <w:highlight w:val="none"/>
          <w:lang w:val="en-US" w:eastAsia="zh-CN" w:bidi="ar"/>
        </w:rPr>
        <w:t>。</w:t>
      </w:r>
      <w:r>
        <w:rPr>
          <w:rFonts w:hint="default" w:ascii="Times New Roman" w:hAnsi="Times New Roman" w:cs="Times New Roman"/>
          <w:color w:val="auto"/>
          <w:sz w:val="24"/>
          <w:szCs w:val="24"/>
          <w:highlight w:val="none"/>
          <w:lang w:eastAsia="zh-CN"/>
        </w:rPr>
        <w:t>废布袋</w:t>
      </w:r>
      <w:r>
        <w:rPr>
          <w:rFonts w:hint="default" w:ascii="Times New Roman" w:hAnsi="Times New Roman" w:cs="Times New Roman"/>
          <w:color w:val="auto"/>
          <w:sz w:val="24"/>
          <w:szCs w:val="24"/>
          <w:highlight w:val="none"/>
          <w:lang w:val="en-US" w:eastAsia="zh-CN"/>
        </w:rPr>
        <w:t>收集后暂存于危废暂存间，</w:t>
      </w:r>
      <w:r>
        <w:rPr>
          <w:rFonts w:hint="default" w:ascii="Times New Roman" w:hAnsi="Times New Roman" w:cs="Times New Roman"/>
          <w:color w:val="auto"/>
          <w:sz w:val="24"/>
          <w:szCs w:val="24"/>
          <w:highlight w:val="none"/>
          <w:lang w:eastAsia="zh-CN"/>
        </w:rPr>
        <w:t>交由危废资质单位处理。</w:t>
      </w:r>
    </w:p>
    <w:p w14:paraId="555DC620">
      <w:pPr>
        <w:keepNext w:val="0"/>
        <w:keepLines w:val="0"/>
        <w:widowControl/>
        <w:suppressLineNumbers w:val="0"/>
        <w:ind w:firstLine="480" w:firstLineChars="200"/>
        <w:jc w:val="left"/>
        <w:rPr>
          <w:rFonts w:hint="default" w:ascii="Times New Roman" w:hAnsi="Times New Roman" w:cs="Times New Roman"/>
          <w:b/>
          <w:bCs/>
          <w:color w:val="auto"/>
          <w:sz w:val="24"/>
          <w:szCs w:val="24"/>
          <w:highlight w:val="none"/>
          <w:lang w:val="en-US"/>
        </w:rPr>
      </w:pPr>
      <w:r>
        <w:rPr>
          <w:rFonts w:hint="default" w:ascii="Times New Roman" w:hAnsi="Times New Roman" w:eastAsia="宋体" w:cs="Times New Roman"/>
          <w:b/>
          <w:bCs/>
          <w:color w:val="auto"/>
          <w:kern w:val="0"/>
          <w:sz w:val="24"/>
          <w:szCs w:val="24"/>
          <w:highlight w:val="none"/>
          <w:lang w:val="en-US" w:eastAsia="zh-CN" w:bidi="ar"/>
        </w:rPr>
        <w:t>（5）废机油</w:t>
      </w:r>
      <w:r>
        <w:rPr>
          <w:rFonts w:hint="default" w:ascii="Times New Roman" w:hAnsi="Times New Roman" w:cs="Times New Roman"/>
          <w:b/>
          <w:bCs/>
          <w:color w:val="auto"/>
          <w:sz w:val="24"/>
          <w:szCs w:val="24"/>
          <w:highlight w:val="none"/>
          <w:lang w:val="en-US" w:eastAsia="zh-CN"/>
        </w:rPr>
        <w:t>S8</w:t>
      </w:r>
    </w:p>
    <w:p w14:paraId="648503D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cs="Times New Roman"/>
          <w:color w:val="auto"/>
          <w:kern w:val="0"/>
          <w:sz w:val="24"/>
          <w:szCs w:val="24"/>
          <w:highlight w:val="none"/>
          <w:lang w:bidi="ar"/>
        </w:rPr>
        <w:t>运营期将定期维修生产设备，对各类设备进行检修更换零部件，将产生少量废机油</w:t>
      </w:r>
      <w:r>
        <w:rPr>
          <w:rFonts w:hint="default" w:ascii="Times New Roman" w:hAnsi="Times New Roman" w:cs="Times New Roman"/>
          <w:color w:val="auto"/>
          <w:kern w:val="0"/>
          <w:sz w:val="24"/>
          <w:szCs w:val="24"/>
          <w:highlight w:val="none"/>
          <w:lang w:eastAsia="zh-CN" w:bidi="ar"/>
        </w:rPr>
        <w:t>，</w:t>
      </w:r>
      <w:r>
        <w:rPr>
          <w:rFonts w:hint="default" w:ascii="Times New Roman" w:hAnsi="Times New Roman" w:cs="Times New Roman"/>
          <w:color w:val="auto"/>
          <w:kern w:val="0"/>
          <w:sz w:val="24"/>
          <w:szCs w:val="24"/>
          <w:highlight w:val="none"/>
          <w:lang w:bidi="ar"/>
        </w:rPr>
        <w:t>废机油产生量0.</w:t>
      </w:r>
      <w:r>
        <w:rPr>
          <w:rFonts w:hint="default" w:ascii="Times New Roman" w:hAnsi="Times New Roman" w:cs="Times New Roman"/>
          <w:color w:val="auto"/>
          <w:kern w:val="0"/>
          <w:sz w:val="24"/>
          <w:szCs w:val="24"/>
          <w:highlight w:val="none"/>
          <w:lang w:val="en-US" w:eastAsia="zh-CN" w:bidi="ar"/>
        </w:rPr>
        <w:t>05</w:t>
      </w:r>
      <w:r>
        <w:rPr>
          <w:rFonts w:hint="default" w:ascii="Times New Roman" w:hAnsi="Times New Roman" w:cs="Times New Roman"/>
          <w:color w:val="auto"/>
          <w:kern w:val="0"/>
          <w:sz w:val="24"/>
          <w:szCs w:val="24"/>
          <w:highlight w:val="none"/>
          <w:lang w:bidi="ar"/>
        </w:rPr>
        <w:t>t/a。属于《国家危险废物名录》（2021</w:t>
      </w:r>
      <w:r>
        <w:rPr>
          <w:rFonts w:hint="default" w:ascii="Times New Roman" w:hAnsi="Times New Roman" w:cs="Times New Roman"/>
          <w:color w:val="auto"/>
          <w:sz w:val="24"/>
          <w:szCs w:val="24"/>
          <w:highlight w:val="none"/>
          <w:lang w:val="en-US" w:eastAsia="zh-CN"/>
        </w:rPr>
        <w:t>版</w:t>
      </w:r>
      <w:r>
        <w:rPr>
          <w:rFonts w:hint="default" w:ascii="Times New Roman" w:hAnsi="Times New Roman" w:cs="Times New Roman"/>
          <w:color w:val="auto"/>
          <w:kern w:val="0"/>
          <w:sz w:val="24"/>
          <w:szCs w:val="24"/>
          <w:highlight w:val="none"/>
          <w:lang w:bidi="ar"/>
        </w:rPr>
        <w:t>）中“HW08废矿物油与含矿物油废物</w:t>
      </w:r>
      <w:r>
        <w:rPr>
          <w:rFonts w:hint="default" w:ascii="Times New Roman" w:hAnsi="Times New Roman" w:eastAsia="宋体" w:cs="Times New Roman"/>
          <w:b w:val="0"/>
          <w:bCs w:val="0"/>
          <w:color w:val="auto"/>
          <w:sz w:val="24"/>
          <w:szCs w:val="22"/>
          <w:highlight w:val="none"/>
          <w:lang w:val="en-US" w:eastAsia="zh-CN"/>
        </w:rPr>
        <w:t xml:space="preserve">/非特定行业/ </w:t>
      </w:r>
      <w:r>
        <w:rPr>
          <w:rFonts w:hint="default" w:ascii="Times New Roman" w:hAnsi="Times New Roman" w:cs="Times New Roman"/>
          <w:color w:val="auto"/>
          <w:kern w:val="0"/>
          <w:sz w:val="24"/>
          <w:szCs w:val="24"/>
          <w:highlight w:val="none"/>
          <w:lang w:bidi="ar"/>
        </w:rPr>
        <w:t>900-214-08车辆、轮船及其它机械维修过程中产生的废发动机油、制动器油、自动变速器油、齿轮油等废润滑油</w:t>
      </w:r>
      <w:r>
        <w:rPr>
          <w:rFonts w:hint="default" w:ascii="Times New Roman" w:hAnsi="Times New Roman" w:cs="Times New Roman"/>
          <w:color w:val="auto"/>
          <w:kern w:val="0"/>
          <w:sz w:val="24"/>
          <w:szCs w:val="24"/>
          <w:highlight w:val="none"/>
          <w:lang w:eastAsia="zh-CN" w:bidi="ar"/>
        </w:rPr>
        <w:t>”，</w:t>
      </w:r>
      <w:r>
        <w:rPr>
          <w:rFonts w:hint="default" w:ascii="Times New Roman" w:hAnsi="Times New Roman" w:eastAsia="宋体" w:cs="Times New Roman"/>
          <w:color w:val="auto"/>
          <w:kern w:val="0"/>
          <w:sz w:val="24"/>
          <w:szCs w:val="24"/>
          <w:highlight w:val="none"/>
          <w:lang w:val="en-US" w:eastAsia="zh-CN" w:bidi="ar"/>
        </w:rPr>
        <w:t>危险特性为T、In。</w:t>
      </w:r>
    </w:p>
    <w:p w14:paraId="28DFBD45">
      <w:pPr>
        <w:keepNext w:val="0"/>
        <w:keepLines w:val="0"/>
        <w:widowControl/>
        <w:suppressLineNumbers w:val="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废矿物油经收集后由专用容器盛装，暂存于危废暂存间，定期交由危废资质单位处置。</w:t>
      </w:r>
    </w:p>
    <w:p w14:paraId="64D16233">
      <w:pPr>
        <w:keepNext w:val="0"/>
        <w:keepLines w:val="0"/>
        <w:widowControl/>
        <w:suppressLineNumbers w:val="0"/>
        <w:ind w:firstLine="480" w:firstLineChars="200"/>
        <w:jc w:val="left"/>
        <w:rPr>
          <w:rFonts w:hint="default" w:ascii="Times New Roman" w:hAnsi="Times New Roman" w:cs="Times New Roman"/>
          <w:b/>
          <w:bCs/>
          <w:color w:val="auto"/>
          <w:sz w:val="24"/>
          <w:szCs w:val="24"/>
          <w:highlight w:val="none"/>
          <w:lang w:val="en-US"/>
        </w:rPr>
      </w:pPr>
      <w:r>
        <w:rPr>
          <w:rFonts w:hint="default" w:ascii="Times New Roman" w:hAnsi="Times New Roman" w:eastAsia="宋体" w:cs="Times New Roman"/>
          <w:b/>
          <w:bCs/>
          <w:color w:val="auto"/>
          <w:kern w:val="0"/>
          <w:sz w:val="24"/>
          <w:szCs w:val="24"/>
          <w:highlight w:val="none"/>
          <w:lang w:val="en-US" w:eastAsia="zh-CN" w:bidi="ar"/>
        </w:rPr>
        <w:t xml:space="preserve">（6）废含油棉纱手套 </w:t>
      </w:r>
      <w:r>
        <w:rPr>
          <w:rFonts w:hint="default" w:ascii="Times New Roman" w:hAnsi="Times New Roman" w:cs="Times New Roman"/>
          <w:b/>
          <w:bCs/>
          <w:color w:val="auto"/>
          <w:sz w:val="24"/>
          <w:szCs w:val="24"/>
          <w:highlight w:val="none"/>
          <w:lang w:val="en-US" w:eastAsia="zh-CN"/>
        </w:rPr>
        <w:t>S9</w:t>
      </w:r>
    </w:p>
    <w:p w14:paraId="563C02AA">
      <w:pPr>
        <w:keepNext w:val="0"/>
        <w:keepLines w:val="0"/>
        <w:widowControl/>
        <w:suppressLineNumbers w:val="0"/>
        <w:ind w:firstLine="480" w:firstLineChars="200"/>
        <w:jc w:val="left"/>
        <w:rPr>
          <w:rFonts w:hint="default" w:ascii="Times New Roman" w:hAnsi="Times New Roman" w:cs="Times New Roman"/>
          <w:color w:val="auto"/>
          <w:sz w:val="24"/>
          <w:szCs w:val="24"/>
          <w:highlight w:val="none"/>
          <w:lang w:eastAsia="zh-CN"/>
        </w:rPr>
      </w:pPr>
      <w:r>
        <w:rPr>
          <w:rFonts w:hint="default" w:ascii="Times New Roman" w:hAnsi="Times New Roman" w:eastAsia="宋体" w:cs="Times New Roman"/>
          <w:color w:val="auto"/>
          <w:kern w:val="0"/>
          <w:sz w:val="24"/>
          <w:szCs w:val="24"/>
          <w:highlight w:val="none"/>
          <w:lang w:val="en-US" w:eastAsia="zh-CN" w:bidi="ar"/>
        </w:rPr>
        <w:t>设备维修保养过程中的劳保用品如棉纱、手套等不可避免的会接触油污，其产生量约0.01t/a。含油棉纱、手套等劳保用品属于《国家危险废物名录》（2021版）中“HW49其他废物/非特定行业/900-041-49含有或沾染毒性、感染性危险废物的废弃包装物、容器、过滤吸附介质”，危险特性为T、In。废含油棉纱手套等劳保用品收集后暂存于危废暂存间，定期交由危废资质单位处置。</w:t>
      </w:r>
    </w:p>
    <w:p w14:paraId="70ABCB8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综上</w:t>
      </w:r>
      <w:r>
        <w:rPr>
          <w:rFonts w:hint="default" w:ascii="Times New Roman" w:hAnsi="Times New Roman" w:cs="Times New Roman"/>
          <w:color w:val="auto"/>
          <w:highlight w:val="none"/>
        </w:rPr>
        <w:t>，严格落实环评提出的完善措施后，固体废物能够得到妥善处置，</w:t>
      </w:r>
      <w:r>
        <w:rPr>
          <w:rFonts w:hint="default" w:ascii="Times New Roman" w:hAnsi="Times New Roman" w:cs="Times New Roman"/>
          <w:color w:val="auto"/>
          <w:highlight w:val="none"/>
          <w:lang w:val="en-US" w:eastAsia="zh-CN"/>
        </w:rPr>
        <w:t>去向明确，</w:t>
      </w:r>
      <w:r>
        <w:rPr>
          <w:rFonts w:hint="default" w:ascii="Times New Roman" w:hAnsi="Times New Roman" w:cs="Times New Roman"/>
          <w:color w:val="auto"/>
          <w:highlight w:val="none"/>
        </w:rPr>
        <w:t>不会产生二次污染。</w:t>
      </w:r>
    </w:p>
    <w:p w14:paraId="5D326E4E">
      <w:pPr>
        <w:pStyle w:val="3"/>
        <w:spacing w:before="156" w:after="156"/>
        <w:rPr>
          <w:rFonts w:hint="default" w:ascii="Times New Roman" w:hAnsi="Times New Roman" w:cs="Times New Roman"/>
          <w:color w:val="auto"/>
          <w:highlight w:val="none"/>
          <w:lang w:val="en-US" w:eastAsia="zh-CN"/>
        </w:rPr>
      </w:pPr>
      <w:bookmarkStart w:id="129" w:name="_Toc12646"/>
      <w:bookmarkStart w:id="130" w:name="_Toc279"/>
      <w:bookmarkStart w:id="131" w:name="_Toc22525"/>
      <w:r>
        <w:rPr>
          <w:rFonts w:hint="default" w:ascii="Times New Roman" w:hAnsi="Times New Roman" w:cs="Times New Roman"/>
          <w:color w:val="auto"/>
          <w:highlight w:val="none"/>
          <w:lang w:val="en-US" w:eastAsia="zh-CN"/>
        </w:rPr>
        <w:t>土壤环境影响分析</w:t>
      </w:r>
      <w:bookmarkEnd w:id="129"/>
      <w:bookmarkEnd w:id="130"/>
      <w:bookmarkEnd w:id="131"/>
    </w:p>
    <w:p w14:paraId="296FC5BB">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根据《环境影响评价技术导则 土壤环境（试行）》（HJ964-2018），本项目所属的土壤环境影响评价项目类别为Ⅱ类</w:t>
      </w:r>
      <w:r>
        <w:rPr>
          <w:rFonts w:hint="eastAsia" w:ascii="Times New Roman" w:hAnsi="Times New Roman" w:eastAsia="宋体" w:cs="Times New Roman"/>
          <w:color w:val="auto"/>
          <w:kern w:val="0"/>
          <w:sz w:val="24"/>
          <w:szCs w:val="24"/>
          <w:highlight w:val="none"/>
          <w:lang w:val="en-US" w:eastAsia="zh-CN" w:bidi="ar"/>
        </w:rPr>
        <w:t>，项目东侧约41m有耕地</w:t>
      </w: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项目</w:t>
      </w:r>
      <w:r>
        <w:rPr>
          <w:rFonts w:hint="default" w:ascii="Times New Roman" w:hAnsi="Times New Roman" w:eastAsia="宋体" w:cs="Times New Roman"/>
          <w:color w:val="auto"/>
          <w:kern w:val="0"/>
          <w:sz w:val="24"/>
          <w:szCs w:val="24"/>
          <w:highlight w:val="none"/>
          <w:lang w:val="en-US" w:eastAsia="zh-CN" w:bidi="ar"/>
        </w:rPr>
        <w:t>周边的土壤环境敏感程度判定为“敏感”</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占地规模为“小型 ”</w:t>
      </w:r>
      <w:r>
        <w:rPr>
          <w:rFonts w:hint="eastAsia" w:ascii="Times New Roman" w:hAnsi="Times New Roman" w:eastAsia="宋体" w:cs="Times New Roman"/>
          <w:color w:val="auto"/>
          <w:kern w:val="0"/>
          <w:sz w:val="24"/>
          <w:szCs w:val="24"/>
          <w:highlight w:val="none"/>
          <w:lang w:val="en-US" w:eastAsia="zh-CN" w:bidi="ar"/>
        </w:rPr>
        <w:t>，因此，</w:t>
      </w:r>
      <w:r>
        <w:rPr>
          <w:rFonts w:hint="default" w:ascii="Times New Roman" w:hAnsi="Times New Roman" w:eastAsia="宋体" w:cs="Times New Roman"/>
          <w:color w:val="auto"/>
          <w:kern w:val="0"/>
          <w:sz w:val="24"/>
          <w:szCs w:val="24"/>
          <w:highlight w:val="none"/>
          <w:lang w:val="en-US" w:eastAsia="zh-CN" w:bidi="ar"/>
        </w:rPr>
        <w:t>本项</w:t>
      </w:r>
      <w:r>
        <w:rPr>
          <w:rFonts w:hint="default" w:ascii="Times New Roman" w:hAnsi="Times New Roman" w:cs="Times New Roman" w:eastAsiaTheme="minorEastAsia"/>
          <w:color w:val="auto"/>
          <w:kern w:val="2"/>
          <w:sz w:val="24"/>
          <w:szCs w:val="21"/>
          <w:highlight w:val="none"/>
          <w:lang w:val="en-US" w:eastAsia="zh-CN" w:bidi="ar-SA"/>
        </w:rPr>
        <w:t>目</w:t>
      </w:r>
      <w:r>
        <w:rPr>
          <w:rFonts w:hint="default" w:ascii="Times New Roman" w:hAnsi="Times New Roman" w:cs="Times New Roman" w:eastAsiaTheme="minorEastAsia"/>
          <w:b/>
          <w:bCs/>
          <w:color w:val="auto"/>
          <w:kern w:val="2"/>
          <w:sz w:val="24"/>
          <w:szCs w:val="21"/>
          <w:highlight w:val="none"/>
          <w:lang w:val="en-US" w:eastAsia="zh-CN" w:bidi="ar-SA"/>
        </w:rPr>
        <w:t>土壤环境影响评价等级判定为二级</w:t>
      </w:r>
      <w:r>
        <w:rPr>
          <w:rFonts w:hint="default" w:ascii="Times New Roman" w:hAnsi="Times New Roman" w:eastAsia="宋体" w:cs="Times New Roman"/>
          <w:b/>
          <w:bCs/>
          <w:color w:val="auto"/>
          <w:kern w:val="0"/>
          <w:sz w:val="24"/>
          <w:szCs w:val="24"/>
          <w:highlight w:val="none"/>
          <w:lang w:val="en-US" w:eastAsia="zh-CN" w:bidi="ar"/>
        </w:rPr>
        <w:t>。</w:t>
      </w:r>
    </w:p>
    <w:p w14:paraId="5732C843">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土壤环境影响识别</w:t>
      </w:r>
    </w:p>
    <w:p w14:paraId="30A3B099">
      <w:pPr>
        <w:pStyle w:val="14"/>
        <w:ind w:firstLine="480"/>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lang w:val="en-US" w:eastAsia="zh-CN"/>
        </w:rPr>
        <w:t>1、</w:t>
      </w:r>
      <w:r>
        <w:rPr>
          <w:rFonts w:hint="default" w:ascii="Times New Roman" w:hAnsi="Times New Roman" w:cs="Times New Roman"/>
          <w:b/>
          <w:bCs/>
          <w:color w:val="auto"/>
          <w:highlight w:val="none"/>
        </w:rPr>
        <w:t>土壤环境影响类型与影响途径识别</w:t>
      </w:r>
    </w:p>
    <w:p w14:paraId="5DBB37D3">
      <w:pPr>
        <w:ind w:firstLine="480" w:firstLineChars="20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本</w:t>
      </w:r>
      <w:r>
        <w:rPr>
          <w:rFonts w:hint="default" w:ascii="Times New Roman" w:hAnsi="Times New Roman" w:cs="Times New Roman"/>
          <w:color w:val="auto"/>
          <w:sz w:val="24"/>
          <w:szCs w:val="24"/>
          <w:highlight w:val="none"/>
        </w:rPr>
        <w:t>项目土壤环境影响类型与途径见下表。</w:t>
      </w:r>
    </w:p>
    <w:p w14:paraId="7DD5C6FB">
      <w:pPr>
        <w:spacing w:line="240" w:lineRule="auto"/>
        <w:ind w:firstLine="420" w:firstLineChars="200"/>
        <w:jc w:val="center"/>
        <w:rPr>
          <w:rFonts w:hint="default" w:ascii="Times New Roman" w:hAnsi="Times New Roman" w:cs="Times New Roman"/>
          <w:b/>
          <w:color w:val="auto"/>
          <w:highlight w:val="none"/>
        </w:rPr>
      </w:pPr>
      <w:r>
        <w:rPr>
          <w:rFonts w:hint="default" w:ascii="Times New Roman" w:hAnsi="Times New Roman" w:cs="Times New Roman"/>
          <w:b/>
          <w:bCs/>
          <w:color w:val="auto"/>
          <w:szCs w:val="21"/>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6.6</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szCs w:val="21"/>
          <w:highlight w:val="none"/>
        </w:rPr>
        <w:t xml:space="preserve">  </w:t>
      </w:r>
      <w:r>
        <w:rPr>
          <w:rFonts w:hint="default" w:ascii="Times New Roman" w:hAnsi="Times New Roman" w:cs="Times New Roman"/>
          <w:b/>
          <w:color w:val="auto"/>
          <w:highlight w:val="none"/>
        </w:rPr>
        <w:t>建设项目土壤环境影响类型与影响途径表</w:t>
      </w:r>
    </w:p>
    <w:tbl>
      <w:tblPr>
        <w:tblStyle w:val="132"/>
        <w:tblW w:w="4998"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761"/>
        <w:gridCol w:w="1086"/>
        <w:gridCol w:w="1089"/>
        <w:gridCol w:w="931"/>
        <w:gridCol w:w="936"/>
        <w:gridCol w:w="1089"/>
        <w:gridCol w:w="1087"/>
        <w:gridCol w:w="1087"/>
        <w:gridCol w:w="1002"/>
      </w:tblGrid>
      <w:tr w14:paraId="009986B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420" w:type="pct"/>
            <w:vMerge w:val="restart"/>
            <w:tcBorders>
              <w:tl2br w:val="nil"/>
              <w:tr2bl w:val="nil"/>
            </w:tcBorders>
            <w:vAlign w:val="center"/>
          </w:tcPr>
          <w:p w14:paraId="25EBE54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不同时段</w:t>
            </w:r>
          </w:p>
        </w:tc>
        <w:tc>
          <w:tcPr>
            <w:tcW w:w="2228" w:type="pct"/>
            <w:gridSpan w:val="4"/>
            <w:tcBorders>
              <w:tl2br w:val="nil"/>
              <w:tr2bl w:val="nil"/>
            </w:tcBorders>
            <w:vAlign w:val="center"/>
          </w:tcPr>
          <w:p w14:paraId="5FB5851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污染影响型</w:t>
            </w:r>
          </w:p>
        </w:tc>
        <w:tc>
          <w:tcPr>
            <w:tcW w:w="2350" w:type="pct"/>
            <w:gridSpan w:val="4"/>
            <w:tcBorders>
              <w:tl2br w:val="nil"/>
              <w:tr2bl w:val="nil"/>
            </w:tcBorders>
            <w:vAlign w:val="center"/>
          </w:tcPr>
          <w:p w14:paraId="7FF31E5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生态影响型</w:t>
            </w:r>
          </w:p>
        </w:tc>
      </w:tr>
      <w:tr w14:paraId="55BF274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420" w:type="pct"/>
            <w:vMerge w:val="continue"/>
            <w:tcBorders>
              <w:tl2br w:val="nil"/>
              <w:tr2bl w:val="nil"/>
            </w:tcBorders>
            <w:vAlign w:val="center"/>
          </w:tcPr>
          <w:p w14:paraId="3A50B59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p>
        </w:tc>
        <w:tc>
          <w:tcPr>
            <w:tcW w:w="599" w:type="pct"/>
            <w:tcBorders>
              <w:tl2br w:val="nil"/>
              <w:tr2bl w:val="nil"/>
            </w:tcBorders>
            <w:vAlign w:val="center"/>
          </w:tcPr>
          <w:p w14:paraId="3B1BFF3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地面漫流</w:t>
            </w:r>
          </w:p>
        </w:tc>
        <w:tc>
          <w:tcPr>
            <w:tcW w:w="600" w:type="pct"/>
            <w:tcBorders>
              <w:tl2br w:val="nil"/>
              <w:tr2bl w:val="nil"/>
            </w:tcBorders>
            <w:vAlign w:val="center"/>
          </w:tcPr>
          <w:p w14:paraId="72A1516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大气沉降</w:t>
            </w:r>
          </w:p>
        </w:tc>
        <w:tc>
          <w:tcPr>
            <w:tcW w:w="513" w:type="pct"/>
            <w:tcBorders>
              <w:tl2br w:val="nil"/>
              <w:tr2bl w:val="nil"/>
            </w:tcBorders>
            <w:vAlign w:val="center"/>
          </w:tcPr>
          <w:p w14:paraId="6CFDFF2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垂直渗入</w:t>
            </w:r>
          </w:p>
        </w:tc>
        <w:tc>
          <w:tcPr>
            <w:tcW w:w="515" w:type="pct"/>
            <w:tcBorders>
              <w:tl2br w:val="nil"/>
              <w:tr2bl w:val="nil"/>
            </w:tcBorders>
            <w:vAlign w:val="center"/>
          </w:tcPr>
          <w:p w14:paraId="2D71163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其他</w:t>
            </w:r>
          </w:p>
        </w:tc>
        <w:tc>
          <w:tcPr>
            <w:tcW w:w="600" w:type="pct"/>
            <w:tcBorders>
              <w:tl2br w:val="nil"/>
              <w:tr2bl w:val="nil"/>
            </w:tcBorders>
            <w:vAlign w:val="center"/>
          </w:tcPr>
          <w:p w14:paraId="21D8909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盐化</w:t>
            </w:r>
          </w:p>
        </w:tc>
        <w:tc>
          <w:tcPr>
            <w:tcW w:w="599" w:type="pct"/>
            <w:tcBorders>
              <w:tl2br w:val="nil"/>
              <w:tr2bl w:val="nil"/>
            </w:tcBorders>
            <w:vAlign w:val="center"/>
          </w:tcPr>
          <w:p w14:paraId="19462D1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碱化</w:t>
            </w:r>
          </w:p>
        </w:tc>
        <w:tc>
          <w:tcPr>
            <w:tcW w:w="599" w:type="pct"/>
            <w:tcBorders>
              <w:tl2br w:val="nil"/>
              <w:tr2bl w:val="nil"/>
            </w:tcBorders>
            <w:vAlign w:val="center"/>
          </w:tcPr>
          <w:p w14:paraId="758725E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酸化</w:t>
            </w:r>
          </w:p>
        </w:tc>
        <w:tc>
          <w:tcPr>
            <w:tcW w:w="551" w:type="pct"/>
            <w:tcBorders>
              <w:tl2br w:val="nil"/>
              <w:tr2bl w:val="nil"/>
            </w:tcBorders>
            <w:vAlign w:val="center"/>
          </w:tcPr>
          <w:p w14:paraId="7B98861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lang w:val="en-US" w:eastAsia="zh-CN"/>
              </w:rPr>
            </w:pPr>
            <w:r>
              <w:rPr>
                <w:rFonts w:hint="default" w:ascii="Times New Roman" w:hAnsi="Times New Roman" w:cs="Times New Roman"/>
                <w:b/>
                <w:bCs/>
                <w:color w:val="auto"/>
                <w:sz w:val="20"/>
                <w:szCs w:val="20"/>
                <w:highlight w:val="none"/>
                <w:lang w:val="en-US" w:eastAsia="zh-CN"/>
              </w:rPr>
              <w:t>其他</w:t>
            </w:r>
          </w:p>
        </w:tc>
      </w:tr>
      <w:tr w14:paraId="64A22AA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420" w:type="pct"/>
            <w:tcBorders>
              <w:tl2br w:val="nil"/>
              <w:tr2bl w:val="nil"/>
            </w:tcBorders>
            <w:vAlign w:val="center"/>
          </w:tcPr>
          <w:p w14:paraId="5848044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建设期</w:t>
            </w:r>
          </w:p>
        </w:tc>
        <w:tc>
          <w:tcPr>
            <w:tcW w:w="599" w:type="pct"/>
            <w:tcBorders>
              <w:tl2br w:val="nil"/>
              <w:tr2bl w:val="nil"/>
            </w:tcBorders>
            <w:vAlign w:val="center"/>
          </w:tcPr>
          <w:p w14:paraId="788BDAA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600" w:type="pct"/>
            <w:tcBorders>
              <w:tl2br w:val="nil"/>
              <w:tr2bl w:val="nil"/>
            </w:tcBorders>
            <w:vAlign w:val="center"/>
          </w:tcPr>
          <w:p w14:paraId="35F1A96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13" w:type="pct"/>
            <w:tcBorders>
              <w:tl2br w:val="nil"/>
              <w:tr2bl w:val="nil"/>
            </w:tcBorders>
            <w:vAlign w:val="center"/>
          </w:tcPr>
          <w:p w14:paraId="09DFD82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15" w:type="pct"/>
            <w:tcBorders>
              <w:tl2br w:val="nil"/>
              <w:tr2bl w:val="nil"/>
            </w:tcBorders>
            <w:vAlign w:val="center"/>
          </w:tcPr>
          <w:p w14:paraId="1B0DC05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600" w:type="pct"/>
            <w:tcBorders>
              <w:tl2br w:val="nil"/>
              <w:tr2bl w:val="nil"/>
            </w:tcBorders>
            <w:vAlign w:val="center"/>
          </w:tcPr>
          <w:p w14:paraId="5625A16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99" w:type="pct"/>
            <w:tcBorders>
              <w:tl2br w:val="nil"/>
              <w:tr2bl w:val="nil"/>
            </w:tcBorders>
            <w:vAlign w:val="center"/>
          </w:tcPr>
          <w:p w14:paraId="1032C6E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99" w:type="pct"/>
            <w:tcBorders>
              <w:tl2br w:val="nil"/>
              <w:tr2bl w:val="nil"/>
            </w:tcBorders>
            <w:vAlign w:val="center"/>
          </w:tcPr>
          <w:p w14:paraId="25284F6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51" w:type="pct"/>
            <w:tcBorders>
              <w:tl2br w:val="nil"/>
              <w:tr2bl w:val="nil"/>
            </w:tcBorders>
            <w:vAlign w:val="center"/>
          </w:tcPr>
          <w:p w14:paraId="237B73BF">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r>
      <w:tr w14:paraId="49EB33F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420" w:type="pct"/>
            <w:tcBorders>
              <w:tl2br w:val="nil"/>
              <w:tr2bl w:val="nil"/>
            </w:tcBorders>
            <w:vAlign w:val="center"/>
          </w:tcPr>
          <w:p w14:paraId="1DD4959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运营期</w:t>
            </w:r>
          </w:p>
        </w:tc>
        <w:tc>
          <w:tcPr>
            <w:tcW w:w="599" w:type="pct"/>
            <w:tcBorders>
              <w:tl2br w:val="nil"/>
              <w:tr2bl w:val="nil"/>
            </w:tcBorders>
            <w:vAlign w:val="center"/>
          </w:tcPr>
          <w:p w14:paraId="6241DB1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600" w:type="pct"/>
            <w:tcBorders>
              <w:tl2br w:val="nil"/>
              <w:tr2bl w:val="nil"/>
            </w:tcBorders>
            <w:vAlign w:val="center"/>
          </w:tcPr>
          <w:p w14:paraId="2F5FD4E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13" w:type="pct"/>
            <w:tcBorders>
              <w:tl2br w:val="nil"/>
              <w:tr2bl w:val="nil"/>
            </w:tcBorders>
            <w:vAlign w:val="center"/>
          </w:tcPr>
          <w:p w14:paraId="703636B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15" w:type="pct"/>
            <w:tcBorders>
              <w:tl2br w:val="nil"/>
              <w:tr2bl w:val="nil"/>
            </w:tcBorders>
            <w:vAlign w:val="center"/>
          </w:tcPr>
          <w:p w14:paraId="55E5B65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600" w:type="pct"/>
            <w:tcBorders>
              <w:tl2br w:val="nil"/>
              <w:tr2bl w:val="nil"/>
            </w:tcBorders>
            <w:vAlign w:val="center"/>
          </w:tcPr>
          <w:p w14:paraId="1676580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99" w:type="pct"/>
            <w:tcBorders>
              <w:tl2br w:val="nil"/>
              <w:tr2bl w:val="nil"/>
            </w:tcBorders>
            <w:vAlign w:val="center"/>
          </w:tcPr>
          <w:p w14:paraId="4732D9D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99" w:type="pct"/>
            <w:tcBorders>
              <w:tl2br w:val="nil"/>
              <w:tr2bl w:val="nil"/>
            </w:tcBorders>
            <w:vAlign w:val="center"/>
          </w:tcPr>
          <w:p w14:paraId="2972AA8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51" w:type="pct"/>
            <w:tcBorders>
              <w:tl2br w:val="nil"/>
              <w:tr2bl w:val="nil"/>
            </w:tcBorders>
            <w:vAlign w:val="center"/>
          </w:tcPr>
          <w:p w14:paraId="0B23940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r>
      <w:tr w14:paraId="5A20F19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420" w:type="pct"/>
            <w:tcBorders>
              <w:tl2br w:val="nil"/>
              <w:tr2bl w:val="nil"/>
            </w:tcBorders>
            <w:vAlign w:val="center"/>
          </w:tcPr>
          <w:p w14:paraId="5C13A21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服务期 满后</w:t>
            </w:r>
          </w:p>
        </w:tc>
        <w:tc>
          <w:tcPr>
            <w:tcW w:w="599" w:type="pct"/>
            <w:tcBorders>
              <w:tl2br w:val="nil"/>
              <w:tr2bl w:val="nil"/>
            </w:tcBorders>
            <w:vAlign w:val="center"/>
          </w:tcPr>
          <w:p w14:paraId="5A422F2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600" w:type="pct"/>
            <w:tcBorders>
              <w:tl2br w:val="nil"/>
              <w:tr2bl w:val="nil"/>
            </w:tcBorders>
            <w:vAlign w:val="center"/>
          </w:tcPr>
          <w:p w14:paraId="3761D62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13" w:type="pct"/>
            <w:tcBorders>
              <w:tl2br w:val="nil"/>
              <w:tr2bl w:val="nil"/>
            </w:tcBorders>
            <w:vAlign w:val="center"/>
          </w:tcPr>
          <w:p w14:paraId="329CCEA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15" w:type="pct"/>
            <w:tcBorders>
              <w:tl2br w:val="nil"/>
              <w:tr2bl w:val="nil"/>
            </w:tcBorders>
            <w:vAlign w:val="center"/>
          </w:tcPr>
          <w:p w14:paraId="3019E7C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600" w:type="pct"/>
            <w:tcBorders>
              <w:tl2br w:val="nil"/>
              <w:tr2bl w:val="nil"/>
            </w:tcBorders>
            <w:vAlign w:val="center"/>
          </w:tcPr>
          <w:p w14:paraId="0644490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99" w:type="pct"/>
            <w:tcBorders>
              <w:tl2br w:val="nil"/>
              <w:tr2bl w:val="nil"/>
            </w:tcBorders>
            <w:vAlign w:val="center"/>
          </w:tcPr>
          <w:p w14:paraId="770D52F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99" w:type="pct"/>
            <w:tcBorders>
              <w:tl2br w:val="nil"/>
              <w:tr2bl w:val="nil"/>
            </w:tcBorders>
            <w:vAlign w:val="center"/>
          </w:tcPr>
          <w:p w14:paraId="5CA0809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c>
          <w:tcPr>
            <w:tcW w:w="551" w:type="pct"/>
            <w:tcBorders>
              <w:tl2br w:val="nil"/>
              <w:tr2bl w:val="nil"/>
            </w:tcBorders>
            <w:vAlign w:val="center"/>
          </w:tcPr>
          <w:p w14:paraId="0B09D36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w:t>
            </w:r>
          </w:p>
        </w:tc>
      </w:tr>
    </w:tbl>
    <w:p w14:paraId="743EBA63">
      <w:pPr>
        <w:ind w:firstLine="56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lang w:val="en-US" w:eastAsia="zh-CN"/>
        </w:rPr>
        <w:t>2、</w:t>
      </w:r>
      <w:r>
        <w:rPr>
          <w:rFonts w:hint="default" w:ascii="Times New Roman" w:hAnsi="Times New Roman" w:cs="Times New Roman"/>
          <w:b/>
          <w:bCs/>
          <w:color w:val="auto"/>
          <w:sz w:val="24"/>
          <w:szCs w:val="24"/>
          <w:highlight w:val="none"/>
        </w:rPr>
        <w:t>土壤环境影响源及影响因子识别</w:t>
      </w:r>
    </w:p>
    <w:p w14:paraId="7799517D">
      <w:pPr>
        <w:ind w:firstLine="560"/>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本项目土壤环境影响源及影响因子见下表。</w:t>
      </w:r>
    </w:p>
    <w:p w14:paraId="47E90769">
      <w:pPr>
        <w:spacing w:line="240" w:lineRule="auto"/>
        <w:ind w:firstLine="420" w:firstLineChars="200"/>
        <w:jc w:val="center"/>
        <w:rPr>
          <w:rFonts w:hint="default" w:ascii="Times New Roman" w:hAnsi="Times New Roman" w:cs="Times New Roman"/>
          <w:b/>
          <w:color w:val="auto"/>
          <w:highlight w:val="none"/>
        </w:rPr>
      </w:pPr>
      <w:r>
        <w:rPr>
          <w:rFonts w:hint="default" w:ascii="Times New Roman" w:hAnsi="Times New Roman" w:cs="Times New Roman"/>
          <w:b/>
          <w:bCs/>
          <w:color w:val="auto"/>
          <w:szCs w:val="21"/>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6.6</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2</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szCs w:val="21"/>
          <w:highlight w:val="none"/>
        </w:rPr>
        <w:t xml:space="preserve">  </w:t>
      </w:r>
      <w:r>
        <w:rPr>
          <w:rFonts w:hint="default" w:ascii="Times New Roman" w:hAnsi="Times New Roman" w:cs="Times New Roman"/>
          <w:b/>
          <w:color w:val="auto"/>
          <w:highlight w:val="none"/>
        </w:rPr>
        <w:t xml:space="preserve"> 污染影响型建设项目土壤环境影响源及影响因子识别表</w:t>
      </w:r>
    </w:p>
    <w:tbl>
      <w:tblPr>
        <w:tblStyle w:val="35"/>
        <w:tblW w:w="4877" w:type="pct"/>
        <w:tblInd w:w="12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207"/>
        <w:gridCol w:w="1553"/>
        <w:gridCol w:w="1399"/>
        <w:gridCol w:w="2183"/>
        <w:gridCol w:w="1705"/>
        <w:gridCol w:w="1013"/>
      </w:tblGrid>
      <w:tr w14:paraId="0EB1D7E2">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66" w:type="pct"/>
            <w:noWrap w:val="0"/>
            <w:vAlign w:val="center"/>
          </w:tcPr>
          <w:p w14:paraId="4E62317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污染源</w:t>
            </w:r>
          </w:p>
        </w:tc>
        <w:tc>
          <w:tcPr>
            <w:tcW w:w="857" w:type="pct"/>
            <w:noWrap w:val="0"/>
            <w:vAlign w:val="center"/>
          </w:tcPr>
          <w:p w14:paraId="1038E8F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工艺流程/节点</w:t>
            </w:r>
          </w:p>
        </w:tc>
        <w:tc>
          <w:tcPr>
            <w:tcW w:w="772" w:type="pct"/>
            <w:noWrap w:val="0"/>
            <w:vAlign w:val="center"/>
          </w:tcPr>
          <w:p w14:paraId="64C0CB6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污染途径</w:t>
            </w:r>
          </w:p>
        </w:tc>
        <w:tc>
          <w:tcPr>
            <w:tcW w:w="1205" w:type="pct"/>
            <w:noWrap w:val="0"/>
            <w:vAlign w:val="center"/>
          </w:tcPr>
          <w:p w14:paraId="3C922FC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全部污染物指标a</w:t>
            </w:r>
          </w:p>
        </w:tc>
        <w:tc>
          <w:tcPr>
            <w:tcW w:w="941" w:type="pct"/>
            <w:noWrap w:val="0"/>
            <w:vAlign w:val="center"/>
          </w:tcPr>
          <w:p w14:paraId="2F40775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特征因子</w:t>
            </w:r>
          </w:p>
        </w:tc>
        <w:tc>
          <w:tcPr>
            <w:tcW w:w="555" w:type="pct"/>
            <w:noWrap w:val="0"/>
            <w:vAlign w:val="center"/>
          </w:tcPr>
          <w:p w14:paraId="7AF8AF3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
                <w:bCs/>
                <w:color w:val="auto"/>
                <w:sz w:val="20"/>
                <w:szCs w:val="20"/>
                <w:highlight w:val="none"/>
              </w:rPr>
            </w:pPr>
            <w:r>
              <w:rPr>
                <w:rFonts w:hint="default" w:ascii="Times New Roman" w:hAnsi="Times New Roman" w:cs="Times New Roman"/>
                <w:b/>
                <w:bCs/>
                <w:color w:val="auto"/>
                <w:sz w:val="20"/>
                <w:szCs w:val="20"/>
                <w:highlight w:val="none"/>
              </w:rPr>
              <w:t>备注b</w:t>
            </w:r>
          </w:p>
        </w:tc>
      </w:tr>
      <w:tr w14:paraId="4DDAD8C7">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66" w:type="pct"/>
            <w:vMerge w:val="restart"/>
            <w:noWrap w:val="0"/>
            <w:vAlign w:val="center"/>
          </w:tcPr>
          <w:p w14:paraId="5B44C4A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rPr>
            </w:pPr>
            <w:r>
              <w:rPr>
                <w:rFonts w:hint="eastAsia" w:ascii="Times New Roman" w:hAnsi="Times New Roman" w:eastAsia="宋体" w:cs="Times New Roman"/>
                <w:color w:val="auto"/>
                <w:sz w:val="20"/>
                <w:szCs w:val="20"/>
                <w:highlight w:val="none"/>
                <w:lang w:val="en-US" w:eastAsia="zh-CN"/>
              </w:rPr>
              <w:t>生产车间、驻村设施、环保设施等</w:t>
            </w:r>
          </w:p>
        </w:tc>
        <w:tc>
          <w:tcPr>
            <w:tcW w:w="857" w:type="pct"/>
            <w:noWrap w:val="0"/>
            <w:vAlign w:val="center"/>
          </w:tcPr>
          <w:p w14:paraId="13D8B3F1">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废气处理设施</w:t>
            </w:r>
          </w:p>
        </w:tc>
        <w:tc>
          <w:tcPr>
            <w:tcW w:w="772" w:type="pct"/>
            <w:noWrap w:val="0"/>
            <w:vAlign w:val="center"/>
          </w:tcPr>
          <w:p w14:paraId="4826467D">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大气沉降</w:t>
            </w:r>
          </w:p>
        </w:tc>
        <w:tc>
          <w:tcPr>
            <w:tcW w:w="1205" w:type="pct"/>
            <w:noWrap w:val="0"/>
            <w:vAlign w:val="center"/>
          </w:tcPr>
          <w:p w14:paraId="03A51199">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PM</w:t>
            </w:r>
            <w:r>
              <w:rPr>
                <w:rFonts w:hint="default" w:ascii="Times New Roman" w:hAnsi="Times New Roman" w:cs="Times New Roman"/>
                <w:color w:val="auto"/>
                <w:sz w:val="20"/>
                <w:szCs w:val="20"/>
                <w:highlight w:val="none"/>
                <w:vertAlign w:val="subscript"/>
                <w:lang w:val="en-US" w:eastAsia="zh-CN"/>
              </w:rPr>
              <w:t>10</w:t>
            </w:r>
            <w:r>
              <w:rPr>
                <w:rFonts w:hint="default" w:ascii="Times New Roman" w:hAnsi="Times New Roman" w:cs="Times New Roman"/>
                <w:color w:val="auto"/>
                <w:sz w:val="20"/>
                <w:szCs w:val="20"/>
                <w:highlight w:val="none"/>
                <w:lang w:val="en-US" w:eastAsia="zh-CN"/>
              </w:rPr>
              <w:t>、SO</w:t>
            </w:r>
            <w:r>
              <w:rPr>
                <w:rFonts w:hint="default" w:ascii="Times New Roman" w:hAnsi="Times New Roman" w:cs="Times New Roman"/>
                <w:color w:val="auto"/>
                <w:sz w:val="20"/>
                <w:szCs w:val="20"/>
                <w:highlight w:val="none"/>
                <w:vertAlign w:val="subscript"/>
                <w:lang w:val="en-US" w:eastAsia="zh-CN"/>
              </w:rPr>
              <w:t>2</w:t>
            </w:r>
            <w:r>
              <w:rPr>
                <w:rFonts w:hint="default" w:ascii="Times New Roman" w:hAnsi="Times New Roman" w:cs="Times New Roman"/>
                <w:color w:val="auto"/>
                <w:sz w:val="20"/>
                <w:szCs w:val="20"/>
                <w:highlight w:val="none"/>
                <w:lang w:val="en-US" w:eastAsia="zh-CN"/>
              </w:rPr>
              <w:t>、NOx、 CO、HCl、HF、Hg、Cd、Pb、As、Cr</w:t>
            </w:r>
            <w:r>
              <w:rPr>
                <w:rFonts w:hint="default" w:ascii="Times New Roman" w:hAnsi="Times New Roman" w:cs="Times New Roman"/>
                <w:color w:val="auto"/>
                <w:sz w:val="20"/>
                <w:szCs w:val="20"/>
                <w:highlight w:val="none"/>
                <w:vertAlign w:val="superscript"/>
                <w:lang w:val="en-US" w:eastAsia="zh-CN"/>
              </w:rPr>
              <w:t>6+</w:t>
            </w:r>
            <w:r>
              <w:rPr>
                <w:rFonts w:hint="default" w:ascii="Times New Roman" w:hAnsi="Times New Roman" w:cs="Times New Roman"/>
                <w:color w:val="auto"/>
                <w:sz w:val="20"/>
                <w:szCs w:val="20"/>
                <w:highlight w:val="none"/>
                <w:lang w:val="en-US" w:eastAsia="zh-CN"/>
              </w:rPr>
              <w:t>、其他重金属、二噁英</w:t>
            </w:r>
          </w:p>
        </w:tc>
        <w:tc>
          <w:tcPr>
            <w:tcW w:w="941" w:type="pct"/>
            <w:noWrap w:val="0"/>
            <w:vAlign w:val="center"/>
          </w:tcPr>
          <w:p w14:paraId="6424893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lang w:val="en-US" w:eastAsia="zh-CN"/>
              </w:rPr>
              <w:t>Hg、Cd、Pb、As、Cr</w:t>
            </w:r>
            <w:r>
              <w:rPr>
                <w:rFonts w:hint="default" w:ascii="Times New Roman" w:hAnsi="Times New Roman" w:cs="Times New Roman"/>
                <w:color w:val="auto"/>
                <w:sz w:val="20"/>
                <w:szCs w:val="20"/>
                <w:highlight w:val="none"/>
                <w:vertAlign w:val="superscript"/>
                <w:lang w:val="en-US" w:eastAsia="zh-CN"/>
              </w:rPr>
              <w:t>6+</w:t>
            </w:r>
            <w:r>
              <w:rPr>
                <w:rFonts w:hint="default" w:ascii="Times New Roman" w:hAnsi="Times New Roman" w:cs="Times New Roman"/>
                <w:color w:val="auto"/>
                <w:sz w:val="20"/>
                <w:szCs w:val="20"/>
                <w:highlight w:val="none"/>
                <w:lang w:val="en-US" w:eastAsia="zh-CN"/>
              </w:rPr>
              <w:t>、其他重金属、二噁英</w:t>
            </w:r>
          </w:p>
        </w:tc>
        <w:tc>
          <w:tcPr>
            <w:tcW w:w="555" w:type="pct"/>
            <w:noWrap w:val="0"/>
            <w:vAlign w:val="center"/>
          </w:tcPr>
          <w:p w14:paraId="7981804A">
            <w:pPr>
              <w:keepNext w:val="0"/>
              <w:keepLines w:val="0"/>
              <w:suppressLineNumbers w:val="0"/>
              <w:spacing w:before="0" w:beforeAutospacing="0" w:after="0" w:afterAutospacing="0" w:line="240" w:lineRule="auto"/>
              <w:ind w:left="0" w:right="0"/>
              <w:jc w:val="center"/>
              <w:rPr>
                <w:rFonts w:hint="eastAsia" w:ascii="Times New Roman" w:hAnsi="Times New Roman" w:cs="Times New Roman" w:eastAsiaTheme="minorEastAsia"/>
                <w:color w:val="auto"/>
                <w:sz w:val="20"/>
                <w:szCs w:val="20"/>
                <w:highlight w:val="none"/>
                <w:lang w:eastAsia="zh-CN"/>
              </w:rPr>
            </w:pPr>
            <w:r>
              <w:rPr>
                <w:rFonts w:hint="eastAsia" w:ascii="Times New Roman" w:hAnsi="Times New Roman" w:cs="Times New Roman"/>
                <w:color w:val="auto"/>
                <w:sz w:val="20"/>
                <w:szCs w:val="20"/>
                <w:highlight w:val="none"/>
                <w:lang w:val="en-US" w:eastAsia="zh-CN"/>
              </w:rPr>
              <w:t>连续</w:t>
            </w:r>
          </w:p>
        </w:tc>
      </w:tr>
      <w:tr w14:paraId="2F2ED8C6">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66" w:type="pct"/>
            <w:vMerge w:val="continue"/>
            <w:noWrap w:val="0"/>
            <w:vAlign w:val="center"/>
          </w:tcPr>
          <w:p w14:paraId="0FE0D7DE">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857" w:type="pct"/>
            <w:noWrap w:val="0"/>
            <w:vAlign w:val="center"/>
          </w:tcPr>
          <w:p w14:paraId="2D2030DF">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废水处理设施</w:t>
            </w:r>
          </w:p>
        </w:tc>
        <w:tc>
          <w:tcPr>
            <w:tcW w:w="772" w:type="pct"/>
            <w:noWrap w:val="0"/>
            <w:vAlign w:val="center"/>
          </w:tcPr>
          <w:p w14:paraId="7E969ED5">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地表漫流</w:t>
            </w:r>
          </w:p>
        </w:tc>
        <w:tc>
          <w:tcPr>
            <w:tcW w:w="1205" w:type="pct"/>
            <w:noWrap w:val="0"/>
            <w:vAlign w:val="center"/>
          </w:tcPr>
          <w:p w14:paraId="6AB99752">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COD</w:t>
            </w:r>
            <w:r>
              <w:rPr>
                <w:rFonts w:hint="default" w:ascii="Times New Roman" w:hAnsi="Times New Roman" w:cs="Times New Roman"/>
                <w:color w:val="auto"/>
                <w:sz w:val="20"/>
                <w:szCs w:val="20"/>
                <w:highlight w:val="none"/>
                <w:vertAlign w:val="subscript"/>
                <w:lang w:val="en-US" w:eastAsia="zh-CN"/>
              </w:rPr>
              <w:t>Cr</w:t>
            </w:r>
            <w:r>
              <w:rPr>
                <w:rFonts w:hint="default" w:ascii="Times New Roman" w:hAnsi="Times New Roman" w:cs="Times New Roman"/>
                <w:color w:val="auto"/>
                <w:sz w:val="20"/>
                <w:szCs w:val="20"/>
                <w:highlight w:val="none"/>
                <w:lang w:val="en-US" w:eastAsia="zh-CN"/>
              </w:rPr>
              <w:t>、BOD</w:t>
            </w:r>
            <w:r>
              <w:rPr>
                <w:rFonts w:hint="default" w:ascii="Times New Roman" w:hAnsi="Times New Roman" w:cs="Times New Roman"/>
                <w:color w:val="auto"/>
                <w:sz w:val="20"/>
                <w:szCs w:val="20"/>
                <w:highlight w:val="none"/>
                <w:vertAlign w:val="subscript"/>
                <w:lang w:val="en-US" w:eastAsia="zh-CN"/>
              </w:rPr>
              <w:t>5</w:t>
            </w:r>
            <w:r>
              <w:rPr>
                <w:rFonts w:hint="default" w:ascii="Times New Roman" w:hAnsi="Times New Roman" w:cs="Times New Roman"/>
                <w:color w:val="auto"/>
                <w:sz w:val="20"/>
                <w:szCs w:val="20"/>
                <w:highlight w:val="none"/>
                <w:lang w:val="en-US" w:eastAsia="zh-CN"/>
              </w:rPr>
              <w:t>、Pb、Hg、Cd、As、其他重金属</w:t>
            </w:r>
          </w:p>
        </w:tc>
        <w:tc>
          <w:tcPr>
            <w:tcW w:w="941" w:type="pct"/>
            <w:noWrap w:val="0"/>
            <w:vAlign w:val="center"/>
          </w:tcPr>
          <w:p w14:paraId="6FEFC820">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lang w:val="en-US" w:eastAsia="zh-CN"/>
              </w:rPr>
              <w:t>COD</w:t>
            </w:r>
            <w:r>
              <w:rPr>
                <w:rFonts w:hint="default" w:ascii="Times New Roman" w:hAnsi="Times New Roman" w:cs="Times New Roman"/>
                <w:color w:val="auto"/>
                <w:sz w:val="20"/>
                <w:szCs w:val="20"/>
                <w:highlight w:val="none"/>
                <w:vertAlign w:val="subscript"/>
                <w:lang w:val="en-US" w:eastAsia="zh-CN"/>
              </w:rPr>
              <w:t>Cr</w:t>
            </w:r>
            <w:r>
              <w:rPr>
                <w:rFonts w:hint="default" w:ascii="Times New Roman" w:hAnsi="Times New Roman" w:cs="Times New Roman"/>
                <w:color w:val="auto"/>
                <w:sz w:val="20"/>
                <w:szCs w:val="20"/>
                <w:highlight w:val="none"/>
                <w:lang w:val="en-US" w:eastAsia="zh-CN"/>
              </w:rPr>
              <w:t>、BOD</w:t>
            </w:r>
            <w:r>
              <w:rPr>
                <w:rFonts w:hint="default" w:ascii="Times New Roman" w:hAnsi="Times New Roman" w:cs="Times New Roman"/>
                <w:color w:val="auto"/>
                <w:sz w:val="20"/>
                <w:szCs w:val="20"/>
                <w:highlight w:val="none"/>
                <w:vertAlign w:val="subscript"/>
                <w:lang w:val="en-US" w:eastAsia="zh-CN"/>
              </w:rPr>
              <w:t>5</w:t>
            </w:r>
            <w:r>
              <w:rPr>
                <w:rFonts w:hint="default" w:ascii="Times New Roman" w:hAnsi="Times New Roman" w:cs="Times New Roman"/>
                <w:color w:val="auto"/>
                <w:sz w:val="20"/>
                <w:szCs w:val="20"/>
                <w:highlight w:val="none"/>
                <w:lang w:val="en-US" w:eastAsia="zh-CN"/>
              </w:rPr>
              <w:t>、Pb、Hg、Cd、As、其他重金属</w:t>
            </w:r>
          </w:p>
        </w:tc>
        <w:tc>
          <w:tcPr>
            <w:tcW w:w="555" w:type="pct"/>
            <w:noWrap w:val="0"/>
            <w:vAlign w:val="center"/>
          </w:tcPr>
          <w:p w14:paraId="35248053">
            <w:pPr>
              <w:keepNext w:val="0"/>
              <w:keepLines w:val="0"/>
              <w:suppressLineNumbers w:val="0"/>
              <w:spacing w:before="0" w:beforeAutospacing="0" w:after="0" w:afterAutospacing="0" w:line="240" w:lineRule="auto"/>
              <w:ind w:left="0" w:right="0"/>
              <w:jc w:val="center"/>
              <w:rPr>
                <w:rFonts w:hint="eastAsia" w:ascii="Times New Roman" w:hAnsi="Times New Roman" w:cs="Times New Roman" w:eastAsiaTheme="minorEastAsia"/>
                <w:color w:val="auto"/>
                <w:sz w:val="20"/>
                <w:szCs w:val="20"/>
                <w:highlight w:val="none"/>
                <w:lang w:val="en-US" w:eastAsia="zh-CN"/>
              </w:rPr>
            </w:pPr>
            <w:r>
              <w:rPr>
                <w:rFonts w:hint="eastAsia" w:ascii="Times New Roman" w:hAnsi="Times New Roman" w:cs="Times New Roman"/>
                <w:color w:val="auto"/>
                <w:sz w:val="20"/>
                <w:szCs w:val="20"/>
                <w:highlight w:val="none"/>
                <w:lang w:val="en-US" w:eastAsia="zh-CN"/>
              </w:rPr>
              <w:t>事故</w:t>
            </w:r>
          </w:p>
        </w:tc>
      </w:tr>
      <w:tr w14:paraId="3B219918">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666" w:type="pct"/>
            <w:vMerge w:val="continue"/>
            <w:noWrap w:val="0"/>
            <w:vAlign w:val="center"/>
          </w:tcPr>
          <w:p w14:paraId="05E3AC4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p>
        </w:tc>
        <w:tc>
          <w:tcPr>
            <w:tcW w:w="857" w:type="pct"/>
            <w:noWrap w:val="0"/>
            <w:vAlign w:val="center"/>
          </w:tcPr>
          <w:p w14:paraId="47EE2944">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地下水防渗设施</w:t>
            </w:r>
          </w:p>
        </w:tc>
        <w:tc>
          <w:tcPr>
            <w:tcW w:w="772" w:type="pct"/>
            <w:noWrap w:val="0"/>
            <w:vAlign w:val="center"/>
          </w:tcPr>
          <w:p w14:paraId="643AE5F8">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垂直入渗</w:t>
            </w:r>
          </w:p>
        </w:tc>
        <w:tc>
          <w:tcPr>
            <w:tcW w:w="1205" w:type="pct"/>
            <w:noWrap w:val="0"/>
            <w:vAlign w:val="center"/>
          </w:tcPr>
          <w:p w14:paraId="5CCD390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lang w:val="en-US" w:eastAsia="zh-CN"/>
              </w:rPr>
            </w:pPr>
            <w:r>
              <w:rPr>
                <w:rFonts w:hint="default" w:ascii="Times New Roman" w:hAnsi="Times New Roman" w:cs="Times New Roman"/>
                <w:color w:val="auto"/>
                <w:sz w:val="20"/>
                <w:szCs w:val="20"/>
                <w:highlight w:val="none"/>
                <w:lang w:val="en-US" w:eastAsia="zh-CN"/>
              </w:rPr>
              <w:t>COD</w:t>
            </w:r>
            <w:r>
              <w:rPr>
                <w:rFonts w:hint="default" w:ascii="Times New Roman" w:hAnsi="Times New Roman" w:cs="Times New Roman"/>
                <w:color w:val="auto"/>
                <w:sz w:val="20"/>
                <w:szCs w:val="20"/>
                <w:highlight w:val="none"/>
                <w:vertAlign w:val="subscript"/>
                <w:lang w:val="en-US" w:eastAsia="zh-CN"/>
              </w:rPr>
              <w:t>Cr</w:t>
            </w:r>
            <w:r>
              <w:rPr>
                <w:rFonts w:hint="default" w:ascii="Times New Roman" w:hAnsi="Times New Roman" w:cs="Times New Roman"/>
                <w:color w:val="auto"/>
                <w:sz w:val="20"/>
                <w:szCs w:val="20"/>
                <w:highlight w:val="none"/>
                <w:lang w:val="en-US" w:eastAsia="zh-CN"/>
              </w:rPr>
              <w:t>、BOD</w:t>
            </w:r>
            <w:r>
              <w:rPr>
                <w:rFonts w:hint="default" w:ascii="Times New Roman" w:hAnsi="Times New Roman" w:cs="Times New Roman"/>
                <w:color w:val="auto"/>
                <w:sz w:val="20"/>
                <w:szCs w:val="20"/>
                <w:highlight w:val="none"/>
                <w:vertAlign w:val="subscript"/>
                <w:lang w:val="en-US" w:eastAsia="zh-CN"/>
              </w:rPr>
              <w:t>5</w:t>
            </w:r>
            <w:r>
              <w:rPr>
                <w:rFonts w:hint="default" w:ascii="Times New Roman" w:hAnsi="Times New Roman" w:cs="Times New Roman"/>
                <w:color w:val="auto"/>
                <w:sz w:val="20"/>
                <w:szCs w:val="20"/>
                <w:highlight w:val="none"/>
                <w:lang w:val="en-US" w:eastAsia="zh-CN"/>
              </w:rPr>
              <w:t>、Pb、Hg、Cd、As、其他重金属</w:t>
            </w:r>
          </w:p>
        </w:tc>
        <w:tc>
          <w:tcPr>
            <w:tcW w:w="941" w:type="pct"/>
            <w:noWrap w:val="0"/>
            <w:vAlign w:val="center"/>
          </w:tcPr>
          <w:p w14:paraId="53893EA7">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lang w:val="en-US" w:eastAsia="zh-CN"/>
              </w:rPr>
              <w:t>COD</w:t>
            </w:r>
            <w:r>
              <w:rPr>
                <w:rFonts w:hint="default" w:ascii="Times New Roman" w:hAnsi="Times New Roman" w:cs="Times New Roman"/>
                <w:color w:val="auto"/>
                <w:sz w:val="20"/>
                <w:szCs w:val="20"/>
                <w:highlight w:val="none"/>
                <w:vertAlign w:val="subscript"/>
                <w:lang w:val="en-US" w:eastAsia="zh-CN"/>
              </w:rPr>
              <w:t>Cr</w:t>
            </w:r>
            <w:r>
              <w:rPr>
                <w:rFonts w:hint="default" w:ascii="Times New Roman" w:hAnsi="Times New Roman" w:cs="Times New Roman"/>
                <w:color w:val="auto"/>
                <w:sz w:val="20"/>
                <w:szCs w:val="20"/>
                <w:highlight w:val="none"/>
                <w:lang w:val="en-US" w:eastAsia="zh-CN"/>
              </w:rPr>
              <w:t>、BOD</w:t>
            </w:r>
            <w:r>
              <w:rPr>
                <w:rFonts w:hint="default" w:ascii="Times New Roman" w:hAnsi="Times New Roman" w:cs="Times New Roman"/>
                <w:color w:val="auto"/>
                <w:sz w:val="20"/>
                <w:szCs w:val="20"/>
                <w:highlight w:val="none"/>
                <w:vertAlign w:val="subscript"/>
                <w:lang w:val="en-US" w:eastAsia="zh-CN"/>
              </w:rPr>
              <w:t>5</w:t>
            </w:r>
            <w:r>
              <w:rPr>
                <w:rFonts w:hint="default" w:ascii="Times New Roman" w:hAnsi="Times New Roman" w:cs="Times New Roman"/>
                <w:color w:val="auto"/>
                <w:sz w:val="20"/>
                <w:szCs w:val="20"/>
                <w:highlight w:val="none"/>
                <w:lang w:val="en-US" w:eastAsia="zh-CN"/>
              </w:rPr>
              <w:t>、Pb、Hg、Cd、As、其他重金属</w:t>
            </w:r>
          </w:p>
        </w:tc>
        <w:tc>
          <w:tcPr>
            <w:tcW w:w="555" w:type="pct"/>
            <w:noWrap w:val="0"/>
            <w:vAlign w:val="center"/>
          </w:tcPr>
          <w:p w14:paraId="7A8B5510">
            <w:pPr>
              <w:keepNext w:val="0"/>
              <w:keepLines w:val="0"/>
              <w:suppressLineNumbers w:val="0"/>
              <w:spacing w:before="0" w:beforeAutospacing="0" w:after="0" w:afterAutospacing="0" w:line="240" w:lineRule="auto"/>
              <w:ind w:left="0" w:right="0"/>
              <w:jc w:val="center"/>
              <w:rPr>
                <w:rFonts w:hint="eastAsia" w:ascii="Times New Roman" w:hAnsi="Times New Roman" w:cs="Times New Roman" w:eastAsiaTheme="minorEastAsia"/>
                <w:color w:val="auto"/>
                <w:sz w:val="20"/>
                <w:szCs w:val="20"/>
                <w:highlight w:val="none"/>
                <w:lang w:val="en-US" w:eastAsia="zh-CN"/>
              </w:rPr>
            </w:pPr>
            <w:r>
              <w:rPr>
                <w:rFonts w:hint="eastAsia" w:ascii="Times New Roman" w:hAnsi="Times New Roman" w:cs="Times New Roman"/>
                <w:color w:val="auto"/>
                <w:sz w:val="20"/>
                <w:szCs w:val="20"/>
                <w:highlight w:val="none"/>
                <w:lang w:val="en-US" w:eastAsia="zh-CN"/>
              </w:rPr>
              <w:t>事故</w:t>
            </w:r>
          </w:p>
        </w:tc>
      </w:tr>
      <w:tr w14:paraId="150FE720">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5000" w:type="pct"/>
            <w:gridSpan w:val="6"/>
            <w:noWrap w:val="0"/>
            <w:vAlign w:val="center"/>
          </w:tcPr>
          <w:p w14:paraId="559DA0D1">
            <w:pPr>
              <w:keepNext w:val="0"/>
              <w:keepLines w:val="0"/>
              <w:suppressLineNumbers w:val="0"/>
              <w:spacing w:before="0" w:beforeAutospacing="0" w:after="0" w:afterAutospacing="0" w:line="240" w:lineRule="auto"/>
              <w:ind w:left="0" w:right="0"/>
              <w:jc w:val="both"/>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a根据工程分析结果填写</w:t>
            </w:r>
          </w:p>
          <w:p w14:paraId="09EC46DB">
            <w:pPr>
              <w:keepNext w:val="0"/>
              <w:keepLines w:val="0"/>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rPr>
            </w:pPr>
            <w:r>
              <w:rPr>
                <w:rFonts w:hint="default" w:ascii="Times New Roman" w:hAnsi="Times New Roman" w:cs="Times New Roman"/>
                <w:color w:val="auto"/>
                <w:sz w:val="20"/>
                <w:szCs w:val="20"/>
                <w:highlight w:val="none"/>
              </w:rPr>
              <w:t>b应描述污染源特征，如连续、间断、正常、事故等；设计大气沉降途径的，应识别建设项目周边的土壤敏感目标</w:t>
            </w:r>
          </w:p>
        </w:tc>
      </w:tr>
    </w:tbl>
    <w:p w14:paraId="65D54BFB">
      <w:pPr>
        <w:pStyle w:val="34"/>
        <w:keepNext w:val="0"/>
        <w:keepLines w:val="0"/>
        <w:pageBreakBefore w:val="0"/>
        <w:widowControl w:val="0"/>
        <w:kinsoku/>
        <w:wordWrap/>
        <w:overflowPunct/>
        <w:topLinePunct w:val="0"/>
        <w:autoSpaceDE/>
        <w:autoSpaceDN/>
        <w:bidi w:val="0"/>
        <w:adjustRightInd/>
        <w:snapToGrid w:val="0"/>
        <w:spacing w:after="0" w:line="360" w:lineRule="auto"/>
        <w:ind w:left="0" w:leftChars="0" w:firstLine="480"/>
        <w:textAlignment w:val="auto"/>
        <w:rPr>
          <w:rFonts w:hint="default" w:ascii="Times New Roman" w:hAnsi="Times New Roman" w:cs="Times New Roman"/>
          <w:color w:val="auto"/>
          <w:sz w:val="24"/>
          <w:szCs w:val="24"/>
          <w:highlight w:val="none"/>
          <w:lang w:val="en-US" w:eastAsia="zh-CN"/>
        </w:rPr>
      </w:pPr>
    </w:p>
    <w:p w14:paraId="26192E48">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土壤环境</w:t>
      </w:r>
      <w:r>
        <w:rPr>
          <w:rFonts w:hint="eastAsia" w:ascii="Times New Roman" w:hAnsi="Times New Roman" w:cs="Times New Roman"/>
          <w:color w:val="auto"/>
          <w:highlight w:val="none"/>
          <w:lang w:val="en-US" w:eastAsia="zh-CN"/>
        </w:rPr>
        <w:t>影响分析</w:t>
      </w:r>
    </w:p>
    <w:p w14:paraId="7F65310B">
      <w:pPr>
        <w:keepNext w:val="0"/>
        <w:keepLines w:val="0"/>
        <w:pageBreakBefore w:val="0"/>
        <w:widowControl w:val="0"/>
        <w:kinsoku/>
        <w:wordWrap/>
        <w:overflowPunct/>
        <w:topLinePunct w:val="0"/>
        <w:autoSpaceDE/>
        <w:autoSpaceDN/>
        <w:bidi w:val="0"/>
        <w:adjustRightInd/>
        <w:snapToGrid w:val="0"/>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正常状况下，本项目车间地面、渗滤液暂存池均采取重点防渗措施，不会对土壤造成严重污染。</w:t>
      </w:r>
    </w:p>
    <w:p w14:paraId="4BC668AD">
      <w:pPr>
        <w:pStyle w:val="5"/>
        <w:pageBreakBefore w:val="0"/>
        <w:widowControl w:val="0"/>
        <w:kinsoku/>
        <w:wordWrap/>
        <w:overflowPunct/>
        <w:topLinePunct w:val="0"/>
        <w:autoSpaceDE/>
        <w:autoSpaceDN/>
        <w:bidi w:val="0"/>
        <w:adjustRightInd/>
        <w:snapToGrid w:val="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垂直入渗</w:t>
      </w:r>
      <w:r>
        <w:rPr>
          <w:rFonts w:hint="eastAsia" w:ascii="Times New Roman" w:hAnsi="Times New Roman" w:cs="Times New Roman"/>
          <w:color w:val="auto"/>
          <w:highlight w:val="none"/>
          <w:lang w:val="en-US" w:eastAsia="zh-CN"/>
        </w:rPr>
        <w:t>对土壤环境的影响分析</w:t>
      </w:r>
    </w:p>
    <w:p w14:paraId="7EFF364E">
      <w:pPr>
        <w:pStyle w:val="34"/>
        <w:keepNext w:val="0"/>
        <w:keepLines w:val="0"/>
        <w:pageBreakBefore w:val="0"/>
        <w:widowControl w:val="0"/>
        <w:numPr>
          <w:ilvl w:val="0"/>
          <w:numId w:val="0"/>
        </w:numPr>
        <w:kinsoku/>
        <w:wordWrap/>
        <w:overflowPunct/>
        <w:topLinePunct w:val="0"/>
        <w:autoSpaceDE/>
        <w:autoSpaceDN/>
        <w:bidi w:val="0"/>
        <w:adjustRightInd/>
        <w:snapToGrid w:val="0"/>
        <w:spacing w:after="0" w:line="360" w:lineRule="auto"/>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对于厂区地下或半地下工程构筑物，在事故情况下，会造成物料、污染物等泄漏，通过垂直入渗途径污染土壤。</w:t>
      </w:r>
      <w:r>
        <w:rPr>
          <w:rFonts w:hint="default" w:ascii="Times New Roman" w:hAnsi="Times New Roman" w:cs="Times New Roman"/>
          <w:color w:val="auto"/>
          <w:sz w:val="24"/>
          <w:szCs w:val="24"/>
          <w:highlight w:val="none"/>
          <w:lang w:val="en-US" w:eastAsia="zh-CN"/>
        </w:rPr>
        <w:t>本项目根据场地特性和项目特征，制定分区防渗</w:t>
      </w:r>
      <w:r>
        <w:rPr>
          <w:rFonts w:hint="eastAsia" w:ascii="Times New Roman" w:hAnsi="Times New Roman" w:cs="Times New Roman"/>
          <w:color w:val="auto"/>
          <w:sz w:val="24"/>
          <w:szCs w:val="24"/>
          <w:highlight w:val="none"/>
          <w:lang w:val="en-US" w:eastAsia="zh-CN"/>
        </w:rPr>
        <w:t>，对重点防渗区域满足</w:t>
      </w:r>
      <w:r>
        <w:rPr>
          <w:rFonts w:hint="default" w:ascii="Times New Roman" w:hAnsi="Times New Roman" w:eastAsia="宋体" w:cs="Times New Roman"/>
          <w:color w:val="auto"/>
          <w:kern w:val="0"/>
          <w:sz w:val="24"/>
          <w:szCs w:val="24"/>
          <w:highlight w:val="none"/>
          <w:lang w:val="en-US" w:eastAsia="zh-CN" w:bidi="ar"/>
        </w:rPr>
        <w:t>等效黏土防渗层 Mb≥6.0m、渗透系数 K≤1.0×10</w:t>
      </w:r>
      <w:r>
        <w:rPr>
          <w:rFonts w:hint="default" w:ascii="Times New Roman" w:hAnsi="Times New Roman" w:eastAsia="宋体" w:cs="Times New Roman"/>
          <w:color w:val="auto"/>
          <w:kern w:val="0"/>
          <w:sz w:val="24"/>
          <w:szCs w:val="24"/>
          <w:highlight w:val="none"/>
          <w:vertAlign w:val="superscript"/>
          <w:lang w:val="en-US" w:eastAsia="zh-CN" w:bidi="ar"/>
        </w:rPr>
        <w:t>-7</w:t>
      </w:r>
      <w:r>
        <w:rPr>
          <w:rFonts w:hint="default" w:ascii="Times New Roman" w:hAnsi="Times New Roman" w:eastAsia="宋体" w:cs="Times New Roman"/>
          <w:color w:val="auto"/>
          <w:kern w:val="0"/>
          <w:sz w:val="24"/>
          <w:szCs w:val="24"/>
          <w:highlight w:val="none"/>
          <w:lang w:val="en-US" w:eastAsia="zh-CN" w:bidi="ar"/>
        </w:rPr>
        <w:t>cm/s</w:t>
      </w:r>
      <w:r>
        <w:rPr>
          <w:rFonts w:hint="eastAsia" w:ascii="Times New Roman" w:hAnsi="Times New Roman" w:eastAsia="宋体" w:cs="Times New Roman"/>
          <w:color w:val="auto"/>
          <w:kern w:val="0"/>
          <w:sz w:val="24"/>
          <w:szCs w:val="24"/>
          <w:highlight w:val="none"/>
          <w:lang w:val="en-US" w:eastAsia="zh-CN" w:bidi="ar"/>
        </w:rPr>
        <w:t>，其中</w:t>
      </w:r>
      <w:r>
        <w:rPr>
          <w:rFonts w:hint="default" w:ascii="Times New Roman" w:hAnsi="Times New Roman" w:eastAsia="宋体" w:cs="Times New Roman"/>
          <w:color w:val="auto"/>
          <w:kern w:val="0"/>
          <w:sz w:val="24"/>
          <w:szCs w:val="24"/>
          <w:highlight w:val="none"/>
          <w:lang w:val="en-US" w:eastAsia="zh-CN" w:bidi="ar"/>
        </w:rPr>
        <w:t>危废暂存间应满足《危险废物贮存污染控制标准》</w:t>
      </w:r>
      <w:r>
        <w:rPr>
          <w:rFonts w:hint="default" w:ascii="Times New Roman" w:hAnsi="Times New Roman" w:cs="Times New Roman"/>
          <w:color w:val="auto"/>
          <w:sz w:val="24"/>
          <w:szCs w:val="24"/>
          <w:highlight w:val="none"/>
        </w:rPr>
        <w:t>（</w:t>
      </w:r>
      <w:r>
        <w:rPr>
          <w:rFonts w:hint="default" w:ascii="Times New Roman" w:hAnsi="Times New Roman" w:eastAsia="宋体" w:cs="Times New Roman"/>
          <w:color w:val="auto"/>
          <w:kern w:val="0"/>
          <w:sz w:val="24"/>
          <w:szCs w:val="24"/>
          <w:highlight w:val="none"/>
          <w:lang w:val="en-US" w:eastAsia="zh-CN" w:bidi="ar"/>
        </w:rPr>
        <w:t>GB18597-2023</w:t>
      </w:r>
      <w:r>
        <w:rPr>
          <w:rFonts w:hint="default" w:ascii="Times New Roman" w:hAnsi="Times New Roman" w:cs="Times New Roman"/>
          <w:color w:val="auto"/>
          <w:sz w:val="24"/>
          <w:szCs w:val="24"/>
          <w:highlight w:val="none"/>
        </w:rPr>
        <w:t>）</w:t>
      </w:r>
      <w:r>
        <w:rPr>
          <w:rFonts w:hint="default" w:ascii="Times New Roman" w:hAnsi="Times New Roman" w:eastAsia="宋体" w:cs="Times New Roman"/>
          <w:color w:val="auto"/>
          <w:kern w:val="0"/>
          <w:sz w:val="24"/>
          <w:szCs w:val="24"/>
          <w:highlight w:val="none"/>
          <w:lang w:val="en-US" w:eastAsia="zh-CN" w:bidi="ar"/>
        </w:rPr>
        <w:t>要求（即渗透系数≤10</w:t>
      </w:r>
      <w:r>
        <w:rPr>
          <w:rFonts w:hint="default" w:ascii="Times New Roman" w:hAnsi="Times New Roman" w:eastAsia="宋体" w:cs="Times New Roman"/>
          <w:color w:val="auto"/>
          <w:kern w:val="0"/>
          <w:sz w:val="24"/>
          <w:szCs w:val="24"/>
          <w:highlight w:val="none"/>
          <w:vertAlign w:val="superscript"/>
          <w:lang w:val="en-US" w:eastAsia="zh-CN" w:bidi="ar"/>
        </w:rPr>
        <w:t>-10</w:t>
      </w:r>
      <w:r>
        <w:rPr>
          <w:rFonts w:hint="default" w:ascii="Times New Roman" w:hAnsi="Times New Roman" w:eastAsia="宋体" w:cs="Times New Roman"/>
          <w:color w:val="auto"/>
          <w:kern w:val="0"/>
          <w:sz w:val="24"/>
          <w:szCs w:val="24"/>
          <w:highlight w:val="none"/>
          <w:lang w:val="en-US" w:eastAsia="zh-CN" w:bidi="ar"/>
        </w:rPr>
        <w:t>cm/s）</w:t>
      </w:r>
      <w:r>
        <w:rPr>
          <w:rFonts w:hint="eastAsia" w:ascii="Times New Roman" w:hAnsi="Times New Roman" w:eastAsia="宋体" w:cs="Times New Roman"/>
          <w:color w:val="auto"/>
          <w:kern w:val="0"/>
          <w:sz w:val="24"/>
          <w:szCs w:val="24"/>
          <w:highlight w:val="none"/>
          <w:lang w:val="en-US" w:eastAsia="zh-CN" w:bidi="ar"/>
        </w:rPr>
        <w:t>一般防渗区域满足</w:t>
      </w:r>
      <w:r>
        <w:rPr>
          <w:rFonts w:hint="default" w:ascii="Times New Roman" w:hAnsi="Times New Roman" w:eastAsia="宋体" w:cs="Times New Roman"/>
          <w:color w:val="auto"/>
          <w:kern w:val="0"/>
          <w:sz w:val="24"/>
          <w:szCs w:val="24"/>
          <w:highlight w:val="none"/>
          <w:lang w:val="en-US" w:eastAsia="zh-CN" w:bidi="ar"/>
        </w:rPr>
        <w:t>等效粘土防渗层Mb≥1.5m，K≤10</w:t>
      </w:r>
      <w:r>
        <w:rPr>
          <w:rFonts w:hint="default" w:ascii="Times New Roman" w:hAnsi="Times New Roman" w:eastAsia="宋体" w:cs="Times New Roman"/>
          <w:color w:val="auto"/>
          <w:kern w:val="0"/>
          <w:sz w:val="24"/>
          <w:szCs w:val="24"/>
          <w:highlight w:val="none"/>
          <w:vertAlign w:val="superscript"/>
          <w:lang w:val="en-US" w:eastAsia="zh-CN" w:bidi="ar"/>
        </w:rPr>
        <w:t>-7</w:t>
      </w:r>
      <w:r>
        <w:rPr>
          <w:rFonts w:hint="default" w:ascii="Times New Roman" w:hAnsi="Times New Roman" w:eastAsia="宋体" w:cs="Times New Roman"/>
          <w:color w:val="auto"/>
          <w:kern w:val="0"/>
          <w:sz w:val="24"/>
          <w:szCs w:val="24"/>
          <w:highlight w:val="none"/>
          <w:lang w:val="en-US" w:eastAsia="zh-CN" w:bidi="ar"/>
        </w:rPr>
        <w:t>cm/s</w:t>
      </w:r>
      <w:r>
        <w:rPr>
          <w:rFonts w:hint="eastAsia" w:ascii="Times New Roman" w:hAnsi="Times New Roman" w:eastAsia="宋体" w:cs="Times New Roman"/>
          <w:color w:val="auto"/>
          <w:kern w:val="0"/>
          <w:sz w:val="24"/>
          <w:szCs w:val="24"/>
          <w:highlight w:val="none"/>
          <w:lang w:val="en-US" w:eastAsia="zh-CN" w:bidi="ar"/>
        </w:rPr>
        <w:t>；简单防渗区要求地面硬化处理。</w:t>
      </w:r>
      <w:r>
        <w:rPr>
          <w:rFonts w:hint="default" w:ascii="Times New Roman" w:hAnsi="Times New Roman" w:cs="Times New Roman"/>
          <w:color w:val="auto"/>
          <w:sz w:val="24"/>
          <w:szCs w:val="24"/>
          <w:highlight w:val="none"/>
          <w:lang w:val="en-US" w:eastAsia="zh-CN"/>
        </w:rPr>
        <w:t>在全面落实分区防渗措施的情况下，物料或污染物的垂直入渗对土壤影响较小</w:t>
      </w:r>
      <w:r>
        <w:rPr>
          <w:rFonts w:hint="eastAsia" w:ascii="Times New Roman" w:hAnsi="Times New Roman" w:cs="Times New Roman"/>
          <w:color w:val="auto"/>
          <w:sz w:val="24"/>
          <w:szCs w:val="24"/>
          <w:highlight w:val="none"/>
          <w:lang w:val="en-US" w:eastAsia="zh-CN"/>
        </w:rPr>
        <w:t>。</w:t>
      </w:r>
    </w:p>
    <w:p w14:paraId="7AB47B76">
      <w:pPr>
        <w:spacing w:beforeLines="0" w:afterLines="0"/>
        <w:ind w:firstLine="480" w:firstLineChars="200"/>
        <w:jc w:val="left"/>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预测结果显示，排入大气环境的镉、铅、汞、砷、二噁英类有机物沉降对土壤均较小，预测叠加结果各因子均满足《土壤环境质量 农用地土壤污染风险管 控标准（试行）》（GB15618-2018）、《土壤环境质量 建设用地土壤污染风险 管控标准（试行）》（GB36600-2018）相对应标准，对周边土壤环境敏感目标影响程度有限，土壤环境影响可以接受。</w:t>
      </w:r>
    </w:p>
    <w:p w14:paraId="0D1FF8A6">
      <w:pPr>
        <w:spacing w:beforeLines="0" w:afterLines="0"/>
        <w:ind w:firstLine="480" w:firstLineChars="200"/>
        <w:jc w:val="left"/>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企业需做好废气污染防治设施的维护及检修，严格做好厂区防渗措施，可从源头上控制项目对区域土壤环境的污染源强，从多方面降低项目建设对土壤环境的影响。并针对可能造成的土壤污染， 本项目从源头控制与过程控制采取相应防治措施，并提出了土壤环境跟踪监测计划。</w:t>
      </w:r>
    </w:p>
    <w:p w14:paraId="68F886EC">
      <w:pPr>
        <w:spacing w:beforeLines="0" w:afterLines="0"/>
        <w:ind w:firstLine="480" w:firstLineChars="200"/>
        <w:jc w:val="left"/>
        <w:rPr>
          <w:rFonts w:hint="eastAsia" w:ascii="Times New Roman" w:hAnsi="Times New Roman" w:eastAsia="宋体" w:cs="Times New Roman"/>
          <w:color w:val="auto"/>
          <w:sz w:val="24"/>
          <w:szCs w:val="24"/>
          <w:highlight w:val="none"/>
          <w:lang w:eastAsia="zh-CN"/>
        </w:rPr>
      </w:pPr>
      <w:r>
        <w:rPr>
          <w:rFonts w:hint="default" w:ascii="Times New Roman" w:hAnsi="Times New Roman" w:eastAsia="宋体" w:cs="Times New Roman"/>
          <w:color w:val="auto"/>
          <w:sz w:val="24"/>
          <w:szCs w:val="24"/>
          <w:highlight w:val="none"/>
        </w:rPr>
        <w:t>本项目在认真落实报告提出的各项土壤及地下水污染防治措施的基础上，对建设场地外土壤环境影响较小，从土壤环境保护角度而言，项目建设可行</w:t>
      </w:r>
      <w:r>
        <w:rPr>
          <w:rFonts w:hint="eastAsia" w:ascii="Times New Roman" w:hAnsi="Times New Roman" w:eastAsia="宋体" w:cs="Times New Roman"/>
          <w:color w:val="auto"/>
          <w:sz w:val="24"/>
          <w:szCs w:val="24"/>
          <w:highlight w:val="none"/>
          <w:lang w:eastAsia="zh-CN"/>
        </w:rPr>
        <w:t>。</w:t>
      </w:r>
    </w:p>
    <w:p w14:paraId="095FAB19">
      <w:pPr>
        <w:pStyle w:val="3"/>
        <w:spacing w:before="156" w:after="156"/>
        <w:rPr>
          <w:rFonts w:hint="default" w:ascii="Times New Roman" w:hAnsi="Times New Roman" w:cs="Times New Roman"/>
          <w:color w:val="auto"/>
          <w:highlight w:val="none"/>
          <w:lang w:val="en-US" w:eastAsia="zh-CN"/>
        </w:rPr>
      </w:pPr>
      <w:bookmarkStart w:id="132" w:name="_Toc30124"/>
      <w:r>
        <w:rPr>
          <w:rFonts w:hint="eastAsia" w:ascii="Times New Roman" w:hAnsi="Times New Roman" w:cs="Times New Roman"/>
          <w:color w:val="auto"/>
          <w:highlight w:val="none"/>
          <w:lang w:val="en-US" w:eastAsia="zh-CN"/>
        </w:rPr>
        <w:t>对植物的影响</w:t>
      </w:r>
      <w:r>
        <w:rPr>
          <w:rFonts w:hint="default" w:ascii="Times New Roman" w:hAnsi="Times New Roman" w:cs="Times New Roman"/>
          <w:color w:val="auto"/>
          <w:highlight w:val="none"/>
          <w:lang w:val="en-US" w:eastAsia="zh-CN"/>
        </w:rPr>
        <w:t>分析</w:t>
      </w:r>
      <w:bookmarkEnd w:id="132"/>
    </w:p>
    <w:p w14:paraId="7A7DBAE0">
      <w:pPr>
        <w:pStyle w:val="14"/>
        <w:spacing w:before="93" w:line="356" w:lineRule="auto"/>
        <w:ind w:left="38" w:firstLine="9"/>
        <w:jc w:val="both"/>
        <w:rPr>
          <w:rFonts w:hint="eastAsia" w:ascii="Times New Roman" w:hAnsi="Times New Roman" w:eastAsia="宋体" w:cs="Times New Roman"/>
          <w:color w:val="auto"/>
          <w:kern w:val="2"/>
          <w:sz w:val="24"/>
          <w:szCs w:val="24"/>
          <w:highlight w:val="none"/>
          <w:lang w:val="en-US" w:eastAsia="zh-CN" w:bidi="ar-SA"/>
        </w:rPr>
      </w:pPr>
    </w:p>
    <w:p w14:paraId="4ECC884B">
      <w:pPr>
        <w:pStyle w:val="14"/>
        <w:spacing w:before="93" w:line="356" w:lineRule="auto"/>
        <w:ind w:left="38" w:firstLine="9"/>
        <w:jc w:val="both"/>
        <w:rPr>
          <w:rFonts w:hint="eastAsia" w:ascii="Times New Roman" w:hAnsi="Times New Roman" w:eastAsia="宋体" w:cs="Times New Roman"/>
          <w:color w:val="auto"/>
          <w:kern w:val="2"/>
          <w:sz w:val="24"/>
          <w:szCs w:val="24"/>
          <w:highlight w:val="none"/>
          <w:lang w:val="en-US" w:eastAsia="zh-CN" w:bidi="ar-SA"/>
        </w:rPr>
      </w:pPr>
    </w:p>
    <w:p w14:paraId="3D7B2D12">
      <w:pPr>
        <w:pStyle w:val="14"/>
        <w:spacing w:before="93" w:line="356" w:lineRule="auto"/>
        <w:ind w:left="38" w:firstLine="9"/>
        <w:jc w:val="both"/>
        <w:rPr>
          <w:rFonts w:hint="eastAsia" w:ascii="Times New Roman" w:hAnsi="Times New Roman" w:eastAsia="宋体" w:cs="Times New Roman"/>
          <w:color w:val="auto"/>
          <w:kern w:val="2"/>
          <w:sz w:val="24"/>
          <w:szCs w:val="24"/>
          <w:highlight w:val="none"/>
          <w:lang w:val="en-US" w:eastAsia="zh-CN" w:bidi="ar-SA"/>
        </w:rPr>
        <w:sectPr>
          <w:headerReference r:id="rId29" w:type="default"/>
          <w:footerReference r:id="rId30"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2B746DE9">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133" w:name="_Toc4798"/>
      <w:r>
        <w:rPr>
          <w:rFonts w:hint="eastAsia" w:cs="Times New Roman"/>
          <w:color w:val="auto"/>
          <w:highlight w:val="none"/>
          <w:lang w:val="en-US" w:eastAsia="zh-CN"/>
        </w:rPr>
        <w:t>生态影响预测与评价</w:t>
      </w:r>
      <w:bookmarkEnd w:id="133"/>
    </w:p>
    <w:p w14:paraId="5ACDF9AF">
      <w:pPr>
        <w:pStyle w:val="3"/>
        <w:spacing w:before="156" w:after="156"/>
        <w:rPr>
          <w:rFonts w:hint="default" w:ascii="Times New Roman" w:hAnsi="Times New Roman" w:cs="Times New Roman"/>
          <w:color w:val="auto"/>
          <w:highlight w:val="none"/>
        </w:rPr>
      </w:pPr>
      <w:bookmarkStart w:id="134" w:name="_Toc24269"/>
      <w:r>
        <w:rPr>
          <w:rFonts w:hint="eastAsia" w:cs="Times New Roman"/>
          <w:color w:val="auto"/>
          <w:highlight w:val="none"/>
          <w:lang w:val="en-US" w:eastAsia="zh-CN"/>
        </w:rPr>
        <w:t>对土地利用的影响</w:t>
      </w:r>
      <w:bookmarkEnd w:id="134"/>
    </w:p>
    <w:p w14:paraId="2E7260ED">
      <w:pPr>
        <w:pStyle w:val="14"/>
        <w:ind w:firstLine="482"/>
        <w:rPr>
          <w:rFonts w:hint="eastAsia" w:eastAsiaTheme="minorEastAsia"/>
          <w:color w:val="auto"/>
          <w:lang w:eastAsia="zh-CN"/>
        </w:rPr>
      </w:pPr>
      <w:r>
        <w:rPr>
          <w:color w:val="auto"/>
        </w:rPr>
        <w:t>本项目工程占地</w:t>
      </w:r>
      <w:r>
        <w:rPr>
          <w:rFonts w:hint="eastAsia"/>
          <w:color w:val="auto"/>
        </w:rPr>
        <w:t>0.99</w:t>
      </w:r>
      <w:r>
        <w:rPr>
          <w:color w:val="auto"/>
        </w:rPr>
        <w:t>公顷，</w:t>
      </w:r>
      <w:r>
        <w:rPr>
          <w:rFonts w:hint="eastAsia"/>
          <w:color w:val="auto"/>
        </w:rPr>
        <w:t>占评价区面积的0.88</w:t>
      </w:r>
      <w:r>
        <w:rPr>
          <w:color w:val="auto"/>
        </w:rPr>
        <w:t>%</w:t>
      </w:r>
      <w:r>
        <w:rPr>
          <w:rFonts w:hint="eastAsia"/>
          <w:color w:val="auto"/>
        </w:rPr>
        <w:t>。</w:t>
      </w:r>
      <w:r>
        <w:rPr>
          <w:color w:val="auto"/>
        </w:rPr>
        <w:t>利用 ArcGIS</w:t>
      </w:r>
      <w:r>
        <w:rPr>
          <w:rFonts w:hint="eastAsia"/>
          <w:color w:val="auto"/>
        </w:rPr>
        <w:t>叠图分析</w:t>
      </w:r>
      <w:r>
        <w:rPr>
          <w:color w:val="auto"/>
        </w:rPr>
        <w:t>，</w:t>
      </w:r>
      <w:r>
        <w:rPr>
          <w:rFonts w:hint="eastAsia"/>
          <w:color w:val="auto"/>
        </w:rPr>
        <w:t>本项目占地仅占用空闲地，即利用已经封场后的普安镇生活垃圾场厂原厂址</w:t>
      </w:r>
      <w:r>
        <w:rPr>
          <w:color w:val="auto"/>
        </w:rPr>
        <w:t>。</w:t>
      </w:r>
      <w:r>
        <w:rPr>
          <w:rFonts w:hint="eastAsia"/>
          <w:color w:val="auto"/>
        </w:rPr>
        <w:t>因此，本项目的实施不会对评价区内土地利用产生较大的影响</w:t>
      </w:r>
      <w:r>
        <w:rPr>
          <w:rFonts w:hint="eastAsia"/>
          <w:color w:val="auto"/>
          <w:lang w:eastAsia="zh-CN"/>
        </w:rPr>
        <w:t>。</w:t>
      </w:r>
    </w:p>
    <w:p w14:paraId="7364821D">
      <w:pPr>
        <w:pStyle w:val="3"/>
        <w:spacing w:before="156" w:after="156"/>
        <w:rPr>
          <w:rFonts w:hint="default" w:ascii="Times New Roman" w:hAnsi="Times New Roman" w:cs="Times New Roman"/>
          <w:color w:val="auto"/>
          <w:highlight w:val="none"/>
        </w:rPr>
      </w:pPr>
      <w:bookmarkStart w:id="135" w:name="_Toc11775"/>
      <w:r>
        <w:rPr>
          <w:rFonts w:hint="default" w:ascii="Times New Roman" w:hAnsi="Times New Roman" w:cs="Times New Roman"/>
          <w:color w:val="auto"/>
          <w:highlight w:val="none"/>
        </w:rPr>
        <w:t>对植被及植物资源的影响</w:t>
      </w:r>
      <w:bookmarkEnd w:id="135"/>
    </w:p>
    <w:p w14:paraId="764AE996">
      <w:pPr>
        <w:pStyle w:val="3"/>
        <w:spacing w:before="156" w:after="156"/>
        <w:rPr>
          <w:rFonts w:hint="default" w:ascii="Times New Roman" w:hAnsi="Times New Roman" w:cs="Times New Roman"/>
          <w:color w:val="auto"/>
          <w:highlight w:val="none"/>
        </w:rPr>
      </w:pPr>
      <w:bookmarkStart w:id="136" w:name="_Toc3771"/>
      <w:r>
        <w:rPr>
          <w:rFonts w:hint="default" w:ascii="Times New Roman" w:hAnsi="Times New Roman" w:cs="Times New Roman"/>
          <w:color w:val="auto"/>
          <w:highlight w:val="none"/>
        </w:rPr>
        <w:t>运营期对植被及植物的影响</w:t>
      </w:r>
      <w:bookmarkEnd w:id="136"/>
    </w:p>
    <w:p w14:paraId="2DBB8260">
      <w:pPr>
        <w:pStyle w:val="3"/>
        <w:rPr>
          <w:color w:val="auto"/>
        </w:rPr>
      </w:pPr>
      <w:bookmarkStart w:id="137" w:name="_Toc193293958"/>
      <w:bookmarkStart w:id="138" w:name="_Toc2111"/>
      <w:r>
        <w:rPr>
          <w:rFonts w:hint="eastAsia"/>
          <w:color w:val="auto"/>
        </w:rPr>
        <w:t>对野生动物的影响</w:t>
      </w:r>
      <w:bookmarkEnd w:id="137"/>
      <w:bookmarkEnd w:id="138"/>
    </w:p>
    <w:p w14:paraId="30FF75A6">
      <w:pPr>
        <w:pStyle w:val="3"/>
        <w:rPr>
          <w:color w:val="auto"/>
        </w:rPr>
      </w:pPr>
      <w:bookmarkStart w:id="139" w:name="_Toc29813"/>
      <w:bookmarkStart w:id="140" w:name="_Toc193293962"/>
      <w:r>
        <w:rPr>
          <w:rFonts w:hint="eastAsia"/>
          <w:color w:val="auto"/>
        </w:rPr>
        <w:t>生态系统影响分析</w:t>
      </w:r>
      <w:bookmarkEnd w:id="139"/>
      <w:bookmarkEnd w:id="140"/>
    </w:p>
    <w:p w14:paraId="0D10D80E">
      <w:pPr>
        <w:pStyle w:val="3"/>
        <w:rPr>
          <w:color w:val="auto"/>
        </w:rPr>
      </w:pPr>
      <w:bookmarkStart w:id="141" w:name="_Toc193293965"/>
      <w:bookmarkStart w:id="142" w:name="_Toc25023"/>
      <w:r>
        <w:rPr>
          <w:rFonts w:hint="eastAsia"/>
          <w:color w:val="auto"/>
        </w:rPr>
        <w:t>对景观影响分析</w:t>
      </w:r>
      <w:bookmarkEnd w:id="141"/>
      <w:bookmarkEnd w:id="142"/>
    </w:p>
    <w:p w14:paraId="78269621">
      <w:pPr>
        <w:pStyle w:val="3"/>
        <w:rPr>
          <w:color w:val="auto"/>
        </w:rPr>
      </w:pPr>
      <w:bookmarkStart w:id="143" w:name="_Toc3980"/>
      <w:bookmarkStart w:id="144" w:name="_Toc193293966"/>
      <w:r>
        <w:rPr>
          <w:rFonts w:hint="eastAsia"/>
          <w:color w:val="auto"/>
        </w:rPr>
        <w:t>对四川翠云廊古柏省级自然保护区的影响</w:t>
      </w:r>
      <w:bookmarkEnd w:id="143"/>
      <w:bookmarkEnd w:id="144"/>
    </w:p>
    <w:p w14:paraId="4A431DCA">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eastAsia" w:cs="Times New Roman"/>
          <w:color w:val="auto"/>
          <w:sz w:val="24"/>
          <w:szCs w:val="24"/>
          <w:highlight w:val="none"/>
          <w:lang w:val="en-US" w:eastAsia="zh-CN"/>
        </w:rPr>
      </w:pPr>
      <w:bookmarkStart w:id="145" w:name="_Toc193293967"/>
      <w:r>
        <w:rPr>
          <w:rFonts w:hint="eastAsia" w:cs="Times New Roman"/>
          <w:color w:val="auto"/>
          <w:sz w:val="24"/>
          <w:szCs w:val="24"/>
          <w:highlight w:val="none"/>
          <w:lang w:val="en-US" w:eastAsia="zh-CN"/>
        </w:rPr>
        <w:t>施工期对四川翠云廊古柏省级自然保护区的影响</w:t>
      </w:r>
      <w:bookmarkEnd w:id="145"/>
    </w:p>
    <w:p w14:paraId="4CCE17AD">
      <w:pPr>
        <w:ind w:firstLine="480"/>
        <w:rPr>
          <w:color w:val="auto"/>
          <w:sz w:val="24"/>
          <w:szCs w:val="24"/>
        </w:rPr>
      </w:pPr>
      <w:r>
        <w:rPr>
          <w:color w:val="auto"/>
          <w:sz w:val="24"/>
          <w:szCs w:val="24"/>
        </w:rPr>
        <w:t>本项目</w:t>
      </w:r>
      <w:r>
        <w:rPr>
          <w:rFonts w:hint="eastAsia"/>
          <w:color w:val="auto"/>
          <w:sz w:val="24"/>
          <w:szCs w:val="24"/>
        </w:rPr>
        <w:t>工程建设不</w:t>
      </w:r>
      <w:r>
        <w:rPr>
          <w:color w:val="auto"/>
          <w:sz w:val="24"/>
          <w:szCs w:val="24"/>
        </w:rPr>
        <w:t>占</w:t>
      </w:r>
      <w:r>
        <w:rPr>
          <w:rFonts w:hint="eastAsia"/>
          <w:color w:val="auto"/>
          <w:sz w:val="24"/>
          <w:szCs w:val="24"/>
        </w:rPr>
        <w:t>用四川翠云廊古柏省级自然保护区，项目距离四川翠云廊古柏省级自然保护区最近为1110</w:t>
      </w:r>
      <w:r>
        <w:rPr>
          <w:color w:val="auto"/>
          <w:sz w:val="24"/>
          <w:szCs w:val="24"/>
        </w:rPr>
        <w:t>m</w:t>
      </w:r>
      <w:r>
        <w:rPr>
          <w:rFonts w:hint="eastAsia"/>
          <w:color w:val="auto"/>
          <w:sz w:val="24"/>
          <w:szCs w:val="24"/>
        </w:rPr>
        <w:t>。工程对四川翠云廊古柏省级自然保护区的影响主要为施工期废气、扬尘、机械噪声、振动等对自然保护区动植物的影响。</w:t>
      </w:r>
    </w:p>
    <w:p w14:paraId="4E19EE3C">
      <w:pPr>
        <w:ind w:firstLine="480"/>
        <w:rPr>
          <w:color w:val="auto"/>
          <w:sz w:val="24"/>
          <w:szCs w:val="24"/>
        </w:rPr>
      </w:pPr>
      <w:r>
        <w:rPr>
          <w:rFonts w:hint="eastAsia"/>
          <w:color w:val="auto"/>
          <w:sz w:val="24"/>
          <w:szCs w:val="24"/>
        </w:rPr>
        <w:t>本项目距离四川翠云廊古柏省级自然保护区最近为1110</w:t>
      </w:r>
      <w:r>
        <w:rPr>
          <w:color w:val="auto"/>
          <w:sz w:val="24"/>
          <w:szCs w:val="24"/>
        </w:rPr>
        <w:t>m</w:t>
      </w:r>
      <w:r>
        <w:rPr>
          <w:rFonts w:hint="eastAsia"/>
          <w:color w:val="auto"/>
          <w:sz w:val="24"/>
          <w:szCs w:val="24"/>
        </w:rPr>
        <w:t>，并且与四川翠云廊古柏省级自然保护区之间有城镇建筑和丰富的乔木植被遮挡，与自然保护区之间距离较远，施工产生的废气、扬尘等在常规气象条件下扩散至自然保护区风险较低</w:t>
      </w:r>
      <w:r>
        <w:rPr>
          <w:rFonts w:hint="eastAsia" w:ascii="宋体" w:hAnsi="宋体"/>
          <w:color w:val="auto"/>
          <w:sz w:val="24"/>
          <w:szCs w:val="24"/>
        </w:rPr>
        <w:t>。因此，本项目施工产生的扬尘、废气对</w:t>
      </w:r>
      <w:r>
        <w:rPr>
          <w:rFonts w:hint="eastAsia"/>
          <w:color w:val="auto"/>
          <w:sz w:val="24"/>
          <w:szCs w:val="24"/>
        </w:rPr>
        <w:t>四川翠云廊古柏省级自然保护区</w:t>
      </w:r>
      <w:r>
        <w:rPr>
          <w:rFonts w:hint="eastAsia" w:ascii="宋体" w:hAnsi="宋体"/>
          <w:color w:val="auto"/>
          <w:sz w:val="24"/>
          <w:szCs w:val="24"/>
        </w:rPr>
        <w:t>植被影响较小。</w:t>
      </w:r>
      <w:r>
        <w:rPr>
          <w:rFonts w:hint="eastAsia"/>
          <w:color w:val="auto"/>
          <w:sz w:val="24"/>
          <w:szCs w:val="24"/>
        </w:rPr>
        <w:t>施工噪声、振动影响范围小，</w:t>
      </w:r>
      <w:r>
        <w:rPr>
          <w:color w:val="auto"/>
          <w:sz w:val="24"/>
          <w:szCs w:val="24"/>
        </w:rPr>
        <w:t>随着距离的增加</w:t>
      </w:r>
      <w:r>
        <w:rPr>
          <w:rFonts w:hint="eastAsia"/>
          <w:color w:val="auto"/>
          <w:sz w:val="24"/>
          <w:szCs w:val="24"/>
        </w:rPr>
        <w:t>噪声、振动的</w:t>
      </w:r>
      <w:r>
        <w:rPr>
          <w:color w:val="auto"/>
          <w:sz w:val="24"/>
          <w:szCs w:val="24"/>
        </w:rPr>
        <w:t>烈度</w:t>
      </w:r>
      <w:r>
        <w:rPr>
          <w:rFonts w:hint="eastAsia"/>
          <w:color w:val="auto"/>
          <w:sz w:val="24"/>
          <w:szCs w:val="24"/>
        </w:rPr>
        <w:t>呈</w:t>
      </w:r>
      <w:r>
        <w:rPr>
          <w:color w:val="auto"/>
          <w:sz w:val="24"/>
          <w:szCs w:val="24"/>
        </w:rPr>
        <w:t>衰减的趋势</w:t>
      </w:r>
      <w:r>
        <w:rPr>
          <w:rFonts w:hint="eastAsia"/>
          <w:color w:val="auto"/>
          <w:sz w:val="24"/>
          <w:szCs w:val="24"/>
        </w:rPr>
        <w:t>，且与自然保护区之间距离较远，在采用低噪声设备、注意机械保养、运输车辆限速、禁鸣等措施后，本</w:t>
      </w:r>
      <w:r>
        <w:rPr>
          <w:rFonts w:hint="eastAsia" w:ascii="宋体" w:hAnsi="宋体"/>
          <w:color w:val="auto"/>
          <w:sz w:val="24"/>
          <w:szCs w:val="24"/>
        </w:rPr>
        <w:t>项目建设噪声、振动对</w:t>
      </w:r>
      <w:r>
        <w:rPr>
          <w:rFonts w:hint="eastAsia"/>
          <w:color w:val="auto"/>
          <w:sz w:val="24"/>
          <w:szCs w:val="24"/>
        </w:rPr>
        <w:t>自然保护区</w:t>
      </w:r>
      <w:r>
        <w:rPr>
          <w:rFonts w:hint="eastAsia" w:ascii="宋体" w:hAnsi="宋体"/>
          <w:color w:val="auto"/>
          <w:sz w:val="24"/>
          <w:szCs w:val="24"/>
        </w:rPr>
        <w:t>的野生动物资源基本无影响。</w:t>
      </w:r>
    </w:p>
    <w:p w14:paraId="0782EAE0">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eastAsia" w:cs="Times New Roman"/>
          <w:color w:val="auto"/>
          <w:sz w:val="24"/>
          <w:szCs w:val="24"/>
          <w:highlight w:val="none"/>
          <w:lang w:val="en-US" w:eastAsia="zh-CN"/>
        </w:rPr>
      </w:pPr>
      <w:bookmarkStart w:id="146" w:name="_Toc193293968"/>
      <w:r>
        <w:rPr>
          <w:rFonts w:hint="eastAsia" w:cs="Times New Roman"/>
          <w:color w:val="auto"/>
          <w:sz w:val="24"/>
          <w:szCs w:val="24"/>
          <w:highlight w:val="none"/>
          <w:lang w:val="en-US" w:eastAsia="zh-CN"/>
        </w:rPr>
        <w:t>运营期对四川翠云廊古柏省级自然保护区的影响</w:t>
      </w:r>
      <w:bookmarkEnd w:id="146"/>
    </w:p>
    <w:p w14:paraId="05A10DDF">
      <w:pPr>
        <w:ind w:firstLine="480"/>
        <w:rPr>
          <w:color w:val="auto"/>
          <w:sz w:val="24"/>
          <w:szCs w:val="24"/>
        </w:rPr>
      </w:pPr>
      <w:r>
        <w:rPr>
          <w:rFonts w:hint="eastAsia"/>
          <w:color w:val="auto"/>
          <w:sz w:val="24"/>
          <w:szCs w:val="24"/>
        </w:rPr>
        <w:t>本项目</w:t>
      </w:r>
      <w:r>
        <w:rPr>
          <w:rFonts w:hint="eastAsia"/>
          <w:color w:val="auto"/>
          <w:sz w:val="24"/>
          <w:szCs w:val="24"/>
          <w:lang w:eastAsia="zh-CN"/>
        </w:rPr>
        <w:t>项目</w:t>
      </w:r>
      <w:r>
        <w:rPr>
          <w:rFonts w:hint="eastAsia"/>
          <w:color w:val="auto"/>
          <w:sz w:val="24"/>
          <w:szCs w:val="24"/>
        </w:rPr>
        <w:t>距离四川翠云廊古柏省级自然保护区最近为1110m，运营期对自然保护区的影响主要体现在以下几个方面：</w:t>
      </w:r>
    </w:p>
    <w:p w14:paraId="5448A8B7">
      <w:pPr>
        <w:ind w:firstLine="482"/>
        <w:rPr>
          <w:b/>
          <w:bCs/>
          <w:color w:val="auto"/>
          <w:sz w:val="24"/>
          <w:szCs w:val="24"/>
        </w:rPr>
      </w:pPr>
      <w:r>
        <w:rPr>
          <w:rFonts w:hint="eastAsia"/>
          <w:b/>
          <w:bCs/>
          <w:color w:val="auto"/>
          <w:sz w:val="24"/>
          <w:szCs w:val="24"/>
        </w:rPr>
        <w:t>1、废气影响</w:t>
      </w:r>
    </w:p>
    <w:p w14:paraId="19B1CC34">
      <w:pPr>
        <w:ind w:firstLine="480"/>
        <w:rPr>
          <w:color w:val="auto"/>
          <w:sz w:val="24"/>
          <w:szCs w:val="24"/>
        </w:rPr>
      </w:pPr>
      <w:r>
        <w:rPr>
          <w:rFonts w:hint="eastAsia"/>
          <w:color w:val="auto"/>
          <w:sz w:val="24"/>
          <w:szCs w:val="24"/>
        </w:rPr>
        <w:t>垃圾焚烧过程中会产生二氧化硫、氮氧化物、颗粒物、氯化氢、重金属（如汞、铅、镉等）以及二噁英等大气污染物。这些污染物在大气中扩散，可能对古柏自然保护区的空气质量产生一定影响。其中，二氧化硫和氮氧化物可能导致酸雨，对古柏的生长环境造成潜在威胁；颗粒物可能影响植物的光合作用和呼吸作用；氯化氢等酸性气体可能对植物叶片造成直接伤害；重金属和二噁英等持久性有机污染物可能在生态系统中积累，对保护区内的动植物产生长期的生态毒性影响。</w:t>
      </w:r>
    </w:p>
    <w:p w14:paraId="558DDCCA">
      <w:pPr>
        <w:ind w:firstLine="480"/>
        <w:rPr>
          <w:color w:val="auto"/>
          <w:sz w:val="24"/>
          <w:szCs w:val="24"/>
        </w:rPr>
      </w:pPr>
      <w:r>
        <w:rPr>
          <w:rFonts w:hint="eastAsia"/>
          <w:color w:val="auto"/>
          <w:sz w:val="24"/>
          <w:szCs w:val="24"/>
        </w:rPr>
        <w:t>根据大气扩散模型预测，考虑到项目与保护区之间的距离以及地形、气象等因素的影响，运营期废气对古柏自然保护区的影响范围相对有限，但在不利气象条件下，如静风、逆温等，污染物可能会在局部地区积聚，对保护区边缘的植被和野生动物产生一定的影响。然而，由于距离较远，且有城镇建筑和植被的阻挡，这种影响总体上相对较小。</w:t>
      </w:r>
    </w:p>
    <w:p w14:paraId="55F6283A">
      <w:pPr>
        <w:ind w:firstLine="482"/>
        <w:rPr>
          <w:b/>
          <w:bCs/>
          <w:color w:val="auto"/>
          <w:sz w:val="24"/>
          <w:szCs w:val="24"/>
        </w:rPr>
      </w:pPr>
      <w:r>
        <w:rPr>
          <w:rFonts w:hint="eastAsia"/>
          <w:b/>
          <w:bCs/>
          <w:color w:val="auto"/>
          <w:sz w:val="24"/>
          <w:szCs w:val="24"/>
        </w:rPr>
        <w:t>2、废水影响</w:t>
      </w:r>
    </w:p>
    <w:p w14:paraId="12D80E5D">
      <w:pPr>
        <w:ind w:firstLine="480"/>
        <w:rPr>
          <w:color w:val="auto"/>
          <w:sz w:val="24"/>
          <w:szCs w:val="24"/>
        </w:rPr>
      </w:pPr>
      <w:r>
        <w:rPr>
          <w:rFonts w:hint="eastAsia"/>
          <w:color w:val="auto"/>
          <w:sz w:val="24"/>
          <w:szCs w:val="24"/>
          <w:lang w:eastAsia="zh-CN"/>
        </w:rPr>
        <w:t>项目</w:t>
      </w:r>
      <w:r>
        <w:rPr>
          <w:rFonts w:hint="eastAsia"/>
          <w:color w:val="auto"/>
          <w:sz w:val="24"/>
          <w:szCs w:val="24"/>
        </w:rPr>
        <w:t>产生的渗滤液含有高浓度的有机物、氨氮、重金属等污染物。如果渗滤液处理不当，可能会通过地表径流或地下水渗透等方式进入自然保护区，对保护区内的水体和土壤环境造成污染。渗滤液中的有机物和氨氮可能会导致水体富营养化，影响水生生物的生存环境；重金属可能会在土壤中积累，影响植物的生长和土壤生态系统的平衡。</w:t>
      </w:r>
    </w:p>
    <w:p w14:paraId="5574658D">
      <w:pPr>
        <w:ind w:firstLine="480"/>
        <w:rPr>
          <w:color w:val="auto"/>
          <w:sz w:val="24"/>
          <w:szCs w:val="24"/>
        </w:rPr>
      </w:pPr>
      <w:r>
        <w:rPr>
          <w:rFonts w:hint="eastAsia"/>
          <w:color w:val="auto"/>
          <w:sz w:val="24"/>
          <w:szCs w:val="24"/>
        </w:rPr>
        <w:t>本项目将建设完善的渗滤液收集和处理系统，确保渗滤液达标排放。同时，采用国内先进的防渗材料、技术和实施手段，杜绝项目对区域内地下水的影响，确保不因项目运行而对区域地下水造成任何污染影响，确保现有地下水水体功能。因此，在正常运营情况下，废水对古柏自然保护区的影响较小，但需要加强监管和监测，防止渗滤液泄漏等事故的发生。</w:t>
      </w:r>
    </w:p>
    <w:p w14:paraId="3E1C35CA">
      <w:pPr>
        <w:ind w:firstLine="482"/>
        <w:rPr>
          <w:b/>
          <w:bCs/>
          <w:color w:val="auto"/>
          <w:sz w:val="24"/>
          <w:szCs w:val="24"/>
        </w:rPr>
      </w:pPr>
      <w:r>
        <w:rPr>
          <w:rFonts w:hint="eastAsia"/>
          <w:b/>
          <w:bCs/>
          <w:color w:val="auto"/>
          <w:sz w:val="24"/>
          <w:szCs w:val="24"/>
        </w:rPr>
        <w:t>3、噪声影响</w:t>
      </w:r>
    </w:p>
    <w:p w14:paraId="50EEFEEF">
      <w:pPr>
        <w:ind w:firstLine="480"/>
        <w:rPr>
          <w:color w:val="auto"/>
          <w:sz w:val="24"/>
          <w:szCs w:val="24"/>
        </w:rPr>
      </w:pPr>
      <w:r>
        <w:rPr>
          <w:rFonts w:hint="eastAsia"/>
          <w:color w:val="auto"/>
          <w:sz w:val="24"/>
          <w:szCs w:val="24"/>
          <w:lang w:eastAsia="zh-CN"/>
        </w:rPr>
        <w:t>项目</w:t>
      </w:r>
      <w:r>
        <w:rPr>
          <w:rFonts w:hint="eastAsia"/>
          <w:color w:val="auto"/>
          <w:sz w:val="24"/>
          <w:szCs w:val="24"/>
        </w:rPr>
        <w:t>运营期的噪声主要来源于焚烧设备、风机、水泵等机械设备的运行，以及垃圾运输车辆的交通噪声。这些噪声源具有一定的强度和持续性，可能会对自然保护区内的野生动物产生干扰。</w:t>
      </w:r>
    </w:p>
    <w:p w14:paraId="0CB023A7">
      <w:pPr>
        <w:ind w:firstLine="480"/>
        <w:rPr>
          <w:color w:val="auto"/>
          <w:sz w:val="24"/>
          <w:szCs w:val="24"/>
        </w:rPr>
      </w:pPr>
      <w:r>
        <w:rPr>
          <w:rFonts w:hint="eastAsia"/>
          <w:color w:val="auto"/>
          <w:sz w:val="24"/>
          <w:szCs w:val="24"/>
        </w:rPr>
        <w:t>随着距离的增加，噪声强度会逐渐衰减。由于本项目与古柏自然保护区之间的距离较远，且有城镇建筑和植被的阻挡，噪声对保护区内的野生动物影响较小。然而，在垃圾运输车辆经过保护区附近道路时，可能会对野生动物产生一定的惊扰，影响其正常活动和栖息。因此，需要合理安排垃圾运输时间和路线，尽量减少对野生动物的干扰。</w:t>
      </w:r>
    </w:p>
    <w:p w14:paraId="01D1546B">
      <w:pPr>
        <w:ind w:firstLine="482"/>
        <w:rPr>
          <w:b/>
          <w:bCs/>
          <w:color w:val="auto"/>
          <w:sz w:val="24"/>
          <w:szCs w:val="24"/>
        </w:rPr>
      </w:pPr>
      <w:r>
        <w:rPr>
          <w:rFonts w:hint="eastAsia"/>
          <w:b/>
          <w:bCs/>
          <w:color w:val="auto"/>
          <w:sz w:val="24"/>
          <w:szCs w:val="24"/>
        </w:rPr>
        <w:t>4、固体废物影响</w:t>
      </w:r>
    </w:p>
    <w:p w14:paraId="2DAF5B4D">
      <w:pPr>
        <w:pStyle w:val="3"/>
        <w:rPr>
          <w:color w:val="auto"/>
        </w:rPr>
      </w:pPr>
      <w:bookmarkStart w:id="147" w:name="_Toc193293970"/>
      <w:bookmarkStart w:id="148" w:name="_Toc17107"/>
      <w:r>
        <w:rPr>
          <w:rFonts w:hint="eastAsia"/>
          <w:color w:val="auto"/>
        </w:rPr>
        <w:t>对剑门蜀道风景名胜区的影响</w:t>
      </w:r>
      <w:bookmarkEnd w:id="147"/>
      <w:bookmarkEnd w:id="148"/>
    </w:p>
    <w:p w14:paraId="45D405DA">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eastAsia" w:cs="Times New Roman"/>
          <w:color w:val="auto"/>
          <w:sz w:val="24"/>
          <w:szCs w:val="24"/>
          <w:highlight w:val="none"/>
          <w:lang w:val="en-US" w:eastAsia="zh-CN"/>
        </w:rPr>
      </w:pPr>
      <w:bookmarkStart w:id="149" w:name="_Toc193293971"/>
      <w:r>
        <w:rPr>
          <w:rFonts w:hint="eastAsia" w:cs="Times New Roman"/>
          <w:color w:val="auto"/>
          <w:sz w:val="24"/>
          <w:szCs w:val="24"/>
          <w:highlight w:val="none"/>
          <w:lang w:val="en-US" w:eastAsia="zh-CN"/>
        </w:rPr>
        <w:t>施工期对剑门蜀道风景名胜区的影响</w:t>
      </w:r>
      <w:bookmarkEnd w:id="149"/>
    </w:p>
    <w:p w14:paraId="174AAD24">
      <w:pPr>
        <w:ind w:firstLine="480"/>
        <w:rPr>
          <w:color w:val="auto"/>
          <w:sz w:val="24"/>
          <w:szCs w:val="24"/>
        </w:rPr>
      </w:pPr>
      <w:r>
        <w:rPr>
          <w:color w:val="auto"/>
          <w:sz w:val="24"/>
          <w:szCs w:val="24"/>
        </w:rPr>
        <w:t>本项目</w:t>
      </w:r>
      <w:r>
        <w:rPr>
          <w:rFonts w:hint="eastAsia"/>
          <w:color w:val="auto"/>
          <w:sz w:val="24"/>
          <w:szCs w:val="24"/>
        </w:rPr>
        <w:t>工程建设不</w:t>
      </w:r>
      <w:r>
        <w:rPr>
          <w:color w:val="auto"/>
          <w:sz w:val="24"/>
          <w:szCs w:val="24"/>
        </w:rPr>
        <w:t>占</w:t>
      </w:r>
      <w:r>
        <w:rPr>
          <w:rFonts w:hint="eastAsia"/>
          <w:color w:val="auto"/>
          <w:sz w:val="24"/>
          <w:szCs w:val="24"/>
        </w:rPr>
        <w:t>用剑门蜀道国家级风景名胜区，项目建设位于风景名胜区的边缘地带，项目不占用风景名胜区，本项目工程评价范围涉及剑门蜀道国家级风景名胜区，涉及957.05公顷，本项目距剑门蜀道国家级风景名胜区的三级保护区最近距离180m，评价范围内涉及龙洞水库、鹤鸣山2处景点，距离最近的景点为龙洞水库，距离为1650</w:t>
      </w:r>
      <w:r>
        <w:rPr>
          <w:color w:val="auto"/>
          <w:sz w:val="24"/>
          <w:szCs w:val="24"/>
        </w:rPr>
        <w:t>m</w:t>
      </w:r>
      <w:r>
        <w:rPr>
          <w:rFonts w:hint="eastAsia"/>
          <w:color w:val="auto"/>
          <w:sz w:val="24"/>
          <w:szCs w:val="24"/>
        </w:rPr>
        <w:t>。工程对风景名胜区的影响主要为施工期废气、扬尘、机械噪声、振动等对森林公园动植物的影响，以及施工活动对景观的影响。</w:t>
      </w:r>
    </w:p>
    <w:p w14:paraId="135392BD">
      <w:pPr>
        <w:ind w:firstLine="480"/>
        <w:rPr>
          <w:rFonts w:hint="eastAsia" w:ascii="宋体" w:hAnsi="宋体"/>
          <w:color w:val="auto"/>
          <w:sz w:val="24"/>
          <w:szCs w:val="24"/>
        </w:rPr>
      </w:pPr>
      <w:r>
        <w:rPr>
          <w:rFonts w:hint="eastAsia"/>
          <w:color w:val="auto"/>
          <w:sz w:val="24"/>
          <w:szCs w:val="24"/>
        </w:rPr>
        <w:t>本项目距离风景名胜区较近，但不涉及占地，施工活动不会造成植被的损失。施工</w:t>
      </w:r>
      <w:r>
        <w:rPr>
          <w:color w:val="auto"/>
          <w:sz w:val="24"/>
          <w:szCs w:val="24"/>
        </w:rPr>
        <w:t>场地开阔</w:t>
      </w:r>
      <w:r>
        <w:rPr>
          <w:rFonts w:hint="eastAsia"/>
          <w:color w:val="auto"/>
          <w:sz w:val="24"/>
          <w:szCs w:val="24"/>
        </w:rPr>
        <w:t>，</w:t>
      </w:r>
      <w:r>
        <w:rPr>
          <w:color w:val="auto"/>
          <w:sz w:val="24"/>
          <w:szCs w:val="24"/>
        </w:rPr>
        <w:t>空气流通较好、扩散条件好，</w:t>
      </w:r>
      <w:r>
        <w:rPr>
          <w:rFonts w:hint="eastAsia"/>
          <w:color w:val="auto"/>
          <w:sz w:val="24"/>
          <w:szCs w:val="24"/>
        </w:rPr>
        <w:t>施工产生的废气、扬尘扩散至风景名胜区</w:t>
      </w:r>
      <w:r>
        <w:rPr>
          <w:rFonts w:hint="eastAsia" w:ascii="宋体" w:hAnsi="宋体"/>
          <w:color w:val="auto"/>
          <w:sz w:val="24"/>
          <w:szCs w:val="24"/>
        </w:rPr>
        <w:t>时量已很小。因此，扬尘、废气对</w:t>
      </w:r>
      <w:r>
        <w:rPr>
          <w:rFonts w:hint="eastAsia"/>
          <w:color w:val="auto"/>
          <w:sz w:val="24"/>
          <w:szCs w:val="24"/>
        </w:rPr>
        <w:t>风景名胜区</w:t>
      </w:r>
      <w:r>
        <w:rPr>
          <w:rFonts w:hint="eastAsia" w:ascii="宋体" w:hAnsi="宋体"/>
          <w:color w:val="auto"/>
          <w:sz w:val="24"/>
          <w:szCs w:val="24"/>
        </w:rPr>
        <w:t>植被影响很小</w:t>
      </w:r>
      <w:r>
        <w:rPr>
          <w:rFonts w:hint="eastAsia"/>
          <w:color w:val="auto"/>
          <w:sz w:val="24"/>
          <w:szCs w:val="24"/>
        </w:rPr>
        <w:t>。施工噪声、振动影响范围小，施工占地周边的草地、灌丛、耕地、林地可作为替代生境，动物很容易找到栖息场所。在采用低噪声设备、注意机械保养、运输车辆限速、禁鸣等措施后，本</w:t>
      </w:r>
      <w:r>
        <w:rPr>
          <w:rFonts w:hint="eastAsia" w:ascii="宋体" w:hAnsi="宋体"/>
          <w:color w:val="auto"/>
          <w:sz w:val="24"/>
          <w:szCs w:val="24"/>
        </w:rPr>
        <w:t>项目建设噪声、振动对</w:t>
      </w:r>
      <w:r>
        <w:rPr>
          <w:rFonts w:hint="eastAsia"/>
          <w:color w:val="auto"/>
          <w:sz w:val="24"/>
          <w:szCs w:val="24"/>
        </w:rPr>
        <w:t>风景名胜区</w:t>
      </w:r>
      <w:r>
        <w:rPr>
          <w:rFonts w:hint="eastAsia" w:ascii="宋体" w:hAnsi="宋体"/>
          <w:color w:val="auto"/>
          <w:sz w:val="24"/>
          <w:szCs w:val="24"/>
        </w:rPr>
        <w:t>的野生动物资源的影响较小。</w:t>
      </w:r>
    </w:p>
    <w:p w14:paraId="292A3853">
      <w:pPr>
        <w:ind w:firstLine="480"/>
        <w:rPr>
          <w:color w:val="auto"/>
          <w:sz w:val="24"/>
          <w:szCs w:val="24"/>
        </w:rPr>
      </w:pPr>
      <w:r>
        <w:rPr>
          <w:rFonts w:hint="eastAsia"/>
          <w:color w:val="auto"/>
          <w:sz w:val="24"/>
          <w:szCs w:val="24"/>
        </w:rPr>
        <w:t>本项目距剑门蜀道国家级风景名胜区的三级保护区最近距离180m，景点均位于山脊线后面，评价范围内仅涉及龙洞水库、鹤鸣山2处景点，距离最近的景点为龙洞水库，距离为1650</w:t>
      </w:r>
      <w:r>
        <w:rPr>
          <w:color w:val="auto"/>
          <w:sz w:val="24"/>
          <w:szCs w:val="24"/>
        </w:rPr>
        <w:t>m</w:t>
      </w:r>
      <w:r>
        <w:rPr>
          <w:rFonts w:hint="eastAsia"/>
          <w:color w:val="auto"/>
          <w:sz w:val="24"/>
          <w:szCs w:val="24"/>
        </w:rPr>
        <w:t>。因此，工程施工将不会降低风景名胜区的景观美学质量和影响游客的视觉感受，对区域景观美学质量、游客视觉感受几乎无影响，对区域的景观视觉冲击很较小。</w:t>
      </w:r>
    </w:p>
    <w:p w14:paraId="311C386B">
      <w:pPr>
        <w:pStyle w:val="3"/>
        <w:rPr>
          <w:color w:val="auto"/>
        </w:rPr>
      </w:pPr>
      <w:bookmarkStart w:id="150" w:name="_Toc23017"/>
      <w:bookmarkStart w:id="151" w:name="_Toc193293973"/>
      <w:r>
        <w:rPr>
          <w:rFonts w:hint="eastAsia"/>
          <w:color w:val="auto"/>
        </w:rPr>
        <w:t>对剑门关国家森林公园的影响</w:t>
      </w:r>
      <w:bookmarkEnd w:id="150"/>
      <w:bookmarkEnd w:id="151"/>
    </w:p>
    <w:p w14:paraId="2C564E1D">
      <w:pPr>
        <w:pStyle w:val="14"/>
        <w:ind w:firstLine="480"/>
        <w:rPr>
          <w:rFonts w:hint="default" w:ascii="Times New Roman" w:hAnsi="Times New Roman" w:cs="Times New Roman"/>
          <w:color w:val="auto"/>
          <w:highlight w:val="none"/>
        </w:rPr>
      </w:pPr>
    </w:p>
    <w:p w14:paraId="141BF588">
      <w:pPr>
        <w:pStyle w:val="14"/>
        <w:ind w:firstLine="480"/>
        <w:rPr>
          <w:rFonts w:hint="default" w:ascii="Times New Roman" w:hAnsi="Times New Roman" w:cs="Times New Roman"/>
          <w:color w:val="auto"/>
          <w:highlight w:val="none"/>
        </w:rPr>
      </w:pPr>
    </w:p>
    <w:p w14:paraId="5666EB28">
      <w:pPr>
        <w:pStyle w:val="14"/>
        <w:ind w:firstLine="480"/>
        <w:rPr>
          <w:rFonts w:hint="default" w:ascii="Times New Roman" w:hAnsi="Times New Roman" w:cs="Times New Roman"/>
          <w:color w:val="auto"/>
          <w:highlight w:val="none"/>
        </w:rPr>
      </w:pPr>
    </w:p>
    <w:p w14:paraId="7DFEDA3F">
      <w:pPr>
        <w:pStyle w:val="14"/>
        <w:ind w:firstLine="480"/>
        <w:rPr>
          <w:rFonts w:hint="default" w:ascii="Times New Roman" w:hAnsi="Times New Roman" w:cs="Times New Roman"/>
          <w:color w:val="auto"/>
          <w:highlight w:val="none"/>
        </w:rPr>
      </w:pPr>
    </w:p>
    <w:p w14:paraId="0384CFD5">
      <w:pPr>
        <w:pStyle w:val="14"/>
        <w:ind w:firstLine="480"/>
        <w:rPr>
          <w:rFonts w:hint="default" w:ascii="Times New Roman" w:hAnsi="Times New Roman" w:cs="Times New Roman"/>
          <w:color w:val="auto"/>
          <w:highlight w:val="none"/>
        </w:rPr>
      </w:pPr>
    </w:p>
    <w:p w14:paraId="45132B3A">
      <w:pPr>
        <w:pStyle w:val="14"/>
        <w:ind w:firstLine="480"/>
        <w:rPr>
          <w:rFonts w:hint="default" w:ascii="Times New Roman" w:hAnsi="Times New Roman" w:cs="Times New Roman"/>
          <w:color w:val="auto"/>
          <w:highlight w:val="none"/>
        </w:rPr>
      </w:pPr>
    </w:p>
    <w:p w14:paraId="3F57D90A">
      <w:pPr>
        <w:pStyle w:val="14"/>
        <w:ind w:firstLine="480"/>
        <w:rPr>
          <w:rFonts w:hint="default" w:ascii="Times New Roman" w:hAnsi="Times New Roman" w:cs="Times New Roman"/>
          <w:color w:val="auto"/>
          <w:highlight w:val="none"/>
        </w:rPr>
        <w:sectPr>
          <w:headerReference r:id="rId31"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2F4FD94E">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152" w:name="_Toc31601"/>
      <w:bookmarkStart w:id="153" w:name="_Toc3354"/>
      <w:bookmarkStart w:id="154" w:name="_Toc24931"/>
      <w:r>
        <w:rPr>
          <w:rFonts w:hint="default" w:ascii="Times New Roman" w:hAnsi="Times New Roman" w:cs="Times New Roman"/>
          <w:color w:val="auto"/>
          <w:highlight w:val="none"/>
        </w:rPr>
        <w:t>环境保护措施及其可行性论证</w:t>
      </w:r>
      <w:bookmarkEnd w:id="152"/>
      <w:bookmarkEnd w:id="153"/>
      <w:bookmarkEnd w:id="154"/>
    </w:p>
    <w:p w14:paraId="2FBE4A2F">
      <w:pPr>
        <w:pStyle w:val="3"/>
        <w:spacing w:before="156" w:after="156"/>
        <w:rPr>
          <w:rFonts w:hint="default" w:ascii="Times New Roman" w:hAnsi="Times New Roman" w:cs="Times New Roman"/>
          <w:color w:val="auto"/>
          <w:highlight w:val="none"/>
        </w:rPr>
      </w:pPr>
      <w:bookmarkStart w:id="155" w:name="_Toc16425"/>
      <w:bookmarkStart w:id="156" w:name="_Toc10392"/>
      <w:bookmarkStart w:id="157" w:name="_Toc4113"/>
      <w:r>
        <w:rPr>
          <w:rFonts w:hint="default" w:ascii="Times New Roman" w:hAnsi="Times New Roman" w:cs="Times New Roman"/>
          <w:color w:val="auto"/>
          <w:highlight w:val="none"/>
        </w:rPr>
        <w:t>施工期环境保护措施及可行性论证</w:t>
      </w:r>
      <w:bookmarkEnd w:id="155"/>
      <w:bookmarkEnd w:id="156"/>
      <w:bookmarkEnd w:id="157"/>
    </w:p>
    <w:p w14:paraId="7F24C37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施工期扬尘防治措施论证</w:t>
      </w:r>
    </w:p>
    <w:p w14:paraId="25CF8D63">
      <w:pPr>
        <w:pStyle w:val="14"/>
        <w:ind w:firstLine="482"/>
        <w:rPr>
          <w:rFonts w:hint="default" w:ascii="Times New Roman" w:hAnsi="Times New Roman" w:cs="Times New Roman"/>
          <w:color w:val="auto"/>
          <w:highlight w:val="none"/>
        </w:rPr>
      </w:pPr>
      <w:r>
        <w:rPr>
          <w:rFonts w:hint="default" w:ascii="Times New Roman" w:hAnsi="Times New Roman" w:cs="Times New Roman"/>
          <w:color w:val="auto"/>
          <w:highlight w:val="none"/>
        </w:rPr>
        <w:t>建设单位应要求工程施工单位制定施工期环境管理计划，加强管理，按进度、有计划地进行文明施工，</w:t>
      </w:r>
      <w:r>
        <w:rPr>
          <w:rFonts w:hint="default" w:ascii="Times New Roman" w:hAnsi="Times New Roman" w:cs="Times New Roman"/>
          <w:color w:val="auto"/>
          <w:highlight w:val="none"/>
          <w:lang w:eastAsia="zh-CN"/>
        </w:rPr>
        <w:t>严格按照</w:t>
      </w:r>
      <w:r>
        <w:rPr>
          <w:rFonts w:hint="default" w:ascii="Times New Roman" w:hAnsi="Times New Roman" w:cs="Times New Roman"/>
          <w:color w:val="auto"/>
          <w:highlight w:val="none"/>
        </w:rPr>
        <w:t>《中华人民共和国大气污染防治法》、《四川省打赢蓝天保卫战实施方案》等文件相关规定做好扬尘防治工作，严格施工扬尘监管，严格落实“六必须、六不准”和六个百分百</w:t>
      </w:r>
      <w:r>
        <w:rPr>
          <w:rFonts w:hint="default" w:ascii="Times New Roman" w:hAnsi="Times New Roman" w:cs="Times New Roman"/>
          <w:color w:val="auto"/>
          <w:highlight w:val="none"/>
          <w:lang w:eastAsia="zh-CN"/>
        </w:rPr>
        <w:t>的</w:t>
      </w:r>
      <w:r>
        <w:rPr>
          <w:rFonts w:hint="default" w:ascii="Times New Roman" w:hAnsi="Times New Roman" w:cs="Times New Roman"/>
          <w:color w:val="auto"/>
          <w:highlight w:val="none"/>
        </w:rPr>
        <w:t>管控要求</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环评要求</w:t>
      </w:r>
      <w:r>
        <w:rPr>
          <w:rFonts w:hint="default" w:ascii="Times New Roman" w:hAnsi="Times New Roman" w:cs="Times New Roman"/>
          <w:color w:val="auto"/>
          <w:highlight w:val="none"/>
        </w:rPr>
        <w:t>建设单位采取以下措施：</w:t>
      </w:r>
    </w:p>
    <w:p w14:paraId="540A70BC">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①要求施工单位文明施工，定期对地面及施工道路洒水，每天定时洒水达到有效防尘；</w:t>
      </w:r>
    </w:p>
    <w:p w14:paraId="672AE69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②施工运输车辆，车厢应严密清洁，尽量减少渣土运输时洒落在地面上，并对撒落在路面的渣土及时清除，清理时做到先洒水后清扫，避免产生扬尘对周边居民正常生活造成影响；</w:t>
      </w:r>
    </w:p>
    <w:p w14:paraId="296CFCAC">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③在施工场地对施工车辆必须实施限速行驶，同时施工现场运输道路采用硬化路面；</w:t>
      </w:r>
    </w:p>
    <w:p w14:paraId="7FB37FF4">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④建材堆放地点要相对集中，应堆放在项目施工场地上设置的材料堆放间处，减少建材的露天堆放时间，对建材使用毡布覆盖；</w:t>
      </w:r>
    </w:p>
    <w:p w14:paraId="236AC16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⑤自卸车、垃圾运输车、拉土车等运输车辆不允许超载，选择对周围环境影响较小的运输路线，定时对运输路线进行清扫，运输车辆出场时必须封闭，避免在运输过程中的抛洒现象；</w:t>
      </w:r>
    </w:p>
    <w:p w14:paraId="7F04473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⑥禁止在大风天进行渣土堆放作业，临时废弃土石方及时清运；</w:t>
      </w:r>
    </w:p>
    <w:p w14:paraId="71B9ACC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⑦合理选择运输路线，选择环境影响最小的路线至指定的场地，尽量减少经过居住区、学校、医院次数，避免对其的影响；</w:t>
      </w:r>
    </w:p>
    <w:p w14:paraId="569F476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⑧加强对施工人员的环保教育，提高全体施工人员的环保意识，坚持文明施工、科学施工、减少施工期的大气污染。</w:t>
      </w:r>
    </w:p>
    <w:p w14:paraId="5D87258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本项目土建工程量较小，且</w:t>
      </w:r>
      <w:r>
        <w:rPr>
          <w:rFonts w:hint="default" w:ascii="Times New Roman" w:hAnsi="Times New Roman" w:cs="Times New Roman"/>
          <w:color w:val="auto"/>
          <w:highlight w:val="none"/>
          <w:lang w:val="en-US" w:eastAsia="zh-CN"/>
        </w:rPr>
        <w:t>周边100m范围内均无居民居住</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eastAsia="zh-CN"/>
        </w:rPr>
        <w:t>无学校、医院等敏感点，</w:t>
      </w:r>
      <w:r>
        <w:rPr>
          <w:rFonts w:hint="default" w:ascii="Times New Roman" w:hAnsi="Times New Roman" w:cs="Times New Roman"/>
          <w:color w:val="auto"/>
          <w:highlight w:val="none"/>
        </w:rPr>
        <w:t>且周围树木茂密，在采取有效的扬尘治理措施的前提下，对周围大气环境的影响较小。</w:t>
      </w:r>
    </w:p>
    <w:p w14:paraId="0969075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施工期水环境保护措施论证</w:t>
      </w:r>
    </w:p>
    <w:p w14:paraId="5253226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项目施工期废水来源主要为两部分：一是建筑施工过程中产生的生产废水，主要来源于施工机械的冲洗废水，主要含泥砂、少量油污，悬浮物浓度较高，经隔油、沉淀和除渣后循环使用，不外排。二是施工人员产生的生活污水，施工期间工地不设简易住宿和食堂，产生的生活污水</w:t>
      </w:r>
      <w:r>
        <w:rPr>
          <w:rFonts w:hint="default" w:ascii="Times New Roman" w:hAnsi="Times New Roman" w:cs="Times New Roman"/>
          <w:color w:val="auto"/>
          <w:highlight w:val="none"/>
          <w:lang w:val="en-US" w:eastAsia="zh-CN"/>
        </w:rPr>
        <w:t>依托周边已有设施解决</w:t>
      </w:r>
      <w:r>
        <w:rPr>
          <w:rFonts w:hint="default" w:ascii="Times New Roman" w:hAnsi="Times New Roman" w:cs="Times New Roman"/>
          <w:color w:val="auto"/>
          <w:highlight w:val="none"/>
        </w:rPr>
        <w:t>。</w:t>
      </w:r>
    </w:p>
    <w:p w14:paraId="5D326BE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因此，施工期废水不会对当地地表水环境造成污染影响。</w:t>
      </w:r>
    </w:p>
    <w:p w14:paraId="2EDE3649">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施工期声环境保护措施论证</w:t>
      </w:r>
    </w:p>
    <w:p w14:paraId="079D011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施工过程中的机械设备和运输车辆等会产生强噪声，其噪声值约在75~105dB（A）之间，会对周围声学环境产生一定的影响。为降低环境敏感点所受到的施工噪声影响，施工期提出以下噪声防治措施：</w:t>
      </w:r>
    </w:p>
    <w:p w14:paraId="7517AA0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①</w:t>
      </w:r>
      <w:r>
        <w:rPr>
          <w:rFonts w:hint="default" w:ascii="Times New Roman" w:hAnsi="Times New Roman" w:cs="Times New Roman"/>
          <w:color w:val="auto"/>
          <w:highlight w:val="none"/>
          <w:lang w:eastAsia="zh-CN"/>
        </w:rPr>
        <w:t>选择低噪声设备，</w:t>
      </w:r>
      <w:r>
        <w:rPr>
          <w:rFonts w:hint="default" w:ascii="Times New Roman" w:hAnsi="Times New Roman" w:cs="Times New Roman"/>
          <w:color w:val="auto"/>
          <w:highlight w:val="none"/>
        </w:rPr>
        <w:t>合理布局施工场地，将高噪声设备布置于</w:t>
      </w:r>
      <w:r>
        <w:rPr>
          <w:rFonts w:hint="default" w:ascii="Times New Roman" w:hAnsi="Times New Roman" w:cs="Times New Roman"/>
          <w:color w:val="auto"/>
          <w:highlight w:val="none"/>
          <w:lang w:val="en-US" w:eastAsia="zh-CN"/>
        </w:rPr>
        <w:t>场地中部</w:t>
      </w:r>
      <w:r>
        <w:rPr>
          <w:rFonts w:hint="default" w:ascii="Times New Roman" w:hAnsi="Times New Roman" w:cs="Times New Roman"/>
          <w:color w:val="auto"/>
          <w:highlight w:val="none"/>
        </w:rPr>
        <w:t>；</w:t>
      </w:r>
    </w:p>
    <w:p w14:paraId="210D15C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②合理安排施工时间，将强噪声作业尽量安排在白天进行，严禁夜间高噪声设备施工；</w:t>
      </w:r>
    </w:p>
    <w:p w14:paraId="7C63218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③施工现场提倡文明施工，建立健全控制人为噪声的管理制度，尽量减少人为的大声喧哗，增强全体施工人员的防噪声扰民的自觉意识；</w:t>
      </w:r>
    </w:p>
    <w:p w14:paraId="02D27FE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④运输材料及设备时，必须轻拿轻放，严禁野蛮装卸，并在装卸点铺垫草包等降噪物体；大型物件装卸，应当使用起吊设备，严禁汽车自卸；</w:t>
      </w:r>
    </w:p>
    <w:p w14:paraId="063F2E4F">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⑤材料运输等汽车进场安排专人指挥，场内禁止运输车辆鸣笛；材料装卸采用人工传递，严禁抛掷或汽车一次性下料；</w:t>
      </w:r>
    </w:p>
    <w:p w14:paraId="198A4BC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⑥建材、施工机械器具、建渣等的运输尽量选择影响最小的路线，途经敏感点时减速慢行，严禁鸣笛；</w:t>
      </w:r>
    </w:p>
    <w:p w14:paraId="72E88B2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⑦项目施工管理由专人负责，并设定专门负责人定期对该区的施工噪声污染防治措施以及环保管理进行检查和核实，严格按照国家、</w:t>
      </w:r>
      <w:r>
        <w:rPr>
          <w:rFonts w:hint="default" w:ascii="Times New Roman" w:hAnsi="Times New Roman" w:cs="Times New Roman"/>
          <w:color w:val="auto"/>
          <w:highlight w:val="none"/>
          <w:lang w:val="en-US" w:eastAsia="zh-CN"/>
        </w:rPr>
        <w:t>地方</w:t>
      </w:r>
      <w:r>
        <w:rPr>
          <w:rFonts w:hint="default" w:ascii="Times New Roman" w:hAnsi="Times New Roman" w:cs="Times New Roman"/>
          <w:color w:val="auto"/>
          <w:highlight w:val="none"/>
        </w:rPr>
        <w:t>的施工噪声防治和管理规范中的相关规程要求进行治理，尽量减少施工噪声对外环境的影响程度。</w:t>
      </w:r>
    </w:p>
    <w:p w14:paraId="0B7A984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建设单位在施工过程中应严格监督管理，使施工期间的场界噪声可以满足《建筑施工场界环境噪声排放标准》（GB12523-2011）标准要求，最大限度的减小施工噪声对周围环境产生不利影响。</w:t>
      </w:r>
    </w:p>
    <w:p w14:paraId="2B1064C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项目施工期噪声影响是暂时性的，在采取相应的管理措施后可减至最低，并将随着施工期的结束而消失。</w:t>
      </w:r>
    </w:p>
    <w:p w14:paraId="24621807">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施工期固体废弃物处置措施论证</w:t>
      </w:r>
    </w:p>
    <w:p w14:paraId="48AB8C0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本项目挖方用于厂区绿化，经取弃土平衡后，不产生弃土。施工期固体废物主要是建筑废弃材料、废砂石，以及施工人员生活垃圾等。</w:t>
      </w:r>
    </w:p>
    <w:p w14:paraId="7DE694C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对施工产生的废料首先应考虑废料的回收利用，如钢筋、钢板、木材等下角料可分类回收，交废物收购站处理；建筑垃圾，如混凝土废料、含砖、石、砂的杂土应集中堆放，定时清运，送建筑垃圾指定堆放场，以免影响施工和环境卫生。</w:t>
      </w:r>
    </w:p>
    <w:p w14:paraId="19416C9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施工人员生活垃圾经集中收集后由当地环卫部门统一清运处理。</w:t>
      </w:r>
    </w:p>
    <w:p w14:paraId="5C745AD5">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施工期水土流失防治措施</w:t>
      </w:r>
    </w:p>
    <w:p w14:paraId="38B5D05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为了防止施工过程中产生水土流失，应采取两方面的措施： </w:t>
      </w:r>
    </w:p>
    <w:p w14:paraId="5F88D17A">
      <w:pPr>
        <w:pStyle w:val="14"/>
        <w:numPr>
          <w:ilvl w:val="0"/>
          <w:numId w:val="17"/>
        </w:numPr>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工程措施 </w:t>
      </w:r>
    </w:p>
    <w:p w14:paraId="3A4EEFAD">
      <w:pPr>
        <w:pStyle w:val="14"/>
        <w:numPr>
          <w:ilvl w:val="0"/>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①禁止在大雨和暴雨时进行土方工程施工；</w:t>
      </w:r>
    </w:p>
    <w:p w14:paraId="65FDCACA">
      <w:pPr>
        <w:pStyle w:val="14"/>
        <w:numPr>
          <w:ilvl w:val="0"/>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②施工场地周边设置保持土体稳定和截排水的工程，如挡墙、沉砂池和截水沟等；</w:t>
      </w:r>
    </w:p>
    <w:p w14:paraId="7CCFE5BE">
      <w:pPr>
        <w:pStyle w:val="14"/>
        <w:numPr>
          <w:ilvl w:val="0"/>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③施工过程中设置的临时堆场应进行遮盖，防止产生滑坡等危害。 </w:t>
      </w:r>
    </w:p>
    <w:p w14:paraId="110C7D97">
      <w:pPr>
        <w:pStyle w:val="14"/>
        <w:numPr>
          <w:ilvl w:val="0"/>
          <w:numId w:val="17"/>
        </w:numPr>
        <w:ind w:left="0" w:leftChars="0"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生物措施</w:t>
      </w:r>
    </w:p>
    <w:p w14:paraId="273927B5">
      <w:pPr>
        <w:pStyle w:val="14"/>
        <w:numPr>
          <w:ilvl w:val="0"/>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在施工场地容易发生水土流失的区域种植绿化，保护地表土壤，减少水土流失。</w:t>
      </w:r>
    </w:p>
    <w:p w14:paraId="135C5E1A">
      <w:pPr>
        <w:pStyle w:val="14"/>
        <w:numPr>
          <w:ilvl w:val="0"/>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综上所述，施工期的噪声、废气、废水和固体废弃物将会对环境产生一定程度的影响</w:t>
      </w:r>
      <w:r>
        <w:rPr>
          <w:rFonts w:hint="default" w:ascii="Times New Roman" w:hAnsi="Times New Roman" w:cs="Times New Roman"/>
          <w:color w:val="auto"/>
          <w:highlight w:val="none"/>
          <w:lang w:eastAsia="zh-CN"/>
        </w:rPr>
        <w:t>。评价认为，</w:t>
      </w:r>
      <w:r>
        <w:rPr>
          <w:rFonts w:hint="default" w:ascii="Times New Roman" w:hAnsi="Times New Roman" w:cs="Times New Roman"/>
          <w:color w:val="auto"/>
          <w:highlight w:val="none"/>
          <w:lang w:val="en-US" w:eastAsia="zh-CN"/>
        </w:rPr>
        <w:t>通过施工期管理措施的落实，可极大地约束和控制施工期的“三废”、噪声及水土流失；同时通过实施相应的工程防范措施、生态治理及恢复，可有效减缓工程施工对生态环境的破坏及扬尘、噪声、废水、弃渣的影响。施工期所采取的环保措施均为常规措施，技术经济可行。</w:t>
      </w:r>
    </w:p>
    <w:p w14:paraId="7D2CE282">
      <w:pPr>
        <w:pStyle w:val="3"/>
        <w:spacing w:before="156" w:after="156"/>
        <w:rPr>
          <w:rFonts w:hint="default" w:ascii="Times New Roman" w:hAnsi="Times New Roman" w:cs="Times New Roman"/>
          <w:color w:val="auto"/>
          <w:highlight w:val="none"/>
        </w:rPr>
      </w:pPr>
      <w:bookmarkStart w:id="158" w:name="_Toc11638"/>
      <w:bookmarkStart w:id="159" w:name="_Toc7067"/>
      <w:bookmarkStart w:id="160" w:name="_Toc13144"/>
      <w:r>
        <w:rPr>
          <w:rFonts w:hint="default" w:ascii="Times New Roman" w:hAnsi="Times New Roman" w:cs="Times New Roman"/>
          <w:color w:val="auto"/>
          <w:highlight w:val="none"/>
        </w:rPr>
        <w:t>运营期环境保护措施及其可行性论证</w:t>
      </w:r>
      <w:bookmarkEnd w:id="158"/>
      <w:bookmarkEnd w:id="159"/>
      <w:bookmarkEnd w:id="160"/>
    </w:p>
    <w:p w14:paraId="4F77B48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运营期废气防治措施论证</w:t>
      </w:r>
    </w:p>
    <w:p w14:paraId="68BC727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cs="Times New Roman"/>
          <w:color w:val="auto"/>
          <w:sz w:val="24"/>
          <w:szCs w:val="24"/>
          <w:highlight w:val="none"/>
        </w:rPr>
        <w:t>本项目运营期废气</w:t>
      </w:r>
      <w:r>
        <w:rPr>
          <w:rFonts w:hint="default" w:ascii="Times New Roman" w:hAnsi="Times New Roman" w:cs="Times New Roman"/>
          <w:color w:val="auto"/>
          <w:sz w:val="24"/>
          <w:szCs w:val="24"/>
          <w:highlight w:val="none"/>
          <w:lang w:val="en-US" w:eastAsia="zh-CN"/>
        </w:rPr>
        <w:t>主要</w:t>
      </w:r>
      <w:r>
        <w:rPr>
          <w:rFonts w:hint="eastAsia" w:ascii="Times New Roman" w:hAnsi="Times New Roman" w:cs="Times New Roman"/>
          <w:color w:val="auto"/>
          <w:sz w:val="24"/>
          <w:szCs w:val="24"/>
          <w:highlight w:val="none"/>
          <w:lang w:val="en-US" w:eastAsia="zh-CN"/>
        </w:rPr>
        <w:t>有</w:t>
      </w:r>
      <w:r>
        <w:rPr>
          <w:rFonts w:hint="default" w:ascii="Times New Roman" w:hAnsi="Times New Roman" w:cs="Times New Roman"/>
          <w:color w:val="auto"/>
          <w:sz w:val="24"/>
          <w:szCs w:val="24"/>
          <w:highlight w:val="none"/>
          <w:lang w:val="en-US" w:eastAsia="zh-CN"/>
        </w:rPr>
        <w:t>生活垃圾</w:t>
      </w:r>
      <w:r>
        <w:rPr>
          <w:rFonts w:hint="eastAsia" w:ascii="Times New Roman" w:hAnsi="Times New Roman" w:cs="Times New Roman"/>
          <w:color w:val="auto"/>
          <w:sz w:val="24"/>
          <w:szCs w:val="24"/>
          <w:highlight w:val="none"/>
          <w:lang w:val="en-US" w:eastAsia="zh-CN"/>
        </w:rPr>
        <w:t>储存 过程中的</w:t>
      </w:r>
      <w:r>
        <w:rPr>
          <w:rFonts w:hint="default" w:ascii="Times New Roman" w:hAnsi="Times New Roman" w:cs="Times New Roman"/>
          <w:color w:val="auto"/>
          <w:sz w:val="24"/>
          <w:szCs w:val="24"/>
          <w:highlight w:val="none"/>
          <w:lang w:val="en-US" w:eastAsia="zh-CN"/>
        </w:rPr>
        <w:t>恶臭</w:t>
      </w:r>
      <w:r>
        <w:rPr>
          <w:rFonts w:hint="eastAsia"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净化热解气燃烧烟气；炭黑渣加工粉尘；柴油发电机废气。</w:t>
      </w:r>
    </w:p>
    <w:p w14:paraId="2E64E587">
      <w:pPr>
        <w:pStyle w:val="5"/>
        <w:rPr>
          <w:rFonts w:hint="default" w:ascii="Times New Roman" w:hAnsi="Times New Roman" w:cs="Times New Roman"/>
          <w:color w:val="auto"/>
          <w:highlight w:val="none"/>
        </w:rPr>
      </w:pPr>
      <w:r>
        <w:rPr>
          <w:rFonts w:hint="eastAsia" w:ascii="Times New Roman" w:hAnsi="Times New Roman" w:cs="Times New Roman"/>
          <w:color w:val="auto"/>
          <w:highlight w:val="none"/>
          <w:lang w:val="en-US" w:eastAsia="zh-CN"/>
        </w:rPr>
        <w:t>恶臭气体治理措施及可行性论证</w:t>
      </w:r>
    </w:p>
    <w:p w14:paraId="60B92C18">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b w:val="0"/>
          <w:bCs w:val="0"/>
          <w:color w:val="auto"/>
          <w:kern w:val="2"/>
          <w:sz w:val="24"/>
          <w:szCs w:val="24"/>
          <w:highlight w:val="none"/>
          <w:lang w:val="en-US" w:eastAsia="zh-CN" w:bidi="ar-SA"/>
        </w:rPr>
      </w:pPr>
      <w:r>
        <w:rPr>
          <w:rFonts w:hint="default" w:ascii="Times New Roman" w:hAnsi="Times New Roman" w:eastAsia="宋体" w:cs="Times New Roman"/>
          <w:color w:val="auto"/>
          <w:kern w:val="0"/>
          <w:sz w:val="24"/>
          <w:szCs w:val="24"/>
          <w:highlight w:val="none"/>
          <w:lang w:val="en-US" w:eastAsia="zh-CN" w:bidi="ar"/>
        </w:rPr>
        <w:t>本项目恶臭气体主要来自</w:t>
      </w:r>
      <w:r>
        <w:rPr>
          <w:rFonts w:hint="default" w:ascii="Times New Roman" w:hAnsi="Times New Roman" w:eastAsia="宋体" w:cs="Times New Roman"/>
          <w:b w:val="0"/>
          <w:bCs w:val="0"/>
          <w:color w:val="auto"/>
          <w:kern w:val="2"/>
          <w:sz w:val="24"/>
          <w:szCs w:val="24"/>
          <w:highlight w:val="none"/>
          <w:lang w:val="en-US" w:eastAsia="zh-CN" w:bidi="ar-SA"/>
        </w:rPr>
        <w:t>生活垃圾预处理车间</w:t>
      </w:r>
      <w:r>
        <w:rPr>
          <w:rFonts w:hint="eastAsia" w:ascii="Times New Roman" w:hAnsi="Times New Roman" w:eastAsia="宋体" w:cs="Times New Roman"/>
          <w:b w:val="0"/>
          <w:bCs w:val="0"/>
          <w:color w:val="auto"/>
          <w:kern w:val="2"/>
          <w:sz w:val="24"/>
          <w:szCs w:val="24"/>
          <w:highlight w:val="none"/>
          <w:lang w:val="en-US" w:eastAsia="zh-CN" w:bidi="ar-SA"/>
        </w:rPr>
        <w:t>、</w:t>
      </w:r>
      <w:r>
        <w:rPr>
          <w:rFonts w:hint="default" w:ascii="Times New Roman" w:hAnsi="Times New Roman" w:eastAsia="宋体" w:cs="Times New Roman"/>
          <w:color w:val="auto"/>
          <w:kern w:val="0"/>
          <w:sz w:val="24"/>
          <w:szCs w:val="24"/>
          <w:highlight w:val="none"/>
          <w:lang w:val="en-US" w:eastAsia="zh-CN" w:bidi="ar"/>
        </w:rPr>
        <w:t>垃圾暂存</w:t>
      </w:r>
      <w:r>
        <w:rPr>
          <w:rFonts w:hint="eastAsia" w:ascii="Times New Roman" w:hAnsi="Times New Roman" w:eastAsia="宋体" w:cs="Times New Roman"/>
          <w:color w:val="auto"/>
          <w:kern w:val="0"/>
          <w:sz w:val="24"/>
          <w:szCs w:val="24"/>
          <w:highlight w:val="none"/>
          <w:lang w:val="en-US" w:eastAsia="zh-CN" w:bidi="ar"/>
        </w:rPr>
        <w:t>仓和缓存仓、</w:t>
      </w:r>
      <w:r>
        <w:rPr>
          <w:rFonts w:hint="default" w:ascii="Times New Roman" w:hAnsi="Times New Roman" w:eastAsia="宋体" w:cs="Times New Roman"/>
          <w:color w:val="auto"/>
          <w:kern w:val="0"/>
          <w:sz w:val="24"/>
          <w:szCs w:val="24"/>
          <w:highlight w:val="none"/>
          <w:lang w:val="en-US" w:eastAsia="zh-CN" w:bidi="ar"/>
        </w:rPr>
        <w:t>渗滤液收集</w:t>
      </w:r>
      <w:r>
        <w:rPr>
          <w:rFonts w:hint="eastAsia" w:ascii="Times New Roman" w:hAnsi="Times New Roman" w:eastAsia="宋体" w:cs="Times New Roman"/>
          <w:color w:val="auto"/>
          <w:kern w:val="0"/>
          <w:sz w:val="24"/>
          <w:szCs w:val="24"/>
          <w:highlight w:val="none"/>
          <w:lang w:val="en-US" w:eastAsia="zh-CN" w:bidi="ar"/>
        </w:rPr>
        <w:t>池、渗滤液暂存池</w:t>
      </w:r>
      <w:r>
        <w:rPr>
          <w:rFonts w:hint="default" w:ascii="Times New Roman" w:hAnsi="Times New Roman" w:eastAsia="宋体" w:cs="Times New Roman"/>
          <w:color w:val="auto"/>
          <w:kern w:val="0"/>
          <w:sz w:val="24"/>
          <w:szCs w:val="24"/>
          <w:highlight w:val="none"/>
          <w:lang w:val="en-US" w:eastAsia="zh-CN" w:bidi="ar"/>
        </w:rPr>
        <w:t>。</w:t>
      </w:r>
    </w:p>
    <w:p w14:paraId="34D3861F">
      <w:pPr>
        <w:pStyle w:val="14"/>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eastAsia" w:ascii="Times New Roman" w:hAnsi="Times New Roman" w:eastAsia="宋体" w:cs="Times New Roman"/>
          <w:b/>
          <w:bCs/>
          <w:color w:val="auto"/>
          <w:kern w:val="0"/>
          <w:sz w:val="24"/>
          <w:szCs w:val="24"/>
          <w:highlight w:val="none"/>
          <w:lang w:val="en-US" w:eastAsia="zh-CN" w:bidi="ar"/>
        </w:rPr>
        <w:t>1、恶臭气体治理措施</w:t>
      </w:r>
    </w:p>
    <w:p w14:paraId="290579AE">
      <w:pPr>
        <w:pStyle w:val="14"/>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本项目拟采取的去除恶臭的治理措施具体如下</w:t>
      </w:r>
      <w:r>
        <w:rPr>
          <w:rFonts w:hint="eastAsia" w:ascii="Times New Roman" w:hAnsi="Times New Roman" w:eastAsia="宋体" w:cs="Times New Roman"/>
          <w:color w:val="auto"/>
          <w:kern w:val="0"/>
          <w:sz w:val="24"/>
          <w:szCs w:val="24"/>
          <w:highlight w:val="none"/>
          <w:lang w:val="en-US" w:eastAsia="zh-CN" w:bidi="ar"/>
        </w:rPr>
        <w:t>：</w:t>
      </w:r>
    </w:p>
    <w:p w14:paraId="78758C8B">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①恶臭气体高效捕集、隔离措施</w:t>
      </w:r>
    </w:p>
    <w:p w14:paraId="0C199D66">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a.垃圾运输采用封闭式的垃圾运输车。</w:t>
      </w:r>
    </w:p>
    <w:p w14:paraId="52A65EB0">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b.垃圾卸料位于气闸间，卸料大厅进出口处设置风幕，防止臭气外溢。</w:t>
      </w:r>
    </w:p>
    <w:p w14:paraId="4FD70499">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c.</w:t>
      </w:r>
      <w:r>
        <w:rPr>
          <w:rFonts w:hint="eastAsia" w:ascii="Times New Roman" w:hAnsi="Times New Roman" w:eastAsia="宋体" w:cs="Times New Roman"/>
          <w:b w:val="0"/>
          <w:bCs w:val="0"/>
          <w:color w:val="auto"/>
          <w:kern w:val="2"/>
          <w:sz w:val="24"/>
          <w:szCs w:val="24"/>
          <w:highlight w:val="none"/>
          <w:lang w:val="en-US" w:eastAsia="zh-CN" w:bidi="ar-SA"/>
        </w:rPr>
        <w:t>垃圾预处理车间、</w:t>
      </w:r>
      <w:r>
        <w:rPr>
          <w:rFonts w:hint="default" w:ascii="Times New Roman" w:hAnsi="Times New Roman" w:eastAsia="宋体" w:cs="Times New Roman"/>
          <w:color w:val="auto"/>
          <w:kern w:val="0"/>
          <w:sz w:val="24"/>
          <w:szCs w:val="24"/>
          <w:highlight w:val="none"/>
          <w:lang w:val="en-US" w:eastAsia="zh-CN" w:bidi="ar"/>
        </w:rPr>
        <w:t>垃圾暂存池</w:t>
      </w:r>
      <w:r>
        <w:rPr>
          <w:rFonts w:hint="eastAsia" w:ascii="Times New Roman" w:hAnsi="Times New Roman" w:eastAsia="宋体" w:cs="Times New Roman"/>
          <w:color w:val="auto"/>
          <w:kern w:val="0"/>
          <w:sz w:val="24"/>
          <w:szCs w:val="24"/>
          <w:highlight w:val="none"/>
          <w:lang w:val="en-US" w:eastAsia="zh-CN" w:bidi="ar"/>
        </w:rPr>
        <w:t>和缓存仓、</w:t>
      </w:r>
      <w:r>
        <w:rPr>
          <w:rFonts w:hint="default" w:ascii="Times New Roman" w:hAnsi="Times New Roman" w:eastAsia="宋体" w:cs="Times New Roman"/>
          <w:color w:val="auto"/>
          <w:kern w:val="0"/>
          <w:sz w:val="24"/>
          <w:szCs w:val="24"/>
          <w:highlight w:val="none"/>
          <w:lang w:val="en-US" w:eastAsia="zh-CN" w:bidi="ar"/>
        </w:rPr>
        <w:t>渗滤液处理系统全密闭设计，垃圾暂存池与卸料平台间（气闸间）设置自动卸料门密封门，垃圾卸料门保持关闭</w:t>
      </w:r>
      <w:r>
        <w:rPr>
          <w:rFonts w:hint="eastAsia" w:ascii="Times New Roman" w:hAnsi="Times New Roman" w:eastAsia="宋体" w:cs="Times New Roman"/>
          <w:color w:val="auto"/>
          <w:kern w:val="0"/>
          <w:sz w:val="24"/>
          <w:szCs w:val="24"/>
          <w:highlight w:val="none"/>
          <w:lang w:val="en-US" w:eastAsia="zh-CN" w:bidi="ar"/>
        </w:rPr>
        <w:t>。恶臭气体采用集气管道负压密闭收集</w:t>
      </w:r>
      <w:r>
        <w:rPr>
          <w:rFonts w:hint="default" w:ascii="Times New Roman" w:hAnsi="Times New Roman" w:eastAsia="宋体" w:cs="Times New Roman"/>
          <w:color w:val="auto"/>
          <w:kern w:val="0"/>
          <w:sz w:val="24"/>
          <w:szCs w:val="24"/>
          <w:highlight w:val="none"/>
          <w:lang w:val="en-US" w:eastAsia="zh-CN" w:bidi="ar"/>
        </w:rPr>
        <w:t>，减少恶臭外溢。污水池加盖密闭。</w:t>
      </w:r>
    </w:p>
    <w:p w14:paraId="5F750739">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②恶臭气体有效去除措施</w:t>
      </w:r>
    </w:p>
    <w:p w14:paraId="7ECCF61F">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A.正常运行期间：生活垃圾预处理车间、垃圾暂存池</w:t>
      </w:r>
      <w:r>
        <w:rPr>
          <w:rFonts w:hint="eastAsia" w:ascii="Times New Roman" w:hAnsi="Times New Roman" w:eastAsia="宋体" w:cs="Times New Roman"/>
          <w:color w:val="auto"/>
          <w:kern w:val="0"/>
          <w:sz w:val="24"/>
          <w:szCs w:val="24"/>
          <w:highlight w:val="none"/>
          <w:lang w:val="en-US" w:eastAsia="zh-CN" w:bidi="ar"/>
        </w:rPr>
        <w:t>和缓存仓、</w:t>
      </w:r>
      <w:r>
        <w:rPr>
          <w:rFonts w:hint="default" w:ascii="Times New Roman" w:hAnsi="Times New Roman" w:eastAsia="宋体" w:cs="Times New Roman"/>
          <w:color w:val="auto"/>
          <w:kern w:val="0"/>
          <w:sz w:val="24"/>
          <w:szCs w:val="24"/>
          <w:highlight w:val="none"/>
          <w:lang w:val="en-US" w:eastAsia="zh-CN" w:bidi="ar"/>
        </w:rPr>
        <w:t>渗滤液处理系统产生的恶臭气体集中收集（集气率90%）</w:t>
      </w:r>
      <w:r>
        <w:rPr>
          <w:rFonts w:hint="default" w:ascii="Times New Roman" w:hAnsi="Times New Roman" w:eastAsia="宋体" w:cs="Times New Roman"/>
          <w:b w:val="0"/>
          <w:bCs w:val="0"/>
          <w:color w:val="auto"/>
          <w:kern w:val="2"/>
          <w:sz w:val="24"/>
          <w:szCs w:val="24"/>
          <w:highlight w:val="none"/>
          <w:lang w:val="en-US" w:eastAsia="zh-CN" w:bidi="ar-SA"/>
        </w:rPr>
        <w:t>抽至热分解气燃烧系统作为助燃用一次空气</w:t>
      </w:r>
      <w:r>
        <w:rPr>
          <w:rFonts w:hint="default" w:ascii="Times New Roman" w:hAnsi="Times New Roman" w:eastAsia="宋体" w:cs="Times New Roman"/>
          <w:color w:val="auto"/>
          <w:kern w:val="0"/>
          <w:sz w:val="24"/>
          <w:szCs w:val="24"/>
          <w:highlight w:val="none"/>
          <w:lang w:val="en-US" w:eastAsia="zh-CN" w:bidi="ar"/>
        </w:rPr>
        <w:t>。</w:t>
      </w:r>
    </w:p>
    <w:p w14:paraId="633A7465">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B.</w:t>
      </w:r>
      <w:r>
        <w:rPr>
          <w:rFonts w:hint="eastAsia" w:ascii="Times New Roman" w:hAnsi="Times New Roman" w:eastAsia="宋体" w:cs="Times New Roman"/>
          <w:color w:val="auto"/>
          <w:kern w:val="0"/>
          <w:sz w:val="24"/>
          <w:szCs w:val="24"/>
          <w:highlight w:val="none"/>
          <w:lang w:val="en-US" w:eastAsia="zh-CN" w:bidi="ar"/>
        </w:rPr>
        <w:t>停工</w:t>
      </w:r>
      <w:r>
        <w:rPr>
          <w:rFonts w:hint="default" w:ascii="Times New Roman" w:hAnsi="Times New Roman" w:eastAsia="宋体" w:cs="Times New Roman"/>
          <w:color w:val="auto"/>
          <w:kern w:val="0"/>
          <w:sz w:val="24"/>
          <w:szCs w:val="24"/>
          <w:highlight w:val="none"/>
          <w:lang w:val="en-US" w:eastAsia="zh-CN" w:bidi="ar"/>
        </w:rPr>
        <w:t>检修期间：生活垃圾预处理车间、垃圾暂存池</w:t>
      </w:r>
      <w:r>
        <w:rPr>
          <w:rFonts w:hint="eastAsia" w:ascii="Times New Roman" w:hAnsi="Times New Roman" w:eastAsia="宋体" w:cs="Times New Roman"/>
          <w:color w:val="auto"/>
          <w:kern w:val="0"/>
          <w:sz w:val="24"/>
          <w:szCs w:val="24"/>
          <w:highlight w:val="none"/>
          <w:lang w:val="en-US" w:eastAsia="zh-CN" w:bidi="ar"/>
        </w:rPr>
        <w:t>和缓存仓、</w:t>
      </w:r>
      <w:r>
        <w:rPr>
          <w:rFonts w:hint="default" w:ascii="Times New Roman" w:hAnsi="Times New Roman" w:eastAsia="宋体" w:cs="Times New Roman"/>
          <w:color w:val="auto"/>
          <w:kern w:val="0"/>
          <w:sz w:val="24"/>
          <w:szCs w:val="24"/>
          <w:highlight w:val="none"/>
          <w:lang w:val="en-US" w:eastAsia="zh-CN" w:bidi="ar"/>
        </w:rPr>
        <w:t>渗滤液处理系统产生的恶臭气体集中收集（集气率90%）进入臭气处理系统，经“活性炭吸附+光氧催化”处理后通过15m高排气筒</w:t>
      </w:r>
      <w:r>
        <w:rPr>
          <w:rFonts w:hint="eastAsia" w:ascii="Times New Roman" w:hAnsi="Times New Roman" w:eastAsia="宋体" w:cs="Times New Roman"/>
          <w:color w:val="auto"/>
          <w:kern w:val="0"/>
          <w:sz w:val="24"/>
          <w:szCs w:val="24"/>
          <w:highlight w:val="none"/>
          <w:lang w:val="en-US" w:eastAsia="zh-CN" w:bidi="ar"/>
        </w:rPr>
        <w:t>（</w:t>
      </w:r>
      <w:r>
        <w:rPr>
          <w:rFonts w:hint="eastAsia" w:ascii="Times New Roman" w:hAnsi="Times New Roman" w:cs="Times New Roman"/>
          <w:color w:val="auto"/>
          <w:szCs w:val="24"/>
          <w:highlight w:val="none"/>
          <w:lang w:val="en-US" w:eastAsia="zh-CN"/>
        </w:rPr>
        <w:t>DA001</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排放，处理效率可达90%以上</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本次评价按90%计，可实现达标排放。</w:t>
      </w:r>
    </w:p>
    <w:p w14:paraId="696FC436">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C.定期对垃圾暂存</w:t>
      </w:r>
      <w:r>
        <w:rPr>
          <w:rFonts w:hint="eastAsia" w:ascii="Times New Roman" w:hAnsi="Times New Roman" w:eastAsia="宋体" w:cs="Times New Roman"/>
          <w:color w:val="auto"/>
          <w:kern w:val="0"/>
          <w:sz w:val="24"/>
          <w:szCs w:val="24"/>
          <w:highlight w:val="none"/>
          <w:lang w:val="en-US" w:eastAsia="zh-CN" w:bidi="ar"/>
        </w:rPr>
        <w:t>设施</w:t>
      </w:r>
      <w:r>
        <w:rPr>
          <w:rFonts w:hint="default" w:ascii="Times New Roman" w:hAnsi="Times New Roman" w:eastAsia="宋体" w:cs="Times New Roman"/>
          <w:color w:val="auto"/>
          <w:kern w:val="0"/>
          <w:sz w:val="24"/>
          <w:szCs w:val="24"/>
          <w:highlight w:val="none"/>
          <w:lang w:val="en-US" w:eastAsia="zh-CN" w:bidi="ar"/>
        </w:rPr>
        <w:t>喷洒灭菌、灭臭药剂。</w:t>
      </w:r>
    </w:p>
    <w:p w14:paraId="4EE5F841">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③恶臭源头控制措施</w:t>
      </w:r>
    </w:p>
    <w:p w14:paraId="00DD4C30">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规范垃圾暂存</w:t>
      </w:r>
      <w:r>
        <w:rPr>
          <w:rFonts w:hint="eastAsia" w:ascii="Times New Roman" w:hAnsi="Times New Roman" w:eastAsia="宋体" w:cs="Times New Roman"/>
          <w:color w:val="auto"/>
          <w:kern w:val="0"/>
          <w:sz w:val="24"/>
          <w:szCs w:val="24"/>
          <w:highlight w:val="none"/>
          <w:lang w:val="en-US" w:eastAsia="zh-CN" w:bidi="ar"/>
        </w:rPr>
        <w:t>设施</w:t>
      </w:r>
      <w:r>
        <w:rPr>
          <w:rFonts w:hint="default" w:ascii="Times New Roman" w:hAnsi="Times New Roman" w:eastAsia="宋体" w:cs="Times New Roman"/>
          <w:color w:val="auto"/>
          <w:kern w:val="0"/>
          <w:sz w:val="24"/>
          <w:szCs w:val="24"/>
          <w:highlight w:val="none"/>
          <w:lang w:val="en-US" w:eastAsia="zh-CN" w:bidi="ar"/>
        </w:rPr>
        <w:t>的操作管理，利用抓斗对垃不停进行搅拌翻动，不仅可使垃圾热值均匀，且可避免垃圾的厌氧发酵，减少恶臭产生。</w:t>
      </w:r>
    </w:p>
    <w:p w14:paraId="3CC1E92F">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④渗滤液</w:t>
      </w:r>
      <w:r>
        <w:rPr>
          <w:rFonts w:hint="eastAsia" w:ascii="Times New Roman" w:hAnsi="Times New Roman" w:eastAsia="宋体" w:cs="Times New Roman"/>
          <w:b/>
          <w:bCs/>
          <w:color w:val="auto"/>
          <w:kern w:val="0"/>
          <w:sz w:val="24"/>
          <w:szCs w:val="24"/>
          <w:highlight w:val="none"/>
          <w:lang w:val="en-US" w:eastAsia="zh-CN" w:bidi="ar"/>
        </w:rPr>
        <w:t>收集系统</w:t>
      </w:r>
      <w:r>
        <w:rPr>
          <w:rFonts w:hint="default" w:ascii="Times New Roman" w:hAnsi="Times New Roman" w:eastAsia="宋体" w:cs="Times New Roman"/>
          <w:b/>
          <w:bCs/>
          <w:color w:val="auto"/>
          <w:kern w:val="0"/>
          <w:sz w:val="24"/>
          <w:szCs w:val="24"/>
          <w:highlight w:val="none"/>
          <w:lang w:val="en-US" w:eastAsia="zh-CN" w:bidi="ar"/>
        </w:rPr>
        <w:t>恶臭气体治理措施</w:t>
      </w:r>
    </w:p>
    <w:p w14:paraId="0E1C16E7">
      <w:pPr>
        <w:pStyle w:val="14"/>
        <w:keepNext w:val="0"/>
        <w:keepLines w:val="0"/>
        <w:pageBreakBefore w:val="0"/>
        <w:widowControl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渗滤液收集池为密闭结构，其内部的恶臭气体以自然流动的方式通过 PVC管道连接到垃圾暂存</w:t>
      </w:r>
      <w:r>
        <w:rPr>
          <w:rFonts w:hint="eastAsia" w:ascii="Times New Roman" w:hAnsi="Times New Roman" w:eastAsia="宋体" w:cs="Times New Roman"/>
          <w:color w:val="auto"/>
          <w:kern w:val="0"/>
          <w:sz w:val="24"/>
          <w:szCs w:val="24"/>
          <w:highlight w:val="none"/>
          <w:lang w:val="en-US" w:eastAsia="zh-CN" w:bidi="ar"/>
        </w:rPr>
        <w:t>仓和缓存仓</w:t>
      </w:r>
      <w:r>
        <w:rPr>
          <w:rFonts w:hint="default" w:ascii="Times New Roman" w:hAnsi="Times New Roman" w:eastAsia="宋体" w:cs="Times New Roman"/>
          <w:color w:val="auto"/>
          <w:kern w:val="0"/>
          <w:sz w:val="24"/>
          <w:szCs w:val="24"/>
          <w:highlight w:val="none"/>
          <w:lang w:val="en-US" w:eastAsia="zh-CN" w:bidi="ar"/>
        </w:rPr>
        <w:t>，与垃圾暂存</w:t>
      </w:r>
      <w:r>
        <w:rPr>
          <w:rFonts w:hint="eastAsia" w:ascii="Times New Roman" w:hAnsi="Times New Roman" w:eastAsia="宋体" w:cs="Times New Roman"/>
          <w:color w:val="auto"/>
          <w:kern w:val="0"/>
          <w:sz w:val="24"/>
          <w:szCs w:val="24"/>
          <w:highlight w:val="none"/>
          <w:lang w:val="en-US" w:eastAsia="zh-CN" w:bidi="ar"/>
        </w:rPr>
        <w:t>仓和缓存仓</w:t>
      </w:r>
      <w:r>
        <w:rPr>
          <w:rFonts w:hint="default" w:ascii="Times New Roman" w:hAnsi="Times New Roman" w:eastAsia="宋体" w:cs="Times New Roman"/>
          <w:color w:val="auto"/>
          <w:kern w:val="0"/>
          <w:sz w:val="24"/>
          <w:szCs w:val="24"/>
          <w:highlight w:val="none"/>
          <w:lang w:val="en-US" w:eastAsia="zh-CN" w:bidi="ar"/>
        </w:rPr>
        <w:t>中的恶臭气体一并</w:t>
      </w:r>
      <w:r>
        <w:rPr>
          <w:rFonts w:hint="eastAsia" w:ascii="Times New Roman" w:hAnsi="Times New Roman" w:eastAsia="宋体" w:cs="Times New Roman"/>
          <w:color w:val="auto"/>
          <w:kern w:val="0"/>
          <w:sz w:val="24"/>
          <w:szCs w:val="24"/>
          <w:highlight w:val="none"/>
          <w:lang w:val="en-US" w:eastAsia="zh-CN" w:bidi="ar"/>
        </w:rPr>
        <w:t>收集后</w:t>
      </w:r>
      <w:r>
        <w:rPr>
          <w:rFonts w:hint="default" w:ascii="Times New Roman" w:hAnsi="Times New Roman" w:eastAsia="宋体" w:cs="Times New Roman"/>
          <w:color w:val="auto"/>
          <w:kern w:val="0"/>
          <w:sz w:val="24"/>
          <w:szCs w:val="24"/>
          <w:highlight w:val="none"/>
          <w:lang w:val="en-US" w:eastAsia="zh-CN" w:bidi="ar"/>
        </w:rPr>
        <w:t>作为一次进风燃烧处理。</w:t>
      </w:r>
    </w:p>
    <w:p w14:paraId="7289B717">
      <w:pPr>
        <w:pStyle w:val="14"/>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采取上述措施后，可保证</w:t>
      </w:r>
      <w:r>
        <w:rPr>
          <w:rFonts w:hint="eastAsia" w:ascii="Times New Roman" w:hAnsi="Times New Roman" w:eastAsia="宋体" w:cs="Times New Roman"/>
          <w:color w:val="auto"/>
          <w:kern w:val="0"/>
          <w:sz w:val="24"/>
          <w:szCs w:val="24"/>
          <w:highlight w:val="none"/>
          <w:lang w:val="en-US" w:eastAsia="zh-CN" w:bidi="ar"/>
        </w:rPr>
        <w:t>生活垃圾暂存和预处理</w:t>
      </w:r>
      <w:r>
        <w:rPr>
          <w:rFonts w:hint="default" w:ascii="Times New Roman" w:hAnsi="Times New Roman" w:eastAsia="宋体" w:cs="Times New Roman"/>
          <w:color w:val="auto"/>
          <w:kern w:val="0"/>
          <w:sz w:val="24"/>
          <w:szCs w:val="24"/>
          <w:highlight w:val="none"/>
          <w:lang w:val="en-US" w:eastAsia="zh-CN" w:bidi="ar"/>
        </w:rPr>
        <w:t>逸散的恶臭气体</w:t>
      </w:r>
      <w:r>
        <w:rPr>
          <w:rFonts w:hint="eastAsia" w:ascii="Times New Roman" w:hAnsi="Times New Roman" w:eastAsia="宋体" w:cs="Times New Roman"/>
          <w:color w:val="auto"/>
          <w:kern w:val="0"/>
          <w:sz w:val="24"/>
          <w:szCs w:val="24"/>
          <w:highlight w:val="none"/>
          <w:lang w:val="en-US" w:eastAsia="zh-CN" w:bidi="ar"/>
        </w:rPr>
        <w:t>得到有效治理</w:t>
      </w:r>
      <w:r>
        <w:rPr>
          <w:rFonts w:hint="default" w:ascii="Times New Roman" w:hAnsi="Times New Roman" w:eastAsia="宋体" w:cs="Times New Roman"/>
          <w:color w:val="auto"/>
          <w:kern w:val="0"/>
          <w:sz w:val="24"/>
          <w:szCs w:val="24"/>
          <w:highlight w:val="none"/>
          <w:lang w:val="en-US" w:eastAsia="zh-CN" w:bidi="ar"/>
        </w:rPr>
        <w:t>。</w:t>
      </w:r>
    </w:p>
    <w:p w14:paraId="4A06B63A">
      <w:pPr>
        <w:pStyle w:val="14"/>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eastAsia" w:ascii="Times New Roman" w:hAnsi="Times New Roman" w:eastAsia="宋体" w:cs="Times New Roman"/>
          <w:b/>
          <w:bCs/>
          <w:color w:val="auto"/>
          <w:kern w:val="0"/>
          <w:sz w:val="24"/>
          <w:szCs w:val="24"/>
          <w:highlight w:val="none"/>
          <w:lang w:val="en-US" w:eastAsia="zh-CN" w:bidi="ar"/>
        </w:rPr>
        <w:t>2、恶臭气体治理措施可行性分析</w:t>
      </w:r>
    </w:p>
    <w:p w14:paraId="7B067E4B">
      <w:pPr>
        <w:pStyle w:val="14"/>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eastAsia" w:ascii="Times New Roman" w:hAnsi="Times New Roman" w:eastAsia="宋体" w:cs="Times New Roman"/>
          <w:b/>
          <w:bCs/>
          <w:color w:val="auto"/>
          <w:kern w:val="0"/>
          <w:sz w:val="24"/>
          <w:szCs w:val="24"/>
          <w:highlight w:val="none"/>
          <w:lang w:val="en-US" w:eastAsia="zh-CN" w:bidi="ar"/>
        </w:rPr>
        <w:t>（1）正常工况</w:t>
      </w:r>
    </w:p>
    <w:p w14:paraId="3308292B">
      <w:pPr>
        <w:pStyle w:val="59"/>
        <w:keepNext w:val="0"/>
        <w:keepLines w:val="0"/>
        <w:pageBreakBefore w:val="0"/>
        <w:widowControl w:val="0"/>
        <w:kinsoku/>
        <w:wordWrap/>
        <w:overflowPunct/>
        <w:topLinePunct w:val="0"/>
        <w:autoSpaceDE/>
        <w:autoSpaceDN/>
        <w:bidi w:val="0"/>
        <w:adjustRightInd/>
        <w:snapToGrid w:val="0"/>
        <w:spacing w:line="360" w:lineRule="auto"/>
        <w:ind w:firstLine="480"/>
        <w:jc w:val="left"/>
        <w:textAlignment w:val="auto"/>
        <w:rPr>
          <w:rFonts w:hint="default" w:ascii="Times New Roman" w:hAnsi="Times New Roman" w:eastAsia="宋体" w:cs="Times New Roman"/>
          <w:b w:val="0"/>
          <w:bCs w:val="0"/>
          <w:color w:val="auto"/>
          <w:kern w:val="2"/>
          <w:sz w:val="24"/>
          <w:szCs w:val="24"/>
          <w:highlight w:val="none"/>
          <w:lang w:val="en-US" w:eastAsia="zh-CN" w:bidi="ar-SA"/>
        </w:rPr>
      </w:pPr>
      <w:r>
        <w:rPr>
          <w:rFonts w:hint="default" w:ascii="Times New Roman" w:hAnsi="Times New Roman" w:eastAsia="宋体" w:cs="Times New Roman"/>
          <w:b w:val="0"/>
          <w:bCs w:val="0"/>
          <w:color w:val="auto"/>
          <w:kern w:val="2"/>
          <w:sz w:val="24"/>
          <w:szCs w:val="24"/>
          <w:highlight w:val="none"/>
          <w:lang w:val="en-US" w:eastAsia="zh-CN" w:bidi="ar-SA"/>
        </w:rPr>
        <w:t>在正常工况下，本项目恶臭气体抽至热分解气燃烧系统作为助燃用一次空气</w:t>
      </w:r>
      <w:r>
        <w:rPr>
          <w:rFonts w:hint="eastAsia" w:ascii="Times New Roman" w:hAnsi="Times New Roman" w:eastAsia="宋体" w:cs="Times New Roman"/>
          <w:b w:val="0"/>
          <w:bCs w:val="0"/>
          <w:color w:val="auto"/>
          <w:kern w:val="2"/>
          <w:sz w:val="24"/>
          <w:szCs w:val="24"/>
          <w:highlight w:val="none"/>
          <w:lang w:val="en-US" w:eastAsia="zh-CN" w:bidi="ar-SA"/>
        </w:rPr>
        <w:t>。</w:t>
      </w:r>
    </w:p>
    <w:p w14:paraId="6E380233">
      <w:pPr>
        <w:pStyle w:val="14"/>
        <w:keepNext w:val="0"/>
        <w:keepLines w:val="0"/>
        <w:pageBreakBefore w:val="0"/>
        <w:widowControl w:val="0"/>
        <w:kinsoku/>
        <w:wordWrap/>
        <w:overflowPunct/>
        <w:topLinePunct w:val="0"/>
        <w:autoSpaceDE/>
        <w:autoSpaceDN/>
        <w:bidi w:val="0"/>
        <w:adjustRightInd/>
        <w:snapToGrid w:val="0"/>
        <w:spacing w:line="360" w:lineRule="auto"/>
        <w:ind w:left="37" w:right="23" w:firstLine="487"/>
        <w:textAlignment w:val="auto"/>
        <w:rPr>
          <w:color w:val="auto"/>
          <w:highlight w:val="none"/>
        </w:rPr>
      </w:pPr>
      <w:r>
        <w:rPr>
          <w:color w:val="auto"/>
          <w:spacing w:val="-3"/>
          <w:highlight w:val="none"/>
        </w:rPr>
        <w:t>高温燃烧法，将臭气在高温条件下完全燃烧分解</w:t>
      </w:r>
      <w:r>
        <w:rPr>
          <w:color w:val="auto"/>
          <w:spacing w:val="-4"/>
          <w:highlight w:val="none"/>
        </w:rPr>
        <w:t>，以达到脱臭的目的，一般</w:t>
      </w:r>
      <w:r>
        <w:rPr>
          <w:color w:val="auto"/>
          <w:highlight w:val="none"/>
        </w:rPr>
        <w:t>适用于高浓度恶臭气体，且净化效率可达到</w:t>
      </w:r>
      <w:r>
        <w:rPr>
          <w:rFonts w:ascii="Times New Roman" w:hAnsi="Times New Roman" w:eastAsia="Times New Roman" w:cs="Times New Roman"/>
          <w:color w:val="auto"/>
          <w:highlight w:val="none"/>
        </w:rPr>
        <w:t>99%</w:t>
      </w:r>
      <w:r>
        <w:rPr>
          <w:color w:val="auto"/>
          <w:highlight w:val="none"/>
        </w:rPr>
        <w:t>以上</w:t>
      </w:r>
      <w:r>
        <w:rPr>
          <w:color w:val="auto"/>
          <w:spacing w:val="-1"/>
          <w:highlight w:val="none"/>
        </w:rPr>
        <w:t>。高温燃烧法要求燃烧室</w:t>
      </w:r>
      <w:r>
        <w:rPr>
          <w:color w:val="auto"/>
          <w:spacing w:val="-2"/>
          <w:highlight w:val="none"/>
        </w:rPr>
        <w:t>设计必须遵守</w:t>
      </w:r>
      <w:r>
        <w:rPr>
          <w:rFonts w:ascii="Times New Roman" w:hAnsi="Times New Roman" w:eastAsia="Times New Roman" w:cs="Times New Roman"/>
          <w:color w:val="auto"/>
          <w:spacing w:val="-2"/>
          <w:highlight w:val="none"/>
        </w:rPr>
        <w:t>“3T”</w:t>
      </w:r>
      <w:r>
        <w:rPr>
          <w:color w:val="auto"/>
          <w:spacing w:val="-2"/>
          <w:highlight w:val="none"/>
        </w:rPr>
        <w:t>原则：燃烧温度应高</w:t>
      </w:r>
      <w:r>
        <w:rPr>
          <w:color w:val="auto"/>
          <w:spacing w:val="-3"/>
          <w:highlight w:val="none"/>
        </w:rPr>
        <w:t xml:space="preserve">于 </w:t>
      </w:r>
      <w:r>
        <w:rPr>
          <w:rFonts w:ascii="Times New Roman" w:hAnsi="Times New Roman" w:eastAsia="Times New Roman" w:cs="Times New Roman"/>
          <w:color w:val="auto"/>
          <w:spacing w:val="-3"/>
          <w:highlight w:val="none"/>
        </w:rPr>
        <w:t>850</w:t>
      </w:r>
      <w:r>
        <w:rPr>
          <w:color w:val="auto"/>
          <w:spacing w:val="-3"/>
          <w:highlight w:val="none"/>
        </w:rPr>
        <w:t>℃</w:t>
      </w:r>
      <w:r>
        <w:rPr>
          <w:rFonts w:hint="eastAsia"/>
          <w:color w:val="auto"/>
          <w:spacing w:val="-3"/>
          <w:highlight w:val="none"/>
          <w:lang w:eastAsia="zh-CN"/>
        </w:rPr>
        <w:t>，</w:t>
      </w:r>
      <w:r>
        <w:rPr>
          <w:color w:val="auto"/>
          <w:spacing w:val="-3"/>
          <w:highlight w:val="none"/>
        </w:rPr>
        <w:t>臭气在燃烧室内的停留时间应</w:t>
      </w:r>
      <w:r>
        <w:rPr>
          <w:color w:val="auto"/>
          <w:highlight w:val="none"/>
        </w:rPr>
        <w:t xml:space="preserve"> </w:t>
      </w:r>
      <w:r>
        <w:rPr>
          <w:color w:val="auto"/>
          <w:spacing w:val="-1"/>
          <w:highlight w:val="none"/>
        </w:rPr>
        <w:t>大于</w:t>
      </w:r>
      <w:r>
        <w:rPr>
          <w:rFonts w:ascii="Times New Roman" w:hAnsi="Times New Roman" w:eastAsia="Times New Roman" w:cs="Times New Roman"/>
          <w:color w:val="auto"/>
          <w:spacing w:val="-1"/>
          <w:highlight w:val="none"/>
        </w:rPr>
        <w:t>0.5S</w:t>
      </w:r>
      <w:r>
        <w:rPr>
          <w:color w:val="auto"/>
          <w:spacing w:val="-1"/>
          <w:highlight w:val="none"/>
        </w:rPr>
        <w:t>、臭气和火焰必须充分混合，这三个因素决定了高温燃烧净化脱臭效</w:t>
      </w:r>
      <w:r>
        <w:rPr>
          <w:color w:val="auto"/>
          <w:spacing w:val="-9"/>
          <w:highlight w:val="none"/>
        </w:rPr>
        <w:t>率。拟处理的恶臭气体中主要污染物为硫化氢（</w:t>
      </w:r>
      <w:r>
        <w:rPr>
          <w:rFonts w:ascii="Times New Roman" w:hAnsi="Times New Roman" w:eastAsia="Times New Roman" w:cs="Times New Roman"/>
          <w:color w:val="auto"/>
          <w:spacing w:val="-9"/>
          <w:highlight w:val="none"/>
        </w:rPr>
        <w:t>300</w:t>
      </w:r>
      <w:r>
        <w:rPr>
          <w:color w:val="auto"/>
          <w:spacing w:val="-9"/>
          <w:highlight w:val="none"/>
        </w:rPr>
        <w:t>℃左右燃烧分解）、氨（</w:t>
      </w:r>
      <w:r>
        <w:rPr>
          <w:rFonts w:ascii="Times New Roman" w:hAnsi="Times New Roman" w:eastAsia="Times New Roman" w:cs="Times New Roman"/>
          <w:color w:val="auto"/>
          <w:spacing w:val="-9"/>
          <w:highlight w:val="none"/>
        </w:rPr>
        <w:t>800</w:t>
      </w:r>
      <w:r>
        <w:rPr>
          <w:color w:val="auto"/>
          <w:spacing w:val="-9"/>
          <w:highlight w:val="none"/>
        </w:rPr>
        <w:t>℃</w:t>
      </w:r>
      <w:r>
        <w:rPr>
          <w:color w:val="auto"/>
          <w:spacing w:val="5"/>
          <w:highlight w:val="none"/>
        </w:rPr>
        <w:t xml:space="preserve"> </w:t>
      </w:r>
      <w:r>
        <w:rPr>
          <w:color w:val="auto"/>
          <w:highlight w:val="none"/>
        </w:rPr>
        <w:t>左右燃烧分解）、甲硫醇（易燃），根据各污染物的化</w:t>
      </w:r>
      <w:r>
        <w:rPr>
          <w:color w:val="auto"/>
          <w:spacing w:val="-1"/>
          <w:highlight w:val="none"/>
        </w:rPr>
        <w:t>学性质，其在燃烧温度</w:t>
      </w:r>
      <w:r>
        <w:rPr>
          <w:rFonts w:ascii="Times New Roman" w:hAnsi="Times New Roman" w:eastAsia="Times New Roman" w:cs="Times New Roman"/>
          <w:color w:val="auto"/>
          <w:spacing w:val="-1"/>
          <w:highlight w:val="none"/>
        </w:rPr>
        <w:t>850</w:t>
      </w:r>
      <w:r>
        <w:rPr>
          <w:color w:val="auto"/>
          <w:spacing w:val="-1"/>
          <w:highlight w:val="none"/>
        </w:rPr>
        <w:t>～</w:t>
      </w:r>
      <w:r>
        <w:rPr>
          <w:rFonts w:hint="eastAsia" w:ascii="Times New Roman" w:hAnsi="Times New Roman" w:eastAsia="宋体" w:cs="Times New Roman"/>
          <w:color w:val="auto"/>
          <w:spacing w:val="-1"/>
          <w:highlight w:val="none"/>
          <w:lang w:val="en-US" w:eastAsia="zh-CN"/>
        </w:rPr>
        <w:t>950</w:t>
      </w:r>
      <w:r>
        <w:rPr>
          <w:color w:val="auto"/>
          <w:spacing w:val="-1"/>
          <w:highlight w:val="none"/>
        </w:rPr>
        <w:t xml:space="preserve">℃之间、停留时间 </w:t>
      </w:r>
      <w:r>
        <w:rPr>
          <w:rFonts w:ascii="Times New Roman" w:hAnsi="Times New Roman" w:eastAsia="Times New Roman" w:cs="Times New Roman"/>
          <w:color w:val="auto"/>
          <w:spacing w:val="-1"/>
          <w:highlight w:val="none"/>
        </w:rPr>
        <w:t>2S</w:t>
      </w:r>
      <w:r>
        <w:rPr>
          <w:color w:val="auto"/>
          <w:spacing w:val="-1"/>
          <w:highlight w:val="none"/>
        </w:rPr>
        <w:t>以上、恶臭气体作为补充空气</w:t>
      </w:r>
      <w:r>
        <w:rPr>
          <w:color w:val="auto"/>
          <w:spacing w:val="-2"/>
          <w:highlight w:val="none"/>
        </w:rPr>
        <w:t>进入燃烧室直接</w:t>
      </w:r>
      <w:r>
        <w:rPr>
          <w:color w:val="auto"/>
          <w:spacing w:val="-1"/>
          <w:highlight w:val="none"/>
        </w:rPr>
        <w:t>燃烧的条件下，均能进行氧化分解，分解后产生的污染物</w:t>
      </w:r>
      <w:r>
        <w:rPr>
          <w:color w:val="auto"/>
          <w:spacing w:val="-2"/>
          <w:highlight w:val="none"/>
        </w:rPr>
        <w:t>二氧化硫、二氧化氮、</w:t>
      </w:r>
      <w:r>
        <w:rPr>
          <w:color w:val="auto"/>
          <w:highlight w:val="none"/>
        </w:rPr>
        <w:t xml:space="preserve"> </w:t>
      </w:r>
      <w:r>
        <w:rPr>
          <w:color w:val="auto"/>
          <w:spacing w:val="-2"/>
          <w:highlight w:val="none"/>
        </w:rPr>
        <w:t>二噁英等经末端烟气治理后完全可实现达标排放。</w:t>
      </w:r>
    </w:p>
    <w:p w14:paraId="5789FFDE">
      <w:pPr>
        <w:pStyle w:val="14"/>
        <w:keepNext w:val="0"/>
        <w:keepLines w:val="0"/>
        <w:pageBreakBefore w:val="0"/>
        <w:widowControl w:val="0"/>
        <w:kinsoku/>
        <w:wordWrap/>
        <w:overflowPunct/>
        <w:topLinePunct w:val="0"/>
        <w:autoSpaceDE/>
        <w:autoSpaceDN/>
        <w:bidi w:val="0"/>
        <w:adjustRightInd/>
        <w:snapToGrid w:val="0"/>
        <w:spacing w:line="360" w:lineRule="auto"/>
        <w:ind w:left="40" w:right="68" w:firstLine="1"/>
        <w:jc w:val="both"/>
        <w:textAlignment w:val="auto"/>
        <w:rPr>
          <w:color w:val="auto"/>
          <w:highlight w:val="none"/>
        </w:rPr>
      </w:pPr>
      <w:r>
        <w:rPr>
          <w:color w:val="auto"/>
          <w:spacing w:val="-1"/>
          <w:highlight w:val="none"/>
        </w:rPr>
        <w:t>热解回转窑正常运行时，将生活垃圾预处理车间、</w:t>
      </w:r>
      <w:r>
        <w:rPr>
          <w:rFonts w:hint="eastAsia"/>
          <w:color w:val="auto"/>
          <w:spacing w:val="-1"/>
          <w:highlight w:val="none"/>
          <w:lang w:val="en-US" w:eastAsia="zh-CN"/>
        </w:rPr>
        <w:t>渗滤液处理站</w:t>
      </w:r>
      <w:r>
        <w:rPr>
          <w:color w:val="auto"/>
          <w:spacing w:val="-7"/>
          <w:highlight w:val="none"/>
        </w:rPr>
        <w:t>产生的臭气引至热解燃烧系统燃</w:t>
      </w:r>
      <w:r>
        <w:rPr>
          <w:color w:val="auto"/>
          <w:spacing w:val="-8"/>
          <w:highlight w:val="none"/>
        </w:rPr>
        <w:t>烧处置，目前在国内、</w:t>
      </w:r>
      <w:r>
        <w:rPr>
          <w:color w:val="auto"/>
          <w:spacing w:val="-3"/>
          <w:highlight w:val="none"/>
        </w:rPr>
        <w:t>国外都有较多实例，类似项目《福建龙迪洁能科技有</w:t>
      </w:r>
      <w:r>
        <w:rPr>
          <w:color w:val="auto"/>
          <w:spacing w:val="-4"/>
          <w:highlight w:val="none"/>
        </w:rPr>
        <w:t xml:space="preserve">限公司连城县固体生活垃圾气化发电项目（一期）》验收监测数据表明恶臭气体中 </w:t>
      </w:r>
      <w:r>
        <w:rPr>
          <w:rFonts w:ascii="Times New Roman" w:hAnsi="Times New Roman" w:eastAsia="Times New Roman" w:cs="Times New Roman"/>
          <w:color w:val="auto"/>
          <w:spacing w:val="-4"/>
          <w:highlight w:val="none"/>
        </w:rPr>
        <w:t>H</w:t>
      </w:r>
      <w:r>
        <w:rPr>
          <w:rFonts w:ascii="Times New Roman" w:hAnsi="Times New Roman" w:eastAsia="Times New Roman" w:cs="Times New Roman"/>
          <w:color w:val="auto"/>
          <w:spacing w:val="-4"/>
          <w:sz w:val="16"/>
          <w:szCs w:val="16"/>
          <w:highlight w:val="none"/>
        </w:rPr>
        <w:t>2</w:t>
      </w:r>
      <w:r>
        <w:rPr>
          <w:rFonts w:ascii="Times New Roman" w:hAnsi="Times New Roman" w:eastAsia="Times New Roman" w:cs="Times New Roman"/>
          <w:color w:val="auto"/>
          <w:spacing w:val="-18"/>
          <w:sz w:val="16"/>
          <w:szCs w:val="16"/>
          <w:highlight w:val="none"/>
        </w:rPr>
        <w:t xml:space="preserve"> </w:t>
      </w:r>
      <w:r>
        <w:rPr>
          <w:rFonts w:ascii="Times New Roman" w:hAnsi="Times New Roman" w:eastAsia="Times New Roman" w:cs="Times New Roman"/>
          <w:color w:val="auto"/>
          <w:spacing w:val="-4"/>
          <w:highlight w:val="none"/>
        </w:rPr>
        <w:t>S</w:t>
      </w:r>
      <w:r>
        <w:rPr>
          <w:color w:val="auto"/>
          <w:spacing w:val="-4"/>
          <w:highlight w:val="none"/>
        </w:rPr>
        <w:t>、</w:t>
      </w:r>
      <w:r>
        <w:rPr>
          <w:rFonts w:ascii="Times New Roman" w:hAnsi="Times New Roman" w:eastAsia="Times New Roman" w:cs="Times New Roman"/>
          <w:color w:val="auto"/>
          <w:spacing w:val="-4"/>
          <w:highlight w:val="none"/>
        </w:rPr>
        <w:t>NH</w:t>
      </w:r>
      <w:r>
        <w:rPr>
          <w:rFonts w:ascii="Times New Roman" w:hAnsi="Times New Roman" w:eastAsia="Times New Roman" w:cs="Times New Roman"/>
          <w:color w:val="auto"/>
          <w:spacing w:val="-4"/>
          <w:sz w:val="16"/>
          <w:szCs w:val="16"/>
          <w:highlight w:val="none"/>
        </w:rPr>
        <w:t>3</w:t>
      </w:r>
      <w:r>
        <w:rPr>
          <w:rFonts w:ascii="Times New Roman" w:hAnsi="Times New Roman" w:eastAsia="Times New Roman" w:cs="Times New Roman"/>
          <w:color w:val="auto"/>
          <w:spacing w:val="12"/>
          <w:w w:val="101"/>
          <w:sz w:val="16"/>
          <w:szCs w:val="16"/>
          <w:highlight w:val="none"/>
        </w:rPr>
        <w:t xml:space="preserve"> </w:t>
      </w:r>
      <w:r>
        <w:rPr>
          <w:color w:val="auto"/>
          <w:spacing w:val="-4"/>
          <w:highlight w:val="none"/>
        </w:rPr>
        <w:t>和臭气浓度均满足《恶臭污染物排放标准》（</w:t>
      </w:r>
      <w:r>
        <w:rPr>
          <w:rFonts w:ascii="Times New Roman" w:hAnsi="Times New Roman" w:eastAsia="Times New Roman" w:cs="Times New Roman"/>
          <w:color w:val="auto"/>
          <w:spacing w:val="-4"/>
          <w:highlight w:val="none"/>
        </w:rPr>
        <w:t>GB15604-93</w:t>
      </w:r>
      <w:r>
        <w:rPr>
          <w:color w:val="auto"/>
          <w:spacing w:val="-4"/>
          <w:highlight w:val="none"/>
        </w:rPr>
        <w:t>）新扩改建二级标准限值。参考《生</w:t>
      </w:r>
      <w:r>
        <w:rPr>
          <w:color w:val="auto"/>
          <w:spacing w:val="-1"/>
          <w:highlight w:val="none"/>
        </w:rPr>
        <w:t>活垃圾焚烧污染控制标准》</w:t>
      </w:r>
      <w:r>
        <w:rPr>
          <w:color w:val="auto"/>
          <w:spacing w:val="-26"/>
          <w:highlight w:val="none"/>
        </w:rPr>
        <w:t xml:space="preserve"> </w:t>
      </w:r>
      <w:r>
        <w:rPr>
          <w:rFonts w:ascii="Times New Roman" w:hAnsi="Times New Roman" w:eastAsia="Times New Roman" w:cs="Times New Roman"/>
          <w:color w:val="auto"/>
          <w:spacing w:val="-1"/>
          <w:highlight w:val="none"/>
        </w:rPr>
        <w:t>(GB18485-2014)</w:t>
      </w:r>
      <w:r>
        <w:rPr>
          <w:color w:val="auto"/>
          <w:spacing w:val="-1"/>
          <w:highlight w:val="none"/>
        </w:rPr>
        <w:t>中明确提出</w:t>
      </w:r>
      <w:r>
        <w:rPr>
          <w:rFonts w:ascii="Times New Roman" w:hAnsi="Times New Roman" w:eastAsia="Times New Roman" w:cs="Times New Roman"/>
          <w:color w:val="auto"/>
          <w:spacing w:val="-1"/>
          <w:highlight w:val="none"/>
        </w:rPr>
        <w:t>“</w:t>
      </w:r>
      <w:r>
        <w:rPr>
          <w:color w:val="auto"/>
          <w:spacing w:val="-1"/>
          <w:highlight w:val="none"/>
        </w:rPr>
        <w:t>生活垃圾贮存设施和渗</w:t>
      </w:r>
      <w:r>
        <w:rPr>
          <w:color w:val="auto"/>
          <w:spacing w:val="-3"/>
          <w:highlight w:val="none"/>
        </w:rPr>
        <w:t>滤液收集设施内的气体应优先通入焚烧炉中</w:t>
      </w:r>
      <w:r>
        <w:rPr>
          <w:color w:val="auto"/>
          <w:spacing w:val="-4"/>
          <w:highlight w:val="none"/>
        </w:rPr>
        <w:t>进行高温处理</w:t>
      </w:r>
      <w:r>
        <w:rPr>
          <w:rFonts w:ascii="Times New Roman" w:hAnsi="Times New Roman" w:eastAsia="Times New Roman" w:cs="Times New Roman"/>
          <w:color w:val="auto"/>
          <w:spacing w:val="-4"/>
          <w:highlight w:val="none"/>
        </w:rPr>
        <w:t>”</w:t>
      </w:r>
      <w:r>
        <w:rPr>
          <w:rFonts w:ascii="Times New Roman" w:hAnsi="Times New Roman" w:eastAsia="Times New Roman" w:cs="Times New Roman"/>
          <w:color w:val="auto"/>
          <w:spacing w:val="-28"/>
          <w:highlight w:val="none"/>
        </w:rPr>
        <w:t xml:space="preserve"> </w:t>
      </w:r>
      <w:r>
        <w:rPr>
          <w:color w:val="auto"/>
          <w:spacing w:val="-4"/>
          <w:highlight w:val="none"/>
        </w:rPr>
        <w:t>。 因此，评价认为正</w:t>
      </w:r>
      <w:r>
        <w:rPr>
          <w:color w:val="auto"/>
          <w:spacing w:val="-2"/>
          <w:highlight w:val="none"/>
        </w:rPr>
        <w:t>常运行时采用该方法处理恶臭气体是合理可行的。</w:t>
      </w:r>
    </w:p>
    <w:p w14:paraId="60394538">
      <w:pPr>
        <w:pStyle w:val="59"/>
        <w:ind w:firstLine="480"/>
        <w:jc w:val="left"/>
        <w:rPr>
          <w:rFonts w:hint="default"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kern w:val="2"/>
          <w:sz w:val="24"/>
          <w:szCs w:val="24"/>
          <w:highlight w:val="none"/>
          <w:lang w:val="en-US" w:eastAsia="zh-CN" w:bidi="ar-SA"/>
        </w:rPr>
        <w:t>（2）</w:t>
      </w:r>
      <w:r>
        <w:rPr>
          <w:rFonts w:hint="eastAsia" w:ascii="Times New Roman" w:hAnsi="Times New Roman" w:eastAsia="宋体" w:cs="Times New Roman"/>
          <w:b/>
          <w:bCs/>
          <w:color w:val="auto"/>
          <w:kern w:val="0"/>
          <w:sz w:val="24"/>
          <w:szCs w:val="24"/>
          <w:highlight w:val="none"/>
          <w:lang w:val="en-US" w:eastAsia="zh-CN" w:bidi="ar"/>
        </w:rPr>
        <w:t>停工</w:t>
      </w:r>
      <w:r>
        <w:rPr>
          <w:rFonts w:hint="default" w:ascii="Times New Roman" w:hAnsi="Times New Roman" w:eastAsia="宋体" w:cs="Times New Roman"/>
          <w:b/>
          <w:bCs/>
          <w:color w:val="auto"/>
          <w:kern w:val="0"/>
          <w:sz w:val="24"/>
          <w:szCs w:val="24"/>
          <w:highlight w:val="none"/>
          <w:lang w:val="en-US" w:eastAsia="zh-CN" w:bidi="ar"/>
        </w:rPr>
        <w:t>检修</w:t>
      </w:r>
      <w:r>
        <w:rPr>
          <w:rFonts w:hint="eastAsia" w:ascii="Times New Roman" w:hAnsi="Times New Roman" w:eastAsia="宋体" w:cs="Times New Roman"/>
          <w:b/>
          <w:bCs/>
          <w:color w:val="auto"/>
          <w:kern w:val="0"/>
          <w:sz w:val="24"/>
          <w:szCs w:val="24"/>
          <w:highlight w:val="none"/>
          <w:lang w:val="en-US" w:eastAsia="zh-CN" w:bidi="ar"/>
        </w:rPr>
        <w:t>期</w:t>
      </w:r>
    </w:p>
    <w:p w14:paraId="3AB60551">
      <w:pPr>
        <w:pStyle w:val="59"/>
        <w:ind w:firstLine="480"/>
        <w:jc w:val="left"/>
        <w:rPr>
          <w:rFonts w:cs="Times New Roman"/>
          <w:bCs/>
          <w:color w:val="auto"/>
          <w:szCs w:val="24"/>
          <w:highlight w:val="none"/>
        </w:rPr>
      </w:pPr>
      <w:r>
        <w:rPr>
          <w:rFonts w:hint="default" w:ascii="Times New Roman" w:hAnsi="Times New Roman" w:eastAsia="宋体" w:cs="Times New Roman"/>
          <w:b w:val="0"/>
          <w:bCs w:val="0"/>
          <w:color w:val="auto"/>
          <w:kern w:val="2"/>
          <w:sz w:val="24"/>
          <w:szCs w:val="24"/>
          <w:highlight w:val="none"/>
          <w:lang w:val="en-US" w:eastAsia="zh-CN" w:bidi="ar-SA"/>
        </w:rPr>
        <w:t>本项目热分解焚烧系统每月停工检修1天</w:t>
      </w:r>
      <w:r>
        <w:rPr>
          <w:rFonts w:hint="eastAsia" w:ascii="Times New Roman" w:hAnsi="Times New Roman" w:eastAsia="宋体" w:cs="Times New Roman"/>
          <w:b w:val="0"/>
          <w:bCs w:val="0"/>
          <w:color w:val="auto"/>
          <w:kern w:val="2"/>
          <w:sz w:val="24"/>
          <w:szCs w:val="24"/>
          <w:highlight w:val="none"/>
          <w:lang w:val="en-US" w:eastAsia="zh-CN" w:bidi="ar-SA"/>
        </w:rPr>
        <w:t>，</w:t>
      </w:r>
      <w:r>
        <w:rPr>
          <w:rFonts w:hint="default" w:ascii="Times New Roman" w:hAnsi="Times New Roman" w:eastAsia="宋体" w:cs="Times New Roman"/>
          <w:b w:val="0"/>
          <w:bCs w:val="0"/>
          <w:color w:val="auto"/>
          <w:kern w:val="2"/>
          <w:sz w:val="24"/>
          <w:szCs w:val="24"/>
          <w:highlight w:val="none"/>
          <w:lang w:val="en-US" w:eastAsia="zh-CN" w:bidi="ar-SA"/>
        </w:rPr>
        <w:t>在停工检修状态下，恶臭气体全部收集进入臭气处理系统，采用“活性炭吸附+光氧催化”工艺处理后由15m高排气筒</w:t>
      </w:r>
      <w:r>
        <w:rPr>
          <w:rFonts w:hint="eastAsia" w:ascii="Times New Roman" w:hAnsi="Times New Roman" w:eastAsia="宋体" w:cs="Times New Roman"/>
          <w:b w:val="0"/>
          <w:bCs w:val="0"/>
          <w:color w:val="auto"/>
          <w:kern w:val="2"/>
          <w:sz w:val="24"/>
          <w:szCs w:val="24"/>
          <w:highlight w:val="none"/>
          <w:lang w:val="en-US" w:eastAsia="zh-CN" w:bidi="ar-SA"/>
        </w:rPr>
        <w:t>（DA001）</w:t>
      </w:r>
      <w:r>
        <w:rPr>
          <w:rFonts w:hint="default" w:ascii="Times New Roman" w:hAnsi="Times New Roman" w:eastAsia="宋体" w:cs="Times New Roman"/>
          <w:b w:val="0"/>
          <w:bCs w:val="0"/>
          <w:color w:val="auto"/>
          <w:kern w:val="2"/>
          <w:sz w:val="24"/>
          <w:szCs w:val="24"/>
          <w:highlight w:val="none"/>
          <w:lang w:val="en-US" w:eastAsia="zh-CN" w:bidi="ar-SA"/>
        </w:rPr>
        <w:t>排放。场内其他区域无组织恶臭通过喷洒植物除臭液和加强绿化的方式控制。</w:t>
      </w:r>
    </w:p>
    <w:p w14:paraId="75F2024F">
      <w:pPr>
        <w:pStyle w:val="14"/>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根据对除臭工艺比较内容，综合考虑本工程的地理位置、用地情况、构筑物所产生的臭气的特点及数量、投资、工艺适应性、运行管理成本等因素后，本项目车间无组织排放采用喷洒除臭剂除臭。</w:t>
      </w:r>
    </w:p>
    <w:p w14:paraId="75AC29F1">
      <w:pPr>
        <w:pStyle w:val="14"/>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恶臭气体的处理方法包括天然植物提取液除臭、活性炭吸附除臭、化学洗涤除臭、光催化氧化法除臭、紫外光催化氧化除臭、生物除臭法等</w:t>
      </w:r>
      <w:r>
        <w:rPr>
          <w:rFonts w:hint="eastAsia" w:ascii="Times New Roman" w:hAnsi="Times New Roman" w:eastAsia="宋体" w:cs="Times New Roman"/>
          <w:color w:val="auto"/>
          <w:kern w:val="0"/>
          <w:sz w:val="24"/>
          <w:szCs w:val="24"/>
          <w:highlight w:val="none"/>
          <w:lang w:val="en-US" w:eastAsia="zh-CN" w:bidi="ar"/>
        </w:rPr>
        <w:t>。根据调查，</w:t>
      </w:r>
      <w:r>
        <w:rPr>
          <w:rFonts w:hint="eastAsia" w:ascii="Times New Roman" w:hAnsi="Times New Roman" w:cs="Times New Roman"/>
          <w:bCs/>
          <w:color w:val="auto"/>
          <w:kern w:val="0"/>
          <w:sz w:val="24"/>
          <w:highlight w:val="none"/>
          <w:lang w:val="en-US" w:eastAsia="zh-CN"/>
        </w:rPr>
        <w:t>各类</w:t>
      </w:r>
      <w:r>
        <w:rPr>
          <w:rFonts w:hint="default" w:ascii="Times New Roman" w:hAnsi="Times New Roman" w:cs="Times New Roman"/>
          <w:bCs/>
          <w:color w:val="auto"/>
          <w:kern w:val="0"/>
          <w:sz w:val="24"/>
          <w:highlight w:val="none"/>
        </w:rPr>
        <w:t>恶臭气体处理工艺比较见下表。</w:t>
      </w:r>
    </w:p>
    <w:p w14:paraId="3C833B36">
      <w:pPr>
        <w:pStyle w:val="14"/>
        <w:ind w:firstLine="480"/>
        <w:rPr>
          <w:rFonts w:hint="default" w:ascii="Times New Roman" w:hAnsi="Times New Roman" w:cs="Times New Roman"/>
          <w:color w:val="auto"/>
          <w:highlight w:val="none"/>
        </w:rPr>
      </w:pPr>
    </w:p>
    <w:p w14:paraId="596E8422">
      <w:pPr>
        <w:pStyle w:val="14"/>
        <w:ind w:firstLine="480"/>
        <w:rPr>
          <w:rFonts w:hint="default" w:ascii="Times New Roman" w:hAnsi="Times New Roman" w:cs="Times New Roman"/>
          <w:color w:val="auto"/>
          <w:highlight w:val="none"/>
        </w:rPr>
        <w:sectPr>
          <w:headerReference r:id="rId32" w:type="default"/>
          <w:footerReference r:id="rId33"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09B3432B">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161" w:name="_Toc25043"/>
      <w:bookmarkStart w:id="162" w:name="_Toc1037"/>
      <w:bookmarkStart w:id="163" w:name="_Toc7384"/>
      <w:r>
        <w:rPr>
          <w:rFonts w:hint="default" w:ascii="Times New Roman" w:hAnsi="Times New Roman" w:cs="Times New Roman"/>
          <w:color w:val="auto"/>
          <w:highlight w:val="none"/>
        </w:rPr>
        <w:t>环境风险分析</w:t>
      </w:r>
      <w:bookmarkEnd w:id="161"/>
      <w:bookmarkEnd w:id="162"/>
      <w:bookmarkEnd w:id="163"/>
    </w:p>
    <w:p w14:paraId="0AD0B91B">
      <w:pPr>
        <w:pStyle w:val="3"/>
        <w:spacing w:before="156" w:after="156"/>
        <w:rPr>
          <w:rFonts w:hint="default" w:ascii="Times New Roman" w:hAnsi="Times New Roman" w:cs="Times New Roman"/>
          <w:color w:val="auto"/>
          <w:highlight w:val="none"/>
        </w:rPr>
      </w:pPr>
      <w:bookmarkStart w:id="164" w:name="_Toc4210"/>
      <w:r>
        <w:rPr>
          <w:rFonts w:hint="eastAsia" w:ascii="Times New Roman" w:hAnsi="Times New Roman" w:cs="Times New Roman"/>
          <w:color w:val="auto"/>
          <w:highlight w:val="none"/>
          <w:lang w:val="en-US" w:eastAsia="zh-CN"/>
        </w:rPr>
        <w:t>环境</w:t>
      </w:r>
      <w:r>
        <w:rPr>
          <w:rFonts w:hint="default" w:ascii="Times New Roman" w:hAnsi="Times New Roman" w:cs="Times New Roman"/>
          <w:color w:val="auto"/>
          <w:highlight w:val="none"/>
          <w:lang w:eastAsia="zh-CN"/>
        </w:rPr>
        <w:t>风险</w:t>
      </w:r>
      <w:r>
        <w:rPr>
          <w:rFonts w:hint="eastAsia" w:ascii="Times New Roman" w:hAnsi="Times New Roman" w:cs="Times New Roman"/>
          <w:color w:val="auto"/>
          <w:highlight w:val="none"/>
          <w:lang w:val="en-US" w:eastAsia="zh-CN"/>
        </w:rPr>
        <w:t>评价概述</w:t>
      </w:r>
      <w:bookmarkEnd w:id="164"/>
    </w:p>
    <w:p w14:paraId="2C0347FB">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建设项目环境风险评价技术导则》（HJ169-2018），建设项目的环境风险是指由突发性事故对环境造成的危害程度及可能性。环境风险评价是以突发性事故导致的危险物质环境急性损害为目标，对建设项目的环境风险进行分析、预测和评估，提出环境风险预防、控制、减缓措施，明确环境风险监控及应急建议要求，以使建设项目事故率、损失和环境影响达到可接受水平。</w:t>
      </w:r>
    </w:p>
    <w:p w14:paraId="6F25962A">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涉及一定数量的环境风险物质及危险化学品，同时项目可能存在事故排放情况，一旦发生突发性的环境事故，会对环境和人体健康造成危害。根据原国家环境保护部《关于进一步加强环境影响评价管理防范环境风险的通知》（环发[2012]77号），须对本项目进行环境风险评价，通过科学的分析评价和管理，将环境风险发生的可能性和危害性降低到最小程度，以达到降低危险，减少公害的目的。</w:t>
      </w:r>
    </w:p>
    <w:p w14:paraId="3EAA92E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环境风险评价的基本内容包括风险调查、环境风险潜势初判、风险识别、风险事故情形分析、风险预测与评价、环境风险管理等，其具体内容如下： </w:t>
      </w:r>
    </w:p>
    <w:p w14:paraId="60EF1EC3">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1、项目风险调查：在全面分析建设项目物质及工艺系统危险性和环境敏感性的基础下，进行风险潜势的判断，确定风险评价等级。 </w:t>
      </w:r>
    </w:p>
    <w:p w14:paraId="5D3683C3">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2、项目风险识别及风险事故情形分析：明确危险物质在生产系统中的主要分布，筛选具有代表性的风险事故情形，合理设定事故源项。 </w:t>
      </w:r>
    </w:p>
    <w:p w14:paraId="6168529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3、开展预测评价：各环境要素按确定的评价工作等级分别预测评价，并分析说明环境风险危害范围与程度，提出环境风险防范的基本要求。 </w:t>
      </w:r>
    </w:p>
    <w:p w14:paraId="6BF7578F">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4、提出环境风险管理对策，明确环境风险防范措施及突发环境事件应急预案编制要求。 </w:t>
      </w:r>
    </w:p>
    <w:p w14:paraId="773FA8D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5、综合环境风险评价过程，给出评价结论与建议。</w:t>
      </w:r>
    </w:p>
    <w:p w14:paraId="719CAE9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环境风险评价的具体工作程序见下图。</w:t>
      </w:r>
    </w:p>
    <w:p w14:paraId="5581590D">
      <w:pPr>
        <w:widowControl/>
        <w:adjustRightInd/>
        <w:snapToGrid/>
        <w:spacing w:line="240" w:lineRule="auto"/>
        <w:ind w:firstLine="0" w:firstLineChars="0"/>
        <w:jc w:val="center"/>
        <w:rPr>
          <w:rFonts w:hint="default" w:ascii="Times New Roman" w:hAnsi="Times New Roman" w:cs="Times New Roman"/>
          <w:color w:val="auto"/>
          <w:kern w:val="0"/>
          <w:szCs w:val="24"/>
          <w:highlight w:val="none"/>
        </w:rPr>
      </w:pPr>
      <w:r>
        <w:rPr>
          <w:rFonts w:hint="default" w:ascii="Times New Roman" w:hAnsi="Times New Roman" w:cs="Times New Roman"/>
          <w:color w:val="auto"/>
          <w:kern w:val="0"/>
          <w:szCs w:val="24"/>
          <w:highlight w:val="none"/>
        </w:rPr>
        <w:fldChar w:fldCharType="begin"/>
      </w:r>
      <w:r>
        <w:rPr>
          <w:rFonts w:hint="default" w:ascii="Times New Roman" w:hAnsi="Times New Roman" w:cs="Times New Roman"/>
          <w:color w:val="auto"/>
          <w:kern w:val="0"/>
          <w:szCs w:val="24"/>
          <w:highlight w:val="none"/>
        </w:rPr>
        <w:instrText xml:space="preserve"> INCLUDEPICTURE "C:\\Users\\Administrator\\AppData\\Roaming\\Tencent\\Users\\14652231\\QQ\\WinTemp\\RichOle\\)K$61$YYC8)~G4OACFMO4(V.png" \* MERGEFORMATINET </w:instrText>
      </w:r>
      <w:r>
        <w:rPr>
          <w:rFonts w:hint="default" w:ascii="Times New Roman" w:hAnsi="Times New Roman" w:cs="Times New Roman"/>
          <w:color w:val="auto"/>
          <w:kern w:val="0"/>
          <w:szCs w:val="24"/>
          <w:highlight w:val="none"/>
        </w:rPr>
        <w:fldChar w:fldCharType="separate"/>
      </w:r>
      <w:r>
        <w:rPr>
          <w:rFonts w:hint="default" w:ascii="Times New Roman" w:hAnsi="Times New Roman" w:cs="Times New Roman"/>
          <w:color w:val="auto"/>
          <w:kern w:val="0"/>
          <w:szCs w:val="24"/>
          <w:highlight w:val="none"/>
        </w:rPr>
        <w:drawing>
          <wp:inline distT="0" distB="0" distL="114300" distR="114300">
            <wp:extent cx="5403850" cy="5987415"/>
            <wp:effectExtent l="0" t="0" r="6350" b="13335"/>
            <wp:docPr id="34" name="图片 15" descr=")K$61$YYC8)~G4OACFMO4(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5" descr=")K$61$YYC8)~G4OACFMO4(V"/>
                    <pic:cNvPicPr>
                      <a:picLocks noChangeAspect="1"/>
                    </pic:cNvPicPr>
                  </pic:nvPicPr>
                  <pic:blipFill>
                    <a:blip r:embed="rId57"/>
                    <a:stretch>
                      <a:fillRect/>
                    </a:stretch>
                  </pic:blipFill>
                  <pic:spPr>
                    <a:xfrm>
                      <a:off x="0" y="0"/>
                      <a:ext cx="5403850" cy="5987415"/>
                    </a:xfrm>
                    <a:prstGeom prst="rect">
                      <a:avLst/>
                    </a:prstGeom>
                    <a:noFill/>
                    <a:ln>
                      <a:noFill/>
                    </a:ln>
                  </pic:spPr>
                </pic:pic>
              </a:graphicData>
            </a:graphic>
          </wp:inline>
        </w:drawing>
      </w:r>
      <w:r>
        <w:rPr>
          <w:rFonts w:hint="default" w:ascii="Times New Roman" w:hAnsi="Times New Roman" w:cs="Times New Roman"/>
          <w:color w:val="auto"/>
          <w:kern w:val="0"/>
          <w:szCs w:val="24"/>
          <w:highlight w:val="none"/>
        </w:rPr>
        <w:fldChar w:fldCharType="end"/>
      </w:r>
    </w:p>
    <w:p w14:paraId="730B7063">
      <w:pPr>
        <w:pStyle w:val="11"/>
        <w:rPr>
          <w:rFonts w:hint="default" w:ascii="Times New Roman" w:hAnsi="Times New Roman" w:cs="Times New Roman"/>
          <w:color w:val="auto"/>
          <w:highlight w:val="none"/>
        </w:rPr>
      </w:pPr>
      <w:r>
        <w:rPr>
          <w:rFonts w:hint="default" w:ascii="Times New Roman" w:hAnsi="Times New Roman" w:cs="Times New Roman"/>
          <w:color w:val="auto"/>
          <w:highlight w:val="none"/>
        </w:rPr>
        <w:t>图</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9.1</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noBreakHyphen/>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图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1</w:t>
      </w:r>
      <w:r>
        <w:rPr>
          <w:rFonts w:hint="default" w:ascii="Times New Roman" w:hAnsi="Times New Roman" w:cs="Times New Roman"/>
          <w:b/>
          <w:bCs/>
          <w:color w:val="auto"/>
          <w:sz w:val="21"/>
          <w:szCs w:val="21"/>
          <w:highlight w:val="none"/>
        </w:rPr>
        <w:fldChar w:fldCharType="end"/>
      </w:r>
      <w:r>
        <w:rPr>
          <w:rFonts w:hint="eastAsia" w:ascii="Times New Roman" w:hAnsi="Times New Roman" w:cs="Times New Roman"/>
          <w:b/>
          <w:bCs/>
          <w:color w:val="auto"/>
          <w:sz w:val="21"/>
          <w:szCs w:val="21"/>
          <w:highlight w:val="none"/>
          <w:lang w:val="en-US" w:eastAsia="zh-CN"/>
        </w:rPr>
        <w:t xml:space="preserve"> </w:t>
      </w:r>
      <w:r>
        <w:rPr>
          <w:rFonts w:hint="default" w:ascii="Times New Roman" w:hAnsi="Times New Roman" w:cs="Times New Roman"/>
          <w:color w:val="auto"/>
          <w:highlight w:val="none"/>
        </w:rPr>
        <w:t xml:space="preserve"> 环境风险评价工作程序图</w:t>
      </w:r>
    </w:p>
    <w:p w14:paraId="26FE8E48">
      <w:pPr>
        <w:rPr>
          <w:rFonts w:hint="default" w:ascii="Times New Roman" w:hAnsi="Times New Roman" w:cs="Times New Roman"/>
          <w:color w:val="auto"/>
          <w:highlight w:val="none"/>
          <w:lang w:val="en-US" w:eastAsia="zh-CN"/>
        </w:rPr>
      </w:pPr>
    </w:p>
    <w:p w14:paraId="56FE69EE">
      <w:pPr>
        <w:rPr>
          <w:rFonts w:hint="default" w:ascii="Times New Roman" w:hAnsi="Times New Roman" w:cs="Times New Roman"/>
          <w:color w:val="auto"/>
          <w:highlight w:val="none"/>
          <w:lang w:val="en-US" w:eastAsia="zh-CN"/>
        </w:rPr>
      </w:pPr>
    </w:p>
    <w:p w14:paraId="49C7977D">
      <w:pPr>
        <w:rPr>
          <w:rFonts w:hint="default" w:ascii="Times New Roman" w:hAnsi="Times New Roman" w:cs="Times New Roman"/>
          <w:color w:val="auto"/>
          <w:highlight w:val="none"/>
          <w:lang w:val="en-US" w:eastAsia="zh-CN"/>
        </w:rPr>
      </w:pPr>
    </w:p>
    <w:p w14:paraId="5DE37B6E">
      <w:pPr>
        <w:pStyle w:val="3"/>
        <w:spacing w:before="156" w:after="156"/>
        <w:rPr>
          <w:rFonts w:hint="default" w:ascii="Times New Roman" w:hAnsi="Times New Roman" w:cs="Times New Roman"/>
          <w:color w:val="auto"/>
          <w:highlight w:val="none"/>
        </w:rPr>
      </w:pPr>
      <w:bookmarkStart w:id="165" w:name="_Toc15238"/>
      <w:bookmarkStart w:id="166" w:name="_Toc32640"/>
      <w:r>
        <w:rPr>
          <w:rFonts w:hint="default" w:ascii="Times New Roman" w:hAnsi="Times New Roman" w:cs="Times New Roman"/>
          <w:color w:val="auto"/>
          <w:highlight w:val="none"/>
          <w:lang w:eastAsia="zh-CN"/>
        </w:rPr>
        <w:t>风险调查</w:t>
      </w:r>
      <w:bookmarkEnd w:id="165"/>
      <w:bookmarkEnd w:id="166"/>
    </w:p>
    <w:p w14:paraId="4C984DDB">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风险源调查</w:t>
      </w:r>
    </w:p>
    <w:p w14:paraId="6DA55E06">
      <w:pPr>
        <w:pStyle w:val="5"/>
        <w:rPr>
          <w:rFonts w:hint="default" w:ascii="Times New Roman" w:hAnsi="Times New Roman" w:cs="Times New Roman" w:eastAsiaTheme="minorEastAsia"/>
          <w:b/>
          <w:bCs/>
          <w:color w:val="auto"/>
          <w:kern w:val="2"/>
          <w:sz w:val="24"/>
          <w:szCs w:val="28"/>
          <w:highlight w:val="none"/>
          <w:lang w:val="en-US" w:eastAsia="zh-CN" w:bidi="ar-SA"/>
        </w:rPr>
      </w:pPr>
      <w:r>
        <w:rPr>
          <w:rFonts w:hint="default" w:ascii="Times New Roman" w:hAnsi="Times New Roman" w:cs="Times New Roman"/>
          <w:b/>
          <w:bCs/>
          <w:color w:val="auto"/>
          <w:kern w:val="2"/>
          <w:sz w:val="24"/>
          <w:szCs w:val="28"/>
          <w:highlight w:val="none"/>
          <w:lang w:val="en-US" w:eastAsia="zh-CN" w:bidi="ar-SA"/>
        </w:rPr>
        <w:t>风险物质数量及分布情况</w:t>
      </w:r>
    </w:p>
    <w:p w14:paraId="68742FE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根据《建设项目环境风险评价技术导则》</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HJ169-2018</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附录 B，本项目涉及的风险物质主要有</w:t>
      </w:r>
      <w:r>
        <w:rPr>
          <w:rFonts w:hint="eastAsia" w:ascii="Times New Roman" w:hAnsi="Times New Roman" w:eastAsia="宋体" w:cs="Times New Roman"/>
          <w:color w:val="auto"/>
          <w:kern w:val="0"/>
          <w:sz w:val="24"/>
          <w:szCs w:val="24"/>
          <w:highlight w:val="none"/>
          <w:lang w:val="en-US" w:eastAsia="zh-CN" w:bidi="ar"/>
        </w:rPr>
        <w:t>气柜中净化后热解气</w:t>
      </w: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主要成分</w:t>
      </w:r>
      <w:r>
        <w:rPr>
          <w:rFonts w:hint="default" w:ascii="Times New Roman" w:hAnsi="Times New Roman" w:eastAsia="宋体" w:cs="Times New Roman"/>
          <w:color w:val="auto"/>
          <w:kern w:val="0"/>
          <w:sz w:val="24"/>
          <w:szCs w:val="24"/>
          <w:highlight w:val="none"/>
          <w:lang w:val="en-US" w:eastAsia="zh-CN" w:bidi="ar"/>
        </w:rPr>
        <w:t>甲烷</w:t>
      </w:r>
      <w:r>
        <w:rPr>
          <w:rFonts w:hint="eastAsia" w:ascii="Times New Roman" w:hAnsi="Times New Roman" w:eastAsia="宋体" w:cs="Times New Roman"/>
          <w:color w:val="auto"/>
          <w:kern w:val="0"/>
          <w:sz w:val="24"/>
          <w:szCs w:val="24"/>
          <w:highlight w:val="none"/>
          <w:lang w:val="en-US" w:eastAsia="zh-CN" w:bidi="ar"/>
        </w:rPr>
        <w:t>、CO</w:t>
      </w: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垃圾渗滤液</w:t>
      </w:r>
      <w:r>
        <w:rPr>
          <w:rFonts w:hint="default" w:ascii="Times New Roman" w:hAnsi="Times New Roman" w:eastAsia="宋体" w:cs="Times New Roman"/>
          <w:color w:val="auto"/>
          <w:kern w:val="0"/>
          <w:sz w:val="24"/>
          <w:szCs w:val="24"/>
          <w:highlight w:val="none"/>
          <w:lang w:val="en-US" w:eastAsia="zh-CN" w:bidi="ar"/>
        </w:rPr>
        <w:t>（COD</w:t>
      </w:r>
      <w:r>
        <w:rPr>
          <w:rFonts w:hint="default" w:ascii="Times New Roman" w:hAnsi="Times New Roman" w:eastAsia="宋体" w:cs="Times New Roman"/>
          <w:color w:val="auto"/>
          <w:kern w:val="0"/>
          <w:sz w:val="24"/>
          <w:szCs w:val="24"/>
          <w:highlight w:val="none"/>
          <w:vertAlign w:val="subscript"/>
          <w:lang w:val="en-US" w:eastAsia="zh-CN" w:bidi="ar"/>
        </w:rPr>
        <w:t>Cr</w:t>
      </w:r>
      <w:r>
        <w:rPr>
          <w:rFonts w:hint="default" w:ascii="Times New Roman" w:hAnsi="Times New Roman" w:eastAsia="宋体" w:cs="Times New Roman"/>
          <w:color w:val="auto"/>
          <w:kern w:val="0"/>
          <w:sz w:val="24"/>
          <w:szCs w:val="24"/>
          <w:highlight w:val="none"/>
          <w:lang w:val="en-US" w:eastAsia="zh-CN" w:bidi="ar"/>
        </w:rPr>
        <w:t>浓度≥10000mg/L的有机废液）</w:t>
      </w:r>
      <w:r>
        <w:rPr>
          <w:rFonts w:hint="eastAsia" w:ascii="Times New Roman" w:hAnsi="Times New Roman" w:eastAsia="宋体" w:cs="Times New Roman"/>
          <w:color w:val="auto"/>
          <w:kern w:val="0"/>
          <w:sz w:val="24"/>
          <w:szCs w:val="24"/>
          <w:highlight w:val="none"/>
          <w:lang w:val="en-US" w:eastAsia="zh-CN" w:bidi="ar"/>
        </w:rPr>
        <w:t>、焦油罐焦油、</w:t>
      </w:r>
      <w:r>
        <w:rPr>
          <w:rFonts w:hint="default" w:ascii="Times New Roman" w:hAnsi="Times New Roman" w:eastAsia="宋体" w:cs="Times New Roman"/>
          <w:color w:val="auto"/>
          <w:kern w:val="0"/>
          <w:sz w:val="24"/>
          <w:szCs w:val="24"/>
          <w:highlight w:val="none"/>
          <w:lang w:val="en-US" w:eastAsia="zh-CN" w:bidi="ar"/>
        </w:rPr>
        <w:t>柴油</w:t>
      </w:r>
      <w:r>
        <w:rPr>
          <w:rFonts w:hint="eastAsia" w:ascii="Times New Roman" w:hAnsi="Times New Roman" w:eastAsia="宋体" w:cs="Times New Roman"/>
          <w:color w:val="auto"/>
          <w:kern w:val="0"/>
          <w:sz w:val="24"/>
          <w:szCs w:val="24"/>
          <w:highlight w:val="none"/>
          <w:lang w:val="en-US" w:eastAsia="zh-CN" w:bidi="ar"/>
        </w:rPr>
        <w:t>储罐内的柴油</w:t>
      </w:r>
      <w:r>
        <w:rPr>
          <w:rFonts w:hint="default" w:ascii="Times New Roman" w:hAnsi="Times New Roman" w:eastAsia="宋体" w:cs="Times New Roman"/>
          <w:color w:val="auto"/>
          <w:kern w:val="0"/>
          <w:sz w:val="24"/>
          <w:szCs w:val="24"/>
          <w:highlight w:val="none"/>
          <w:lang w:val="en-US" w:eastAsia="zh-CN" w:bidi="ar"/>
        </w:rPr>
        <w:t>及废矿物油（机油、润滑油等）。</w:t>
      </w:r>
    </w:p>
    <w:p w14:paraId="662BB92C">
      <w:pPr>
        <w:keepNext w:val="0"/>
        <w:keepLines w:val="0"/>
        <w:pageBreakBefore w:val="0"/>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净化后热解气进入气柜（容积2000m</w:t>
      </w:r>
      <w:r>
        <w:rPr>
          <w:rFonts w:hint="eastAsia" w:ascii="Times New Roman" w:hAnsi="Times New Roman" w:eastAsia="宋体" w:cs="Times New Roman"/>
          <w:color w:val="auto"/>
          <w:kern w:val="0"/>
          <w:sz w:val="24"/>
          <w:szCs w:val="24"/>
          <w:highlight w:val="none"/>
          <w:vertAlign w:val="superscript"/>
          <w:lang w:val="en-US" w:eastAsia="zh-CN" w:bidi="ar"/>
        </w:rPr>
        <w:t>3</w:t>
      </w:r>
      <w:r>
        <w:rPr>
          <w:rFonts w:hint="eastAsia" w:ascii="Times New Roman" w:hAnsi="Times New Roman" w:eastAsia="宋体" w:cs="Times New Roman"/>
          <w:color w:val="auto"/>
          <w:kern w:val="0"/>
          <w:sz w:val="24"/>
          <w:szCs w:val="24"/>
          <w:highlight w:val="none"/>
          <w:lang w:val="en-US" w:eastAsia="zh-CN" w:bidi="ar"/>
        </w:rPr>
        <w:t>）暂存，后返</w:t>
      </w:r>
      <w:r>
        <w:rPr>
          <w:rFonts w:hint="eastAsia" w:ascii="Times New Roman" w:hAnsi="Times New Roman" w:cs="Times New Roman"/>
          <w:color w:val="auto"/>
          <w:sz w:val="24"/>
          <w:szCs w:val="24"/>
          <w:highlight w:val="none"/>
          <w:lang w:val="en-US" w:eastAsia="zh-CN"/>
        </w:rPr>
        <w:t>回</w:t>
      </w:r>
      <w:r>
        <w:rPr>
          <w:rFonts w:hint="default" w:ascii="Times New Roman" w:hAnsi="Times New Roman" w:cs="Times New Roman"/>
          <w:color w:val="auto"/>
          <w:sz w:val="24"/>
          <w:szCs w:val="24"/>
          <w:highlight w:val="none"/>
          <w:lang w:val="en-US" w:eastAsia="zh-CN"/>
        </w:rPr>
        <w:t>热分解焚烧系统</w:t>
      </w:r>
      <w:r>
        <w:rPr>
          <w:rFonts w:hint="eastAsia" w:ascii="Times New Roman" w:hAnsi="Times New Roman" w:cs="Times New Roman"/>
          <w:color w:val="auto"/>
          <w:sz w:val="24"/>
          <w:szCs w:val="24"/>
          <w:highlight w:val="none"/>
          <w:lang w:val="en-US" w:eastAsia="zh-CN"/>
        </w:rPr>
        <w:t>作为燃料燃烧。根据业主资料，净化后热解气中</w:t>
      </w:r>
      <w:r>
        <w:rPr>
          <w:rFonts w:hint="default" w:ascii="Times New Roman" w:hAnsi="Times New Roman" w:eastAsia="宋体" w:cs="Times New Roman"/>
          <w:b w:val="0"/>
          <w:bCs/>
          <w:color w:val="auto"/>
          <w:sz w:val="24"/>
          <w:szCs w:val="24"/>
          <w:highlight w:val="none"/>
        </w:rPr>
        <w:t>CH</w:t>
      </w:r>
      <w:r>
        <w:rPr>
          <w:rFonts w:hint="default" w:ascii="Times New Roman" w:hAnsi="Times New Roman" w:eastAsia="宋体" w:cs="Times New Roman"/>
          <w:b w:val="0"/>
          <w:bCs/>
          <w:color w:val="auto"/>
          <w:sz w:val="24"/>
          <w:szCs w:val="24"/>
          <w:highlight w:val="none"/>
          <w:vertAlign w:val="subscript"/>
        </w:rPr>
        <w:t>4</w:t>
      </w:r>
      <w:r>
        <w:rPr>
          <w:rFonts w:hint="eastAsia" w:ascii="Times New Roman" w:hAnsi="Times New Roman" w:cs="Times New Roman"/>
          <w:color w:val="auto"/>
          <w:sz w:val="24"/>
          <w:szCs w:val="24"/>
          <w:highlight w:val="none"/>
          <w:lang w:val="en-US" w:eastAsia="zh-CN"/>
        </w:rPr>
        <w:t>占比18.1%，CO占比11.87%，</w:t>
      </w:r>
      <w:r>
        <w:rPr>
          <w:rFonts w:hint="eastAsia" w:ascii="Times New Roman" w:hAnsi="Times New Roman" w:eastAsia="宋体" w:cs="Times New Roman"/>
          <w:color w:val="auto"/>
          <w:kern w:val="0"/>
          <w:sz w:val="24"/>
          <w:szCs w:val="24"/>
          <w:highlight w:val="none"/>
          <w:lang w:val="en-US" w:eastAsia="zh-CN" w:bidi="ar"/>
        </w:rPr>
        <w:t>气柜设计压力为0.002MPa，则气柜中</w:t>
      </w:r>
      <w:r>
        <w:rPr>
          <w:rFonts w:hint="default" w:ascii="Times New Roman" w:hAnsi="Times New Roman" w:eastAsia="宋体" w:cs="Times New Roman"/>
          <w:color w:val="auto"/>
          <w:kern w:val="0"/>
          <w:sz w:val="24"/>
          <w:szCs w:val="24"/>
          <w:highlight w:val="none"/>
          <w:lang w:val="en-US" w:eastAsia="zh-CN" w:bidi="ar"/>
        </w:rPr>
        <w:t>CH</w:t>
      </w:r>
      <w:r>
        <w:rPr>
          <w:rFonts w:hint="default" w:ascii="Times New Roman" w:hAnsi="Times New Roman" w:eastAsia="宋体" w:cs="Times New Roman"/>
          <w:color w:val="auto"/>
          <w:kern w:val="0"/>
          <w:sz w:val="24"/>
          <w:szCs w:val="24"/>
          <w:highlight w:val="none"/>
          <w:vertAlign w:val="subscript"/>
          <w:lang w:val="en-US" w:eastAsia="zh-CN" w:bidi="ar"/>
        </w:rPr>
        <w:t>4</w:t>
      </w:r>
      <w:r>
        <w:rPr>
          <w:rFonts w:hint="default" w:ascii="Times New Roman" w:hAnsi="Times New Roman" w:eastAsia="宋体" w:cs="Times New Roman"/>
          <w:color w:val="auto"/>
          <w:kern w:val="0"/>
          <w:sz w:val="24"/>
          <w:szCs w:val="24"/>
          <w:highlight w:val="none"/>
          <w:lang w:val="en-US" w:eastAsia="zh-CN" w:bidi="ar"/>
        </w:rPr>
        <w:t>容量最大为</w:t>
      </w:r>
      <w:r>
        <w:rPr>
          <w:rFonts w:hint="eastAsia" w:ascii="Times New Roman" w:hAnsi="Times New Roman" w:eastAsia="宋体" w:cs="Times New Roman"/>
          <w:color w:val="auto"/>
          <w:kern w:val="0"/>
          <w:sz w:val="24"/>
          <w:szCs w:val="24"/>
          <w:highlight w:val="none"/>
          <w:lang w:val="en-US" w:eastAsia="zh-CN" w:bidi="ar"/>
        </w:rPr>
        <w:t>362</w:t>
      </w:r>
      <w:r>
        <w:rPr>
          <w:rFonts w:hint="default" w:ascii="Times New Roman" w:hAnsi="Times New Roman" w:cs="Times New Roman"/>
          <w:color w:val="auto"/>
          <w:sz w:val="24"/>
          <w:szCs w:val="24"/>
          <w:highlight w:val="none"/>
          <w:lang w:val="en-US" w:eastAsia="zh-CN"/>
        </w:rPr>
        <w:t>m</w:t>
      </w:r>
      <w:r>
        <w:rPr>
          <w:rFonts w:hint="default" w:ascii="Times New Roman" w:hAnsi="Times New Roman" w:cs="Times New Roman"/>
          <w:color w:val="auto"/>
          <w:sz w:val="24"/>
          <w:szCs w:val="24"/>
          <w:highlight w:val="none"/>
          <w:vertAlign w:val="superscript"/>
          <w:lang w:val="en-US" w:eastAsia="zh-CN"/>
        </w:rPr>
        <w:t>3</w:t>
      </w: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CO</w:t>
      </w:r>
      <w:r>
        <w:rPr>
          <w:rFonts w:hint="default" w:ascii="Times New Roman" w:hAnsi="Times New Roman" w:eastAsia="宋体" w:cs="Times New Roman"/>
          <w:color w:val="auto"/>
          <w:kern w:val="0"/>
          <w:sz w:val="24"/>
          <w:szCs w:val="24"/>
          <w:highlight w:val="none"/>
          <w:lang w:val="en-US" w:eastAsia="zh-CN" w:bidi="ar"/>
        </w:rPr>
        <w:t>容量最大为</w:t>
      </w:r>
      <w:r>
        <w:rPr>
          <w:rFonts w:hint="eastAsia" w:ascii="Times New Roman" w:hAnsi="Times New Roman" w:eastAsia="宋体" w:cs="Times New Roman"/>
          <w:color w:val="auto"/>
          <w:kern w:val="0"/>
          <w:sz w:val="24"/>
          <w:szCs w:val="24"/>
          <w:highlight w:val="none"/>
          <w:lang w:val="en-US" w:eastAsia="zh-CN" w:bidi="ar"/>
        </w:rPr>
        <w:t>237.4</w:t>
      </w:r>
      <w:r>
        <w:rPr>
          <w:rFonts w:hint="default" w:ascii="Times New Roman" w:hAnsi="Times New Roman" w:cs="Times New Roman"/>
          <w:color w:val="auto"/>
          <w:sz w:val="24"/>
          <w:szCs w:val="24"/>
          <w:highlight w:val="none"/>
          <w:lang w:val="en-US" w:eastAsia="zh-CN"/>
        </w:rPr>
        <w:t>m</w:t>
      </w:r>
      <w:r>
        <w:rPr>
          <w:rFonts w:hint="default" w:ascii="Times New Roman" w:hAnsi="Times New Roman" w:cs="Times New Roman"/>
          <w:color w:val="auto"/>
          <w:sz w:val="24"/>
          <w:szCs w:val="24"/>
          <w:highlight w:val="none"/>
          <w:vertAlign w:val="superscript"/>
          <w:lang w:val="en-US" w:eastAsia="zh-CN"/>
        </w:rPr>
        <w:t>3</w:t>
      </w:r>
      <w:r>
        <w:rPr>
          <w:rFonts w:hint="default" w:ascii="Times New Roman" w:hAnsi="Times New Roman" w:eastAsia="宋体" w:cs="Times New Roman"/>
          <w:color w:val="auto"/>
          <w:kern w:val="0"/>
          <w:sz w:val="24"/>
          <w:szCs w:val="24"/>
          <w:highlight w:val="none"/>
          <w:lang w:val="en-US" w:eastAsia="zh-CN" w:bidi="ar"/>
        </w:rPr>
        <w:t>，其中CH</w:t>
      </w:r>
      <w:r>
        <w:rPr>
          <w:rFonts w:hint="default" w:ascii="Times New Roman" w:hAnsi="Times New Roman" w:eastAsia="宋体" w:cs="Times New Roman"/>
          <w:color w:val="auto"/>
          <w:kern w:val="0"/>
          <w:sz w:val="24"/>
          <w:szCs w:val="24"/>
          <w:highlight w:val="none"/>
          <w:vertAlign w:val="subscript"/>
          <w:lang w:val="en-US" w:eastAsia="zh-CN" w:bidi="ar"/>
        </w:rPr>
        <w:t>4</w:t>
      </w:r>
      <w:r>
        <w:rPr>
          <w:rFonts w:hint="default" w:ascii="Times New Roman" w:hAnsi="Times New Roman" w:eastAsia="宋体" w:cs="Times New Roman"/>
          <w:color w:val="auto"/>
          <w:kern w:val="0"/>
          <w:sz w:val="24"/>
          <w:szCs w:val="24"/>
          <w:highlight w:val="none"/>
          <w:lang w:val="en-US" w:eastAsia="zh-CN" w:bidi="ar"/>
        </w:rPr>
        <w:t>密度为0.71</w:t>
      </w:r>
      <w:r>
        <w:rPr>
          <w:rFonts w:hint="eastAsia" w:ascii="Times New Roman" w:hAnsi="Times New Roman" w:eastAsia="宋体" w:cs="Times New Roman"/>
          <w:color w:val="auto"/>
          <w:kern w:val="0"/>
          <w:sz w:val="24"/>
          <w:szCs w:val="24"/>
          <w:highlight w:val="none"/>
          <w:lang w:val="en-US" w:eastAsia="zh-CN" w:bidi="ar"/>
        </w:rPr>
        <w:t>6</w:t>
      </w:r>
      <w:r>
        <w:rPr>
          <w:rFonts w:hint="default" w:ascii="Times New Roman" w:hAnsi="Times New Roman" w:eastAsia="宋体" w:cs="Times New Roman"/>
          <w:color w:val="auto"/>
          <w:kern w:val="0"/>
          <w:sz w:val="24"/>
          <w:szCs w:val="24"/>
          <w:highlight w:val="none"/>
          <w:lang w:val="en-US" w:eastAsia="zh-CN" w:bidi="ar"/>
        </w:rPr>
        <w:t>g/L，</w:t>
      </w:r>
      <w:r>
        <w:rPr>
          <w:rFonts w:hint="eastAsia" w:ascii="Times New Roman" w:hAnsi="Times New Roman" w:eastAsia="宋体" w:cs="Times New Roman"/>
          <w:color w:val="auto"/>
          <w:kern w:val="0"/>
          <w:sz w:val="24"/>
          <w:szCs w:val="24"/>
          <w:highlight w:val="none"/>
          <w:lang w:val="en-US" w:eastAsia="zh-CN" w:bidi="ar"/>
        </w:rPr>
        <w:t>CO</w:t>
      </w:r>
      <w:r>
        <w:rPr>
          <w:rFonts w:hint="default" w:ascii="Times New Roman" w:hAnsi="Times New Roman" w:eastAsia="宋体" w:cs="Times New Roman"/>
          <w:color w:val="auto"/>
          <w:kern w:val="0"/>
          <w:sz w:val="24"/>
          <w:szCs w:val="24"/>
          <w:highlight w:val="none"/>
          <w:lang w:val="en-US" w:eastAsia="zh-CN" w:bidi="ar"/>
        </w:rPr>
        <w:t>密度为1.</w:t>
      </w:r>
      <w:r>
        <w:rPr>
          <w:rFonts w:hint="eastAsia" w:ascii="Times New Roman" w:hAnsi="Times New Roman" w:eastAsia="宋体" w:cs="Times New Roman"/>
          <w:color w:val="auto"/>
          <w:kern w:val="0"/>
          <w:sz w:val="24"/>
          <w:szCs w:val="24"/>
          <w:highlight w:val="none"/>
          <w:lang w:val="en-US" w:eastAsia="zh-CN" w:bidi="ar"/>
        </w:rPr>
        <w:t>25</w:t>
      </w:r>
      <w:r>
        <w:rPr>
          <w:rFonts w:hint="default" w:ascii="Times New Roman" w:hAnsi="Times New Roman" w:eastAsia="宋体" w:cs="Times New Roman"/>
          <w:color w:val="auto"/>
          <w:kern w:val="0"/>
          <w:sz w:val="24"/>
          <w:szCs w:val="24"/>
          <w:highlight w:val="none"/>
          <w:lang w:val="en-US" w:eastAsia="zh-CN" w:bidi="ar"/>
        </w:rPr>
        <w:t>g/L，计算得出气柜中CH</w:t>
      </w:r>
      <w:r>
        <w:rPr>
          <w:rFonts w:hint="default" w:ascii="Times New Roman" w:hAnsi="Times New Roman" w:eastAsia="宋体" w:cs="Times New Roman"/>
          <w:color w:val="auto"/>
          <w:kern w:val="0"/>
          <w:sz w:val="24"/>
          <w:szCs w:val="24"/>
          <w:highlight w:val="none"/>
          <w:vertAlign w:val="subscript"/>
          <w:lang w:val="en-US" w:eastAsia="zh-CN" w:bidi="ar"/>
        </w:rPr>
        <w:t>4</w:t>
      </w:r>
      <w:r>
        <w:rPr>
          <w:rFonts w:hint="default" w:ascii="Times New Roman" w:hAnsi="Times New Roman" w:eastAsia="宋体" w:cs="Times New Roman"/>
          <w:color w:val="auto"/>
          <w:kern w:val="0"/>
          <w:sz w:val="24"/>
          <w:szCs w:val="24"/>
          <w:highlight w:val="none"/>
          <w:lang w:val="en-US" w:eastAsia="zh-CN" w:bidi="ar"/>
        </w:rPr>
        <w:t>含量</w:t>
      </w:r>
      <w:r>
        <w:rPr>
          <w:rFonts w:hint="eastAsia" w:ascii="Times New Roman" w:hAnsi="Times New Roman" w:eastAsia="宋体" w:cs="Times New Roman"/>
          <w:color w:val="auto"/>
          <w:kern w:val="0"/>
          <w:sz w:val="24"/>
          <w:szCs w:val="24"/>
          <w:highlight w:val="none"/>
          <w:lang w:val="en-US" w:eastAsia="zh-CN" w:bidi="ar"/>
        </w:rPr>
        <w:t>约</w:t>
      </w:r>
      <w:r>
        <w:rPr>
          <w:rFonts w:hint="default" w:ascii="Times New Roman" w:hAnsi="Times New Roman" w:eastAsia="宋体" w:cs="Times New Roman"/>
          <w:color w:val="auto"/>
          <w:kern w:val="0"/>
          <w:sz w:val="24"/>
          <w:szCs w:val="24"/>
          <w:highlight w:val="none"/>
          <w:lang w:val="en-US" w:eastAsia="zh-CN" w:bidi="ar"/>
        </w:rPr>
        <w:t>为0.2</w:t>
      </w:r>
      <w:r>
        <w:rPr>
          <w:rFonts w:hint="eastAsia" w:ascii="Times New Roman" w:hAnsi="Times New Roman" w:eastAsia="宋体" w:cs="Times New Roman"/>
          <w:color w:val="auto"/>
          <w:kern w:val="0"/>
          <w:sz w:val="24"/>
          <w:szCs w:val="24"/>
          <w:highlight w:val="none"/>
          <w:lang w:val="en-US" w:eastAsia="zh-CN" w:bidi="ar"/>
        </w:rPr>
        <w:t>59</w:t>
      </w:r>
      <w:r>
        <w:rPr>
          <w:rFonts w:hint="default" w:ascii="Times New Roman" w:hAnsi="Times New Roman" w:eastAsia="宋体" w:cs="Times New Roman"/>
          <w:color w:val="auto"/>
          <w:kern w:val="0"/>
          <w:sz w:val="24"/>
          <w:szCs w:val="24"/>
          <w:highlight w:val="none"/>
          <w:lang w:val="en-US" w:eastAsia="zh-CN" w:bidi="ar"/>
        </w:rPr>
        <w:t>t，</w:t>
      </w:r>
      <w:r>
        <w:rPr>
          <w:rFonts w:hint="eastAsia" w:ascii="Times New Roman" w:hAnsi="Times New Roman" w:eastAsia="宋体" w:cs="Times New Roman"/>
          <w:color w:val="auto"/>
          <w:kern w:val="0"/>
          <w:sz w:val="24"/>
          <w:szCs w:val="24"/>
          <w:highlight w:val="none"/>
          <w:lang w:val="en-US" w:eastAsia="zh-CN" w:bidi="ar"/>
        </w:rPr>
        <w:t>CO</w:t>
      </w:r>
      <w:r>
        <w:rPr>
          <w:rFonts w:hint="default" w:ascii="Times New Roman" w:hAnsi="Times New Roman" w:eastAsia="宋体" w:cs="Times New Roman"/>
          <w:color w:val="auto"/>
          <w:kern w:val="0"/>
          <w:sz w:val="24"/>
          <w:szCs w:val="24"/>
          <w:highlight w:val="none"/>
          <w:lang w:val="en-US" w:eastAsia="zh-CN" w:bidi="ar"/>
        </w:rPr>
        <w:t>含量</w:t>
      </w:r>
      <w:r>
        <w:rPr>
          <w:rFonts w:hint="eastAsia" w:ascii="Times New Roman" w:hAnsi="Times New Roman" w:eastAsia="宋体" w:cs="Times New Roman"/>
          <w:color w:val="auto"/>
          <w:kern w:val="0"/>
          <w:sz w:val="24"/>
          <w:szCs w:val="24"/>
          <w:highlight w:val="none"/>
          <w:lang w:val="en-US" w:eastAsia="zh-CN" w:bidi="ar"/>
        </w:rPr>
        <w:t>约</w:t>
      </w:r>
      <w:r>
        <w:rPr>
          <w:rFonts w:hint="default" w:ascii="Times New Roman" w:hAnsi="Times New Roman" w:eastAsia="宋体" w:cs="Times New Roman"/>
          <w:color w:val="auto"/>
          <w:kern w:val="0"/>
          <w:sz w:val="24"/>
          <w:szCs w:val="24"/>
          <w:highlight w:val="none"/>
          <w:lang w:val="en-US" w:eastAsia="zh-CN" w:bidi="ar"/>
        </w:rPr>
        <w:t>为</w:t>
      </w:r>
      <w:r>
        <w:rPr>
          <w:rFonts w:hint="eastAsia" w:ascii="Times New Roman" w:hAnsi="Times New Roman" w:eastAsia="宋体" w:cs="Times New Roman"/>
          <w:color w:val="auto"/>
          <w:kern w:val="0"/>
          <w:sz w:val="24"/>
          <w:szCs w:val="24"/>
          <w:highlight w:val="none"/>
          <w:lang w:val="en-US" w:eastAsia="zh-CN" w:bidi="ar"/>
        </w:rPr>
        <w:t>0.297</w:t>
      </w:r>
      <w:r>
        <w:rPr>
          <w:rFonts w:hint="default" w:ascii="Times New Roman" w:hAnsi="Times New Roman" w:eastAsia="宋体" w:cs="Times New Roman"/>
          <w:color w:val="auto"/>
          <w:kern w:val="0"/>
          <w:sz w:val="24"/>
          <w:szCs w:val="24"/>
          <w:highlight w:val="none"/>
          <w:lang w:val="en-US" w:eastAsia="zh-CN" w:bidi="ar"/>
        </w:rPr>
        <w:t>t。</w:t>
      </w:r>
    </w:p>
    <w:p w14:paraId="58BE5473">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垃圾渗滤液经过渗滤液排液口排入垃圾渗滤液收集池（有效容积44m</w:t>
      </w:r>
      <w:r>
        <w:rPr>
          <w:rFonts w:hint="default" w:ascii="Times New Roman" w:hAnsi="Times New Roman" w:eastAsia="宋体" w:cs="Times New Roman"/>
          <w:color w:val="auto"/>
          <w:kern w:val="0"/>
          <w:sz w:val="24"/>
          <w:szCs w:val="24"/>
          <w:highlight w:val="none"/>
          <w:vertAlign w:val="superscript"/>
          <w:lang w:val="en-US" w:eastAsia="zh-CN" w:bidi="ar"/>
        </w:rPr>
        <w:t>3</w:t>
      </w:r>
      <w:r>
        <w:rPr>
          <w:rFonts w:hint="default" w:ascii="Times New Roman" w:hAnsi="Times New Roman" w:eastAsia="宋体" w:cs="Times New Roman"/>
          <w:color w:val="auto"/>
          <w:kern w:val="0"/>
          <w:sz w:val="24"/>
          <w:szCs w:val="24"/>
          <w:highlight w:val="none"/>
          <w:lang w:val="en-US" w:eastAsia="zh-CN" w:bidi="ar"/>
        </w:rPr>
        <w:t>），池内设有无堵塞潜污泵，将渗滤液提升至污水池</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有效容积</w:t>
      </w:r>
      <w:r>
        <w:rPr>
          <w:rFonts w:hint="eastAsia" w:ascii="Times New Roman" w:hAnsi="Times New Roman" w:eastAsia="宋体" w:cs="Times New Roman"/>
          <w:color w:val="auto"/>
          <w:kern w:val="0"/>
          <w:sz w:val="24"/>
          <w:szCs w:val="24"/>
          <w:highlight w:val="none"/>
          <w:lang w:val="en-US" w:eastAsia="zh-CN" w:bidi="ar"/>
        </w:rPr>
        <w:t>50</w:t>
      </w:r>
      <w:r>
        <w:rPr>
          <w:rFonts w:hint="default" w:ascii="Times New Roman" w:hAnsi="Times New Roman" w:eastAsia="宋体" w:cs="Times New Roman"/>
          <w:color w:val="auto"/>
          <w:kern w:val="0"/>
          <w:sz w:val="24"/>
          <w:szCs w:val="24"/>
          <w:highlight w:val="none"/>
          <w:lang w:val="en-US" w:eastAsia="zh-CN" w:bidi="ar"/>
        </w:rPr>
        <w:t>m</w:t>
      </w:r>
      <w:r>
        <w:rPr>
          <w:rFonts w:hint="default" w:ascii="Times New Roman" w:hAnsi="Times New Roman" w:eastAsia="宋体" w:cs="Times New Roman"/>
          <w:color w:val="auto"/>
          <w:kern w:val="0"/>
          <w:sz w:val="24"/>
          <w:szCs w:val="24"/>
          <w:highlight w:val="none"/>
          <w:vertAlign w:val="superscript"/>
          <w:lang w:val="en-US" w:eastAsia="zh-CN" w:bidi="ar"/>
        </w:rPr>
        <w:t>3</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，后经管道进入垃圾填埋场垃圾渗滤液处理站进行下一步处理。按最大存在量计算，则</w:t>
      </w:r>
      <w:r>
        <w:rPr>
          <w:rFonts w:hint="eastAsia" w:ascii="Times New Roman" w:hAnsi="Times New Roman" w:eastAsia="宋体" w:cs="Times New Roman"/>
          <w:color w:val="auto"/>
          <w:kern w:val="0"/>
          <w:sz w:val="24"/>
          <w:szCs w:val="24"/>
          <w:highlight w:val="none"/>
          <w:lang w:val="en-US" w:eastAsia="zh-CN" w:bidi="ar"/>
        </w:rPr>
        <w:t>垃圾渗滤液</w:t>
      </w:r>
      <w:r>
        <w:rPr>
          <w:rFonts w:hint="default" w:ascii="Times New Roman" w:hAnsi="Times New Roman" w:eastAsia="宋体" w:cs="Times New Roman"/>
          <w:color w:val="auto"/>
          <w:kern w:val="0"/>
          <w:sz w:val="24"/>
          <w:szCs w:val="24"/>
          <w:highlight w:val="none"/>
          <w:lang w:val="en-US" w:eastAsia="zh-CN" w:bidi="ar"/>
        </w:rPr>
        <w:t>最大存在量为</w:t>
      </w:r>
      <w:r>
        <w:rPr>
          <w:rFonts w:hint="eastAsia" w:ascii="Times New Roman" w:hAnsi="Times New Roman" w:eastAsia="宋体" w:cs="Times New Roman"/>
          <w:color w:val="auto"/>
          <w:kern w:val="0"/>
          <w:sz w:val="24"/>
          <w:szCs w:val="24"/>
          <w:highlight w:val="none"/>
          <w:lang w:val="en-US" w:eastAsia="zh-CN" w:bidi="ar"/>
        </w:rPr>
        <w:t>94</w:t>
      </w:r>
      <w:r>
        <w:rPr>
          <w:rFonts w:hint="default" w:ascii="Times New Roman" w:hAnsi="Times New Roman" w:eastAsia="宋体" w:cs="Times New Roman"/>
          <w:color w:val="auto"/>
          <w:kern w:val="0"/>
          <w:sz w:val="24"/>
          <w:szCs w:val="24"/>
          <w:highlight w:val="none"/>
          <w:lang w:val="en-US" w:eastAsia="zh-CN" w:bidi="ar"/>
        </w:rPr>
        <w:t>m</w:t>
      </w:r>
      <w:r>
        <w:rPr>
          <w:rFonts w:hint="default" w:ascii="Times New Roman" w:hAnsi="Times New Roman" w:eastAsia="宋体" w:cs="Times New Roman"/>
          <w:color w:val="auto"/>
          <w:kern w:val="0"/>
          <w:sz w:val="24"/>
          <w:szCs w:val="24"/>
          <w:highlight w:val="none"/>
          <w:vertAlign w:val="superscript"/>
          <w:lang w:val="en-US" w:eastAsia="zh-CN" w:bidi="ar"/>
        </w:rPr>
        <w:t>3</w:t>
      </w:r>
      <w:r>
        <w:rPr>
          <w:rFonts w:hint="default" w:ascii="Times New Roman" w:hAnsi="Times New Roman" w:eastAsia="宋体" w:cs="Times New Roman"/>
          <w:color w:val="auto"/>
          <w:kern w:val="0"/>
          <w:sz w:val="24"/>
          <w:szCs w:val="24"/>
          <w:highlight w:val="none"/>
          <w:lang w:val="en-US" w:eastAsia="zh-CN" w:bidi="ar"/>
        </w:rPr>
        <w:t>，密度按1g/cm³考虑，则最大存在量为</w:t>
      </w:r>
      <w:r>
        <w:rPr>
          <w:rFonts w:hint="eastAsia" w:ascii="Times New Roman" w:hAnsi="Times New Roman" w:eastAsia="宋体" w:cs="Times New Roman"/>
          <w:color w:val="auto"/>
          <w:kern w:val="0"/>
          <w:sz w:val="24"/>
          <w:szCs w:val="24"/>
          <w:highlight w:val="none"/>
          <w:lang w:val="en-US" w:eastAsia="zh-CN" w:bidi="ar"/>
        </w:rPr>
        <w:t>94</w:t>
      </w:r>
      <w:r>
        <w:rPr>
          <w:rFonts w:hint="default" w:ascii="Times New Roman" w:hAnsi="Times New Roman" w:eastAsia="宋体" w:cs="Times New Roman"/>
          <w:color w:val="auto"/>
          <w:kern w:val="0"/>
          <w:sz w:val="24"/>
          <w:szCs w:val="24"/>
          <w:highlight w:val="none"/>
          <w:lang w:val="en-US" w:eastAsia="zh-CN" w:bidi="ar"/>
        </w:rPr>
        <w:t>t。参照《集中式污染治理设施产排污系数手册》中“生活垃圾焚烧处理设施污染物核算系数”对垃圾渗滤液产生</w:t>
      </w:r>
      <w:r>
        <w:rPr>
          <w:rFonts w:hint="eastAsia" w:ascii="Times New Roman" w:hAnsi="Times New Roman" w:eastAsia="宋体" w:cs="Times New Roman"/>
          <w:color w:val="auto"/>
          <w:kern w:val="0"/>
          <w:sz w:val="24"/>
          <w:szCs w:val="24"/>
          <w:highlight w:val="none"/>
          <w:lang w:val="en-US" w:eastAsia="zh-CN" w:bidi="ar"/>
        </w:rPr>
        <w:t>系数，垃圾渗滤液</w:t>
      </w:r>
      <w:r>
        <w:rPr>
          <w:rFonts w:hint="default" w:ascii="Times New Roman" w:hAnsi="Times New Roman" w:eastAsia="宋体" w:cs="Times New Roman"/>
          <w:color w:val="auto"/>
          <w:kern w:val="0"/>
          <w:sz w:val="24"/>
          <w:szCs w:val="24"/>
          <w:highlight w:val="none"/>
          <w:lang w:val="en-US" w:eastAsia="zh-CN" w:bidi="ar"/>
        </w:rPr>
        <w:t xml:space="preserve">水质为COD </w:t>
      </w:r>
      <w:r>
        <w:rPr>
          <w:rFonts w:hint="eastAsia" w:ascii="Times New Roman" w:hAnsi="Times New Roman" w:eastAsia="宋体" w:cs="Times New Roman"/>
          <w:color w:val="auto"/>
          <w:kern w:val="0"/>
          <w:sz w:val="24"/>
          <w:szCs w:val="24"/>
          <w:highlight w:val="none"/>
          <w:lang w:val="en-US" w:eastAsia="zh-CN" w:bidi="ar"/>
        </w:rPr>
        <w:t>36000</w:t>
      </w:r>
      <w:r>
        <w:rPr>
          <w:rFonts w:hint="default" w:ascii="Times New Roman" w:hAnsi="Times New Roman" w:eastAsia="宋体" w:cs="Times New Roman"/>
          <w:color w:val="auto"/>
          <w:kern w:val="0"/>
          <w:sz w:val="24"/>
          <w:szCs w:val="24"/>
          <w:highlight w:val="none"/>
          <w:lang w:val="en-US" w:eastAsia="zh-CN" w:bidi="ar"/>
        </w:rPr>
        <w:t>mg/L，NH</w:t>
      </w:r>
      <w:r>
        <w:rPr>
          <w:rFonts w:hint="default" w:ascii="Times New Roman" w:hAnsi="Times New Roman" w:eastAsia="宋体" w:cs="Times New Roman"/>
          <w:color w:val="auto"/>
          <w:kern w:val="0"/>
          <w:sz w:val="24"/>
          <w:szCs w:val="24"/>
          <w:highlight w:val="none"/>
          <w:vertAlign w:val="subscript"/>
          <w:lang w:val="en-US" w:eastAsia="zh-CN" w:bidi="ar"/>
        </w:rPr>
        <w:t>3</w:t>
      </w:r>
      <w:r>
        <w:rPr>
          <w:rFonts w:hint="default" w:ascii="Times New Roman" w:hAnsi="Times New Roman" w:eastAsia="宋体" w:cs="Times New Roman"/>
          <w:color w:val="auto"/>
          <w:kern w:val="0"/>
          <w:sz w:val="24"/>
          <w:szCs w:val="24"/>
          <w:highlight w:val="none"/>
          <w:lang w:val="en-US" w:eastAsia="zh-CN" w:bidi="ar"/>
        </w:rPr>
        <w:t xml:space="preserve">-N </w:t>
      </w:r>
      <w:r>
        <w:rPr>
          <w:rFonts w:hint="eastAsia" w:ascii="Times New Roman" w:hAnsi="Times New Roman" w:eastAsia="宋体" w:cs="Times New Roman"/>
          <w:color w:val="auto"/>
          <w:kern w:val="0"/>
          <w:sz w:val="24"/>
          <w:szCs w:val="24"/>
          <w:highlight w:val="none"/>
          <w:lang w:val="en-US" w:eastAsia="zh-CN" w:bidi="ar"/>
        </w:rPr>
        <w:t>1800</w:t>
      </w:r>
      <w:r>
        <w:rPr>
          <w:rFonts w:hint="default" w:ascii="Times New Roman" w:hAnsi="Times New Roman" w:eastAsia="宋体" w:cs="Times New Roman"/>
          <w:color w:val="auto"/>
          <w:kern w:val="0"/>
          <w:sz w:val="24"/>
          <w:szCs w:val="24"/>
          <w:highlight w:val="none"/>
          <w:lang w:val="en-US" w:eastAsia="zh-CN" w:bidi="ar"/>
        </w:rPr>
        <w:t>mg/L，纳入</w:t>
      </w:r>
      <w:r>
        <w:rPr>
          <w:rFonts w:hint="eastAsia" w:ascii="Times New Roman" w:hAnsi="Times New Roman" w:eastAsia="宋体" w:cs="Times New Roman"/>
          <w:color w:val="auto"/>
          <w:kern w:val="0"/>
          <w:sz w:val="24"/>
          <w:szCs w:val="24"/>
          <w:highlight w:val="none"/>
          <w:lang w:val="en-US" w:eastAsia="zh-CN" w:bidi="ar"/>
        </w:rPr>
        <w:t>风险</w:t>
      </w:r>
      <w:r>
        <w:rPr>
          <w:rFonts w:hint="default" w:ascii="Times New Roman" w:hAnsi="Times New Roman" w:eastAsia="宋体" w:cs="Times New Roman"/>
          <w:color w:val="auto"/>
          <w:kern w:val="0"/>
          <w:sz w:val="24"/>
          <w:szCs w:val="24"/>
          <w:highlight w:val="none"/>
          <w:lang w:val="en-US" w:eastAsia="zh-CN" w:bidi="ar"/>
        </w:rPr>
        <w:t>物质考虑。</w:t>
      </w:r>
    </w:p>
    <w:p w14:paraId="14E9491A">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厂区设6</w:t>
      </w:r>
      <w:r>
        <w:rPr>
          <w:rFonts w:hint="default" w:ascii="Times New Roman" w:hAnsi="Times New Roman" w:eastAsia="宋体" w:cs="Times New Roman"/>
          <w:color w:val="auto"/>
          <w:kern w:val="0"/>
          <w:sz w:val="24"/>
          <w:szCs w:val="24"/>
          <w:highlight w:val="none"/>
          <w:lang w:val="en-US" w:eastAsia="zh-CN" w:bidi="ar"/>
        </w:rPr>
        <w:t>m</w:t>
      </w:r>
      <w:r>
        <w:rPr>
          <w:rFonts w:hint="default" w:ascii="Times New Roman" w:hAnsi="Times New Roman" w:eastAsia="宋体" w:cs="Times New Roman"/>
          <w:color w:val="auto"/>
          <w:kern w:val="0"/>
          <w:sz w:val="24"/>
          <w:szCs w:val="24"/>
          <w:highlight w:val="none"/>
          <w:vertAlign w:val="superscript"/>
          <w:lang w:val="en-US" w:eastAsia="zh-CN" w:bidi="ar"/>
        </w:rPr>
        <w:t>3</w:t>
      </w:r>
      <w:r>
        <w:rPr>
          <w:rFonts w:hint="default" w:ascii="Times New Roman" w:hAnsi="Times New Roman" w:eastAsia="宋体" w:cs="Times New Roman"/>
          <w:color w:val="auto"/>
          <w:kern w:val="0"/>
          <w:sz w:val="24"/>
          <w:szCs w:val="24"/>
          <w:highlight w:val="none"/>
          <w:lang w:val="en-US" w:eastAsia="zh-CN" w:bidi="ar"/>
        </w:rPr>
        <w:t>的</w:t>
      </w:r>
      <w:r>
        <w:rPr>
          <w:rFonts w:hint="eastAsia" w:ascii="Times New Roman" w:hAnsi="Times New Roman" w:eastAsia="宋体" w:cs="Times New Roman"/>
          <w:color w:val="auto"/>
          <w:kern w:val="0"/>
          <w:sz w:val="24"/>
          <w:szCs w:val="24"/>
          <w:highlight w:val="none"/>
          <w:lang w:val="en-US" w:eastAsia="zh-CN" w:bidi="ar"/>
        </w:rPr>
        <w:t>焦油</w:t>
      </w:r>
      <w:r>
        <w:rPr>
          <w:rFonts w:hint="default" w:ascii="Times New Roman" w:hAnsi="Times New Roman" w:eastAsia="宋体" w:cs="Times New Roman"/>
          <w:color w:val="auto"/>
          <w:kern w:val="0"/>
          <w:sz w:val="24"/>
          <w:szCs w:val="24"/>
          <w:highlight w:val="none"/>
          <w:lang w:val="en-US" w:eastAsia="zh-CN" w:bidi="ar"/>
        </w:rPr>
        <w:t>罐1个，</w:t>
      </w:r>
      <w:r>
        <w:rPr>
          <w:rFonts w:hint="eastAsia" w:ascii="Times New Roman" w:hAnsi="Times New Roman" w:eastAsia="宋体" w:cs="Times New Roman"/>
          <w:color w:val="auto"/>
          <w:kern w:val="0"/>
          <w:sz w:val="24"/>
          <w:szCs w:val="24"/>
          <w:highlight w:val="none"/>
          <w:lang w:val="en-US" w:eastAsia="zh-CN" w:bidi="ar"/>
        </w:rPr>
        <w:t>垃圾热解焦油</w:t>
      </w:r>
      <w:r>
        <w:rPr>
          <w:rFonts w:hint="default" w:ascii="Times New Roman" w:hAnsi="Times New Roman" w:eastAsia="宋体" w:cs="Times New Roman"/>
          <w:color w:val="auto"/>
          <w:kern w:val="0"/>
          <w:sz w:val="24"/>
          <w:szCs w:val="24"/>
          <w:highlight w:val="none"/>
          <w:lang w:val="en-US" w:eastAsia="zh-CN" w:bidi="ar"/>
        </w:rPr>
        <w:t>密度</w:t>
      </w:r>
      <w:r>
        <w:rPr>
          <w:rFonts w:hint="eastAsia" w:ascii="Times New Roman" w:hAnsi="Times New Roman" w:eastAsia="宋体" w:cs="Times New Roman"/>
          <w:color w:val="auto"/>
          <w:kern w:val="0"/>
          <w:sz w:val="24"/>
          <w:szCs w:val="24"/>
          <w:highlight w:val="none"/>
          <w:lang w:val="en-US" w:eastAsia="zh-CN" w:bidi="ar"/>
        </w:rPr>
        <w:t>约</w:t>
      </w:r>
      <w:r>
        <w:rPr>
          <w:rFonts w:hint="default" w:ascii="Times New Roman" w:hAnsi="Times New Roman" w:eastAsia="宋体" w:cs="Times New Roman"/>
          <w:color w:val="auto"/>
          <w:kern w:val="0"/>
          <w:sz w:val="24"/>
          <w:szCs w:val="24"/>
          <w:highlight w:val="none"/>
          <w:lang w:val="en-US" w:eastAsia="zh-CN" w:bidi="ar"/>
        </w:rPr>
        <w:t>为</w:t>
      </w:r>
      <w:r>
        <w:rPr>
          <w:rFonts w:hint="eastAsia" w:ascii="Times New Roman" w:hAnsi="Times New Roman" w:eastAsia="宋体" w:cs="Times New Roman"/>
          <w:color w:val="auto"/>
          <w:kern w:val="0"/>
          <w:sz w:val="24"/>
          <w:szCs w:val="24"/>
          <w:highlight w:val="none"/>
          <w:lang w:val="en-US" w:eastAsia="zh-CN" w:bidi="ar"/>
        </w:rPr>
        <w:t>1.247</w:t>
      </w:r>
      <w:r>
        <w:rPr>
          <w:rFonts w:hint="eastAsia" w:ascii="Times New Roman" w:hAnsi="Times New Roman" w:cs="Times New Roman"/>
          <w:color w:val="auto"/>
          <w:sz w:val="24"/>
          <w:szCs w:val="24"/>
          <w:highlight w:val="none"/>
          <w:lang w:val="en-US" w:eastAsia="zh-CN"/>
        </w:rPr>
        <w:t>g/cm</w:t>
      </w:r>
      <w:r>
        <w:rPr>
          <w:rFonts w:hint="eastAsia" w:ascii="Times New Roman" w:hAnsi="Times New Roman" w:cs="Times New Roman"/>
          <w:color w:val="auto"/>
          <w:sz w:val="24"/>
          <w:szCs w:val="24"/>
          <w:highlight w:val="none"/>
          <w:vertAlign w:val="superscript"/>
          <w:lang w:val="en-US" w:eastAsia="zh-CN"/>
        </w:rPr>
        <w:t>3</w:t>
      </w:r>
      <w:r>
        <w:rPr>
          <w:rFonts w:hint="default" w:ascii="Times New Roman" w:hAnsi="Times New Roman" w:eastAsia="宋体" w:cs="Times New Roman"/>
          <w:color w:val="auto"/>
          <w:kern w:val="0"/>
          <w:sz w:val="24"/>
          <w:szCs w:val="24"/>
          <w:highlight w:val="none"/>
          <w:lang w:val="en-US" w:eastAsia="zh-CN" w:bidi="ar"/>
        </w:rPr>
        <w:t>，充装系数按0.</w:t>
      </w:r>
      <w:r>
        <w:rPr>
          <w:rFonts w:hint="eastAsia" w:ascii="Times New Roman" w:hAnsi="Times New Roman" w:eastAsia="宋体" w:cs="Times New Roman"/>
          <w:color w:val="auto"/>
          <w:kern w:val="0"/>
          <w:sz w:val="24"/>
          <w:szCs w:val="24"/>
          <w:highlight w:val="none"/>
          <w:lang w:val="en-US" w:eastAsia="zh-CN" w:bidi="ar"/>
        </w:rPr>
        <w:t>9</w:t>
      </w:r>
      <w:r>
        <w:rPr>
          <w:rFonts w:hint="default" w:ascii="Times New Roman" w:hAnsi="Times New Roman" w:eastAsia="宋体" w:cs="Times New Roman"/>
          <w:color w:val="auto"/>
          <w:kern w:val="0"/>
          <w:sz w:val="24"/>
          <w:szCs w:val="24"/>
          <w:highlight w:val="none"/>
          <w:lang w:val="en-US" w:eastAsia="zh-CN" w:bidi="ar"/>
        </w:rPr>
        <w:t>计，</w:t>
      </w:r>
      <w:r>
        <w:rPr>
          <w:rFonts w:hint="eastAsia" w:ascii="Times New Roman" w:hAnsi="Times New Roman" w:eastAsia="宋体" w:cs="Times New Roman"/>
          <w:color w:val="auto"/>
          <w:kern w:val="0"/>
          <w:sz w:val="24"/>
          <w:szCs w:val="24"/>
          <w:highlight w:val="none"/>
          <w:lang w:val="en-US" w:eastAsia="zh-CN" w:bidi="ar"/>
        </w:rPr>
        <w:t>焦油</w:t>
      </w:r>
      <w:r>
        <w:rPr>
          <w:rFonts w:hint="default" w:ascii="Times New Roman" w:hAnsi="Times New Roman" w:eastAsia="宋体" w:cs="Times New Roman"/>
          <w:color w:val="auto"/>
          <w:kern w:val="0"/>
          <w:sz w:val="24"/>
          <w:szCs w:val="24"/>
          <w:highlight w:val="none"/>
          <w:lang w:val="en-US" w:eastAsia="zh-CN" w:bidi="ar"/>
        </w:rPr>
        <w:t>罐</w:t>
      </w:r>
      <w:r>
        <w:rPr>
          <w:rFonts w:hint="eastAsia" w:ascii="Times New Roman" w:hAnsi="Times New Roman" w:eastAsia="宋体" w:cs="Times New Roman"/>
          <w:color w:val="auto"/>
          <w:kern w:val="0"/>
          <w:sz w:val="24"/>
          <w:szCs w:val="24"/>
          <w:highlight w:val="none"/>
          <w:lang w:val="en-US" w:eastAsia="zh-CN" w:bidi="ar"/>
        </w:rPr>
        <w:t>焦油</w:t>
      </w:r>
      <w:r>
        <w:rPr>
          <w:rFonts w:hint="default" w:ascii="Times New Roman" w:hAnsi="Times New Roman" w:eastAsia="宋体" w:cs="Times New Roman"/>
          <w:color w:val="auto"/>
          <w:kern w:val="0"/>
          <w:sz w:val="24"/>
          <w:szCs w:val="24"/>
          <w:highlight w:val="none"/>
          <w:lang w:val="en-US" w:eastAsia="zh-CN" w:bidi="ar"/>
        </w:rPr>
        <w:t>最大储存量为</w:t>
      </w:r>
      <w:r>
        <w:rPr>
          <w:rFonts w:hint="eastAsia" w:ascii="Times New Roman" w:hAnsi="Times New Roman" w:eastAsia="宋体" w:cs="Times New Roman"/>
          <w:color w:val="auto"/>
          <w:kern w:val="0"/>
          <w:sz w:val="24"/>
          <w:szCs w:val="24"/>
          <w:highlight w:val="none"/>
          <w:lang w:val="en-US" w:eastAsia="zh-CN" w:bidi="ar"/>
        </w:rPr>
        <w:t>6.734</w:t>
      </w:r>
      <w:r>
        <w:rPr>
          <w:rFonts w:hint="default" w:ascii="Times New Roman" w:hAnsi="Times New Roman" w:eastAsia="宋体" w:cs="Times New Roman"/>
          <w:color w:val="auto"/>
          <w:kern w:val="0"/>
          <w:sz w:val="24"/>
          <w:szCs w:val="24"/>
          <w:highlight w:val="none"/>
          <w:lang w:val="en-US" w:eastAsia="zh-CN" w:bidi="ar"/>
        </w:rPr>
        <w:t>t。备用柴油发电机设</w:t>
      </w:r>
      <w:r>
        <w:rPr>
          <w:rFonts w:hint="eastAsia" w:ascii="Times New Roman" w:hAnsi="Times New Roman" w:eastAsia="宋体" w:cs="Times New Roman"/>
          <w:color w:val="auto"/>
          <w:kern w:val="0"/>
          <w:sz w:val="24"/>
          <w:szCs w:val="24"/>
          <w:highlight w:val="none"/>
          <w:lang w:val="en-US" w:eastAsia="zh-CN" w:bidi="ar"/>
        </w:rPr>
        <w:t>1</w:t>
      </w:r>
      <w:r>
        <w:rPr>
          <w:rFonts w:hint="default" w:ascii="Times New Roman" w:hAnsi="Times New Roman" w:eastAsia="宋体" w:cs="Times New Roman"/>
          <w:color w:val="auto"/>
          <w:kern w:val="0"/>
          <w:sz w:val="24"/>
          <w:szCs w:val="24"/>
          <w:highlight w:val="none"/>
          <w:lang w:val="en-US" w:eastAsia="zh-CN" w:bidi="ar"/>
        </w:rPr>
        <w:t>m</w:t>
      </w:r>
      <w:r>
        <w:rPr>
          <w:rFonts w:hint="default" w:ascii="Times New Roman" w:hAnsi="Times New Roman" w:eastAsia="宋体" w:cs="Times New Roman"/>
          <w:color w:val="auto"/>
          <w:kern w:val="0"/>
          <w:sz w:val="24"/>
          <w:szCs w:val="24"/>
          <w:highlight w:val="none"/>
          <w:vertAlign w:val="superscript"/>
          <w:lang w:val="en-US" w:eastAsia="zh-CN" w:bidi="ar"/>
        </w:rPr>
        <w:t>3</w:t>
      </w:r>
      <w:r>
        <w:rPr>
          <w:rFonts w:hint="default" w:ascii="Times New Roman" w:hAnsi="Times New Roman" w:eastAsia="宋体" w:cs="Times New Roman"/>
          <w:color w:val="auto"/>
          <w:kern w:val="0"/>
          <w:sz w:val="24"/>
          <w:szCs w:val="24"/>
          <w:highlight w:val="none"/>
          <w:lang w:val="en-US" w:eastAsia="zh-CN" w:bidi="ar"/>
        </w:rPr>
        <w:t>的柴油储罐1个，柴油密度为0.86t/m³，充装系数按0.</w:t>
      </w:r>
      <w:r>
        <w:rPr>
          <w:rFonts w:hint="eastAsia" w:ascii="Times New Roman" w:hAnsi="Times New Roman" w:eastAsia="宋体" w:cs="Times New Roman"/>
          <w:color w:val="auto"/>
          <w:kern w:val="0"/>
          <w:sz w:val="24"/>
          <w:szCs w:val="24"/>
          <w:highlight w:val="none"/>
          <w:lang w:val="en-US" w:eastAsia="zh-CN" w:bidi="ar"/>
        </w:rPr>
        <w:t>9</w:t>
      </w:r>
      <w:r>
        <w:rPr>
          <w:rFonts w:hint="default" w:ascii="Times New Roman" w:hAnsi="Times New Roman" w:eastAsia="宋体" w:cs="Times New Roman"/>
          <w:color w:val="auto"/>
          <w:kern w:val="0"/>
          <w:sz w:val="24"/>
          <w:szCs w:val="24"/>
          <w:highlight w:val="none"/>
          <w:lang w:val="en-US" w:eastAsia="zh-CN" w:bidi="ar"/>
        </w:rPr>
        <w:t>计，柴油储罐柴油最大储存量为</w:t>
      </w:r>
      <w:r>
        <w:rPr>
          <w:rFonts w:hint="eastAsia" w:ascii="Times New Roman" w:hAnsi="Times New Roman" w:eastAsia="宋体" w:cs="Times New Roman"/>
          <w:color w:val="auto"/>
          <w:kern w:val="0"/>
          <w:sz w:val="24"/>
          <w:szCs w:val="24"/>
          <w:highlight w:val="none"/>
          <w:lang w:val="en-US" w:eastAsia="zh-CN" w:bidi="ar"/>
        </w:rPr>
        <w:t>0.774</w:t>
      </w:r>
      <w:r>
        <w:rPr>
          <w:rFonts w:hint="default" w:ascii="Times New Roman" w:hAnsi="Times New Roman" w:eastAsia="宋体" w:cs="Times New Roman"/>
          <w:color w:val="auto"/>
          <w:kern w:val="0"/>
          <w:sz w:val="24"/>
          <w:szCs w:val="24"/>
          <w:highlight w:val="none"/>
          <w:lang w:val="en-US" w:eastAsia="zh-CN" w:bidi="ar"/>
        </w:rPr>
        <w:t>t。厂区设备维护维修时机油、润滑油等矿物油厂区最大暂存量约0.1t。</w:t>
      </w:r>
      <w:r>
        <w:rPr>
          <w:rFonts w:hint="eastAsia" w:ascii="Times New Roman" w:hAnsi="Times New Roman" w:eastAsia="宋体" w:cs="Times New Roman"/>
          <w:color w:val="auto"/>
          <w:kern w:val="0"/>
          <w:sz w:val="24"/>
          <w:szCs w:val="24"/>
          <w:highlight w:val="none"/>
          <w:lang w:val="en-US" w:eastAsia="zh-CN" w:bidi="ar"/>
        </w:rPr>
        <w:t>废气处理系统</w:t>
      </w:r>
      <w:r>
        <w:rPr>
          <w:rFonts w:hint="default" w:ascii="Times New Roman" w:hAnsi="Times New Roman" w:eastAsia="宋体" w:cs="Times New Roman"/>
          <w:color w:val="auto"/>
          <w:kern w:val="0"/>
          <w:sz w:val="24"/>
          <w:szCs w:val="24"/>
          <w:highlight w:val="none"/>
          <w:lang w:val="en-US" w:eastAsia="zh-CN" w:bidi="ar"/>
        </w:rPr>
        <w:t>采用</w:t>
      </w:r>
      <w:r>
        <w:rPr>
          <w:rFonts w:hint="eastAsia" w:ascii="Times New Roman" w:hAnsi="Times New Roman" w:eastAsia="宋体" w:cs="Times New Roman"/>
          <w:color w:val="auto"/>
          <w:kern w:val="0"/>
          <w:sz w:val="24"/>
          <w:szCs w:val="24"/>
          <w:highlight w:val="none"/>
          <w:lang w:val="en-US" w:eastAsia="zh-CN" w:bidi="ar"/>
        </w:rPr>
        <w:t>10</w:t>
      </w: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氢氧化钠溶液喷淋</w:t>
      </w: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厂区内最大储存量为15</w:t>
      </w:r>
      <w:r>
        <w:rPr>
          <w:rFonts w:hint="default" w:ascii="Times New Roman" w:hAnsi="Times New Roman" w:eastAsia="宋体" w:cs="Times New Roman"/>
          <w:color w:val="auto"/>
          <w:kern w:val="0"/>
          <w:sz w:val="24"/>
          <w:szCs w:val="24"/>
          <w:highlight w:val="none"/>
          <w:lang w:val="en-US" w:eastAsia="zh-CN" w:bidi="ar"/>
        </w:rPr>
        <w:t>t。</w:t>
      </w:r>
    </w:p>
    <w:p w14:paraId="414BDDAB">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此外，气柜中净化后热解气中含有</w:t>
      </w:r>
      <w:r>
        <w:rPr>
          <w:rFonts w:hint="default" w:ascii="Times New Roman" w:hAnsi="Times New Roman" w:cs="Times New Roman"/>
          <w:color w:val="auto"/>
          <w:sz w:val="24"/>
          <w:szCs w:val="24"/>
          <w:highlight w:val="none"/>
        </w:rPr>
        <w:t>酸性气体（HCl、SO</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、NO</w:t>
      </w:r>
      <w:r>
        <w:rPr>
          <w:rFonts w:hint="default" w:ascii="Times New Roman" w:hAnsi="Times New Roman" w:cs="Times New Roman"/>
          <w:color w:val="auto"/>
          <w:sz w:val="24"/>
          <w:szCs w:val="24"/>
          <w:highlight w:val="none"/>
          <w:vertAlign w:val="subscript"/>
        </w:rPr>
        <w:t>X</w:t>
      </w:r>
      <w:r>
        <w:rPr>
          <w:rFonts w:hint="default" w:ascii="Times New Roman" w:hAnsi="Times New Roman" w:cs="Times New Roman"/>
          <w:color w:val="auto"/>
          <w:sz w:val="24"/>
          <w:szCs w:val="24"/>
          <w:highlight w:val="none"/>
        </w:rPr>
        <w:t>等）</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重金属（Hg、Pb、Cd等</w:t>
      </w:r>
      <w:r>
        <w:rPr>
          <w:rFonts w:hint="default" w:ascii="Times New Roman" w:hAnsi="Times New Roman" w:cs="Times New Roman"/>
          <w:color w:val="auto"/>
          <w:sz w:val="24"/>
          <w:szCs w:val="24"/>
          <w:highlight w:val="none"/>
          <w:lang w:val="en-US" w:eastAsia="zh-CN"/>
        </w:rPr>
        <w:t>及其化合物</w:t>
      </w:r>
      <w:r>
        <w:rPr>
          <w:rFonts w:hint="default" w:ascii="Times New Roman" w:hAnsi="Times New Roman" w:cs="Times New Roman"/>
          <w:color w:val="auto"/>
          <w:sz w:val="24"/>
          <w:szCs w:val="24"/>
          <w:highlight w:val="none"/>
        </w:rPr>
        <w:t>）和二噁英</w:t>
      </w:r>
      <w:r>
        <w:rPr>
          <w:rFonts w:hint="eastAsia" w:ascii="Times New Roman" w:hAnsi="Times New Roman" w:cs="Times New Roman"/>
          <w:color w:val="auto"/>
          <w:sz w:val="24"/>
          <w:szCs w:val="24"/>
          <w:highlight w:val="none"/>
          <w:lang w:val="en-US" w:eastAsia="zh-CN"/>
        </w:rPr>
        <w:t>等物质，含量</w:t>
      </w:r>
      <w:r>
        <w:rPr>
          <w:rFonts w:hint="eastAsia" w:ascii="Times New Roman" w:hAnsi="Times New Roman" w:eastAsia="宋体" w:cs="Times New Roman"/>
          <w:color w:val="auto"/>
          <w:kern w:val="0"/>
          <w:sz w:val="24"/>
          <w:szCs w:val="24"/>
          <w:highlight w:val="none"/>
          <w:lang w:val="en-US" w:eastAsia="zh-CN" w:bidi="ar"/>
        </w:rPr>
        <w:t>微量且很快返</w:t>
      </w:r>
      <w:r>
        <w:rPr>
          <w:rFonts w:hint="eastAsia" w:ascii="Times New Roman" w:hAnsi="Times New Roman" w:cs="Times New Roman"/>
          <w:color w:val="auto"/>
          <w:sz w:val="24"/>
          <w:szCs w:val="24"/>
          <w:highlight w:val="none"/>
          <w:lang w:val="en-US" w:eastAsia="zh-CN"/>
        </w:rPr>
        <w:t>回</w:t>
      </w:r>
      <w:r>
        <w:rPr>
          <w:rFonts w:hint="default" w:ascii="Times New Roman" w:hAnsi="Times New Roman" w:cs="Times New Roman"/>
          <w:color w:val="auto"/>
          <w:sz w:val="24"/>
          <w:szCs w:val="24"/>
          <w:highlight w:val="none"/>
          <w:lang w:val="en-US" w:eastAsia="zh-CN"/>
        </w:rPr>
        <w:t>热分解焚烧系统</w:t>
      </w:r>
      <w:r>
        <w:rPr>
          <w:rFonts w:hint="eastAsia" w:ascii="Times New Roman" w:hAnsi="Times New Roman" w:cs="Times New Roman"/>
          <w:color w:val="auto"/>
          <w:sz w:val="24"/>
          <w:szCs w:val="24"/>
          <w:highlight w:val="none"/>
          <w:lang w:val="en-US" w:eastAsia="zh-CN"/>
        </w:rPr>
        <w:t>燃烧，在场地内</w:t>
      </w:r>
      <w:r>
        <w:rPr>
          <w:rFonts w:hint="default" w:ascii="Times New Roman" w:hAnsi="Times New Roman" w:eastAsia="宋体" w:cs="Times New Roman"/>
          <w:color w:val="auto"/>
          <w:kern w:val="0"/>
          <w:sz w:val="24"/>
          <w:szCs w:val="24"/>
          <w:highlight w:val="none"/>
          <w:lang w:val="en-US" w:eastAsia="zh-CN" w:bidi="ar"/>
        </w:rPr>
        <w:t>最大存在总量极低</w:t>
      </w:r>
      <w:r>
        <w:rPr>
          <w:rFonts w:hint="eastAsia" w:ascii="Times New Roman" w:hAnsi="Times New Roman" w:eastAsia="宋体" w:cs="Times New Roman"/>
          <w:color w:val="auto"/>
          <w:kern w:val="0"/>
          <w:sz w:val="24"/>
          <w:szCs w:val="24"/>
          <w:highlight w:val="none"/>
          <w:lang w:val="en-US" w:eastAsia="zh-CN" w:bidi="ar"/>
        </w:rPr>
        <w:t>，</w:t>
      </w:r>
      <w:r>
        <w:rPr>
          <w:rFonts w:hint="eastAsia" w:ascii="Times New Roman" w:hAnsi="Times New Roman" w:cs="Times New Roman"/>
          <w:color w:val="auto"/>
          <w:sz w:val="24"/>
          <w:szCs w:val="24"/>
          <w:highlight w:val="none"/>
          <w:lang w:val="en-US" w:eastAsia="zh-CN"/>
        </w:rPr>
        <w:t>本次</w:t>
      </w:r>
      <w:r>
        <w:rPr>
          <w:rFonts w:hint="eastAsia" w:ascii="Times New Roman" w:hAnsi="Times New Roman" w:eastAsia="宋体" w:cs="Times New Roman"/>
          <w:color w:val="auto"/>
          <w:kern w:val="0"/>
          <w:sz w:val="24"/>
          <w:szCs w:val="24"/>
          <w:highlight w:val="none"/>
          <w:lang w:val="en-US" w:eastAsia="zh-CN" w:bidi="ar"/>
        </w:rPr>
        <w:t>评价不纳入评价；垃圾</w:t>
      </w:r>
      <w:r>
        <w:rPr>
          <w:rFonts w:hint="default" w:ascii="Times New Roman" w:hAnsi="Times New Roman" w:eastAsia="宋体" w:cs="Times New Roman"/>
          <w:color w:val="auto"/>
          <w:kern w:val="0"/>
          <w:sz w:val="24"/>
          <w:szCs w:val="24"/>
          <w:highlight w:val="none"/>
          <w:lang w:val="en-US" w:eastAsia="zh-CN" w:bidi="ar"/>
        </w:rPr>
        <w:t>恶臭气体</w:t>
      </w:r>
      <w:r>
        <w:rPr>
          <w:rFonts w:hint="eastAsia" w:ascii="Times New Roman" w:hAnsi="Times New Roman" w:eastAsia="宋体" w:cs="Times New Roman"/>
          <w:color w:val="auto"/>
          <w:kern w:val="0"/>
          <w:sz w:val="24"/>
          <w:szCs w:val="24"/>
          <w:highlight w:val="none"/>
          <w:lang w:val="en-US" w:eastAsia="zh-CN" w:bidi="ar"/>
        </w:rPr>
        <w:t>含有</w:t>
      </w:r>
      <w:r>
        <w:rPr>
          <w:rFonts w:hint="default" w:ascii="Times New Roman" w:hAnsi="Times New Roman" w:eastAsia="宋体" w:cs="Times New Roman"/>
          <w:color w:val="auto"/>
          <w:kern w:val="0"/>
          <w:sz w:val="24"/>
          <w:szCs w:val="24"/>
          <w:highlight w:val="none"/>
          <w:lang w:val="en-US" w:eastAsia="zh-CN" w:bidi="ar"/>
        </w:rPr>
        <w:t>H</w:t>
      </w:r>
      <w:r>
        <w:rPr>
          <w:rFonts w:hint="default" w:ascii="Times New Roman" w:hAnsi="Times New Roman" w:eastAsia="宋体" w:cs="Times New Roman"/>
          <w:color w:val="auto"/>
          <w:kern w:val="0"/>
          <w:sz w:val="24"/>
          <w:szCs w:val="24"/>
          <w:highlight w:val="none"/>
          <w:vertAlign w:val="subscript"/>
          <w:lang w:val="en-US" w:eastAsia="zh-CN" w:bidi="ar"/>
        </w:rPr>
        <w:t>2</w:t>
      </w:r>
      <w:r>
        <w:rPr>
          <w:rFonts w:hint="default" w:ascii="Times New Roman" w:hAnsi="Times New Roman" w:eastAsia="宋体" w:cs="Times New Roman"/>
          <w:color w:val="auto"/>
          <w:kern w:val="0"/>
          <w:sz w:val="24"/>
          <w:szCs w:val="24"/>
          <w:highlight w:val="none"/>
          <w:lang w:val="en-US" w:eastAsia="zh-CN" w:bidi="ar"/>
        </w:rPr>
        <w:t>S、NH</w:t>
      </w:r>
      <w:r>
        <w:rPr>
          <w:rFonts w:hint="default" w:ascii="Times New Roman" w:hAnsi="Times New Roman" w:eastAsia="宋体" w:cs="Times New Roman"/>
          <w:color w:val="auto"/>
          <w:kern w:val="0"/>
          <w:sz w:val="15"/>
          <w:szCs w:val="15"/>
          <w:highlight w:val="none"/>
          <w:lang w:val="en-US" w:eastAsia="zh-CN" w:bidi="ar"/>
        </w:rPr>
        <w:t>3</w:t>
      </w:r>
      <w:r>
        <w:rPr>
          <w:rFonts w:hint="eastAsia" w:ascii="Times New Roman" w:hAnsi="Times New Roman" w:eastAsia="宋体" w:cs="Times New Roman"/>
          <w:color w:val="auto"/>
          <w:kern w:val="0"/>
          <w:sz w:val="24"/>
          <w:szCs w:val="24"/>
          <w:highlight w:val="none"/>
          <w:lang w:val="en-US" w:eastAsia="zh-CN" w:bidi="ar"/>
        </w:rPr>
        <w:t>和热解气燃烧烟气中含有</w:t>
      </w:r>
      <w:r>
        <w:rPr>
          <w:rFonts w:hint="default" w:ascii="Times New Roman" w:hAnsi="Times New Roman" w:cs="Times New Roman"/>
          <w:color w:val="auto"/>
          <w:sz w:val="24"/>
          <w:szCs w:val="24"/>
          <w:highlight w:val="none"/>
        </w:rPr>
        <w:t>酸性气体（HCl、SO</w:t>
      </w:r>
      <w:r>
        <w:rPr>
          <w:rFonts w:hint="default" w:ascii="Times New Roman" w:hAnsi="Times New Roman" w:cs="Times New Roman"/>
          <w:color w:val="auto"/>
          <w:sz w:val="24"/>
          <w:szCs w:val="24"/>
          <w:highlight w:val="none"/>
          <w:vertAlign w:val="subscript"/>
        </w:rPr>
        <w:t>2</w:t>
      </w:r>
      <w:r>
        <w:rPr>
          <w:rFonts w:hint="default" w:ascii="Times New Roman" w:hAnsi="Times New Roman" w:cs="Times New Roman"/>
          <w:color w:val="auto"/>
          <w:sz w:val="24"/>
          <w:szCs w:val="24"/>
          <w:highlight w:val="none"/>
        </w:rPr>
        <w:t>、NO</w:t>
      </w:r>
      <w:r>
        <w:rPr>
          <w:rFonts w:hint="default" w:ascii="Times New Roman" w:hAnsi="Times New Roman" w:cs="Times New Roman"/>
          <w:color w:val="auto"/>
          <w:sz w:val="24"/>
          <w:szCs w:val="24"/>
          <w:highlight w:val="none"/>
          <w:vertAlign w:val="subscript"/>
        </w:rPr>
        <w:t>X</w:t>
      </w:r>
      <w:r>
        <w:rPr>
          <w:rFonts w:hint="default" w:ascii="Times New Roman" w:hAnsi="Times New Roman" w:cs="Times New Roman"/>
          <w:color w:val="auto"/>
          <w:sz w:val="24"/>
          <w:szCs w:val="24"/>
          <w:highlight w:val="none"/>
        </w:rPr>
        <w:t>等）、重金属（Hg、Pb、Cd等</w:t>
      </w:r>
      <w:r>
        <w:rPr>
          <w:rFonts w:hint="default" w:ascii="Times New Roman" w:hAnsi="Times New Roman" w:cs="Times New Roman"/>
          <w:color w:val="auto"/>
          <w:sz w:val="24"/>
          <w:szCs w:val="24"/>
          <w:highlight w:val="none"/>
          <w:lang w:val="en-US" w:eastAsia="zh-CN"/>
        </w:rPr>
        <w:t>及其化合物</w:t>
      </w:r>
      <w:r>
        <w:rPr>
          <w:rFonts w:hint="default" w:ascii="Times New Roman" w:hAnsi="Times New Roman" w:cs="Times New Roman"/>
          <w:color w:val="auto"/>
          <w:sz w:val="24"/>
          <w:szCs w:val="24"/>
          <w:highlight w:val="none"/>
        </w:rPr>
        <w:t>）和二噁英等</w:t>
      </w:r>
      <w:r>
        <w:rPr>
          <w:rFonts w:hint="eastAsia" w:ascii="Times New Roman" w:hAnsi="Times New Roman" w:cs="Times New Roman"/>
          <w:color w:val="auto"/>
          <w:sz w:val="24"/>
          <w:szCs w:val="24"/>
          <w:highlight w:val="none"/>
          <w:lang w:val="en-US" w:eastAsia="zh-CN"/>
        </w:rPr>
        <w:t>物质</w:t>
      </w:r>
      <w:r>
        <w:rPr>
          <w:rFonts w:hint="eastAsia" w:ascii="Times New Roman" w:hAnsi="Times New Roman" w:eastAsia="宋体" w:cs="Times New Roman"/>
          <w:color w:val="auto"/>
          <w:kern w:val="0"/>
          <w:sz w:val="24"/>
          <w:szCs w:val="24"/>
          <w:highlight w:val="none"/>
          <w:lang w:val="en-US" w:eastAsia="zh-CN" w:bidi="ar"/>
        </w:rPr>
        <w:t>，含量微量，在</w:t>
      </w:r>
      <w:r>
        <w:rPr>
          <w:rFonts w:hint="default" w:ascii="Times New Roman" w:hAnsi="Times New Roman" w:eastAsia="宋体" w:cs="Times New Roman"/>
          <w:color w:val="auto"/>
          <w:kern w:val="0"/>
          <w:sz w:val="24"/>
          <w:szCs w:val="24"/>
          <w:highlight w:val="none"/>
          <w:lang w:val="en-US" w:eastAsia="zh-CN" w:bidi="ar"/>
        </w:rPr>
        <w:t>场地内停留时间极短，不进行贮存，在场地内最大存在总量极低</w:t>
      </w:r>
      <w:r>
        <w:rPr>
          <w:rFonts w:hint="eastAsia" w:ascii="Times New Roman" w:hAnsi="Times New Roman" w:eastAsia="宋体" w:cs="Times New Roman"/>
          <w:color w:val="auto"/>
          <w:kern w:val="0"/>
          <w:sz w:val="24"/>
          <w:szCs w:val="24"/>
          <w:highlight w:val="none"/>
          <w:lang w:val="en-US" w:eastAsia="zh-CN" w:bidi="ar"/>
        </w:rPr>
        <w:t>，本次评价不纳入评价</w:t>
      </w:r>
      <w:r>
        <w:rPr>
          <w:rFonts w:hint="default" w:ascii="Times New Roman" w:hAnsi="Times New Roman" w:eastAsia="宋体" w:cs="Times New Roman"/>
          <w:color w:val="auto"/>
          <w:kern w:val="0"/>
          <w:sz w:val="24"/>
          <w:szCs w:val="24"/>
          <w:highlight w:val="none"/>
          <w:lang w:val="en-US" w:eastAsia="zh-CN" w:bidi="ar"/>
        </w:rPr>
        <w:t>。</w:t>
      </w:r>
    </w:p>
    <w:p w14:paraId="2AC38422">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9.2</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 xml:space="preserve"> </w:t>
      </w:r>
      <w:r>
        <w:rPr>
          <w:rFonts w:hint="eastAsia" w:ascii="Times New Roman" w:hAnsi="Times New Roman" w:cs="Times New Roman"/>
          <w:color w:val="auto"/>
          <w:highlight w:val="none"/>
          <w:lang w:val="en-US" w:eastAsia="zh-CN"/>
        </w:rPr>
        <w:t xml:space="preserve"> </w:t>
      </w:r>
      <w:r>
        <w:rPr>
          <w:rFonts w:hint="eastAsia" w:ascii="Times New Roman" w:hAnsi="Times New Roman" w:cs="Times New Roman"/>
          <w:b/>
          <w:bCs/>
          <w:color w:val="auto"/>
          <w:highlight w:val="none"/>
          <w:lang w:val="en-US" w:eastAsia="zh-CN"/>
        </w:rPr>
        <w:t>本项目涉及危险物质的数量及存储位置一览表</w:t>
      </w:r>
    </w:p>
    <w:tbl>
      <w:tblPr>
        <w:tblStyle w:val="35"/>
        <w:tblW w:w="4996"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454"/>
        <w:gridCol w:w="2459"/>
        <w:gridCol w:w="2847"/>
        <w:gridCol w:w="2521"/>
      </w:tblGrid>
      <w:tr w14:paraId="6F17604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tblHeader/>
        </w:trPr>
        <w:tc>
          <w:tcPr>
            <w:tcW w:w="783" w:type="pct"/>
            <w:tcBorders>
              <w:tl2br w:val="nil"/>
              <w:tr2bl w:val="nil"/>
            </w:tcBorders>
            <w:shd w:val="clear" w:color="auto" w:fill="auto"/>
            <w:vAlign w:val="center"/>
          </w:tcPr>
          <w:p w14:paraId="0FEE138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序号</w:t>
            </w:r>
          </w:p>
        </w:tc>
        <w:tc>
          <w:tcPr>
            <w:tcW w:w="1324" w:type="pct"/>
            <w:tcBorders>
              <w:tl2br w:val="nil"/>
              <w:tr2bl w:val="nil"/>
            </w:tcBorders>
            <w:shd w:val="clear" w:color="auto" w:fill="auto"/>
            <w:vAlign w:val="center"/>
          </w:tcPr>
          <w:p w14:paraId="2CB230B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TimesNewRomanPSMT" w:cs="Times New Roman"/>
                <w:b/>
                <w:bCs/>
                <w:color w:val="auto"/>
                <w:kern w:val="0"/>
                <w:sz w:val="20"/>
                <w:szCs w:val="20"/>
                <w:highlight w:val="none"/>
                <w:lang w:val="en-US" w:eastAsia="zh-CN" w:bidi="ar"/>
              </w:rPr>
            </w:pPr>
            <w:r>
              <w:rPr>
                <w:rFonts w:hint="default" w:ascii="Times New Roman" w:hAnsi="Times New Roman" w:eastAsia="TimesNewRomanPSMT" w:cs="Times New Roman"/>
                <w:b/>
                <w:bCs/>
                <w:color w:val="auto"/>
                <w:kern w:val="0"/>
                <w:sz w:val="20"/>
                <w:szCs w:val="20"/>
                <w:highlight w:val="none"/>
                <w:lang w:val="en-US" w:eastAsia="zh-CN" w:bidi="ar"/>
              </w:rPr>
              <w:t>危险物质名称</w:t>
            </w:r>
          </w:p>
        </w:tc>
        <w:tc>
          <w:tcPr>
            <w:tcW w:w="1533" w:type="pct"/>
            <w:tcBorders>
              <w:tl2br w:val="nil"/>
              <w:tr2bl w:val="nil"/>
            </w:tcBorders>
            <w:shd w:val="clear" w:color="auto" w:fill="auto"/>
            <w:vAlign w:val="center"/>
          </w:tcPr>
          <w:p w14:paraId="3D8597C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rPr>
            </w:pPr>
            <w:r>
              <w:rPr>
                <w:rFonts w:hint="default" w:ascii="Times New Roman" w:hAnsi="Times New Roman" w:eastAsia="宋体" w:cs="Times New Roman"/>
                <w:b/>
                <w:bCs/>
                <w:color w:val="auto"/>
                <w:sz w:val="20"/>
                <w:szCs w:val="20"/>
                <w:highlight w:val="none"/>
              </w:rPr>
              <w:t>最大存在总量/t</w:t>
            </w:r>
          </w:p>
        </w:tc>
        <w:tc>
          <w:tcPr>
            <w:tcW w:w="1357" w:type="pct"/>
            <w:tcBorders>
              <w:tl2br w:val="nil"/>
              <w:tr2bl w:val="nil"/>
            </w:tcBorders>
            <w:shd w:val="clear" w:color="auto" w:fill="auto"/>
            <w:vAlign w:val="center"/>
          </w:tcPr>
          <w:p w14:paraId="1D9CBD1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
                <w:bCs/>
                <w:color w:val="auto"/>
                <w:sz w:val="20"/>
                <w:szCs w:val="20"/>
                <w:highlight w:val="none"/>
                <w:lang w:val="en-US" w:eastAsia="zh-CN"/>
              </w:rPr>
            </w:pPr>
            <w:r>
              <w:rPr>
                <w:rFonts w:hint="eastAsia" w:ascii="Times New Roman" w:hAnsi="Times New Roman" w:eastAsia="宋体" w:cs="Times New Roman"/>
                <w:b/>
                <w:bCs/>
                <w:color w:val="auto"/>
                <w:sz w:val="20"/>
                <w:szCs w:val="20"/>
                <w:highlight w:val="none"/>
                <w:lang w:val="en-US" w:eastAsia="zh-CN"/>
              </w:rPr>
              <w:t>存储位置</w:t>
            </w:r>
          </w:p>
        </w:tc>
      </w:tr>
      <w:tr w14:paraId="24C3BEC0">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83" w:type="pct"/>
            <w:tcBorders>
              <w:tl2br w:val="nil"/>
              <w:tr2bl w:val="nil"/>
            </w:tcBorders>
            <w:shd w:val="clear" w:color="auto" w:fill="auto"/>
            <w:vAlign w:val="center"/>
          </w:tcPr>
          <w:p w14:paraId="4D50FFF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rPr>
            </w:pPr>
            <w:r>
              <w:rPr>
                <w:rFonts w:hint="default" w:ascii="Times New Roman" w:hAnsi="Times New Roman" w:eastAsia="宋体" w:cs="Times New Roman"/>
                <w:color w:val="auto"/>
                <w:sz w:val="20"/>
                <w:szCs w:val="20"/>
                <w:highlight w:val="none"/>
              </w:rPr>
              <w:t>1</w:t>
            </w:r>
          </w:p>
        </w:tc>
        <w:tc>
          <w:tcPr>
            <w:tcW w:w="1324" w:type="pct"/>
            <w:tcBorders>
              <w:tl2br w:val="nil"/>
              <w:tr2bl w:val="nil"/>
            </w:tcBorders>
            <w:shd w:val="clear" w:color="auto" w:fill="auto"/>
            <w:vAlign w:val="center"/>
          </w:tcPr>
          <w:p w14:paraId="65C64566">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甲烷</w:t>
            </w:r>
          </w:p>
        </w:tc>
        <w:tc>
          <w:tcPr>
            <w:tcW w:w="1533" w:type="pct"/>
            <w:tcBorders>
              <w:tl2br w:val="nil"/>
              <w:tr2bl w:val="nil"/>
            </w:tcBorders>
            <w:shd w:val="clear" w:color="auto" w:fill="auto"/>
            <w:vAlign w:val="center"/>
          </w:tcPr>
          <w:p w14:paraId="06FE798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0.259</w:t>
            </w:r>
          </w:p>
        </w:tc>
        <w:tc>
          <w:tcPr>
            <w:tcW w:w="1357" w:type="pct"/>
            <w:vMerge w:val="restart"/>
            <w:tcBorders>
              <w:tl2br w:val="nil"/>
              <w:tr2bl w:val="nil"/>
            </w:tcBorders>
            <w:shd w:val="clear" w:color="auto" w:fill="auto"/>
            <w:vAlign w:val="center"/>
          </w:tcPr>
          <w:p w14:paraId="11D6B49A">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TimesNewRomanPSMT" w:cs="Times New Roman"/>
                <w:color w:val="auto"/>
                <w:kern w:val="0"/>
                <w:sz w:val="20"/>
                <w:szCs w:val="20"/>
                <w:highlight w:val="none"/>
                <w:lang w:val="en-US" w:eastAsia="zh-CN" w:bidi="ar"/>
              </w:rPr>
              <w:t>净化后热解气暂存在</w:t>
            </w:r>
            <w:r>
              <w:rPr>
                <w:rFonts w:hint="default" w:ascii="Times New Roman" w:hAnsi="Times New Roman" w:eastAsia="TimesNewRomanPSMT" w:cs="Times New Roman"/>
                <w:color w:val="auto"/>
                <w:kern w:val="0"/>
                <w:sz w:val="20"/>
                <w:szCs w:val="20"/>
                <w:highlight w:val="none"/>
                <w:lang w:val="en-US" w:eastAsia="zh-CN" w:bidi="ar"/>
              </w:rPr>
              <w:t>气柜</w:t>
            </w:r>
          </w:p>
        </w:tc>
      </w:tr>
      <w:tr w14:paraId="686A1BA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783" w:type="pct"/>
            <w:tcBorders>
              <w:tl2br w:val="nil"/>
              <w:tr2bl w:val="nil"/>
            </w:tcBorders>
            <w:shd w:val="clear" w:color="auto" w:fill="auto"/>
            <w:vAlign w:val="center"/>
          </w:tcPr>
          <w:p w14:paraId="16EDA141">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2</w:t>
            </w:r>
          </w:p>
        </w:tc>
        <w:tc>
          <w:tcPr>
            <w:tcW w:w="1324" w:type="pct"/>
            <w:tcBorders>
              <w:tl2br w:val="nil"/>
              <w:tr2bl w:val="nil"/>
            </w:tcBorders>
            <w:shd w:val="clear" w:color="auto" w:fill="auto"/>
            <w:vAlign w:val="center"/>
          </w:tcPr>
          <w:p w14:paraId="2F53F2CE">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TimesNewRomanPSMT" w:cs="Times New Roman"/>
                <w:color w:val="auto"/>
                <w:kern w:val="0"/>
                <w:sz w:val="20"/>
                <w:szCs w:val="20"/>
                <w:highlight w:val="none"/>
                <w:lang w:val="en-US" w:eastAsia="zh-CN" w:bidi="ar"/>
              </w:rPr>
            </w:pPr>
            <w:r>
              <w:rPr>
                <w:rFonts w:hint="eastAsia" w:ascii="Times New Roman" w:hAnsi="Times New Roman" w:eastAsia="宋体" w:cs="Times New Roman"/>
                <w:color w:val="auto"/>
                <w:kern w:val="0"/>
                <w:sz w:val="20"/>
                <w:szCs w:val="20"/>
                <w:highlight w:val="none"/>
                <w:lang w:val="en-US" w:eastAsia="zh-CN" w:bidi="ar"/>
              </w:rPr>
              <w:t>CO</w:t>
            </w:r>
          </w:p>
        </w:tc>
        <w:tc>
          <w:tcPr>
            <w:tcW w:w="1533" w:type="pct"/>
            <w:tcBorders>
              <w:tl2br w:val="nil"/>
              <w:tr2bl w:val="nil"/>
            </w:tcBorders>
            <w:shd w:val="clear" w:color="auto" w:fill="auto"/>
            <w:vAlign w:val="center"/>
          </w:tcPr>
          <w:p w14:paraId="01B31CF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0.297</w:t>
            </w:r>
          </w:p>
        </w:tc>
        <w:tc>
          <w:tcPr>
            <w:tcW w:w="1357" w:type="pct"/>
            <w:vMerge w:val="continue"/>
            <w:tcBorders>
              <w:tl2br w:val="nil"/>
              <w:tr2bl w:val="nil"/>
            </w:tcBorders>
            <w:shd w:val="clear" w:color="auto" w:fill="auto"/>
            <w:vAlign w:val="center"/>
          </w:tcPr>
          <w:p w14:paraId="15938681">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eastAsia="Times New Roman" w:cs="Times New Roman"/>
                <w:color w:val="auto"/>
                <w:spacing w:val="-1"/>
                <w:sz w:val="20"/>
                <w:szCs w:val="20"/>
                <w:highlight w:val="none"/>
              </w:rPr>
            </w:pPr>
          </w:p>
        </w:tc>
      </w:tr>
      <w:tr w14:paraId="45AC567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2DC8BFB2">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3</w:t>
            </w:r>
          </w:p>
        </w:tc>
        <w:tc>
          <w:tcPr>
            <w:tcW w:w="1324" w:type="pct"/>
            <w:tcBorders>
              <w:tl2br w:val="nil"/>
              <w:tr2bl w:val="nil"/>
            </w:tcBorders>
            <w:shd w:val="clear" w:color="auto" w:fill="auto"/>
            <w:vAlign w:val="center"/>
          </w:tcPr>
          <w:p w14:paraId="4D49B948">
            <w:pPr>
              <w:keepNext w:val="0"/>
              <w:keepLines w:val="0"/>
              <w:widowControl/>
              <w:suppressLineNumbers w:val="0"/>
              <w:spacing w:before="0" w:beforeAutospacing="0" w:after="0" w:afterAutospacing="0" w:line="240" w:lineRule="auto"/>
              <w:ind w:left="0" w:leftChars="0" w:right="0" w:rightChars="0"/>
              <w:jc w:val="center"/>
              <w:rPr>
                <w:rFonts w:hint="eastAsia"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SO</w:t>
            </w:r>
            <w:r>
              <w:rPr>
                <w:rFonts w:hint="default" w:ascii="Times New Roman" w:hAnsi="Times New Roman" w:eastAsia="TimesNewRomanPSMT" w:cs="Times New Roman"/>
                <w:color w:val="auto"/>
                <w:kern w:val="0"/>
                <w:sz w:val="20"/>
                <w:szCs w:val="20"/>
                <w:highlight w:val="none"/>
                <w:vertAlign w:val="subscript"/>
                <w:lang w:val="en-US" w:eastAsia="zh-CN" w:bidi="ar"/>
              </w:rPr>
              <w:t>2</w:t>
            </w:r>
          </w:p>
        </w:tc>
        <w:tc>
          <w:tcPr>
            <w:tcW w:w="1533" w:type="pct"/>
            <w:tcBorders>
              <w:tl2br w:val="nil"/>
              <w:tr2bl w:val="nil"/>
            </w:tcBorders>
            <w:shd w:val="clear" w:color="auto" w:fill="auto"/>
            <w:vAlign w:val="center"/>
          </w:tcPr>
          <w:p w14:paraId="6DAF03A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w:t>
            </w:r>
          </w:p>
        </w:tc>
        <w:tc>
          <w:tcPr>
            <w:tcW w:w="1357" w:type="pct"/>
            <w:vMerge w:val="restart"/>
            <w:tcBorders>
              <w:tl2br w:val="nil"/>
              <w:tr2bl w:val="nil"/>
            </w:tcBorders>
            <w:shd w:val="clear" w:color="auto" w:fill="auto"/>
            <w:vAlign w:val="center"/>
          </w:tcPr>
          <w:p w14:paraId="36263716">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eastAsia="TimesNewRomanPSMT" w:cs="Times New Roman"/>
                <w:color w:val="auto"/>
                <w:kern w:val="0"/>
                <w:sz w:val="20"/>
                <w:szCs w:val="20"/>
                <w:highlight w:val="none"/>
                <w:lang w:val="en-US" w:eastAsia="zh-CN" w:bidi="ar"/>
              </w:rPr>
            </w:pPr>
            <w:r>
              <w:rPr>
                <w:rFonts w:hint="eastAsia" w:ascii="Times New Roman" w:hAnsi="Times New Roman" w:eastAsia="TimesNewRomanPSMT" w:cs="Times New Roman"/>
                <w:color w:val="auto"/>
                <w:kern w:val="0"/>
                <w:sz w:val="20"/>
                <w:szCs w:val="20"/>
                <w:highlight w:val="none"/>
                <w:lang w:val="en-US" w:eastAsia="zh-CN" w:bidi="ar"/>
              </w:rPr>
              <w:t>热解气燃烧烟气产生后由废气处理设施处理，不在厂区储存</w:t>
            </w:r>
          </w:p>
        </w:tc>
      </w:tr>
      <w:tr w14:paraId="26D7F6F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549D78E9">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4</w:t>
            </w:r>
          </w:p>
        </w:tc>
        <w:tc>
          <w:tcPr>
            <w:tcW w:w="1324" w:type="pct"/>
            <w:tcBorders>
              <w:tl2br w:val="nil"/>
              <w:tr2bl w:val="nil"/>
            </w:tcBorders>
            <w:shd w:val="clear" w:color="auto" w:fill="auto"/>
            <w:vAlign w:val="center"/>
          </w:tcPr>
          <w:p w14:paraId="59F1EF39">
            <w:pPr>
              <w:keepNext w:val="0"/>
              <w:keepLines w:val="0"/>
              <w:widowControl/>
              <w:suppressLineNumbers w:val="0"/>
              <w:spacing w:before="0" w:beforeAutospacing="0" w:after="0" w:afterAutospacing="0" w:line="240" w:lineRule="auto"/>
              <w:ind w:left="0" w:leftChars="0" w:right="0" w:rightChars="0"/>
              <w:jc w:val="center"/>
              <w:rPr>
                <w:rFonts w:hint="eastAsia"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NO</w:t>
            </w:r>
            <w:r>
              <w:rPr>
                <w:rFonts w:hint="default" w:ascii="Times New Roman" w:hAnsi="Times New Roman" w:eastAsia="TimesNewRomanPSMT" w:cs="Times New Roman"/>
                <w:color w:val="auto"/>
                <w:kern w:val="0"/>
                <w:sz w:val="20"/>
                <w:szCs w:val="20"/>
                <w:highlight w:val="none"/>
                <w:vertAlign w:val="subscript"/>
                <w:lang w:val="en-US" w:eastAsia="zh-CN" w:bidi="ar"/>
              </w:rPr>
              <w:t>2</w:t>
            </w:r>
          </w:p>
        </w:tc>
        <w:tc>
          <w:tcPr>
            <w:tcW w:w="1533" w:type="pct"/>
            <w:tcBorders>
              <w:tl2br w:val="nil"/>
              <w:tr2bl w:val="nil"/>
            </w:tcBorders>
            <w:shd w:val="clear" w:color="auto" w:fill="auto"/>
            <w:vAlign w:val="center"/>
          </w:tcPr>
          <w:p w14:paraId="5814DDE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w:t>
            </w:r>
          </w:p>
        </w:tc>
        <w:tc>
          <w:tcPr>
            <w:tcW w:w="1357" w:type="pct"/>
            <w:vMerge w:val="continue"/>
            <w:tcBorders>
              <w:tl2br w:val="nil"/>
              <w:tr2bl w:val="nil"/>
            </w:tcBorders>
            <w:shd w:val="clear" w:color="auto" w:fill="auto"/>
            <w:vAlign w:val="center"/>
          </w:tcPr>
          <w:p w14:paraId="02DD1509">
            <w:pPr>
              <w:keepNext w:val="0"/>
              <w:keepLines w:val="0"/>
              <w:widowControl/>
              <w:suppressLineNumbers w:val="0"/>
              <w:spacing w:before="0" w:beforeAutospacing="0" w:after="0" w:afterAutospacing="0" w:line="240" w:lineRule="auto"/>
              <w:ind w:left="0" w:right="0"/>
              <w:jc w:val="center"/>
              <w:textAlignment w:val="center"/>
              <w:rPr>
                <w:rFonts w:hint="default" w:ascii="Times New Roman" w:hAnsi="Times New Roman" w:eastAsia="TimesNewRomanPSMT" w:cs="Times New Roman"/>
                <w:color w:val="auto"/>
                <w:kern w:val="0"/>
                <w:sz w:val="20"/>
                <w:szCs w:val="20"/>
                <w:highlight w:val="none"/>
                <w:lang w:val="en-US" w:eastAsia="zh-CN" w:bidi="ar"/>
              </w:rPr>
            </w:pPr>
          </w:p>
        </w:tc>
      </w:tr>
      <w:tr w14:paraId="050D3DD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83" w:type="pct"/>
            <w:tcBorders>
              <w:tl2br w:val="nil"/>
              <w:tr2bl w:val="nil"/>
            </w:tcBorders>
            <w:shd w:val="clear" w:color="auto" w:fill="auto"/>
            <w:vAlign w:val="center"/>
          </w:tcPr>
          <w:p w14:paraId="0D286CBB">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5</w:t>
            </w:r>
          </w:p>
        </w:tc>
        <w:tc>
          <w:tcPr>
            <w:tcW w:w="1324" w:type="pct"/>
            <w:tcBorders>
              <w:tl2br w:val="nil"/>
              <w:tr2bl w:val="nil"/>
            </w:tcBorders>
            <w:shd w:val="clear" w:color="auto" w:fill="auto"/>
            <w:vAlign w:val="center"/>
          </w:tcPr>
          <w:p w14:paraId="02703A11">
            <w:pPr>
              <w:keepNext w:val="0"/>
              <w:keepLines w:val="0"/>
              <w:widowControl/>
              <w:suppressLineNumbers w:val="0"/>
              <w:spacing w:before="0" w:beforeAutospacing="0" w:after="0" w:afterAutospacing="0" w:line="240" w:lineRule="auto"/>
              <w:ind w:left="0" w:leftChars="0" w:right="0" w:rightChars="0"/>
              <w:jc w:val="center"/>
              <w:rPr>
                <w:rFonts w:hint="eastAsia"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汞</w:t>
            </w:r>
          </w:p>
        </w:tc>
        <w:tc>
          <w:tcPr>
            <w:tcW w:w="1533" w:type="pct"/>
            <w:tcBorders>
              <w:tl2br w:val="nil"/>
              <w:tr2bl w:val="nil"/>
            </w:tcBorders>
            <w:shd w:val="clear" w:color="auto" w:fill="auto"/>
            <w:vAlign w:val="center"/>
          </w:tcPr>
          <w:p w14:paraId="0C046901">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w:t>
            </w:r>
          </w:p>
        </w:tc>
        <w:tc>
          <w:tcPr>
            <w:tcW w:w="1357" w:type="pct"/>
            <w:vMerge w:val="continue"/>
            <w:tcBorders>
              <w:tl2br w:val="nil"/>
              <w:tr2bl w:val="nil"/>
            </w:tcBorders>
            <w:shd w:val="clear" w:color="auto" w:fill="auto"/>
            <w:vAlign w:val="center"/>
          </w:tcPr>
          <w:p w14:paraId="42F7D113">
            <w:pPr>
              <w:keepNext w:val="0"/>
              <w:keepLines w:val="0"/>
              <w:widowControl/>
              <w:suppressLineNumbers w:val="0"/>
              <w:spacing w:before="0" w:beforeAutospacing="0" w:after="0" w:afterAutospacing="0" w:line="240" w:lineRule="auto"/>
              <w:ind w:left="0" w:right="0"/>
              <w:jc w:val="center"/>
              <w:textAlignment w:val="center"/>
              <w:rPr>
                <w:rFonts w:hint="eastAsia" w:ascii="Times New Roman" w:hAnsi="Times New Roman" w:eastAsia="TimesNewRomanPSMT" w:cs="Times New Roman"/>
                <w:color w:val="auto"/>
                <w:kern w:val="0"/>
                <w:sz w:val="20"/>
                <w:szCs w:val="20"/>
                <w:highlight w:val="none"/>
                <w:lang w:val="en-US" w:eastAsia="zh-CN" w:bidi="ar"/>
              </w:rPr>
            </w:pPr>
          </w:p>
        </w:tc>
      </w:tr>
      <w:tr w14:paraId="203623A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1CF84BD0">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6</w:t>
            </w:r>
          </w:p>
        </w:tc>
        <w:tc>
          <w:tcPr>
            <w:tcW w:w="1324" w:type="pct"/>
            <w:tcBorders>
              <w:tl2br w:val="nil"/>
              <w:tr2bl w:val="nil"/>
            </w:tcBorders>
            <w:shd w:val="clear" w:color="auto" w:fill="auto"/>
            <w:vAlign w:val="center"/>
          </w:tcPr>
          <w:p w14:paraId="7F3C6436">
            <w:pPr>
              <w:keepNext w:val="0"/>
              <w:keepLines w:val="0"/>
              <w:widowControl/>
              <w:suppressLineNumbers w:val="0"/>
              <w:spacing w:before="0" w:beforeAutospacing="0" w:after="0" w:afterAutospacing="0" w:line="240" w:lineRule="auto"/>
              <w:ind w:left="0" w:leftChars="0" w:right="0" w:rightChars="0"/>
              <w:jc w:val="center"/>
              <w:rPr>
                <w:rFonts w:hint="eastAsia"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砷</w:t>
            </w:r>
          </w:p>
        </w:tc>
        <w:tc>
          <w:tcPr>
            <w:tcW w:w="1533" w:type="pct"/>
            <w:tcBorders>
              <w:tl2br w:val="nil"/>
              <w:tr2bl w:val="nil"/>
            </w:tcBorders>
            <w:shd w:val="clear" w:color="auto" w:fill="auto"/>
            <w:vAlign w:val="center"/>
          </w:tcPr>
          <w:p w14:paraId="39DA99BA">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w:t>
            </w:r>
          </w:p>
        </w:tc>
        <w:tc>
          <w:tcPr>
            <w:tcW w:w="1357" w:type="pct"/>
            <w:vMerge w:val="continue"/>
            <w:tcBorders>
              <w:tl2br w:val="nil"/>
              <w:tr2bl w:val="nil"/>
            </w:tcBorders>
            <w:shd w:val="clear" w:color="auto" w:fill="auto"/>
            <w:vAlign w:val="center"/>
          </w:tcPr>
          <w:p w14:paraId="7A5B24F0">
            <w:pPr>
              <w:keepNext w:val="0"/>
              <w:keepLines w:val="0"/>
              <w:widowControl/>
              <w:suppressLineNumbers w:val="0"/>
              <w:spacing w:before="0" w:beforeAutospacing="0" w:after="0" w:afterAutospacing="0" w:line="240" w:lineRule="auto"/>
              <w:ind w:left="0" w:right="0"/>
              <w:jc w:val="center"/>
              <w:textAlignment w:val="center"/>
              <w:rPr>
                <w:rFonts w:hint="eastAsia" w:ascii="Times New Roman" w:hAnsi="Times New Roman" w:eastAsia="TimesNewRomanPSMT" w:cs="Times New Roman"/>
                <w:color w:val="auto"/>
                <w:kern w:val="0"/>
                <w:sz w:val="20"/>
                <w:szCs w:val="20"/>
                <w:highlight w:val="none"/>
                <w:lang w:val="en-US" w:eastAsia="zh-CN" w:bidi="ar"/>
              </w:rPr>
            </w:pPr>
          </w:p>
        </w:tc>
      </w:tr>
      <w:tr w14:paraId="4288FE5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0738E207">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7</w:t>
            </w:r>
          </w:p>
        </w:tc>
        <w:tc>
          <w:tcPr>
            <w:tcW w:w="1324" w:type="pct"/>
            <w:tcBorders>
              <w:tl2br w:val="nil"/>
              <w:tr2bl w:val="nil"/>
            </w:tcBorders>
            <w:shd w:val="clear" w:color="auto" w:fill="auto"/>
            <w:vAlign w:val="center"/>
          </w:tcPr>
          <w:p w14:paraId="1CABDC0B">
            <w:pPr>
              <w:keepNext w:val="0"/>
              <w:keepLines w:val="0"/>
              <w:widowControl/>
              <w:suppressLineNumbers w:val="0"/>
              <w:spacing w:before="0" w:beforeAutospacing="0" w:after="0" w:afterAutospacing="0" w:line="240" w:lineRule="auto"/>
              <w:ind w:left="0" w:leftChars="0" w:right="0" w:rightChars="0"/>
              <w:jc w:val="center"/>
              <w:rPr>
                <w:rFonts w:hint="eastAsia"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铬</w:t>
            </w:r>
          </w:p>
        </w:tc>
        <w:tc>
          <w:tcPr>
            <w:tcW w:w="1533" w:type="pct"/>
            <w:tcBorders>
              <w:tl2br w:val="nil"/>
              <w:tr2bl w:val="nil"/>
            </w:tcBorders>
            <w:shd w:val="clear" w:color="auto" w:fill="auto"/>
            <w:vAlign w:val="center"/>
          </w:tcPr>
          <w:p w14:paraId="029457F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w:t>
            </w:r>
          </w:p>
        </w:tc>
        <w:tc>
          <w:tcPr>
            <w:tcW w:w="1357" w:type="pct"/>
            <w:vMerge w:val="continue"/>
            <w:tcBorders>
              <w:tl2br w:val="nil"/>
              <w:tr2bl w:val="nil"/>
            </w:tcBorders>
            <w:shd w:val="clear" w:color="auto" w:fill="auto"/>
            <w:vAlign w:val="center"/>
          </w:tcPr>
          <w:p w14:paraId="50E0AC5B">
            <w:pPr>
              <w:keepNext w:val="0"/>
              <w:keepLines w:val="0"/>
              <w:widowControl/>
              <w:suppressLineNumbers w:val="0"/>
              <w:spacing w:before="0" w:beforeAutospacing="0" w:after="0" w:afterAutospacing="0" w:line="240" w:lineRule="auto"/>
              <w:ind w:left="0" w:right="0"/>
              <w:jc w:val="center"/>
              <w:textAlignment w:val="center"/>
              <w:rPr>
                <w:rFonts w:hint="eastAsia" w:ascii="Times New Roman" w:hAnsi="Times New Roman" w:eastAsia="TimesNewRomanPSMT" w:cs="Times New Roman"/>
                <w:color w:val="auto"/>
                <w:kern w:val="0"/>
                <w:sz w:val="20"/>
                <w:szCs w:val="20"/>
                <w:highlight w:val="none"/>
                <w:lang w:val="en-US" w:eastAsia="zh-CN" w:bidi="ar"/>
              </w:rPr>
            </w:pPr>
          </w:p>
        </w:tc>
      </w:tr>
      <w:tr w14:paraId="34F7E05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617D74B3">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8</w:t>
            </w:r>
          </w:p>
        </w:tc>
        <w:tc>
          <w:tcPr>
            <w:tcW w:w="1324" w:type="pct"/>
            <w:tcBorders>
              <w:tl2br w:val="nil"/>
              <w:tr2bl w:val="nil"/>
            </w:tcBorders>
            <w:shd w:val="clear" w:color="auto" w:fill="auto"/>
            <w:vAlign w:val="center"/>
          </w:tcPr>
          <w:p w14:paraId="7CD97256">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NH</w:t>
            </w:r>
            <w:r>
              <w:rPr>
                <w:rFonts w:hint="default" w:ascii="Times New Roman" w:hAnsi="Times New Roman" w:eastAsia="TimesNewRomanPSMT" w:cs="Times New Roman"/>
                <w:color w:val="auto"/>
                <w:kern w:val="0"/>
                <w:sz w:val="20"/>
                <w:szCs w:val="20"/>
                <w:highlight w:val="none"/>
                <w:vertAlign w:val="subscript"/>
                <w:lang w:val="en-US" w:eastAsia="zh-CN" w:bidi="ar"/>
              </w:rPr>
              <w:t>3</w:t>
            </w:r>
          </w:p>
        </w:tc>
        <w:tc>
          <w:tcPr>
            <w:tcW w:w="1533" w:type="pct"/>
            <w:tcBorders>
              <w:tl2br w:val="nil"/>
              <w:tr2bl w:val="nil"/>
            </w:tcBorders>
            <w:shd w:val="clear" w:color="auto" w:fill="auto"/>
            <w:vAlign w:val="center"/>
          </w:tcPr>
          <w:p w14:paraId="09F7543B">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w:t>
            </w:r>
          </w:p>
        </w:tc>
        <w:tc>
          <w:tcPr>
            <w:tcW w:w="1357" w:type="pct"/>
            <w:vMerge w:val="restart"/>
            <w:tcBorders>
              <w:tl2br w:val="nil"/>
              <w:tr2bl w:val="nil"/>
            </w:tcBorders>
            <w:shd w:val="clear" w:color="auto" w:fill="auto"/>
            <w:vAlign w:val="center"/>
          </w:tcPr>
          <w:p w14:paraId="76DC065A">
            <w:pPr>
              <w:keepNext w:val="0"/>
              <w:keepLines w:val="0"/>
              <w:widowControl/>
              <w:suppressLineNumbers w:val="0"/>
              <w:spacing w:before="0" w:beforeAutospacing="0" w:after="0" w:afterAutospacing="0" w:line="240" w:lineRule="auto"/>
              <w:ind w:left="0" w:right="0"/>
              <w:jc w:val="both"/>
              <w:textAlignment w:val="center"/>
              <w:rPr>
                <w:rFonts w:hint="default" w:ascii="Times New Roman" w:hAnsi="Times New Roman" w:eastAsia="TimesNewRomanPSMT" w:cs="Times New Roman"/>
                <w:color w:val="auto"/>
                <w:kern w:val="0"/>
                <w:sz w:val="20"/>
                <w:szCs w:val="20"/>
                <w:highlight w:val="none"/>
                <w:lang w:val="en-US" w:eastAsia="zh-CN" w:bidi="ar"/>
              </w:rPr>
            </w:pPr>
            <w:r>
              <w:rPr>
                <w:rFonts w:hint="eastAsia" w:ascii="Times New Roman" w:hAnsi="Times New Roman" w:eastAsia="TimesNewRomanPSMT" w:cs="Times New Roman"/>
                <w:color w:val="auto"/>
                <w:kern w:val="0"/>
                <w:sz w:val="20"/>
                <w:szCs w:val="20"/>
                <w:highlight w:val="none"/>
                <w:lang w:val="en-US" w:eastAsia="zh-CN" w:bidi="ar"/>
              </w:rPr>
              <w:t>臭气产生后由废气处理设施处理，不在厂区储存</w:t>
            </w:r>
          </w:p>
        </w:tc>
      </w:tr>
      <w:tr w14:paraId="222E061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6B760BCD">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0"/>
                <w:szCs w:val="20"/>
                <w:highlight w:val="none"/>
                <w:lang w:val="en-US" w:eastAsia="zh-CN"/>
              </w:rPr>
            </w:pPr>
            <w:r>
              <w:rPr>
                <w:rFonts w:hint="eastAsia" w:ascii="Times New Roman" w:hAnsi="Times New Roman" w:eastAsia="宋体" w:cs="Times New Roman"/>
                <w:color w:val="auto"/>
                <w:sz w:val="20"/>
                <w:szCs w:val="20"/>
                <w:highlight w:val="none"/>
                <w:lang w:val="en-US" w:eastAsia="zh-CN"/>
              </w:rPr>
              <w:t>9</w:t>
            </w:r>
          </w:p>
        </w:tc>
        <w:tc>
          <w:tcPr>
            <w:tcW w:w="1324" w:type="pct"/>
            <w:tcBorders>
              <w:tl2br w:val="nil"/>
              <w:tr2bl w:val="nil"/>
            </w:tcBorders>
            <w:shd w:val="clear" w:color="auto" w:fill="auto"/>
            <w:vAlign w:val="center"/>
          </w:tcPr>
          <w:p w14:paraId="3CB05366">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H</w:t>
            </w:r>
            <w:r>
              <w:rPr>
                <w:rFonts w:hint="default" w:ascii="Times New Roman" w:hAnsi="Times New Roman" w:eastAsia="TimesNewRomanPSMT" w:cs="Times New Roman"/>
                <w:color w:val="auto"/>
                <w:kern w:val="0"/>
                <w:sz w:val="20"/>
                <w:szCs w:val="20"/>
                <w:highlight w:val="none"/>
                <w:vertAlign w:val="subscript"/>
                <w:lang w:val="en-US" w:eastAsia="zh-CN" w:bidi="ar"/>
              </w:rPr>
              <w:t>2</w:t>
            </w:r>
            <w:r>
              <w:rPr>
                <w:rFonts w:hint="default" w:ascii="Times New Roman" w:hAnsi="Times New Roman" w:eastAsia="TimesNewRomanPSMT" w:cs="Times New Roman"/>
                <w:color w:val="auto"/>
                <w:kern w:val="0"/>
                <w:sz w:val="20"/>
                <w:szCs w:val="20"/>
                <w:highlight w:val="none"/>
                <w:lang w:val="en-US" w:eastAsia="zh-CN" w:bidi="ar"/>
              </w:rPr>
              <w:t>S</w:t>
            </w:r>
          </w:p>
        </w:tc>
        <w:tc>
          <w:tcPr>
            <w:tcW w:w="1533" w:type="pct"/>
            <w:tcBorders>
              <w:tl2br w:val="nil"/>
              <w:tr2bl w:val="nil"/>
            </w:tcBorders>
            <w:shd w:val="clear" w:color="auto" w:fill="auto"/>
            <w:vAlign w:val="center"/>
          </w:tcPr>
          <w:p w14:paraId="700BD7F9">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w:t>
            </w:r>
          </w:p>
        </w:tc>
        <w:tc>
          <w:tcPr>
            <w:tcW w:w="1357" w:type="pct"/>
            <w:vMerge w:val="continue"/>
            <w:tcBorders>
              <w:tl2br w:val="nil"/>
              <w:tr2bl w:val="nil"/>
            </w:tcBorders>
            <w:shd w:val="clear" w:color="auto" w:fill="auto"/>
            <w:vAlign w:val="center"/>
          </w:tcPr>
          <w:p w14:paraId="3BB844A3">
            <w:pPr>
              <w:keepNext w:val="0"/>
              <w:keepLines w:val="0"/>
              <w:widowControl/>
              <w:suppressLineNumbers w:val="0"/>
              <w:spacing w:before="0" w:beforeAutospacing="0" w:after="0" w:afterAutospacing="0" w:line="240" w:lineRule="auto"/>
              <w:ind w:left="0" w:right="0"/>
              <w:jc w:val="center"/>
              <w:textAlignment w:val="center"/>
              <w:rPr>
                <w:rFonts w:hint="eastAsia" w:ascii="Times New Roman" w:hAnsi="Times New Roman" w:eastAsia="TimesNewRomanPSMT" w:cs="Times New Roman"/>
                <w:color w:val="auto"/>
                <w:kern w:val="0"/>
                <w:sz w:val="20"/>
                <w:szCs w:val="20"/>
                <w:highlight w:val="none"/>
                <w:lang w:val="en-US" w:eastAsia="zh-CN" w:bidi="ar"/>
              </w:rPr>
            </w:pPr>
          </w:p>
        </w:tc>
      </w:tr>
      <w:tr w14:paraId="12DB7AE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79C256F4">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10</w:t>
            </w:r>
          </w:p>
        </w:tc>
        <w:tc>
          <w:tcPr>
            <w:tcW w:w="1324" w:type="pct"/>
            <w:tcBorders>
              <w:tl2br w:val="nil"/>
              <w:tr2bl w:val="nil"/>
            </w:tcBorders>
            <w:shd w:val="clear" w:color="auto" w:fill="auto"/>
            <w:vAlign w:val="center"/>
          </w:tcPr>
          <w:p w14:paraId="433CC758">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TimesNewRomanPSMT" w:cs="Times New Roman"/>
                <w:color w:val="auto"/>
                <w:kern w:val="0"/>
                <w:sz w:val="20"/>
                <w:szCs w:val="20"/>
                <w:highlight w:val="none"/>
                <w:lang w:val="en-US" w:eastAsia="zh-CN" w:bidi="ar"/>
              </w:rPr>
            </w:pPr>
            <w:r>
              <w:rPr>
                <w:rFonts w:hint="eastAsia" w:ascii="Times New Roman" w:hAnsi="Times New Roman" w:eastAsia="TimesNewRomanPSMT" w:cs="Times New Roman"/>
                <w:color w:val="auto"/>
                <w:kern w:val="0"/>
                <w:sz w:val="20"/>
                <w:szCs w:val="20"/>
                <w:highlight w:val="none"/>
                <w:lang w:val="en-US" w:eastAsia="zh-CN" w:bidi="ar"/>
              </w:rPr>
              <w:t>垃圾</w:t>
            </w:r>
            <w:r>
              <w:rPr>
                <w:rFonts w:hint="default" w:ascii="Times New Roman" w:hAnsi="Times New Roman" w:eastAsia="TimesNewRomanPSMT" w:cs="Times New Roman"/>
                <w:color w:val="auto"/>
                <w:kern w:val="0"/>
                <w:sz w:val="20"/>
                <w:szCs w:val="20"/>
                <w:highlight w:val="none"/>
                <w:lang w:val="en-US" w:eastAsia="zh-CN" w:bidi="ar"/>
              </w:rPr>
              <w:t>渗滤液</w:t>
            </w:r>
          </w:p>
        </w:tc>
        <w:tc>
          <w:tcPr>
            <w:tcW w:w="1533" w:type="pct"/>
            <w:tcBorders>
              <w:tl2br w:val="nil"/>
              <w:tr2bl w:val="nil"/>
            </w:tcBorders>
            <w:shd w:val="clear" w:color="auto" w:fill="auto"/>
            <w:vAlign w:val="center"/>
          </w:tcPr>
          <w:p w14:paraId="3F2BCFE6">
            <w:pPr>
              <w:keepNext w:val="0"/>
              <w:keepLines w:val="0"/>
              <w:suppressLineNumbers w:val="0"/>
              <w:spacing w:before="60" w:beforeAutospacing="0" w:after="0" w:afterAutospacing="0" w:line="240" w:lineRule="auto"/>
              <w:ind w:left="0" w:leftChars="0" w:right="0" w:rightChars="0"/>
              <w:jc w:val="center"/>
              <w:rPr>
                <w:rFonts w:hint="eastAsia"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sz w:val="20"/>
                <w:szCs w:val="20"/>
                <w:highlight w:val="none"/>
                <w:lang w:val="en-US" w:eastAsia="zh-CN"/>
              </w:rPr>
              <w:t>94</w:t>
            </w:r>
          </w:p>
        </w:tc>
        <w:tc>
          <w:tcPr>
            <w:tcW w:w="1357" w:type="pct"/>
            <w:tcBorders>
              <w:tl2br w:val="nil"/>
              <w:tr2bl w:val="nil"/>
            </w:tcBorders>
            <w:shd w:val="clear" w:color="auto" w:fill="auto"/>
            <w:vAlign w:val="center"/>
          </w:tcPr>
          <w:p w14:paraId="65A32799">
            <w:pPr>
              <w:keepNext w:val="0"/>
              <w:keepLines w:val="0"/>
              <w:widowControl/>
              <w:suppressLineNumbers w:val="0"/>
              <w:spacing w:before="0" w:beforeAutospacing="0" w:after="0" w:afterAutospacing="0" w:line="240" w:lineRule="auto"/>
              <w:ind w:left="0" w:leftChars="0" w:right="0" w:rightChars="0"/>
              <w:jc w:val="center"/>
              <w:rPr>
                <w:rFonts w:hint="eastAsia"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TimesNewRomanPSMT" w:cs="Times New Roman"/>
                <w:color w:val="auto"/>
                <w:kern w:val="0"/>
                <w:sz w:val="20"/>
                <w:szCs w:val="20"/>
                <w:highlight w:val="none"/>
                <w:lang w:val="en-US" w:eastAsia="zh-CN" w:bidi="ar"/>
              </w:rPr>
              <w:t>渗滤液收集池</w:t>
            </w:r>
            <w:r>
              <w:rPr>
                <w:rFonts w:hint="eastAsia" w:ascii="Times New Roman" w:hAnsi="Times New Roman" w:eastAsia="TimesNewRomanPSMT" w:cs="Times New Roman"/>
                <w:color w:val="auto"/>
                <w:kern w:val="0"/>
                <w:sz w:val="20"/>
                <w:szCs w:val="20"/>
                <w:highlight w:val="none"/>
                <w:lang w:val="en-US" w:eastAsia="zh-CN" w:bidi="ar"/>
              </w:rPr>
              <w:t>、</w:t>
            </w:r>
            <w:r>
              <w:rPr>
                <w:rFonts w:hint="default" w:ascii="Times New Roman" w:hAnsi="Times New Roman" w:eastAsia="TimesNewRomanPSMT" w:cs="Times New Roman"/>
                <w:color w:val="auto"/>
                <w:kern w:val="0"/>
                <w:sz w:val="20"/>
                <w:szCs w:val="20"/>
                <w:highlight w:val="none"/>
                <w:lang w:val="en-US" w:eastAsia="zh-CN" w:bidi="ar"/>
              </w:rPr>
              <w:t>污水</w:t>
            </w:r>
            <w:r>
              <w:rPr>
                <w:rFonts w:hint="eastAsia" w:ascii="Times New Roman" w:hAnsi="Times New Roman" w:eastAsia="TimesNewRomanPSMT" w:cs="Times New Roman"/>
                <w:color w:val="auto"/>
                <w:kern w:val="0"/>
                <w:sz w:val="20"/>
                <w:szCs w:val="20"/>
                <w:highlight w:val="none"/>
                <w:lang w:val="en-US" w:eastAsia="zh-CN" w:bidi="ar"/>
              </w:rPr>
              <w:t>池</w:t>
            </w:r>
          </w:p>
        </w:tc>
      </w:tr>
      <w:tr w14:paraId="0FD4556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10E5067C">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11</w:t>
            </w:r>
          </w:p>
        </w:tc>
        <w:tc>
          <w:tcPr>
            <w:tcW w:w="1324" w:type="pct"/>
            <w:tcBorders>
              <w:tl2br w:val="nil"/>
              <w:tr2bl w:val="nil"/>
            </w:tcBorders>
            <w:shd w:val="clear" w:color="auto" w:fill="auto"/>
            <w:vAlign w:val="center"/>
          </w:tcPr>
          <w:p w14:paraId="71386DCF">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焦油</w:t>
            </w:r>
          </w:p>
        </w:tc>
        <w:tc>
          <w:tcPr>
            <w:tcW w:w="1533" w:type="pct"/>
            <w:tcBorders>
              <w:tl2br w:val="nil"/>
              <w:tr2bl w:val="nil"/>
            </w:tcBorders>
            <w:shd w:val="clear" w:color="auto" w:fill="auto"/>
            <w:vAlign w:val="top"/>
          </w:tcPr>
          <w:p w14:paraId="7214602D">
            <w:pPr>
              <w:keepNext w:val="0"/>
              <w:keepLines w:val="0"/>
              <w:suppressLineNumbers w:val="0"/>
              <w:spacing w:before="0" w:beforeAutospacing="0" w:after="0" w:afterAutospacing="0" w:line="240" w:lineRule="auto"/>
              <w:ind w:left="0" w:leftChars="0" w:right="0" w:rightChars="0"/>
              <w:jc w:val="center"/>
              <w:rPr>
                <w:rFonts w:hint="eastAsia"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sz w:val="20"/>
                <w:szCs w:val="20"/>
                <w:highlight w:val="none"/>
                <w:lang w:val="en-US" w:eastAsia="zh-CN"/>
              </w:rPr>
              <w:t>6.734</w:t>
            </w:r>
          </w:p>
        </w:tc>
        <w:tc>
          <w:tcPr>
            <w:tcW w:w="1357" w:type="pct"/>
            <w:tcBorders>
              <w:tl2br w:val="nil"/>
              <w:tr2bl w:val="nil"/>
            </w:tcBorders>
            <w:shd w:val="clear" w:color="auto" w:fill="auto"/>
            <w:vAlign w:val="center"/>
          </w:tcPr>
          <w:p w14:paraId="6345F80D">
            <w:pPr>
              <w:keepNext w:val="0"/>
              <w:keepLines w:val="0"/>
              <w:widowControl/>
              <w:suppressLineNumbers w:val="0"/>
              <w:spacing w:before="0" w:beforeAutospacing="0" w:after="0" w:afterAutospacing="0" w:line="240" w:lineRule="auto"/>
              <w:ind w:left="0" w:right="0"/>
              <w:jc w:val="center"/>
              <w:textAlignment w:val="center"/>
              <w:rPr>
                <w:rFonts w:hint="eastAsia"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TimesNewRomanPSMT" w:cs="Times New Roman"/>
                <w:color w:val="auto"/>
                <w:kern w:val="0"/>
                <w:sz w:val="20"/>
                <w:szCs w:val="20"/>
                <w:highlight w:val="none"/>
                <w:lang w:val="en-US" w:eastAsia="zh-CN" w:bidi="ar"/>
              </w:rPr>
              <w:t>热解车间</w:t>
            </w:r>
            <w:r>
              <w:rPr>
                <w:rFonts w:hint="default" w:ascii="Times New Roman" w:hAnsi="Times New Roman" w:eastAsia="TimesNewRomanPSMT" w:cs="Times New Roman"/>
                <w:color w:val="auto"/>
                <w:kern w:val="0"/>
                <w:sz w:val="20"/>
                <w:szCs w:val="20"/>
                <w:highlight w:val="none"/>
                <w:lang w:val="en-US" w:eastAsia="zh-CN" w:bidi="ar"/>
              </w:rPr>
              <w:t>焦油罐</w:t>
            </w:r>
          </w:p>
        </w:tc>
      </w:tr>
      <w:tr w14:paraId="0371822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1CDE9B52">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12</w:t>
            </w:r>
          </w:p>
        </w:tc>
        <w:tc>
          <w:tcPr>
            <w:tcW w:w="1324" w:type="pct"/>
            <w:tcBorders>
              <w:tl2br w:val="nil"/>
              <w:tr2bl w:val="nil"/>
            </w:tcBorders>
            <w:shd w:val="clear" w:color="auto" w:fill="auto"/>
            <w:vAlign w:val="center"/>
          </w:tcPr>
          <w:p w14:paraId="5540BB48">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TimesNewRomanPSMT" w:cs="Times New Roman"/>
                <w:color w:val="auto"/>
                <w:kern w:val="0"/>
                <w:sz w:val="20"/>
                <w:szCs w:val="20"/>
                <w:highlight w:val="none"/>
                <w:lang w:val="en-US" w:eastAsia="zh-CN" w:bidi="ar"/>
              </w:rPr>
            </w:pPr>
            <w:r>
              <w:rPr>
                <w:rFonts w:hint="default" w:ascii="Times New Roman" w:hAnsi="Times New Roman" w:eastAsia="TimesNewRomanPSMT" w:cs="Times New Roman"/>
                <w:color w:val="auto"/>
                <w:kern w:val="0"/>
                <w:sz w:val="20"/>
                <w:szCs w:val="20"/>
                <w:highlight w:val="none"/>
                <w:lang w:val="en-US" w:eastAsia="zh-CN" w:bidi="ar"/>
              </w:rPr>
              <w:t>柴油</w:t>
            </w:r>
          </w:p>
        </w:tc>
        <w:tc>
          <w:tcPr>
            <w:tcW w:w="1533" w:type="pct"/>
            <w:tcBorders>
              <w:tl2br w:val="nil"/>
              <w:tr2bl w:val="nil"/>
            </w:tcBorders>
            <w:shd w:val="clear" w:color="auto" w:fill="auto"/>
            <w:vAlign w:val="center"/>
          </w:tcPr>
          <w:p w14:paraId="3C5F5DE0">
            <w:pPr>
              <w:keepNext w:val="0"/>
              <w:keepLines w:val="0"/>
              <w:suppressLineNumbers w:val="0"/>
              <w:spacing w:before="0" w:beforeAutospacing="0" w:after="0" w:afterAutospacing="0" w:line="240" w:lineRule="auto"/>
              <w:ind w:left="0" w:leftChars="0" w:right="0" w:rightChars="0"/>
              <w:jc w:val="center"/>
              <w:rPr>
                <w:rFonts w:hint="eastAsia"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0.774</w:t>
            </w:r>
          </w:p>
        </w:tc>
        <w:tc>
          <w:tcPr>
            <w:tcW w:w="1357" w:type="pct"/>
            <w:tcBorders>
              <w:tl2br w:val="nil"/>
              <w:tr2bl w:val="nil"/>
            </w:tcBorders>
            <w:shd w:val="clear" w:color="auto" w:fill="auto"/>
            <w:vAlign w:val="center"/>
          </w:tcPr>
          <w:p w14:paraId="172FE887">
            <w:pPr>
              <w:keepNext w:val="0"/>
              <w:keepLines w:val="0"/>
              <w:widowControl/>
              <w:suppressLineNumbers w:val="0"/>
              <w:spacing w:before="0" w:beforeAutospacing="0" w:after="0" w:afterAutospacing="0" w:line="240" w:lineRule="auto"/>
              <w:ind w:left="0" w:right="0"/>
              <w:jc w:val="center"/>
              <w:textAlignment w:val="center"/>
              <w:rPr>
                <w:rFonts w:hint="eastAsia"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TimesNewRomanPSMT" w:cs="Times New Roman"/>
                <w:color w:val="auto"/>
                <w:kern w:val="0"/>
                <w:sz w:val="20"/>
                <w:szCs w:val="20"/>
                <w:highlight w:val="none"/>
                <w:lang w:val="en-US" w:eastAsia="zh-CN" w:bidi="ar"/>
              </w:rPr>
              <w:t>备用发电机房</w:t>
            </w:r>
          </w:p>
        </w:tc>
      </w:tr>
      <w:tr w14:paraId="1240610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83" w:hRule="atLeast"/>
        </w:trPr>
        <w:tc>
          <w:tcPr>
            <w:tcW w:w="783" w:type="pct"/>
            <w:tcBorders>
              <w:tl2br w:val="nil"/>
              <w:tr2bl w:val="nil"/>
            </w:tcBorders>
            <w:shd w:val="clear" w:color="auto" w:fill="auto"/>
            <w:vAlign w:val="center"/>
          </w:tcPr>
          <w:p w14:paraId="3E83C6C0">
            <w:pPr>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13</w:t>
            </w:r>
          </w:p>
        </w:tc>
        <w:tc>
          <w:tcPr>
            <w:tcW w:w="1324" w:type="pct"/>
            <w:tcBorders>
              <w:tl2br w:val="nil"/>
              <w:tr2bl w:val="nil"/>
            </w:tcBorders>
            <w:shd w:val="clear" w:color="auto" w:fill="auto"/>
            <w:vAlign w:val="center"/>
          </w:tcPr>
          <w:p w14:paraId="51A09092">
            <w:pPr>
              <w:keepNext w:val="0"/>
              <w:keepLines w:val="0"/>
              <w:widowControl/>
              <w:suppressLineNumbers w:val="0"/>
              <w:spacing w:before="0" w:beforeAutospacing="0" w:after="0" w:afterAutospacing="0" w:line="240" w:lineRule="auto"/>
              <w:ind w:left="0" w:leftChars="0" w:right="0" w:rightChars="0"/>
              <w:jc w:val="center"/>
              <w:rPr>
                <w:rFonts w:hint="default" w:ascii="Times New Roman" w:hAnsi="Times New Roman" w:eastAsia="TimesNewRomanPSMT" w:cs="Times New Roman"/>
                <w:color w:val="auto"/>
                <w:kern w:val="0"/>
                <w:sz w:val="20"/>
                <w:szCs w:val="20"/>
                <w:highlight w:val="none"/>
                <w:lang w:val="en-US" w:eastAsia="zh-CN" w:bidi="ar"/>
              </w:rPr>
            </w:pPr>
            <w:r>
              <w:rPr>
                <w:rFonts w:hint="eastAsia" w:ascii="Times New Roman" w:hAnsi="Times New Roman" w:eastAsia="TimesNewRomanPSMT" w:cs="Times New Roman"/>
                <w:color w:val="auto"/>
                <w:kern w:val="0"/>
                <w:sz w:val="20"/>
                <w:szCs w:val="20"/>
                <w:highlight w:val="none"/>
                <w:lang w:val="en-US" w:eastAsia="zh-CN" w:bidi="ar"/>
              </w:rPr>
              <w:t>机油/矿物油</w:t>
            </w:r>
          </w:p>
        </w:tc>
        <w:tc>
          <w:tcPr>
            <w:tcW w:w="1533" w:type="pct"/>
            <w:tcBorders>
              <w:tl2br w:val="nil"/>
              <w:tr2bl w:val="nil"/>
            </w:tcBorders>
            <w:shd w:val="clear" w:color="auto" w:fill="auto"/>
            <w:vAlign w:val="center"/>
          </w:tcPr>
          <w:p w14:paraId="2DDF7FE9">
            <w:pPr>
              <w:keepNext w:val="0"/>
              <w:keepLines w:val="0"/>
              <w:suppressLineNumbers w:val="0"/>
              <w:spacing w:before="0" w:beforeAutospacing="0" w:after="0" w:afterAutospacing="0" w:line="240" w:lineRule="auto"/>
              <w:ind w:left="0" w:leftChars="0" w:right="0" w:rightChars="0"/>
              <w:jc w:val="center"/>
              <w:rPr>
                <w:rFonts w:hint="eastAsia" w:ascii="Times New Roman" w:hAnsi="Times New Roman" w:eastAsia="宋体" w:cs="Times New Roman"/>
                <w:color w:val="auto"/>
                <w:kern w:val="2"/>
                <w:sz w:val="20"/>
                <w:szCs w:val="20"/>
                <w:highlight w:val="none"/>
                <w:lang w:val="en-US" w:eastAsia="zh-CN" w:bidi="ar-SA"/>
              </w:rPr>
            </w:pPr>
            <w:r>
              <w:rPr>
                <w:rFonts w:hint="eastAsia" w:ascii="Times New Roman" w:hAnsi="Times New Roman" w:eastAsia="宋体" w:cs="Times New Roman"/>
                <w:color w:val="auto"/>
                <w:kern w:val="2"/>
                <w:sz w:val="20"/>
                <w:szCs w:val="20"/>
                <w:highlight w:val="none"/>
                <w:lang w:val="en-US" w:eastAsia="zh-CN" w:bidi="ar-SA"/>
              </w:rPr>
              <w:t>0.1</w:t>
            </w:r>
          </w:p>
        </w:tc>
        <w:tc>
          <w:tcPr>
            <w:tcW w:w="1357" w:type="pct"/>
            <w:tcBorders>
              <w:tl2br w:val="nil"/>
              <w:tr2bl w:val="nil"/>
            </w:tcBorders>
            <w:shd w:val="clear" w:color="auto" w:fill="auto"/>
            <w:vAlign w:val="center"/>
          </w:tcPr>
          <w:p w14:paraId="3E255255">
            <w:pPr>
              <w:keepNext w:val="0"/>
              <w:keepLines w:val="0"/>
              <w:widowControl/>
              <w:suppressLineNumbers w:val="0"/>
              <w:spacing w:before="0" w:beforeAutospacing="0" w:after="0" w:afterAutospacing="0" w:line="240" w:lineRule="auto"/>
              <w:ind w:left="0" w:right="0"/>
              <w:jc w:val="center"/>
              <w:textAlignment w:val="center"/>
              <w:rPr>
                <w:rFonts w:hint="eastAsia" w:ascii="Times New Roman" w:hAnsi="Times New Roman" w:eastAsia="宋体" w:cs="Times New Roman"/>
                <w:i w:val="0"/>
                <w:iCs w:val="0"/>
                <w:color w:val="auto"/>
                <w:kern w:val="0"/>
                <w:sz w:val="20"/>
                <w:szCs w:val="20"/>
                <w:highlight w:val="none"/>
                <w:u w:val="none"/>
                <w:lang w:val="en-US" w:eastAsia="zh-CN" w:bidi="ar"/>
              </w:rPr>
            </w:pPr>
            <w:r>
              <w:rPr>
                <w:rFonts w:hint="eastAsia" w:ascii="Times New Roman" w:hAnsi="Times New Roman" w:eastAsia="TimesNewRomanPSMT" w:cs="Times New Roman"/>
                <w:color w:val="auto"/>
                <w:kern w:val="0"/>
                <w:sz w:val="20"/>
                <w:szCs w:val="20"/>
                <w:highlight w:val="none"/>
                <w:lang w:val="en-US" w:eastAsia="zh-CN" w:bidi="ar"/>
              </w:rPr>
              <w:t>设备维修</w:t>
            </w:r>
          </w:p>
        </w:tc>
      </w:tr>
    </w:tbl>
    <w:p w14:paraId="51C034BD">
      <w:pPr>
        <w:pStyle w:val="5"/>
        <w:rPr>
          <w:rFonts w:hint="default" w:ascii="Times New Roman" w:hAnsi="Times New Roman" w:cs="Times New Roman" w:eastAsiaTheme="minorEastAsia"/>
          <w:b/>
          <w:bCs/>
          <w:color w:val="auto"/>
          <w:kern w:val="2"/>
          <w:sz w:val="24"/>
          <w:szCs w:val="28"/>
          <w:highlight w:val="none"/>
          <w:lang w:val="en-US" w:eastAsia="zh-CN" w:bidi="ar-SA"/>
        </w:rPr>
      </w:pPr>
      <w:r>
        <w:rPr>
          <w:rFonts w:hint="default" w:ascii="Times New Roman" w:hAnsi="Times New Roman" w:cs="Times New Roman"/>
          <w:b/>
          <w:bCs/>
          <w:color w:val="auto"/>
          <w:kern w:val="2"/>
          <w:sz w:val="24"/>
          <w:szCs w:val="28"/>
          <w:highlight w:val="none"/>
          <w:lang w:val="en-US" w:eastAsia="zh-CN" w:bidi="ar-SA"/>
        </w:rPr>
        <w:t>生产工艺</w:t>
      </w:r>
      <w:r>
        <w:rPr>
          <w:rFonts w:hint="eastAsia" w:ascii="Times New Roman" w:hAnsi="Times New Roman" w:cs="Times New Roman"/>
          <w:b/>
          <w:bCs/>
          <w:color w:val="auto"/>
          <w:kern w:val="2"/>
          <w:sz w:val="24"/>
          <w:szCs w:val="28"/>
          <w:highlight w:val="none"/>
          <w:lang w:val="en-US" w:eastAsia="zh-CN" w:bidi="ar-SA"/>
        </w:rPr>
        <w:t>特点</w:t>
      </w:r>
    </w:p>
    <w:p w14:paraId="679F12B8">
      <w:pPr>
        <w:pStyle w:val="131"/>
        <w:ind w:firstLine="504"/>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lang w:eastAsia="zh-CN"/>
        </w:rPr>
        <w:t>本项目</w:t>
      </w:r>
      <w:r>
        <w:rPr>
          <w:rFonts w:hint="default" w:ascii="Times New Roman" w:hAnsi="Times New Roman" w:cs="Times New Roman" w:eastAsiaTheme="minorEastAsia"/>
          <w:color w:val="auto"/>
          <w:sz w:val="24"/>
          <w:szCs w:val="24"/>
          <w:highlight w:val="none"/>
          <w:lang w:val="en-US" w:eastAsia="zh-CN"/>
        </w:rPr>
        <w:t>采用</w:t>
      </w:r>
      <w:r>
        <w:rPr>
          <w:rFonts w:hint="default" w:ascii="Times New Roman" w:hAnsi="Times New Roman" w:cs="Times New Roman" w:eastAsiaTheme="minorEastAsia"/>
          <w:color w:val="auto"/>
          <w:sz w:val="24"/>
          <w:szCs w:val="24"/>
          <w:highlight w:val="none"/>
          <w:lang w:eastAsia="zh-CN"/>
        </w:rPr>
        <w:t>绝氧热分解焚烧工艺</w:t>
      </w:r>
      <w:r>
        <w:rPr>
          <w:rFonts w:hint="default" w:ascii="Times New Roman" w:hAnsi="Times New Roman" w:cs="Times New Roman"/>
          <w:color w:val="auto"/>
          <w:sz w:val="24"/>
          <w:szCs w:val="24"/>
          <w:highlight w:val="none"/>
          <w:lang w:eastAsia="zh-CN"/>
        </w:rPr>
        <w:t>，相较于垃圾填埋，产生甲烷等温室气体较少，相较于垃圾焚烧，因为其热解生产炭黑渣，每年可减排大量CO</w:t>
      </w:r>
      <w:r>
        <w:rPr>
          <w:rFonts w:hint="default" w:ascii="Times New Roman" w:hAnsi="Times New Roman" w:cs="Times New Roman"/>
          <w:color w:val="auto"/>
          <w:sz w:val="24"/>
          <w:szCs w:val="24"/>
          <w:highlight w:val="none"/>
          <w:vertAlign w:val="subscript"/>
          <w:lang w:eastAsia="zh-CN"/>
        </w:rPr>
        <w:t>2</w:t>
      </w:r>
      <w:r>
        <w:rPr>
          <w:rFonts w:hint="default" w:ascii="Times New Roman" w:hAnsi="Times New Roman" w:cs="Times New Roman"/>
          <w:color w:val="auto"/>
          <w:sz w:val="24"/>
          <w:szCs w:val="24"/>
          <w:highlight w:val="none"/>
          <w:lang w:eastAsia="zh-CN"/>
        </w:rPr>
        <w:t>，对节能减排贡献大，“碳中和”效益明显，本项目在无氧条件下将生活垃圾进行热解、气化、还原，在末端烧掉的是气体而非固体，所产生的烟气量比直接焚烧的少，烟气中污染物含量较少，热解气可实现循环利用，实现垃圾能量循环，减少辅助燃料使用，降低处理成本，实现资源化综合效益。</w:t>
      </w:r>
    </w:p>
    <w:p w14:paraId="3FEF2C8D">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环境敏感目标调查</w:t>
      </w:r>
    </w:p>
    <w:p w14:paraId="67DA3D8B">
      <w:pPr>
        <w:pStyle w:val="34"/>
        <w:ind w:left="0" w:leftChars="0" w:firstLine="480" w:firstLineChars="200"/>
        <w:rPr>
          <w:rFonts w:hint="default" w:ascii="Times New Roman" w:hAnsi="Times New Roman" w:cs="Times New Roman"/>
          <w:bCs/>
          <w:color w:val="auto"/>
          <w:kern w:val="2"/>
          <w:sz w:val="24"/>
          <w:szCs w:val="24"/>
          <w:highlight w:val="none"/>
          <w:lang w:val="en-US" w:eastAsia="zh-CN" w:bidi="ar-SA"/>
        </w:rPr>
      </w:pPr>
      <w:r>
        <w:rPr>
          <w:rFonts w:hint="default" w:ascii="Times New Roman" w:hAnsi="Times New Roman" w:eastAsia="宋体" w:cs="Times New Roman"/>
          <w:color w:val="auto"/>
          <w:kern w:val="0"/>
          <w:sz w:val="24"/>
          <w:szCs w:val="24"/>
          <w:highlight w:val="none"/>
          <w:lang w:val="en-US" w:eastAsia="zh-CN" w:bidi="ar"/>
        </w:rPr>
        <w:t>本项目周边主要环境敏感目标见表2.10-1</w:t>
      </w:r>
      <w:r>
        <w:rPr>
          <w:rFonts w:hint="default" w:ascii="Times New Roman" w:hAnsi="Times New Roman" w:cs="Times New Roman"/>
          <w:bCs/>
          <w:color w:val="auto"/>
          <w:kern w:val="2"/>
          <w:sz w:val="24"/>
          <w:szCs w:val="24"/>
          <w:highlight w:val="none"/>
          <w:lang w:val="en-US" w:eastAsia="zh-CN" w:bidi="ar-SA"/>
        </w:rPr>
        <w:t>。</w:t>
      </w:r>
    </w:p>
    <w:p w14:paraId="4410B698">
      <w:pPr>
        <w:pStyle w:val="3"/>
        <w:spacing w:before="156" w:after="156"/>
        <w:rPr>
          <w:rFonts w:hint="default" w:ascii="Times New Roman" w:hAnsi="Times New Roman" w:cs="Times New Roman"/>
          <w:color w:val="auto"/>
          <w:highlight w:val="none"/>
          <w:lang w:val="en-US" w:eastAsia="zh-CN"/>
        </w:rPr>
      </w:pPr>
      <w:bookmarkStart w:id="167" w:name="_Toc9520"/>
      <w:r>
        <w:rPr>
          <w:rFonts w:hint="default" w:ascii="Times New Roman" w:hAnsi="Times New Roman" w:cs="Times New Roman"/>
          <w:color w:val="auto"/>
          <w:highlight w:val="none"/>
          <w:lang w:val="en-US" w:eastAsia="zh-CN"/>
        </w:rPr>
        <w:t>环境风险潜势初判与评价等级</w:t>
      </w:r>
      <w:bookmarkEnd w:id="167"/>
    </w:p>
    <w:p w14:paraId="4FBED71F">
      <w:pPr>
        <w:pStyle w:val="34"/>
        <w:keepNext w:val="0"/>
        <w:keepLines w:val="0"/>
        <w:pageBreakBefore w:val="0"/>
        <w:widowControl w:val="0"/>
        <w:kinsoku/>
        <w:wordWrap/>
        <w:overflowPunct/>
        <w:topLinePunct w:val="0"/>
        <w:autoSpaceDE/>
        <w:autoSpaceDN/>
        <w:bidi w:val="0"/>
        <w:adjustRightInd/>
        <w:snapToGrid w:val="0"/>
        <w:spacing w:after="0"/>
        <w:ind w:left="0" w:leftChars="0" w:firstLine="420" w:firstLineChars="200"/>
        <w:textAlignment w:val="auto"/>
        <w:rPr>
          <w:rFonts w:hint="eastAsia" w:ascii="Times New Roman" w:hAnsi="Times New Roman" w:eastAsia="宋体" w:cs="Times New Roman"/>
          <w:color w:val="auto"/>
          <w:kern w:val="0"/>
          <w:sz w:val="24"/>
          <w:szCs w:val="24"/>
          <w:highlight w:val="none"/>
          <w:lang w:val="en-US" w:eastAsia="zh-CN" w:bidi="ar"/>
        </w:rPr>
      </w:pPr>
      <w:r>
        <w:rPr>
          <w:rFonts w:hint="default" w:ascii="Times New Roman" w:hAnsi="Times New Roman" w:cs="Times New Roman"/>
          <w:color w:val="auto"/>
          <w:highlight w:val="none"/>
          <w:lang w:val="en-US" w:eastAsia="zh-CN"/>
        </w:rPr>
        <w:t>环</w:t>
      </w:r>
      <w:r>
        <w:rPr>
          <w:rFonts w:hint="default" w:ascii="Times New Roman" w:hAnsi="Times New Roman" w:eastAsia="宋体" w:cs="Times New Roman"/>
          <w:color w:val="auto"/>
          <w:kern w:val="0"/>
          <w:sz w:val="24"/>
          <w:szCs w:val="24"/>
          <w:highlight w:val="none"/>
          <w:lang w:val="en-US" w:eastAsia="zh-CN" w:bidi="ar"/>
        </w:rPr>
        <w:t>根据上表</w:t>
      </w:r>
      <w:r>
        <w:rPr>
          <w:rFonts w:hint="eastAsia" w:ascii="Times New Roman" w:hAnsi="Times New Roman" w:eastAsia="宋体" w:cs="Times New Roman"/>
          <w:color w:val="auto"/>
          <w:kern w:val="0"/>
          <w:sz w:val="24"/>
          <w:szCs w:val="24"/>
          <w:highlight w:val="none"/>
          <w:lang w:val="en-US" w:eastAsia="zh-CN" w:bidi="ar"/>
        </w:rPr>
        <w:t>，本项目环境风险潜势综合等级为III级。按照评价工作等级划分要求，确定本项目环境风险评价等级为</w:t>
      </w:r>
      <w:r>
        <w:rPr>
          <w:rFonts w:hint="eastAsia" w:ascii="Times New Roman" w:hAnsi="Times New Roman" w:eastAsia="宋体" w:cs="Times New Roman"/>
          <w:b/>
          <w:bCs/>
          <w:color w:val="auto"/>
          <w:kern w:val="0"/>
          <w:sz w:val="24"/>
          <w:szCs w:val="24"/>
          <w:highlight w:val="none"/>
          <w:lang w:val="en-US" w:eastAsia="zh-CN" w:bidi="ar"/>
        </w:rPr>
        <w:t>二级</w:t>
      </w:r>
      <w:r>
        <w:rPr>
          <w:rFonts w:hint="eastAsia" w:ascii="Times New Roman" w:hAnsi="Times New Roman" w:eastAsia="宋体" w:cs="Times New Roman"/>
          <w:color w:val="auto"/>
          <w:kern w:val="0"/>
          <w:sz w:val="24"/>
          <w:szCs w:val="24"/>
          <w:highlight w:val="none"/>
          <w:lang w:val="en-US" w:eastAsia="zh-CN" w:bidi="ar"/>
        </w:rPr>
        <w:t>。</w:t>
      </w:r>
    </w:p>
    <w:p w14:paraId="2FFE4482">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eastAsia"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各要素环境风险评价等级分别为大气环境风险评价等级二级、地表水环境风险评价等级二级、地下水环境风险评价等级三级。</w:t>
      </w:r>
    </w:p>
    <w:p w14:paraId="6F9D9FEB">
      <w:pPr>
        <w:pStyle w:val="11"/>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rPr>
        <w:t>表</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STYLEREF 2 \s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9.3</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rPr>
        <w:t>-</w:t>
      </w:r>
      <w:r>
        <w:rPr>
          <w:rFonts w:hint="default" w:ascii="Times New Roman" w:hAnsi="Times New Roman" w:cs="Times New Roman"/>
          <w:b/>
          <w:bCs/>
          <w:color w:val="auto"/>
          <w:highlight w:val="none"/>
        </w:rPr>
        <w:fldChar w:fldCharType="begin"/>
      </w:r>
      <w:r>
        <w:rPr>
          <w:rFonts w:hint="default" w:ascii="Times New Roman" w:hAnsi="Times New Roman" w:cs="Times New Roman"/>
          <w:b/>
          <w:bCs/>
          <w:color w:val="auto"/>
          <w:highlight w:val="none"/>
        </w:rPr>
        <w:instrText xml:space="preserve"> SEQ 表 \* ARABIC \s 2 </w:instrText>
      </w:r>
      <w:r>
        <w:rPr>
          <w:rFonts w:hint="default" w:ascii="Times New Roman" w:hAnsi="Times New Roman" w:cs="Times New Roman"/>
          <w:b/>
          <w:bCs/>
          <w:color w:val="auto"/>
          <w:highlight w:val="none"/>
        </w:rPr>
        <w:fldChar w:fldCharType="separate"/>
      </w:r>
      <w:r>
        <w:rPr>
          <w:rFonts w:hint="default" w:ascii="Times New Roman" w:hAnsi="Times New Roman" w:cs="Times New Roman"/>
          <w:b/>
          <w:bCs/>
          <w:color w:val="auto"/>
          <w:highlight w:val="none"/>
        </w:rPr>
        <w:t>1</w:t>
      </w:r>
      <w:r>
        <w:rPr>
          <w:rFonts w:hint="default" w:ascii="Times New Roman" w:hAnsi="Times New Roman" w:cs="Times New Roman"/>
          <w:b/>
          <w:bCs/>
          <w:color w:val="auto"/>
          <w:highlight w:val="none"/>
        </w:rPr>
        <w:fldChar w:fldCharType="end"/>
      </w:r>
      <w:r>
        <w:rPr>
          <w:rFonts w:hint="default" w:ascii="Times New Roman" w:hAnsi="Times New Roman" w:cs="Times New Roman"/>
          <w:b/>
          <w:bCs/>
          <w:color w:val="auto"/>
          <w:highlight w:val="none"/>
          <w:lang w:val="en-US" w:eastAsia="zh-CN"/>
        </w:rPr>
        <w:t xml:space="preserve"> </w:t>
      </w:r>
      <w:r>
        <w:rPr>
          <w:rFonts w:hint="eastAsia" w:ascii="Times New Roman" w:hAnsi="Times New Roman" w:cs="Times New Roman"/>
          <w:b/>
          <w:bCs/>
          <w:color w:val="auto"/>
          <w:highlight w:val="none"/>
          <w:lang w:val="en-US" w:eastAsia="zh-CN"/>
        </w:rPr>
        <w:t xml:space="preserve"> </w:t>
      </w:r>
      <w:r>
        <w:rPr>
          <w:rFonts w:hint="default" w:ascii="Times New Roman" w:hAnsi="Times New Roman" w:cs="Times New Roman"/>
          <w:color w:val="auto"/>
          <w:highlight w:val="none"/>
        </w:rPr>
        <w:t>本项目环境风险评价等级</w:t>
      </w:r>
      <w:r>
        <w:rPr>
          <w:rFonts w:hint="eastAsia" w:cs="Times New Roman"/>
          <w:color w:val="auto"/>
          <w:highlight w:val="none"/>
          <w:lang w:val="en-US" w:eastAsia="zh-CN"/>
        </w:rPr>
        <w:t>及评价范围</w:t>
      </w:r>
    </w:p>
    <w:tbl>
      <w:tblPr>
        <w:tblStyle w:val="35"/>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314"/>
        <w:gridCol w:w="1078"/>
        <w:gridCol w:w="1033"/>
        <w:gridCol w:w="1050"/>
        <w:gridCol w:w="1255"/>
        <w:gridCol w:w="1229"/>
        <w:gridCol w:w="2329"/>
      </w:tblGrid>
      <w:tr w14:paraId="08D1E0E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707" w:type="pct"/>
            <w:noWrap w:val="0"/>
            <w:vAlign w:val="center"/>
          </w:tcPr>
          <w:p w14:paraId="67E4823E">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eastAsiaTheme="minorEastAsia"/>
                <w:b/>
                <w:bCs/>
                <w:color w:val="auto"/>
                <w:kern w:val="0"/>
                <w:sz w:val="20"/>
                <w:szCs w:val="20"/>
                <w:highlight w:val="none"/>
                <w:lang w:eastAsia="zh-CN"/>
              </w:rPr>
            </w:pPr>
            <w:r>
              <w:rPr>
                <w:rFonts w:hint="default" w:ascii="Times New Roman" w:hAnsi="Times New Roman" w:cs="Times New Roman"/>
                <w:b/>
                <w:bCs/>
                <w:color w:val="auto"/>
                <w:kern w:val="0"/>
                <w:sz w:val="20"/>
                <w:szCs w:val="20"/>
                <w:highlight w:val="none"/>
                <w:lang w:eastAsia="zh-CN"/>
              </w:rPr>
              <w:t>项目</w:t>
            </w:r>
          </w:p>
        </w:tc>
        <w:tc>
          <w:tcPr>
            <w:tcW w:w="1136" w:type="pct"/>
            <w:gridSpan w:val="2"/>
            <w:noWrap w:val="0"/>
            <w:vAlign w:val="center"/>
          </w:tcPr>
          <w:p w14:paraId="6DD8213B">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各要素环境风险潜势</w:t>
            </w:r>
          </w:p>
        </w:tc>
        <w:tc>
          <w:tcPr>
            <w:tcW w:w="565" w:type="pct"/>
            <w:noWrap w:val="0"/>
            <w:vAlign w:val="center"/>
          </w:tcPr>
          <w:p w14:paraId="5961EEA9">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各要素评价等级</w:t>
            </w:r>
          </w:p>
        </w:tc>
        <w:tc>
          <w:tcPr>
            <w:tcW w:w="675" w:type="pct"/>
            <w:noWrap w:val="0"/>
            <w:vAlign w:val="center"/>
          </w:tcPr>
          <w:p w14:paraId="4A04DA55">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建设项目环境风险潜势</w:t>
            </w:r>
          </w:p>
        </w:tc>
        <w:tc>
          <w:tcPr>
            <w:tcW w:w="661" w:type="pct"/>
            <w:noWrap w:val="0"/>
            <w:vAlign w:val="center"/>
          </w:tcPr>
          <w:p w14:paraId="28E2090E">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建设项目评价等级</w:t>
            </w:r>
          </w:p>
        </w:tc>
        <w:tc>
          <w:tcPr>
            <w:tcW w:w="1253" w:type="pct"/>
            <w:noWrap w:val="0"/>
            <w:vAlign w:val="center"/>
          </w:tcPr>
          <w:p w14:paraId="35A1EA9E">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b/>
                <w:bCs/>
                <w:color w:val="auto"/>
                <w:kern w:val="0"/>
                <w:sz w:val="20"/>
                <w:szCs w:val="20"/>
                <w:highlight w:val="none"/>
              </w:rPr>
            </w:pPr>
            <w:r>
              <w:rPr>
                <w:rFonts w:hint="default" w:ascii="Times New Roman" w:hAnsi="Times New Roman" w:cs="Times New Roman"/>
                <w:b/>
                <w:bCs/>
                <w:color w:val="auto"/>
                <w:kern w:val="0"/>
                <w:sz w:val="20"/>
                <w:szCs w:val="20"/>
                <w:highlight w:val="none"/>
              </w:rPr>
              <w:t>评价范围</w:t>
            </w:r>
          </w:p>
        </w:tc>
      </w:tr>
      <w:tr w14:paraId="373A0A2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7" w:type="pct"/>
            <w:vMerge w:val="restart"/>
            <w:noWrap w:val="0"/>
            <w:vAlign w:val="center"/>
          </w:tcPr>
          <w:p w14:paraId="042FA11D">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lang w:eastAsia="zh-CN"/>
              </w:rPr>
              <w:t>剑阁县城乡生活垃圾无害化处理设施建设项目</w:t>
            </w:r>
          </w:p>
        </w:tc>
        <w:tc>
          <w:tcPr>
            <w:tcW w:w="580" w:type="pct"/>
            <w:noWrap w:val="0"/>
            <w:vAlign w:val="center"/>
          </w:tcPr>
          <w:p w14:paraId="26E90E79">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大气</w:t>
            </w:r>
          </w:p>
        </w:tc>
        <w:tc>
          <w:tcPr>
            <w:tcW w:w="556" w:type="pct"/>
            <w:noWrap w:val="0"/>
            <w:vAlign w:val="center"/>
          </w:tcPr>
          <w:p w14:paraId="6BE53254">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Ⅲ</w:t>
            </w:r>
          </w:p>
        </w:tc>
        <w:tc>
          <w:tcPr>
            <w:tcW w:w="565" w:type="pct"/>
            <w:noWrap w:val="0"/>
            <w:vAlign w:val="center"/>
          </w:tcPr>
          <w:p w14:paraId="100FE4A4">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lang w:eastAsia="zh-CN"/>
              </w:rPr>
              <w:t>二</w:t>
            </w:r>
            <w:r>
              <w:rPr>
                <w:rFonts w:hint="default" w:ascii="Times New Roman" w:hAnsi="Times New Roman" w:cs="Times New Roman"/>
                <w:color w:val="auto"/>
                <w:kern w:val="0"/>
                <w:sz w:val="20"/>
                <w:szCs w:val="20"/>
                <w:highlight w:val="none"/>
              </w:rPr>
              <w:t>级</w:t>
            </w:r>
          </w:p>
        </w:tc>
        <w:tc>
          <w:tcPr>
            <w:tcW w:w="675" w:type="pct"/>
            <w:vMerge w:val="restart"/>
            <w:noWrap w:val="0"/>
            <w:vAlign w:val="center"/>
          </w:tcPr>
          <w:p w14:paraId="73A4B291">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Ⅲ</w:t>
            </w:r>
          </w:p>
        </w:tc>
        <w:tc>
          <w:tcPr>
            <w:tcW w:w="661" w:type="pct"/>
            <w:vMerge w:val="restart"/>
            <w:noWrap w:val="0"/>
            <w:vAlign w:val="center"/>
          </w:tcPr>
          <w:p w14:paraId="52BB5B59">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lang w:eastAsia="zh-CN"/>
              </w:rPr>
              <w:t>二</w:t>
            </w:r>
            <w:r>
              <w:rPr>
                <w:rFonts w:hint="default" w:ascii="Times New Roman" w:hAnsi="Times New Roman" w:cs="Times New Roman"/>
                <w:color w:val="auto"/>
                <w:kern w:val="0"/>
                <w:sz w:val="20"/>
                <w:szCs w:val="20"/>
                <w:highlight w:val="none"/>
              </w:rPr>
              <w:t>级</w:t>
            </w:r>
          </w:p>
        </w:tc>
        <w:tc>
          <w:tcPr>
            <w:tcW w:w="1253" w:type="pct"/>
            <w:noWrap w:val="0"/>
            <w:vAlign w:val="center"/>
          </w:tcPr>
          <w:p w14:paraId="677B0E9F">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color w:val="auto"/>
                <w:sz w:val="20"/>
                <w:szCs w:val="20"/>
                <w:highlight w:val="none"/>
              </w:rPr>
              <w:t>项目厂界外</w:t>
            </w:r>
            <w:r>
              <w:rPr>
                <w:rFonts w:hint="default" w:ascii="Times New Roman" w:hAnsi="Times New Roman" w:cs="Times New Roman"/>
                <w:color w:val="auto"/>
                <w:sz w:val="20"/>
                <w:szCs w:val="20"/>
                <w:highlight w:val="none"/>
                <w:lang w:val="en-US" w:eastAsia="zh-CN"/>
              </w:rPr>
              <w:t>5</w:t>
            </w:r>
            <w:r>
              <w:rPr>
                <w:rFonts w:hint="default" w:ascii="Times New Roman" w:hAnsi="Times New Roman" w:eastAsia="宋体" w:cs="Times New Roman"/>
                <w:color w:val="auto"/>
                <w:sz w:val="20"/>
                <w:szCs w:val="20"/>
                <w:highlight w:val="none"/>
              </w:rPr>
              <w:t>km范围内</w:t>
            </w:r>
          </w:p>
        </w:tc>
      </w:tr>
      <w:tr w14:paraId="2237016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7" w:type="pct"/>
            <w:vMerge w:val="continue"/>
            <w:noWrap w:val="0"/>
            <w:vAlign w:val="center"/>
          </w:tcPr>
          <w:p w14:paraId="1AB8E52C">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p>
        </w:tc>
        <w:tc>
          <w:tcPr>
            <w:tcW w:w="580" w:type="pct"/>
            <w:noWrap w:val="0"/>
            <w:vAlign w:val="center"/>
          </w:tcPr>
          <w:p w14:paraId="022FA81F">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地表水</w:t>
            </w:r>
          </w:p>
        </w:tc>
        <w:tc>
          <w:tcPr>
            <w:tcW w:w="556" w:type="pct"/>
            <w:noWrap w:val="0"/>
            <w:vAlign w:val="center"/>
          </w:tcPr>
          <w:p w14:paraId="08AE0D4F">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Ⅲ</w:t>
            </w:r>
          </w:p>
        </w:tc>
        <w:tc>
          <w:tcPr>
            <w:tcW w:w="565" w:type="pct"/>
            <w:noWrap w:val="0"/>
            <w:vAlign w:val="center"/>
          </w:tcPr>
          <w:p w14:paraId="3CAF61FA">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lang w:eastAsia="zh-CN"/>
              </w:rPr>
              <w:t>二</w:t>
            </w:r>
            <w:r>
              <w:rPr>
                <w:rFonts w:hint="default" w:ascii="Times New Roman" w:hAnsi="Times New Roman" w:cs="Times New Roman"/>
                <w:color w:val="auto"/>
                <w:kern w:val="0"/>
                <w:sz w:val="20"/>
                <w:szCs w:val="20"/>
                <w:highlight w:val="none"/>
              </w:rPr>
              <w:t>级</w:t>
            </w:r>
          </w:p>
        </w:tc>
        <w:tc>
          <w:tcPr>
            <w:tcW w:w="675" w:type="pct"/>
            <w:vMerge w:val="continue"/>
            <w:noWrap w:val="0"/>
            <w:vAlign w:val="center"/>
          </w:tcPr>
          <w:p w14:paraId="54690543">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p>
        </w:tc>
        <w:tc>
          <w:tcPr>
            <w:tcW w:w="661" w:type="pct"/>
            <w:vMerge w:val="continue"/>
            <w:noWrap w:val="0"/>
            <w:vAlign w:val="center"/>
          </w:tcPr>
          <w:p w14:paraId="5FA43E68">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p>
        </w:tc>
        <w:tc>
          <w:tcPr>
            <w:tcW w:w="1253" w:type="pct"/>
            <w:noWrap w:val="0"/>
            <w:vAlign w:val="center"/>
          </w:tcPr>
          <w:p w14:paraId="571B2931">
            <w:pPr>
              <w:pStyle w:val="109"/>
              <w:keepNext w:val="0"/>
              <w:keepLines w:val="0"/>
              <w:widowControl/>
              <w:suppressLineNumbers w:val="0"/>
              <w:spacing w:before="0" w:beforeAutospacing="0" w:after="0" w:afterAutospacing="0" w:line="240" w:lineRule="auto"/>
              <w:ind w:left="0" w:leftChars="0" w:right="0" w:rightChars="0" w:firstLine="0" w:firstLineChars="0"/>
              <w:jc w:val="center"/>
              <w:rPr>
                <w:rFonts w:hint="default" w:ascii="Times New Roman" w:hAnsi="Times New Roman" w:eastAsia="宋体" w:cs="Times New Roman"/>
                <w:color w:val="auto"/>
                <w:kern w:val="0"/>
                <w:sz w:val="20"/>
                <w:szCs w:val="20"/>
                <w:highlight w:val="none"/>
                <w:lang w:val="en-US" w:eastAsia="zh-CN"/>
              </w:rPr>
            </w:pPr>
            <w:r>
              <w:rPr>
                <w:rFonts w:hint="default" w:ascii="Times New Roman" w:hAnsi="Times New Roman" w:cs="Times New Roman"/>
                <w:color w:val="auto"/>
                <w:kern w:val="0"/>
                <w:sz w:val="20"/>
                <w:szCs w:val="20"/>
                <w:highlight w:val="none"/>
              </w:rPr>
              <w:t>泄漏</w:t>
            </w:r>
            <w:r>
              <w:rPr>
                <w:rFonts w:hint="default" w:ascii="Times New Roman" w:hAnsi="Times New Roman" w:cs="Times New Roman"/>
                <w:color w:val="auto"/>
                <w:kern w:val="0"/>
                <w:sz w:val="20"/>
                <w:szCs w:val="20"/>
                <w:highlight w:val="none"/>
                <w:lang w:eastAsia="zh-CN"/>
              </w:rPr>
              <w:t>入河点上游</w:t>
            </w:r>
            <w:r>
              <w:rPr>
                <w:rFonts w:hint="default" w:ascii="Times New Roman" w:hAnsi="Times New Roman" w:cs="Times New Roman"/>
                <w:color w:val="auto"/>
                <w:kern w:val="0"/>
                <w:sz w:val="20"/>
                <w:szCs w:val="20"/>
                <w:highlight w:val="none"/>
                <w:lang w:val="en-US" w:eastAsia="zh-CN"/>
              </w:rPr>
              <w:t>500m和下游1500m</w:t>
            </w:r>
          </w:p>
        </w:tc>
      </w:tr>
      <w:tr w14:paraId="173575F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7" w:type="pct"/>
            <w:vMerge w:val="continue"/>
            <w:noWrap w:val="0"/>
            <w:vAlign w:val="center"/>
          </w:tcPr>
          <w:p w14:paraId="31091C2B">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p>
        </w:tc>
        <w:tc>
          <w:tcPr>
            <w:tcW w:w="580" w:type="pct"/>
            <w:noWrap w:val="0"/>
            <w:vAlign w:val="center"/>
          </w:tcPr>
          <w:p w14:paraId="1492592F">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color w:val="auto"/>
                <w:kern w:val="0"/>
                <w:sz w:val="20"/>
                <w:szCs w:val="20"/>
                <w:highlight w:val="none"/>
              </w:rPr>
              <w:t>地下水</w:t>
            </w:r>
          </w:p>
        </w:tc>
        <w:tc>
          <w:tcPr>
            <w:tcW w:w="556" w:type="pct"/>
            <w:noWrap w:val="0"/>
            <w:vAlign w:val="center"/>
          </w:tcPr>
          <w:p w14:paraId="53BDAE54">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default" w:ascii="Times New Roman" w:hAnsi="Times New Roman" w:cs="Times New Roman"/>
                <w:b w:val="0"/>
                <w:bCs/>
                <w:caps/>
                <w:snapToGrid w:val="0"/>
                <w:color w:val="auto"/>
                <w:sz w:val="20"/>
                <w:szCs w:val="20"/>
                <w:highlight w:val="none"/>
              </w:rPr>
              <w:t>Ⅱ</w:t>
            </w:r>
          </w:p>
        </w:tc>
        <w:tc>
          <w:tcPr>
            <w:tcW w:w="565" w:type="pct"/>
            <w:noWrap w:val="0"/>
            <w:vAlign w:val="center"/>
          </w:tcPr>
          <w:p w14:paraId="78DAA53A">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r>
              <w:rPr>
                <w:rFonts w:hint="eastAsia" w:ascii="Times New Roman" w:hAnsi="Times New Roman" w:cs="Times New Roman"/>
                <w:color w:val="auto"/>
                <w:kern w:val="0"/>
                <w:sz w:val="20"/>
                <w:szCs w:val="20"/>
                <w:highlight w:val="none"/>
                <w:lang w:val="en-US" w:eastAsia="zh-CN"/>
              </w:rPr>
              <w:t>三</w:t>
            </w:r>
            <w:r>
              <w:rPr>
                <w:rFonts w:hint="default" w:ascii="Times New Roman" w:hAnsi="Times New Roman" w:cs="Times New Roman"/>
                <w:color w:val="auto"/>
                <w:kern w:val="0"/>
                <w:sz w:val="20"/>
                <w:szCs w:val="20"/>
                <w:highlight w:val="none"/>
              </w:rPr>
              <w:t>级</w:t>
            </w:r>
          </w:p>
        </w:tc>
        <w:tc>
          <w:tcPr>
            <w:tcW w:w="675" w:type="pct"/>
            <w:vMerge w:val="continue"/>
            <w:noWrap w:val="0"/>
            <w:vAlign w:val="center"/>
          </w:tcPr>
          <w:p w14:paraId="4232BFC9">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p>
        </w:tc>
        <w:tc>
          <w:tcPr>
            <w:tcW w:w="661" w:type="pct"/>
            <w:vMerge w:val="continue"/>
            <w:noWrap w:val="0"/>
            <w:vAlign w:val="center"/>
          </w:tcPr>
          <w:p w14:paraId="2757CBA5">
            <w:pPr>
              <w:keepNext w:val="0"/>
              <w:keepLines w:val="0"/>
              <w:suppressLineNumbers w:val="0"/>
              <w:tabs>
                <w:tab w:val="right" w:leader="dot" w:pos="8381"/>
              </w:tabs>
              <w:adjustRightInd w:val="0"/>
              <w:snapToGrid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rPr>
            </w:pPr>
          </w:p>
        </w:tc>
        <w:tc>
          <w:tcPr>
            <w:tcW w:w="1253" w:type="pct"/>
            <w:noWrap w:val="0"/>
            <w:vAlign w:val="center"/>
          </w:tcPr>
          <w:p w14:paraId="4BC1C0CF">
            <w:pPr>
              <w:pStyle w:val="109"/>
              <w:keepNext w:val="0"/>
              <w:keepLines w:val="0"/>
              <w:widowControl/>
              <w:suppressLineNumbers w:val="0"/>
              <w:spacing w:before="0" w:beforeAutospacing="0" w:after="0" w:afterAutospacing="0" w:line="240" w:lineRule="auto"/>
              <w:ind w:left="0" w:leftChars="0" w:right="0" w:rightChars="0" w:firstLine="0" w:firstLineChars="0"/>
              <w:jc w:val="center"/>
              <w:rPr>
                <w:rFonts w:hint="default" w:ascii="Times New Roman" w:hAnsi="Times New Roman" w:cs="Times New Roman"/>
                <w:color w:val="auto"/>
                <w:kern w:val="0"/>
                <w:sz w:val="20"/>
                <w:szCs w:val="20"/>
                <w:highlight w:val="none"/>
              </w:rPr>
            </w:pPr>
            <w:r>
              <w:rPr>
                <w:rFonts w:hint="default" w:ascii="Times New Roman" w:hAnsi="Times New Roman" w:eastAsia="宋体" w:cs="Times New Roman"/>
                <w:color w:val="auto"/>
                <w:sz w:val="20"/>
                <w:szCs w:val="20"/>
                <w:highlight w:val="none"/>
              </w:rPr>
              <w:t>项目</w:t>
            </w:r>
            <w:r>
              <w:rPr>
                <w:rFonts w:hint="default" w:ascii="Times New Roman" w:hAnsi="Times New Roman" w:cs="Times New Roman"/>
                <w:color w:val="auto"/>
                <w:sz w:val="20"/>
                <w:szCs w:val="20"/>
                <w:highlight w:val="none"/>
                <w:lang w:eastAsia="zh-CN"/>
              </w:rPr>
              <w:t>所在水文地质单元</w:t>
            </w:r>
            <w:r>
              <w:rPr>
                <w:rFonts w:hint="eastAsia" w:cs="Times New Roman"/>
                <w:color w:val="auto"/>
                <w:sz w:val="20"/>
                <w:szCs w:val="20"/>
                <w:highlight w:val="none"/>
                <w:lang w:val="en-US" w:eastAsia="zh-CN"/>
              </w:rPr>
              <w:t>2.83</w:t>
            </w:r>
            <w:r>
              <w:rPr>
                <w:rFonts w:hint="default" w:ascii="Times New Roman" w:hAnsi="Times New Roman" w:eastAsia="宋体" w:cs="Times New Roman"/>
                <w:color w:val="auto"/>
                <w:sz w:val="20"/>
                <w:szCs w:val="20"/>
                <w:highlight w:val="none"/>
              </w:rPr>
              <w:t>km</w:t>
            </w:r>
            <w:r>
              <w:rPr>
                <w:rFonts w:hint="default" w:ascii="Times New Roman" w:hAnsi="Times New Roman" w:eastAsia="宋体" w:cs="Times New Roman"/>
                <w:color w:val="auto"/>
                <w:sz w:val="20"/>
                <w:szCs w:val="20"/>
                <w:highlight w:val="none"/>
                <w:vertAlign w:val="superscript"/>
              </w:rPr>
              <w:t>2</w:t>
            </w:r>
            <w:r>
              <w:rPr>
                <w:rFonts w:hint="default" w:ascii="Times New Roman" w:hAnsi="Times New Roman" w:eastAsia="宋体" w:cs="Times New Roman"/>
                <w:color w:val="auto"/>
                <w:sz w:val="20"/>
                <w:szCs w:val="20"/>
                <w:highlight w:val="none"/>
              </w:rPr>
              <w:t>的范围</w:t>
            </w:r>
          </w:p>
        </w:tc>
      </w:tr>
    </w:tbl>
    <w:p w14:paraId="084438E4">
      <w:pPr>
        <w:pStyle w:val="3"/>
        <w:spacing w:before="0" w:after="0"/>
        <w:rPr>
          <w:rFonts w:hint="default" w:ascii="Times New Roman" w:hAnsi="Times New Roman" w:eastAsia="宋体" w:cs="Times New Roman"/>
          <w:bCs/>
          <w:color w:val="auto"/>
          <w:szCs w:val="28"/>
          <w:highlight w:val="none"/>
        </w:rPr>
      </w:pPr>
      <w:bookmarkStart w:id="168" w:name="_Toc122792271"/>
      <w:bookmarkStart w:id="169" w:name="_Toc21615"/>
      <w:r>
        <w:rPr>
          <w:rFonts w:hint="default" w:ascii="Times New Roman" w:hAnsi="Times New Roman" w:eastAsia="宋体" w:cs="Times New Roman"/>
          <w:bCs/>
          <w:color w:val="auto"/>
          <w:szCs w:val="28"/>
          <w:highlight w:val="none"/>
        </w:rPr>
        <w:t>风险识别</w:t>
      </w:r>
      <w:bookmarkEnd w:id="168"/>
      <w:bookmarkEnd w:id="169"/>
    </w:p>
    <w:p w14:paraId="39051828">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物质危险性识别</w:t>
      </w:r>
    </w:p>
    <w:p w14:paraId="08899FBA">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物质危险性识别，包括主要原辅材料、燃料、中间产品、副产品、最终产品、污染物、火灾和爆炸伴生/次生物等。根据《建设项目环境风险评价技术导则》</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HJ/T169-2018</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附录B，本项目涉及的风险物质主要有</w:t>
      </w:r>
      <w:r>
        <w:rPr>
          <w:rFonts w:hint="eastAsia" w:ascii="Times New Roman" w:hAnsi="Times New Roman" w:eastAsia="宋体" w:cs="Times New Roman"/>
          <w:color w:val="auto"/>
          <w:kern w:val="0"/>
          <w:sz w:val="24"/>
          <w:szCs w:val="24"/>
          <w:highlight w:val="none"/>
          <w:lang w:val="en-US" w:eastAsia="zh-CN" w:bidi="ar"/>
        </w:rPr>
        <w:t>气柜中净化后热解气</w:t>
      </w: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主要成分</w:t>
      </w:r>
      <w:r>
        <w:rPr>
          <w:rFonts w:hint="default" w:ascii="Times New Roman" w:hAnsi="Times New Roman" w:eastAsia="宋体" w:cs="Times New Roman"/>
          <w:color w:val="auto"/>
          <w:kern w:val="0"/>
          <w:sz w:val="24"/>
          <w:szCs w:val="24"/>
          <w:highlight w:val="none"/>
          <w:lang w:val="en-US" w:eastAsia="zh-CN" w:bidi="ar"/>
        </w:rPr>
        <w:t>甲烷</w:t>
      </w:r>
      <w:r>
        <w:rPr>
          <w:rFonts w:hint="eastAsia" w:ascii="Times New Roman" w:hAnsi="Times New Roman" w:eastAsia="宋体" w:cs="Times New Roman"/>
          <w:color w:val="auto"/>
          <w:kern w:val="0"/>
          <w:sz w:val="24"/>
          <w:szCs w:val="24"/>
          <w:highlight w:val="none"/>
          <w:lang w:val="en-US" w:eastAsia="zh-CN" w:bidi="ar"/>
        </w:rPr>
        <w:t>、CO</w:t>
      </w: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垃圾渗滤液</w:t>
      </w:r>
      <w:r>
        <w:rPr>
          <w:rFonts w:hint="default" w:ascii="Times New Roman" w:hAnsi="Times New Roman" w:eastAsia="宋体" w:cs="Times New Roman"/>
          <w:color w:val="auto"/>
          <w:kern w:val="0"/>
          <w:sz w:val="24"/>
          <w:szCs w:val="24"/>
          <w:highlight w:val="none"/>
          <w:lang w:val="en-US" w:eastAsia="zh-CN" w:bidi="ar"/>
        </w:rPr>
        <w:t>（COD</w:t>
      </w:r>
      <w:r>
        <w:rPr>
          <w:rFonts w:hint="default" w:ascii="Times New Roman" w:hAnsi="Times New Roman" w:eastAsia="宋体" w:cs="Times New Roman"/>
          <w:color w:val="auto"/>
          <w:kern w:val="0"/>
          <w:sz w:val="24"/>
          <w:szCs w:val="24"/>
          <w:highlight w:val="none"/>
          <w:vertAlign w:val="subscript"/>
          <w:lang w:val="en-US" w:eastAsia="zh-CN" w:bidi="ar"/>
        </w:rPr>
        <w:t>Cr</w:t>
      </w:r>
      <w:r>
        <w:rPr>
          <w:rFonts w:hint="default" w:ascii="Times New Roman" w:hAnsi="Times New Roman" w:eastAsia="宋体" w:cs="Times New Roman"/>
          <w:color w:val="auto"/>
          <w:kern w:val="0"/>
          <w:sz w:val="24"/>
          <w:szCs w:val="24"/>
          <w:highlight w:val="none"/>
          <w:lang w:val="en-US" w:eastAsia="zh-CN" w:bidi="ar"/>
        </w:rPr>
        <w:t>浓度≥10000mg/L的有机废液）</w:t>
      </w:r>
      <w:r>
        <w:rPr>
          <w:rFonts w:hint="eastAsia" w:ascii="Times New Roman" w:hAnsi="Times New Roman" w:eastAsia="宋体" w:cs="Times New Roman"/>
          <w:color w:val="auto"/>
          <w:kern w:val="0"/>
          <w:sz w:val="24"/>
          <w:szCs w:val="24"/>
          <w:highlight w:val="none"/>
          <w:lang w:val="en-US" w:eastAsia="zh-CN" w:bidi="ar"/>
        </w:rPr>
        <w:t>、焦油罐焦油、</w:t>
      </w:r>
      <w:r>
        <w:rPr>
          <w:rFonts w:hint="default" w:ascii="Times New Roman" w:hAnsi="Times New Roman" w:eastAsia="宋体" w:cs="Times New Roman"/>
          <w:color w:val="auto"/>
          <w:kern w:val="0"/>
          <w:sz w:val="24"/>
          <w:szCs w:val="24"/>
          <w:highlight w:val="none"/>
          <w:lang w:val="en-US" w:eastAsia="zh-CN" w:bidi="ar"/>
        </w:rPr>
        <w:t>柴油</w:t>
      </w:r>
      <w:r>
        <w:rPr>
          <w:rFonts w:hint="eastAsia" w:ascii="Times New Roman" w:hAnsi="Times New Roman" w:eastAsia="宋体" w:cs="Times New Roman"/>
          <w:color w:val="auto"/>
          <w:kern w:val="0"/>
          <w:sz w:val="24"/>
          <w:szCs w:val="24"/>
          <w:highlight w:val="none"/>
          <w:lang w:val="en-US" w:eastAsia="zh-CN" w:bidi="ar"/>
        </w:rPr>
        <w:t>储罐内的柴油</w:t>
      </w:r>
      <w:r>
        <w:rPr>
          <w:rFonts w:hint="default" w:ascii="Times New Roman" w:hAnsi="Times New Roman" w:eastAsia="宋体" w:cs="Times New Roman"/>
          <w:color w:val="auto"/>
          <w:kern w:val="0"/>
          <w:sz w:val="24"/>
          <w:szCs w:val="24"/>
          <w:highlight w:val="none"/>
          <w:lang w:val="en-US" w:eastAsia="zh-CN" w:bidi="ar"/>
        </w:rPr>
        <w:t>及废矿物油（机油、润滑油等）。</w:t>
      </w:r>
    </w:p>
    <w:p w14:paraId="58B25346">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本项目涉及的</w:t>
      </w:r>
      <w:r>
        <w:rPr>
          <w:rFonts w:hint="eastAsia" w:ascii="Times New Roman" w:hAnsi="Times New Roman" w:eastAsia="宋体" w:cs="Times New Roman"/>
          <w:color w:val="auto"/>
          <w:kern w:val="0"/>
          <w:sz w:val="24"/>
          <w:szCs w:val="24"/>
          <w:highlight w:val="none"/>
          <w:lang w:val="en-US" w:eastAsia="zh-CN" w:bidi="ar"/>
        </w:rPr>
        <w:t>危险</w:t>
      </w:r>
      <w:r>
        <w:rPr>
          <w:rFonts w:hint="default" w:ascii="Times New Roman" w:hAnsi="Times New Roman" w:eastAsia="宋体" w:cs="Times New Roman"/>
          <w:color w:val="auto"/>
          <w:kern w:val="0"/>
          <w:sz w:val="24"/>
          <w:szCs w:val="24"/>
          <w:highlight w:val="none"/>
          <w:lang w:val="en-US" w:eastAsia="zh-CN" w:bidi="ar"/>
        </w:rPr>
        <w:t>物质危险特性见下表：</w:t>
      </w:r>
    </w:p>
    <w:p w14:paraId="4FB65311">
      <w:pPr>
        <w:pStyle w:val="14"/>
        <w:numPr>
          <w:ilvl w:val="0"/>
          <w:numId w:val="18"/>
        </w:numPr>
        <w:ind w:firstLine="48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甲烷</w:t>
      </w:r>
    </w:p>
    <w:p w14:paraId="5861E568">
      <w:pPr>
        <w:spacing w:line="240" w:lineRule="auto"/>
        <w:jc w:val="center"/>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1</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b/>
          <w:bCs/>
          <w:color w:val="auto"/>
          <w:highlight w:val="none"/>
          <w:lang w:val="en-US" w:eastAsia="zh-CN"/>
        </w:rPr>
        <w:t>甲烷</w:t>
      </w:r>
      <w:r>
        <w:rPr>
          <w:rFonts w:hint="eastAsia" w:ascii="Times New Roman" w:hAnsi="Times New Roman" w:cs="Times New Roman"/>
          <w:b/>
          <w:bCs/>
          <w:color w:val="auto"/>
          <w:highlight w:val="none"/>
          <w:lang w:val="en-US" w:eastAsia="zh-CN"/>
        </w:rPr>
        <w:t>理化特性及危险特性</w:t>
      </w:r>
    </w:p>
    <w:tbl>
      <w:tblPr>
        <w:tblStyle w:val="36"/>
        <w:tblW w:w="491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55"/>
        <w:gridCol w:w="4295"/>
        <w:gridCol w:w="3686"/>
      </w:tblGrid>
      <w:tr w14:paraId="6C07753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tcBorders>
              <w:tl2br w:val="nil"/>
              <w:tr2bl w:val="nil"/>
            </w:tcBorders>
            <w:noWrap w:val="0"/>
            <w:vAlign w:val="center"/>
          </w:tcPr>
          <w:p w14:paraId="47CDCB5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标识</w:t>
            </w:r>
          </w:p>
        </w:tc>
        <w:tc>
          <w:tcPr>
            <w:tcW w:w="2350" w:type="pct"/>
            <w:tcBorders>
              <w:tl2br w:val="nil"/>
              <w:tr2bl w:val="nil"/>
            </w:tcBorders>
            <w:noWrap w:val="0"/>
            <w:vAlign w:val="center"/>
          </w:tcPr>
          <w:p w14:paraId="0C1D7D46">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分子量：16.04</w:t>
            </w:r>
          </w:p>
        </w:tc>
        <w:tc>
          <w:tcPr>
            <w:tcW w:w="2017" w:type="pct"/>
            <w:tcBorders>
              <w:tl2br w:val="nil"/>
              <w:tr2bl w:val="nil"/>
            </w:tcBorders>
            <w:noWrap w:val="0"/>
            <w:vAlign w:val="center"/>
          </w:tcPr>
          <w:p w14:paraId="7676D999">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危险性类别：第2.1类易燃气体</w:t>
            </w:r>
          </w:p>
        </w:tc>
      </w:tr>
      <w:tr w14:paraId="419BC4A3">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vMerge w:val="restart"/>
            <w:tcBorders>
              <w:tl2br w:val="nil"/>
              <w:tr2bl w:val="nil"/>
            </w:tcBorders>
            <w:noWrap w:val="0"/>
            <w:vAlign w:val="center"/>
          </w:tcPr>
          <w:p w14:paraId="0DFBCA2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理化性质</w:t>
            </w:r>
          </w:p>
        </w:tc>
        <w:tc>
          <w:tcPr>
            <w:tcW w:w="2350" w:type="pct"/>
            <w:tcBorders>
              <w:tl2br w:val="nil"/>
              <w:tr2bl w:val="nil"/>
            </w:tcBorders>
            <w:noWrap w:val="0"/>
            <w:vAlign w:val="center"/>
          </w:tcPr>
          <w:p w14:paraId="5B0FB6ED">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外观与性状：无色、无味的可燃性气体</w:t>
            </w:r>
          </w:p>
        </w:tc>
        <w:tc>
          <w:tcPr>
            <w:tcW w:w="2017" w:type="pct"/>
            <w:tcBorders>
              <w:tl2br w:val="nil"/>
              <w:tr2bl w:val="nil"/>
            </w:tcBorders>
            <w:noWrap w:val="0"/>
            <w:vAlign w:val="center"/>
          </w:tcPr>
          <w:p w14:paraId="44EBCD41">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溶解性：微溶于水，溶于醇、乙醚</w:t>
            </w:r>
          </w:p>
        </w:tc>
      </w:tr>
      <w:tr w14:paraId="4B604FC1">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vMerge w:val="continue"/>
            <w:tcBorders>
              <w:tl2br w:val="nil"/>
              <w:tr2bl w:val="nil"/>
            </w:tcBorders>
            <w:noWrap w:val="0"/>
            <w:vAlign w:val="center"/>
          </w:tcPr>
          <w:p w14:paraId="76B7C8C1">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2350" w:type="pct"/>
            <w:tcBorders>
              <w:tl2br w:val="nil"/>
              <w:tr2bl w:val="nil"/>
            </w:tcBorders>
            <w:noWrap w:val="0"/>
            <w:vAlign w:val="center"/>
          </w:tcPr>
          <w:p w14:paraId="270B455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熔点（℃）：-182.5</w:t>
            </w:r>
          </w:p>
        </w:tc>
        <w:tc>
          <w:tcPr>
            <w:tcW w:w="2017" w:type="pct"/>
            <w:tcBorders>
              <w:tl2br w:val="nil"/>
              <w:tr2bl w:val="nil"/>
            </w:tcBorders>
            <w:noWrap w:val="0"/>
            <w:vAlign w:val="center"/>
          </w:tcPr>
          <w:p w14:paraId="4FE88FE7">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沸点（℃）：-161.5</w:t>
            </w:r>
          </w:p>
        </w:tc>
      </w:tr>
      <w:tr w14:paraId="38438A6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vMerge w:val="continue"/>
            <w:tcBorders>
              <w:tl2br w:val="nil"/>
              <w:tr2bl w:val="nil"/>
            </w:tcBorders>
            <w:noWrap w:val="0"/>
            <w:vAlign w:val="center"/>
          </w:tcPr>
          <w:p w14:paraId="209609C4">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2350" w:type="pct"/>
            <w:tcBorders>
              <w:tl2br w:val="nil"/>
              <w:tr2bl w:val="nil"/>
            </w:tcBorders>
            <w:noWrap w:val="0"/>
            <w:vAlign w:val="center"/>
          </w:tcPr>
          <w:p w14:paraId="52ADD1C2">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相对密度（空气=1）0.55</w:t>
            </w:r>
          </w:p>
        </w:tc>
        <w:tc>
          <w:tcPr>
            <w:tcW w:w="2017" w:type="pct"/>
            <w:tcBorders>
              <w:tl2br w:val="nil"/>
              <w:tr2bl w:val="nil"/>
            </w:tcBorders>
            <w:noWrap w:val="0"/>
            <w:vAlign w:val="center"/>
          </w:tcPr>
          <w:p w14:paraId="0B3A9813">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灭火剂：雾状水、泡沫、二氧化碳、干粉。</w:t>
            </w:r>
          </w:p>
        </w:tc>
      </w:tr>
      <w:tr w14:paraId="2272716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vMerge w:val="restart"/>
            <w:tcBorders>
              <w:tl2br w:val="nil"/>
              <w:tr2bl w:val="nil"/>
            </w:tcBorders>
            <w:noWrap w:val="0"/>
            <w:vAlign w:val="center"/>
          </w:tcPr>
          <w:p w14:paraId="480D9E50">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燃烧爆炸</w:t>
            </w:r>
          </w:p>
          <w:p w14:paraId="3DAB946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sz w:val="20"/>
                <w:szCs w:val="20"/>
                <w:highlight w:val="none"/>
                <w:lang w:val="en-US" w:eastAsia="zh-CN"/>
              </w:rPr>
              <w:t>危险特性</w:t>
            </w:r>
          </w:p>
        </w:tc>
        <w:tc>
          <w:tcPr>
            <w:tcW w:w="4367" w:type="pct"/>
            <w:gridSpan w:val="2"/>
            <w:tcBorders>
              <w:tl2br w:val="nil"/>
              <w:tr2bl w:val="nil"/>
            </w:tcBorders>
            <w:noWrap w:val="0"/>
            <w:vAlign w:val="center"/>
          </w:tcPr>
          <w:p w14:paraId="467AEA97">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禁忌物：热源、明火、五氧化溴、氯气、次氯酸、三氟化氮、液氧及其它强氧化剂。</w:t>
            </w:r>
          </w:p>
        </w:tc>
      </w:tr>
      <w:tr w14:paraId="0B70222A">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vMerge w:val="continue"/>
            <w:tcBorders>
              <w:tl2br w:val="nil"/>
              <w:tr2bl w:val="nil"/>
            </w:tcBorders>
            <w:noWrap w:val="0"/>
            <w:vAlign w:val="center"/>
          </w:tcPr>
          <w:p w14:paraId="401B2B2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p>
        </w:tc>
        <w:tc>
          <w:tcPr>
            <w:tcW w:w="4367" w:type="pct"/>
            <w:gridSpan w:val="2"/>
            <w:tcBorders>
              <w:tl2br w:val="nil"/>
              <w:tr2bl w:val="nil"/>
            </w:tcBorders>
            <w:noWrap w:val="0"/>
            <w:vAlign w:val="center"/>
          </w:tcPr>
          <w:p w14:paraId="7164E84E">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危险特性：易燃，与空气混合能形成爆炸性混合物，遇热源和明火有燃烧爆炸的危险。与五氧化溴、氯气、次氯酸、三氟化氮、液氧及其它强氧化剂接触剧烈反应。</w:t>
            </w:r>
          </w:p>
        </w:tc>
      </w:tr>
      <w:tr w14:paraId="69196C8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32" w:type="pct"/>
            <w:tcBorders>
              <w:tl2br w:val="nil"/>
              <w:tr2bl w:val="nil"/>
            </w:tcBorders>
            <w:noWrap w:val="0"/>
            <w:vAlign w:val="center"/>
          </w:tcPr>
          <w:p w14:paraId="6E4D273B">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毒性</w:t>
            </w:r>
          </w:p>
        </w:tc>
        <w:tc>
          <w:tcPr>
            <w:tcW w:w="4367" w:type="pct"/>
            <w:gridSpan w:val="2"/>
            <w:tcBorders>
              <w:tl2br w:val="nil"/>
              <w:tr2bl w:val="nil"/>
            </w:tcBorders>
            <w:noWrap w:val="0"/>
            <w:vAlign w:val="center"/>
          </w:tcPr>
          <w:p w14:paraId="69AF7155">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毒理学资料：小鼠吸入42%浓度×60分钟，麻醉作用。轻度危害。</w:t>
            </w:r>
          </w:p>
        </w:tc>
      </w:tr>
      <w:tr w14:paraId="50671AC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tcBorders>
              <w:tl2br w:val="nil"/>
              <w:tr2bl w:val="nil"/>
            </w:tcBorders>
            <w:noWrap w:val="0"/>
            <w:vAlign w:val="center"/>
          </w:tcPr>
          <w:p w14:paraId="0D4B28C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健康危害</w:t>
            </w:r>
          </w:p>
        </w:tc>
        <w:tc>
          <w:tcPr>
            <w:tcW w:w="4367" w:type="pct"/>
            <w:gridSpan w:val="2"/>
            <w:tcBorders>
              <w:tl2br w:val="nil"/>
              <w:tr2bl w:val="nil"/>
            </w:tcBorders>
            <w:noWrap w:val="0"/>
            <w:vAlign w:val="center"/>
          </w:tcPr>
          <w:p w14:paraId="03715C03">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甲烷对人基本无毒，但浓度过高时，使空气中氧含量明显降低，使人窒息。当空气中甲烷达25%-30%时，可引起头痛、头晕、乏力、注意力不集中、呼吸和心跳加速、共济失调。若不及时脱离，可致窒息死亡。皮肤接触液化本品，可致冻伤。</w:t>
            </w:r>
          </w:p>
        </w:tc>
      </w:tr>
      <w:tr w14:paraId="5CFF867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tcBorders>
              <w:tl2br w:val="nil"/>
              <w:tr2bl w:val="nil"/>
            </w:tcBorders>
            <w:noWrap w:val="0"/>
            <w:vAlign w:val="center"/>
          </w:tcPr>
          <w:p w14:paraId="182F717B">
            <w:pPr>
              <w:pStyle w:val="34"/>
              <w:keepNext w:val="0"/>
              <w:keepLines w:val="0"/>
              <w:suppressLineNumbers w:val="0"/>
              <w:spacing w:before="0" w:beforeAutospacing="0" w:afterAutospacing="0" w:line="240" w:lineRule="auto"/>
              <w:ind w:left="0" w:leftChars="0" w:right="0" w:firstLine="0" w:firstLineChars="0"/>
              <w:jc w:val="center"/>
              <w:rPr>
                <w:rFonts w:hint="default" w:ascii="Times New Roman" w:hAnsi="Times New Roman" w:cs="Times New Roman"/>
                <w:color w:val="auto"/>
                <w:sz w:val="20"/>
                <w:szCs w:val="20"/>
                <w:highlight w:val="none"/>
                <w:vertAlign w:val="baseline"/>
                <w:lang w:val="en-US" w:eastAsia="zh-CN"/>
              </w:rPr>
            </w:pPr>
            <w:r>
              <w:rPr>
                <w:rFonts w:hint="default" w:ascii="Times New Roman" w:hAnsi="Times New Roman" w:cs="Times New Roman"/>
                <w:color w:val="auto"/>
                <w:sz w:val="20"/>
                <w:szCs w:val="20"/>
                <w:highlight w:val="none"/>
                <w:vertAlign w:val="baseline"/>
                <w:lang w:val="en-US" w:eastAsia="zh-CN"/>
              </w:rPr>
              <w:t>急救方案</w:t>
            </w:r>
          </w:p>
        </w:tc>
        <w:tc>
          <w:tcPr>
            <w:tcW w:w="4367" w:type="pct"/>
            <w:gridSpan w:val="2"/>
            <w:tcBorders>
              <w:tl2br w:val="nil"/>
              <w:tr2bl w:val="nil"/>
            </w:tcBorders>
            <w:noWrap w:val="0"/>
            <w:vAlign w:val="center"/>
          </w:tcPr>
          <w:p w14:paraId="30920CAE">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皮肤接触：若有冻伤，就医治疗。吸入：迅速脱离现场至空气新鲜处。保持呼吸道通畅。如呼吸困难，给输氧。如呼吸停止，立即进行人工呼吸。就医。</w:t>
            </w:r>
          </w:p>
        </w:tc>
      </w:tr>
      <w:tr w14:paraId="48E4722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tcBorders>
              <w:tl2br w:val="nil"/>
              <w:tr2bl w:val="nil"/>
            </w:tcBorders>
            <w:noWrap w:val="0"/>
            <w:vAlign w:val="center"/>
          </w:tcPr>
          <w:p w14:paraId="0276EF75">
            <w:pPr>
              <w:pStyle w:val="34"/>
              <w:keepNext w:val="0"/>
              <w:keepLines w:val="0"/>
              <w:suppressLineNumbers w:val="0"/>
              <w:spacing w:before="0" w:beforeAutospacing="0" w:afterAutospacing="0" w:line="240" w:lineRule="auto"/>
              <w:ind w:left="0" w:leftChars="0" w:right="0" w:firstLine="0" w:firstLineChars="0"/>
              <w:jc w:val="center"/>
              <w:rPr>
                <w:rFonts w:hint="default" w:ascii="Times New Roman" w:hAnsi="Times New Roman" w:cs="Times New Roman"/>
                <w:color w:val="auto"/>
                <w:sz w:val="20"/>
                <w:szCs w:val="20"/>
                <w:highlight w:val="none"/>
                <w:vertAlign w:val="baseline"/>
                <w:lang w:val="en-US" w:eastAsia="zh-CN"/>
              </w:rPr>
            </w:pPr>
            <w:r>
              <w:rPr>
                <w:rFonts w:hint="default" w:ascii="Times New Roman" w:hAnsi="Times New Roman" w:cs="Times New Roman"/>
                <w:color w:val="auto"/>
                <w:sz w:val="20"/>
                <w:szCs w:val="20"/>
                <w:highlight w:val="none"/>
                <w:vertAlign w:val="baseline"/>
                <w:lang w:val="en-US" w:eastAsia="zh-CN"/>
              </w:rPr>
              <w:t>防护措施</w:t>
            </w:r>
          </w:p>
        </w:tc>
        <w:tc>
          <w:tcPr>
            <w:tcW w:w="4367" w:type="pct"/>
            <w:gridSpan w:val="2"/>
            <w:tcBorders>
              <w:tl2br w:val="nil"/>
              <w:tr2bl w:val="nil"/>
            </w:tcBorders>
            <w:noWrap w:val="0"/>
            <w:vAlign w:val="center"/>
          </w:tcPr>
          <w:p w14:paraId="3E77EE45">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呼吸系统防护：一般不需要特殊防护，但建议特殊情况下，佩带自吸过滤式防毒面具</w:t>
            </w:r>
            <w:r>
              <w:rPr>
                <w:rFonts w:hint="eastAsia" w:ascii="Times New Roman" w:hAnsi="Times New Roman" w:eastAsia="宋体" w:cs="Times New Roman"/>
                <w:color w:val="auto"/>
                <w:kern w:val="0"/>
                <w:sz w:val="20"/>
                <w:szCs w:val="20"/>
                <w:highlight w:val="none"/>
                <w:lang w:val="en-US" w:eastAsia="zh-CN" w:bidi="ar"/>
              </w:rPr>
              <w:t>（</w:t>
            </w:r>
            <w:r>
              <w:rPr>
                <w:rFonts w:hint="default" w:ascii="Times New Roman" w:hAnsi="Times New Roman" w:eastAsia="宋体" w:cs="Times New Roman"/>
                <w:color w:val="auto"/>
                <w:kern w:val="0"/>
                <w:sz w:val="20"/>
                <w:szCs w:val="20"/>
                <w:highlight w:val="none"/>
                <w:lang w:val="en-US" w:eastAsia="zh-CN" w:bidi="ar"/>
              </w:rPr>
              <w:t>半面罩</w:t>
            </w:r>
            <w:r>
              <w:rPr>
                <w:rFonts w:hint="eastAsia" w:ascii="Times New Roman" w:hAnsi="Times New Roman" w:eastAsia="宋体" w:cs="Times New Roman"/>
                <w:color w:val="auto"/>
                <w:kern w:val="0"/>
                <w:sz w:val="20"/>
                <w:szCs w:val="20"/>
                <w:highlight w:val="none"/>
                <w:lang w:val="en-US" w:eastAsia="zh-CN" w:bidi="ar"/>
              </w:rPr>
              <w:t>）</w:t>
            </w:r>
            <w:r>
              <w:rPr>
                <w:rFonts w:hint="default" w:ascii="Times New Roman" w:hAnsi="Times New Roman" w:eastAsia="宋体" w:cs="Times New Roman"/>
                <w:color w:val="auto"/>
                <w:kern w:val="0"/>
                <w:sz w:val="20"/>
                <w:szCs w:val="20"/>
                <w:highlight w:val="none"/>
                <w:lang w:val="en-US" w:eastAsia="zh-CN" w:bidi="ar"/>
              </w:rPr>
              <w:t>。眼睛防护：一般不需要特别防护，高浓度接触时可戴安全防护眼镜。身体防护：穿防静电工作服。手防护：戴一般作业防护手套。其它：工作现场严禁吸烟。避免长期反复接触。进入罐、限制性空间或其它高浓度区作业，须有人监护。</w:t>
            </w:r>
          </w:p>
        </w:tc>
      </w:tr>
      <w:tr w14:paraId="18313A0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tcBorders>
              <w:tl2br w:val="nil"/>
              <w:tr2bl w:val="nil"/>
            </w:tcBorders>
            <w:noWrap w:val="0"/>
            <w:vAlign w:val="center"/>
          </w:tcPr>
          <w:p w14:paraId="161DAE28">
            <w:pPr>
              <w:pStyle w:val="34"/>
              <w:keepNext w:val="0"/>
              <w:keepLines w:val="0"/>
              <w:suppressLineNumbers w:val="0"/>
              <w:spacing w:before="0" w:beforeAutospacing="0" w:afterAutospacing="0" w:line="240" w:lineRule="auto"/>
              <w:ind w:left="0" w:leftChars="0" w:right="0" w:firstLine="0" w:firstLineChars="0"/>
              <w:jc w:val="center"/>
              <w:rPr>
                <w:rFonts w:hint="default" w:ascii="Times New Roman" w:hAnsi="Times New Roman" w:cs="Times New Roman"/>
                <w:color w:val="auto"/>
                <w:sz w:val="20"/>
                <w:szCs w:val="20"/>
                <w:highlight w:val="none"/>
                <w:vertAlign w:val="baseline"/>
                <w:lang w:val="en-US" w:eastAsia="zh-CN"/>
              </w:rPr>
            </w:pPr>
            <w:r>
              <w:rPr>
                <w:rFonts w:hint="default" w:ascii="Times New Roman" w:hAnsi="Times New Roman" w:cs="Times New Roman"/>
                <w:color w:val="auto"/>
                <w:sz w:val="20"/>
                <w:szCs w:val="20"/>
                <w:highlight w:val="none"/>
                <w:vertAlign w:val="baseline"/>
                <w:lang w:val="en-US" w:eastAsia="zh-CN"/>
              </w:rPr>
              <w:t>灭火方法</w:t>
            </w:r>
          </w:p>
        </w:tc>
        <w:tc>
          <w:tcPr>
            <w:tcW w:w="4367" w:type="pct"/>
            <w:gridSpan w:val="2"/>
            <w:tcBorders>
              <w:tl2br w:val="nil"/>
              <w:tr2bl w:val="nil"/>
            </w:tcBorders>
            <w:noWrap w:val="0"/>
            <w:vAlign w:val="center"/>
          </w:tcPr>
          <w:p w14:paraId="31F6113A">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切断气源。若不能立即切断气源，则不允许熄灭正在燃烧的气体。喷水冷却容器，可能的话将容器从火场移至空旷处。</w:t>
            </w:r>
          </w:p>
        </w:tc>
      </w:tr>
      <w:tr w14:paraId="06A1ED6C">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tcBorders>
              <w:tl2br w:val="nil"/>
              <w:tr2bl w:val="nil"/>
            </w:tcBorders>
            <w:noWrap w:val="0"/>
            <w:vAlign w:val="center"/>
          </w:tcPr>
          <w:p w14:paraId="4AF34234">
            <w:pPr>
              <w:pStyle w:val="34"/>
              <w:keepNext w:val="0"/>
              <w:keepLines w:val="0"/>
              <w:suppressLineNumbers w:val="0"/>
              <w:spacing w:before="0" w:beforeAutospacing="0" w:afterAutospacing="0" w:line="240" w:lineRule="auto"/>
              <w:ind w:left="0" w:leftChars="0" w:right="0" w:firstLine="0" w:firstLineChars="0"/>
              <w:jc w:val="center"/>
              <w:rPr>
                <w:rFonts w:hint="default" w:ascii="Times New Roman" w:hAnsi="Times New Roman" w:cs="Times New Roman"/>
                <w:color w:val="auto"/>
                <w:sz w:val="20"/>
                <w:szCs w:val="20"/>
                <w:highlight w:val="none"/>
                <w:vertAlign w:val="baseline"/>
                <w:lang w:val="en-US" w:eastAsia="zh-CN"/>
              </w:rPr>
            </w:pPr>
            <w:r>
              <w:rPr>
                <w:rFonts w:hint="default" w:ascii="Times New Roman" w:hAnsi="Times New Roman" w:cs="Times New Roman"/>
                <w:color w:val="auto"/>
                <w:sz w:val="20"/>
                <w:szCs w:val="20"/>
                <w:highlight w:val="none"/>
                <w:vertAlign w:val="baseline"/>
                <w:lang w:val="en-US" w:eastAsia="zh-CN"/>
              </w:rPr>
              <w:t>泄漏处理</w:t>
            </w:r>
          </w:p>
        </w:tc>
        <w:tc>
          <w:tcPr>
            <w:tcW w:w="4367" w:type="pct"/>
            <w:gridSpan w:val="2"/>
            <w:tcBorders>
              <w:tl2br w:val="nil"/>
              <w:tr2bl w:val="nil"/>
            </w:tcBorders>
            <w:noWrap w:val="0"/>
            <w:vAlign w:val="center"/>
          </w:tcPr>
          <w:p w14:paraId="272F5CAE">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left"/>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迅速撤离泄漏污染区人员至上风处，并进行隔离，严格限制出入。切断火源。建议应急处理人员戴自给正压式呼吸器，穿消防防护服。尽可能切断泄漏源。合理通风，加速扩散。喷雾状水稀释、溶解。构筑围堤或挖坑收容产生的大量废水。如有可能，将漏出气用排风机送至空旷地方或装设适当喷头烧掉。也可以将漏气的容器移至空旷处，注意通风。漏气容器要妥善处理，修复、检验后再用。</w:t>
            </w:r>
          </w:p>
        </w:tc>
      </w:tr>
      <w:tr w14:paraId="4A166FD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32" w:type="pct"/>
            <w:tcBorders>
              <w:tl2br w:val="nil"/>
              <w:tr2bl w:val="nil"/>
            </w:tcBorders>
            <w:noWrap w:val="0"/>
            <w:vAlign w:val="center"/>
          </w:tcPr>
          <w:p w14:paraId="7A30949F">
            <w:pPr>
              <w:pStyle w:val="34"/>
              <w:keepNext w:val="0"/>
              <w:keepLines w:val="0"/>
              <w:suppressLineNumbers w:val="0"/>
              <w:spacing w:before="0" w:beforeAutospacing="0" w:afterAutospacing="0" w:line="240" w:lineRule="auto"/>
              <w:ind w:left="0" w:leftChars="0" w:right="0" w:firstLine="0" w:firstLineChars="0"/>
              <w:jc w:val="center"/>
              <w:rPr>
                <w:rFonts w:hint="default" w:ascii="Times New Roman" w:hAnsi="Times New Roman" w:cs="Times New Roman"/>
                <w:color w:val="auto"/>
                <w:sz w:val="20"/>
                <w:szCs w:val="20"/>
                <w:highlight w:val="none"/>
                <w:vertAlign w:val="baseline"/>
                <w:lang w:val="en-US" w:eastAsia="zh-CN"/>
              </w:rPr>
            </w:pPr>
            <w:r>
              <w:rPr>
                <w:rFonts w:hint="default" w:ascii="Times New Roman" w:hAnsi="Times New Roman" w:cs="Times New Roman"/>
                <w:color w:val="auto"/>
                <w:sz w:val="20"/>
                <w:szCs w:val="20"/>
                <w:highlight w:val="none"/>
                <w:vertAlign w:val="baseline"/>
                <w:lang w:val="en-US" w:eastAsia="zh-CN"/>
              </w:rPr>
              <w:t>储存</w:t>
            </w:r>
          </w:p>
        </w:tc>
        <w:tc>
          <w:tcPr>
            <w:tcW w:w="4367" w:type="pct"/>
            <w:gridSpan w:val="2"/>
            <w:tcBorders>
              <w:tl2br w:val="nil"/>
              <w:tr2bl w:val="nil"/>
            </w:tcBorders>
            <w:noWrap w:val="0"/>
            <w:vAlign w:val="center"/>
          </w:tcPr>
          <w:p w14:paraId="4BA7ED4B">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left"/>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操作注意事项：密闭操作，全面通风。操作人员须经过专门培训，严格遵守操作规程。远离火种、热源，工作场所严禁吸烟。使用防爆型的通风系统和设备。防止气体泄漏到工作场所空气中。避免与氧化剂接触。在传送过程中，钢瓶和容器须接地和跨接，防止产生静电。搬运时轻装轻卸，防止钢瓶及附件破损。配备相应品种和数量的消防器材及泄漏应急处理设备。</w:t>
            </w:r>
          </w:p>
        </w:tc>
      </w:tr>
    </w:tbl>
    <w:p w14:paraId="69DC55CC">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2</w:t>
      </w: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CO</w:t>
      </w:r>
    </w:p>
    <w:p w14:paraId="631404D9">
      <w:pPr>
        <w:spacing w:line="240" w:lineRule="auto"/>
        <w:jc w:val="center"/>
        <w:rPr>
          <w:rFonts w:hint="eastAsia"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2</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b/>
          <w:bCs/>
          <w:color w:val="auto"/>
          <w:highlight w:val="none"/>
        </w:rPr>
        <w:t xml:space="preserve"> </w:t>
      </w:r>
      <w:r>
        <w:rPr>
          <w:rFonts w:hint="eastAsia" w:ascii="Times New Roman" w:hAnsi="Times New Roman" w:cs="Times New Roman"/>
          <w:b/>
          <w:bCs/>
          <w:color w:val="auto"/>
          <w:highlight w:val="none"/>
          <w:lang w:val="en-US" w:eastAsia="zh-CN"/>
        </w:rPr>
        <w:t>CO理化特性及危险特性</w:t>
      </w:r>
    </w:p>
    <w:tbl>
      <w:tblPr>
        <w:tblStyle w:val="132"/>
        <w:tblW w:w="4999"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078"/>
        <w:gridCol w:w="2028"/>
        <w:gridCol w:w="1967"/>
        <w:gridCol w:w="3997"/>
      </w:tblGrid>
      <w:tr w14:paraId="60FECEB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restart"/>
            <w:tcBorders>
              <w:tl2br w:val="nil"/>
              <w:tr2bl w:val="nil"/>
            </w:tcBorders>
            <w:vAlign w:val="center"/>
          </w:tcPr>
          <w:p w14:paraId="3D64CAE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标识</w:t>
            </w:r>
          </w:p>
        </w:tc>
        <w:tc>
          <w:tcPr>
            <w:tcW w:w="2202" w:type="pct"/>
            <w:gridSpan w:val="2"/>
            <w:tcBorders>
              <w:tl2br w:val="nil"/>
              <w:tr2bl w:val="nil"/>
            </w:tcBorders>
            <w:vAlign w:val="center"/>
          </w:tcPr>
          <w:p w14:paraId="5EC993C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中文名：一氧化碳</w:t>
            </w:r>
          </w:p>
        </w:tc>
        <w:tc>
          <w:tcPr>
            <w:tcW w:w="2203" w:type="pct"/>
            <w:tcBorders>
              <w:tl2br w:val="nil"/>
              <w:tr2bl w:val="nil"/>
            </w:tcBorders>
            <w:vAlign w:val="center"/>
          </w:tcPr>
          <w:p w14:paraId="7638180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英文名：carbon nomoxide</w:t>
            </w:r>
          </w:p>
        </w:tc>
      </w:tr>
      <w:tr w14:paraId="226BABB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2A4CF3D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65340D4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分子式：CO</w:t>
            </w:r>
          </w:p>
        </w:tc>
        <w:tc>
          <w:tcPr>
            <w:tcW w:w="2203" w:type="pct"/>
            <w:tcBorders>
              <w:tl2br w:val="nil"/>
              <w:tr2bl w:val="nil"/>
            </w:tcBorders>
            <w:vAlign w:val="center"/>
          </w:tcPr>
          <w:p w14:paraId="18EEF64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分子量：28</w:t>
            </w:r>
          </w:p>
        </w:tc>
      </w:tr>
      <w:tr w14:paraId="7AFC14A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17A7206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1118" w:type="pct"/>
            <w:tcBorders>
              <w:tl2br w:val="nil"/>
              <w:tr2bl w:val="nil"/>
            </w:tcBorders>
            <w:vAlign w:val="center"/>
          </w:tcPr>
          <w:p w14:paraId="0192437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危规号：21005</w:t>
            </w:r>
          </w:p>
        </w:tc>
        <w:tc>
          <w:tcPr>
            <w:tcW w:w="1084" w:type="pct"/>
            <w:tcBorders>
              <w:tl2br w:val="nil"/>
              <w:tr2bl w:val="nil"/>
            </w:tcBorders>
            <w:vAlign w:val="center"/>
          </w:tcPr>
          <w:p w14:paraId="633218D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UN编号：101</w:t>
            </w:r>
          </w:p>
        </w:tc>
        <w:tc>
          <w:tcPr>
            <w:tcW w:w="2203" w:type="pct"/>
            <w:tcBorders>
              <w:tl2br w:val="nil"/>
              <w:tr2bl w:val="nil"/>
            </w:tcBorders>
            <w:vAlign w:val="center"/>
          </w:tcPr>
          <w:p w14:paraId="13F00BA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CAS号：630-08-0</w:t>
            </w:r>
          </w:p>
        </w:tc>
      </w:tr>
      <w:tr w14:paraId="09DDF85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restart"/>
            <w:tcBorders>
              <w:tl2br w:val="nil"/>
              <w:tr2bl w:val="nil"/>
            </w:tcBorders>
            <w:vAlign w:val="center"/>
          </w:tcPr>
          <w:p w14:paraId="33B0543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理化性质</w:t>
            </w:r>
          </w:p>
        </w:tc>
        <w:tc>
          <w:tcPr>
            <w:tcW w:w="2202" w:type="pct"/>
            <w:gridSpan w:val="2"/>
            <w:tcBorders>
              <w:tl2br w:val="nil"/>
              <w:tr2bl w:val="nil"/>
            </w:tcBorders>
            <w:vAlign w:val="center"/>
          </w:tcPr>
          <w:p w14:paraId="0E9B488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外观与形状：无色无臭气体</w:t>
            </w:r>
          </w:p>
        </w:tc>
        <w:tc>
          <w:tcPr>
            <w:tcW w:w="2203" w:type="pct"/>
            <w:tcBorders>
              <w:tl2br w:val="nil"/>
              <w:tr2bl w:val="nil"/>
            </w:tcBorders>
            <w:vAlign w:val="center"/>
          </w:tcPr>
          <w:p w14:paraId="763928C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溶解性：微溶于水，溶于乙醇、苯等多数有机溶剂</w:t>
            </w:r>
          </w:p>
        </w:tc>
      </w:tr>
      <w:tr w14:paraId="34E3844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238CF54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p>
        </w:tc>
        <w:tc>
          <w:tcPr>
            <w:tcW w:w="2202" w:type="pct"/>
            <w:gridSpan w:val="2"/>
            <w:tcBorders>
              <w:tl2br w:val="nil"/>
              <w:tr2bl w:val="nil"/>
            </w:tcBorders>
            <w:vAlign w:val="center"/>
          </w:tcPr>
          <w:p w14:paraId="71AB60B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熔点(℃)：-199.1</w:t>
            </w:r>
          </w:p>
        </w:tc>
        <w:tc>
          <w:tcPr>
            <w:tcW w:w="2203" w:type="pct"/>
            <w:tcBorders>
              <w:tl2br w:val="nil"/>
              <w:tr2bl w:val="nil"/>
            </w:tcBorders>
            <w:vAlign w:val="center"/>
          </w:tcPr>
          <w:p w14:paraId="56A9385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沸点(℃)：-191.4</w:t>
            </w:r>
          </w:p>
        </w:tc>
      </w:tr>
      <w:tr w14:paraId="3CB46F6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1756586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6689711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相对密度(水=1)：0.79(252℃)</w:t>
            </w:r>
          </w:p>
        </w:tc>
        <w:tc>
          <w:tcPr>
            <w:tcW w:w="2203" w:type="pct"/>
            <w:tcBorders>
              <w:tl2br w:val="nil"/>
              <w:tr2bl w:val="nil"/>
            </w:tcBorders>
            <w:vAlign w:val="center"/>
          </w:tcPr>
          <w:p w14:paraId="41C4F9E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相对密度(空气=1)：0.97</w:t>
            </w:r>
          </w:p>
        </w:tc>
      </w:tr>
      <w:tr w14:paraId="6478BA7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7123BE9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03540C8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饱和蒸汽压(kPa)：13.33(-257.9℃)</w:t>
            </w:r>
          </w:p>
        </w:tc>
        <w:tc>
          <w:tcPr>
            <w:tcW w:w="2203" w:type="pct"/>
            <w:tcBorders>
              <w:tl2br w:val="nil"/>
              <w:tr2bl w:val="nil"/>
            </w:tcBorders>
            <w:vAlign w:val="center"/>
          </w:tcPr>
          <w:p w14:paraId="4A70CD1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禁忌物：强氧化剂、碱类</w:t>
            </w:r>
          </w:p>
        </w:tc>
      </w:tr>
      <w:tr w14:paraId="6E304B0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0696EA5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p>
        </w:tc>
        <w:tc>
          <w:tcPr>
            <w:tcW w:w="2202" w:type="pct"/>
            <w:gridSpan w:val="2"/>
            <w:tcBorders>
              <w:tl2br w:val="nil"/>
              <w:tr2bl w:val="nil"/>
            </w:tcBorders>
            <w:vAlign w:val="center"/>
          </w:tcPr>
          <w:p w14:paraId="66A89D1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临界压力(Mpa)：3.50</w:t>
            </w:r>
          </w:p>
        </w:tc>
        <w:tc>
          <w:tcPr>
            <w:tcW w:w="2203" w:type="pct"/>
            <w:tcBorders>
              <w:tl2br w:val="nil"/>
              <w:tr2bl w:val="nil"/>
            </w:tcBorders>
            <w:vAlign w:val="center"/>
          </w:tcPr>
          <w:p w14:paraId="6D9E550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临界温度(℃)：-140.2</w:t>
            </w:r>
          </w:p>
        </w:tc>
      </w:tr>
      <w:tr w14:paraId="7A3DB56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4DBA230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78DEB04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LC50：2069mg/m</w:t>
            </w:r>
            <w:r>
              <w:rPr>
                <w:rFonts w:hint="default" w:ascii="Times New Roman" w:hAnsi="Times New Roman" w:cs="Times New Roman"/>
                <w:color w:val="auto"/>
                <w:kern w:val="0"/>
                <w:sz w:val="20"/>
                <w:szCs w:val="20"/>
                <w:highlight w:val="none"/>
                <w:vertAlign w:val="superscript"/>
                <w:lang w:eastAsia="en-US"/>
              </w:rPr>
              <w:t>3</w:t>
            </w:r>
            <w:r>
              <w:rPr>
                <w:rFonts w:hint="default" w:ascii="Times New Roman" w:hAnsi="Times New Roman" w:cs="Times New Roman"/>
                <w:color w:val="auto"/>
                <w:kern w:val="0"/>
                <w:sz w:val="20"/>
                <w:szCs w:val="20"/>
                <w:highlight w:val="none"/>
                <w:lang w:eastAsia="en-US"/>
              </w:rPr>
              <w:t>(人吸入1小时</w:t>
            </w:r>
          </w:p>
        </w:tc>
        <w:tc>
          <w:tcPr>
            <w:tcW w:w="2203" w:type="pct"/>
            <w:tcBorders>
              <w:tl2br w:val="nil"/>
              <w:tr2bl w:val="nil"/>
            </w:tcBorders>
            <w:vAlign w:val="center"/>
          </w:tcPr>
          <w:p w14:paraId="121CE9B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LD50：</w:t>
            </w:r>
          </w:p>
        </w:tc>
      </w:tr>
      <w:tr w14:paraId="4795B04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2C65915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4F860EA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稳定性：稳定</w:t>
            </w:r>
          </w:p>
        </w:tc>
        <w:tc>
          <w:tcPr>
            <w:tcW w:w="2203" w:type="pct"/>
            <w:tcBorders>
              <w:tl2br w:val="nil"/>
              <w:tr2bl w:val="nil"/>
            </w:tcBorders>
            <w:vAlign w:val="center"/>
          </w:tcPr>
          <w:p w14:paraId="64EBDD4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聚合危害：不聚合</w:t>
            </w:r>
          </w:p>
        </w:tc>
      </w:tr>
      <w:tr w14:paraId="7CF4C77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restart"/>
            <w:tcBorders>
              <w:tl2br w:val="nil"/>
              <w:tr2bl w:val="nil"/>
            </w:tcBorders>
            <w:vAlign w:val="center"/>
          </w:tcPr>
          <w:p w14:paraId="5497B34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危险特性</w:t>
            </w:r>
          </w:p>
        </w:tc>
        <w:tc>
          <w:tcPr>
            <w:tcW w:w="2202" w:type="pct"/>
            <w:gridSpan w:val="2"/>
            <w:tcBorders>
              <w:tl2br w:val="nil"/>
              <w:tr2bl w:val="nil"/>
            </w:tcBorders>
            <w:vAlign w:val="center"/>
          </w:tcPr>
          <w:p w14:paraId="5AC5D32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危险性类别：第2.1类易燃气体</w:t>
            </w:r>
          </w:p>
        </w:tc>
        <w:tc>
          <w:tcPr>
            <w:tcW w:w="2203" w:type="pct"/>
            <w:tcBorders>
              <w:tl2br w:val="nil"/>
              <w:tr2bl w:val="nil"/>
            </w:tcBorders>
            <w:vAlign w:val="center"/>
          </w:tcPr>
          <w:p w14:paraId="724284F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燃烧性：易燃</w:t>
            </w:r>
          </w:p>
        </w:tc>
      </w:tr>
      <w:tr w14:paraId="538FF80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5595B75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6BA74F9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引燃温度(℃)：610</w:t>
            </w:r>
          </w:p>
        </w:tc>
        <w:tc>
          <w:tcPr>
            <w:tcW w:w="2203" w:type="pct"/>
            <w:tcBorders>
              <w:tl2br w:val="nil"/>
              <w:tr2bl w:val="nil"/>
            </w:tcBorders>
            <w:vAlign w:val="center"/>
          </w:tcPr>
          <w:p w14:paraId="0CA5E6B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闪点(℃)：&lt;-50</w:t>
            </w:r>
          </w:p>
        </w:tc>
      </w:tr>
      <w:tr w14:paraId="631542C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552B1BA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71D1B4B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爆炸下限(%)：12.5</w:t>
            </w:r>
          </w:p>
        </w:tc>
        <w:tc>
          <w:tcPr>
            <w:tcW w:w="2203" w:type="pct"/>
            <w:tcBorders>
              <w:tl2br w:val="nil"/>
              <w:tr2bl w:val="nil"/>
            </w:tcBorders>
            <w:vAlign w:val="center"/>
          </w:tcPr>
          <w:p w14:paraId="150E5D1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爆炸上限(%)：74.2</w:t>
            </w:r>
          </w:p>
        </w:tc>
      </w:tr>
      <w:tr w14:paraId="22E8666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41B05BF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25C59E2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最小点火能(MJ)0.3～0.4</w:t>
            </w:r>
          </w:p>
        </w:tc>
        <w:tc>
          <w:tcPr>
            <w:tcW w:w="2203" w:type="pct"/>
            <w:tcBorders>
              <w:tl2br w:val="nil"/>
              <w:tr2bl w:val="nil"/>
            </w:tcBorders>
            <w:vAlign w:val="center"/>
          </w:tcPr>
          <w:p w14:paraId="2950FC3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最大爆炸压力(MPa)：0.720</w:t>
            </w:r>
          </w:p>
        </w:tc>
      </w:tr>
      <w:tr w14:paraId="1239B09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48AC6B0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2202" w:type="pct"/>
            <w:gridSpan w:val="2"/>
            <w:tcBorders>
              <w:tl2br w:val="nil"/>
              <w:tr2bl w:val="nil"/>
            </w:tcBorders>
            <w:vAlign w:val="center"/>
          </w:tcPr>
          <w:p w14:paraId="1992086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燃烧热(j/mol)：285624</w:t>
            </w:r>
          </w:p>
        </w:tc>
        <w:tc>
          <w:tcPr>
            <w:tcW w:w="2203" w:type="pct"/>
            <w:tcBorders>
              <w:tl2br w:val="nil"/>
              <w:tr2bl w:val="nil"/>
            </w:tcBorders>
            <w:vAlign w:val="center"/>
          </w:tcPr>
          <w:p w14:paraId="1259987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燃烧(分解)产物：二氧化碳</w:t>
            </w:r>
          </w:p>
        </w:tc>
      </w:tr>
      <w:tr w14:paraId="1E5D86B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4A37872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p>
        </w:tc>
        <w:tc>
          <w:tcPr>
            <w:tcW w:w="4405" w:type="pct"/>
            <w:gridSpan w:val="3"/>
            <w:tcBorders>
              <w:tl2br w:val="nil"/>
              <w:tr2bl w:val="nil"/>
            </w:tcBorders>
            <w:vAlign w:val="center"/>
          </w:tcPr>
          <w:p w14:paraId="4F48291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危险特性：是一种易燃易爆气体，与空气混合能形成爆炸性混合物，遇明火、高位能引起燃烧爆炸。</w:t>
            </w:r>
          </w:p>
        </w:tc>
      </w:tr>
      <w:tr w14:paraId="53C5B8E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0504E94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p>
        </w:tc>
        <w:tc>
          <w:tcPr>
            <w:tcW w:w="4405" w:type="pct"/>
            <w:gridSpan w:val="3"/>
            <w:tcBorders>
              <w:tl2br w:val="nil"/>
              <w:tr2bl w:val="nil"/>
            </w:tcBorders>
            <w:vAlign w:val="center"/>
          </w:tcPr>
          <w:p w14:paraId="28760C6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灭火方法：切断气源。若不能切断气源,则不允许熄灭正在燃烧的气体,喷水冷却容器，可能的话将容器从火场移至空旷处。</w:t>
            </w:r>
          </w:p>
        </w:tc>
      </w:tr>
      <w:tr w14:paraId="555BE65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63547E8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p>
        </w:tc>
        <w:tc>
          <w:tcPr>
            <w:tcW w:w="4405" w:type="pct"/>
            <w:gridSpan w:val="3"/>
            <w:tcBorders>
              <w:tl2br w:val="nil"/>
              <w:tr2bl w:val="nil"/>
            </w:tcBorders>
            <w:vAlign w:val="center"/>
          </w:tcPr>
          <w:p w14:paraId="3B876C8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灭火剂：泡沫、二氧化碳、雾状水、干粉。</w:t>
            </w:r>
          </w:p>
        </w:tc>
      </w:tr>
      <w:tr w14:paraId="4E21648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restart"/>
            <w:tcBorders>
              <w:tl2br w:val="nil"/>
              <w:tr2bl w:val="nil"/>
            </w:tcBorders>
            <w:vAlign w:val="center"/>
          </w:tcPr>
          <w:p w14:paraId="41A15DC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健康危害</w:t>
            </w:r>
          </w:p>
        </w:tc>
        <w:tc>
          <w:tcPr>
            <w:tcW w:w="4405" w:type="pct"/>
            <w:gridSpan w:val="3"/>
            <w:tcBorders>
              <w:tl2br w:val="nil"/>
              <w:tr2bl w:val="nil"/>
            </w:tcBorders>
            <w:vAlign w:val="center"/>
          </w:tcPr>
          <w:p w14:paraId="66971C3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侵入途径:吸入</w:t>
            </w:r>
          </w:p>
        </w:tc>
      </w:tr>
      <w:tr w14:paraId="6F82A23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721AA25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p>
        </w:tc>
        <w:tc>
          <w:tcPr>
            <w:tcW w:w="4405" w:type="pct"/>
            <w:gridSpan w:val="3"/>
            <w:tcBorders>
              <w:tl2br w:val="nil"/>
              <w:tr2bl w:val="nil"/>
            </w:tcBorders>
            <w:vAlign w:val="center"/>
          </w:tcPr>
          <w:p w14:paraId="02D33496">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健康危害：CO在血液中与血红蛋白结合而造成组织缺氧。</w:t>
            </w:r>
          </w:p>
          <w:p w14:paraId="7B950288">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急性中毒：轻度中毒者出现头痛、头晕、耳鸣、心悸、恶心、呕吐、无力,血液碳氧血红蛋白浓度可高于10%:中度中毒者除上述症状外,还有皮肤粘膜呈樱红色、脉快、烦躁、步态不稳、浅至中度昏迷,血液碳氧血红蛋白浓度可高于30%：重度患者深度昏危迷、瞳孔缩小、肌张力增强、频繁抽搐、大小便失禁、休克、肺水肿、严重心肌损害等，血液碳氧血红蛋白可高于50%。部分患者昏迷苏醒后，又可能出现迟发性脑病，以意识精神障碍、锥体系或锥体外系损害为主。</w:t>
            </w:r>
          </w:p>
          <w:p w14:paraId="1E8F0369">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慢性影响：能否造成慢性中毒及对心血管影响无定论。</w:t>
            </w:r>
          </w:p>
        </w:tc>
      </w:tr>
      <w:tr w14:paraId="23AC1F1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vMerge w:val="continue"/>
            <w:tcBorders>
              <w:tl2br w:val="nil"/>
              <w:tr2bl w:val="nil"/>
            </w:tcBorders>
            <w:vAlign w:val="center"/>
          </w:tcPr>
          <w:p w14:paraId="019523D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zh-CN"/>
              </w:rPr>
            </w:pPr>
          </w:p>
        </w:tc>
        <w:tc>
          <w:tcPr>
            <w:tcW w:w="4405" w:type="pct"/>
            <w:gridSpan w:val="3"/>
            <w:tcBorders>
              <w:tl2br w:val="nil"/>
              <w:tr2bl w:val="nil"/>
            </w:tcBorders>
            <w:vAlign w:val="center"/>
          </w:tcPr>
          <w:p w14:paraId="518CDAA0">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工作场所最高允许浓度：中国MAC=30mg/m</w:t>
            </w:r>
            <w:r>
              <w:rPr>
                <w:rFonts w:hint="default" w:ascii="Times New Roman" w:hAnsi="Times New Roman" w:cs="Times New Roman"/>
                <w:color w:val="auto"/>
                <w:kern w:val="0"/>
                <w:sz w:val="20"/>
                <w:szCs w:val="20"/>
                <w:highlight w:val="none"/>
                <w:vertAlign w:val="superscript"/>
                <w:lang w:eastAsia="zh-CN"/>
              </w:rPr>
              <w:t>3</w:t>
            </w:r>
          </w:p>
        </w:tc>
      </w:tr>
      <w:tr w14:paraId="24B98EA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tcBorders>
              <w:tl2br w:val="nil"/>
              <w:tr2bl w:val="nil"/>
            </w:tcBorders>
            <w:vAlign w:val="center"/>
          </w:tcPr>
          <w:p w14:paraId="1D30A68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急救</w:t>
            </w:r>
          </w:p>
        </w:tc>
        <w:tc>
          <w:tcPr>
            <w:tcW w:w="4405" w:type="pct"/>
            <w:gridSpan w:val="3"/>
            <w:tcBorders>
              <w:tl2br w:val="nil"/>
              <w:tr2bl w:val="nil"/>
            </w:tcBorders>
            <w:vAlign w:val="center"/>
          </w:tcPr>
          <w:p w14:paraId="6E71F464">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zh-CN"/>
              </w:rPr>
              <w:t>吸入：迅速脱离现场至空气新鲜处。保持呼吸道畅通。如呼吸困难，给输氧。如呼吸停止，立即进行人工呼吸。</w:t>
            </w:r>
            <w:r>
              <w:rPr>
                <w:rFonts w:hint="default" w:ascii="Times New Roman" w:hAnsi="Times New Roman" w:cs="Times New Roman"/>
                <w:color w:val="auto"/>
                <w:kern w:val="0"/>
                <w:sz w:val="20"/>
                <w:szCs w:val="20"/>
                <w:highlight w:val="none"/>
                <w:lang w:eastAsia="en-US"/>
              </w:rPr>
              <w:t>就医。</w:t>
            </w:r>
          </w:p>
        </w:tc>
      </w:tr>
      <w:tr w14:paraId="2F10BDF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tcBorders>
              <w:tl2br w:val="nil"/>
              <w:tr2bl w:val="nil"/>
            </w:tcBorders>
            <w:vAlign w:val="center"/>
          </w:tcPr>
          <w:p w14:paraId="7DA151F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泄漏处理</w:t>
            </w:r>
          </w:p>
        </w:tc>
        <w:tc>
          <w:tcPr>
            <w:tcW w:w="4405" w:type="pct"/>
            <w:gridSpan w:val="3"/>
            <w:tcBorders>
              <w:tl2br w:val="nil"/>
              <w:tr2bl w:val="nil"/>
            </w:tcBorders>
            <w:vAlign w:val="center"/>
          </w:tcPr>
          <w:p w14:paraId="30D323CA">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cs="Times New Roman"/>
                <w:color w:val="auto"/>
                <w:kern w:val="0"/>
                <w:sz w:val="20"/>
                <w:szCs w:val="20"/>
                <w:highlight w:val="none"/>
                <w:lang w:eastAsia="zh-CN"/>
              </w:rPr>
            </w:pPr>
            <w:r>
              <w:rPr>
                <w:rFonts w:hint="default" w:ascii="Times New Roman" w:hAnsi="Times New Roman" w:cs="Times New Roman"/>
                <w:color w:val="auto"/>
                <w:kern w:val="0"/>
                <w:sz w:val="20"/>
                <w:szCs w:val="20"/>
                <w:highlight w:val="none"/>
                <w:lang w:eastAsia="zh-CN"/>
              </w:rPr>
              <w:t>迅速撤离泄漏污染区人员至上风处，并立即隔离150m，严格限制出入。切断火源，建议应急处理人员戴自给正压式呼吸器，穿消防防护服。尽可能切断泄漏源。合理通风，加强扩散。喷雾状水稀释、溶解。构筑围堤或挖坑收容产生的大量废水。如有可能，将漏出气用排风机送至空矿地方或装适当喷头烧掉。也可以用管路导致炉中、凹地焚之。漏气容器要妥善处理、修复、检验后再用。</w:t>
            </w:r>
          </w:p>
        </w:tc>
      </w:tr>
      <w:tr w14:paraId="7943710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4" w:type="pct"/>
            <w:tcBorders>
              <w:tl2br w:val="nil"/>
              <w:tr2bl w:val="nil"/>
            </w:tcBorders>
            <w:vAlign w:val="center"/>
          </w:tcPr>
          <w:p w14:paraId="3053C44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en-US"/>
              </w:rPr>
              <w:t>储运</w:t>
            </w:r>
          </w:p>
        </w:tc>
        <w:tc>
          <w:tcPr>
            <w:tcW w:w="4405" w:type="pct"/>
            <w:gridSpan w:val="3"/>
            <w:tcBorders>
              <w:tl2br w:val="nil"/>
              <w:tr2bl w:val="nil"/>
            </w:tcBorders>
            <w:vAlign w:val="center"/>
          </w:tcPr>
          <w:p w14:paraId="189DD00E">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cs="Times New Roman"/>
                <w:color w:val="auto"/>
                <w:kern w:val="0"/>
                <w:sz w:val="20"/>
                <w:szCs w:val="20"/>
                <w:highlight w:val="none"/>
                <w:lang w:eastAsia="en-US"/>
              </w:rPr>
            </w:pPr>
            <w:r>
              <w:rPr>
                <w:rFonts w:hint="default" w:ascii="Times New Roman" w:hAnsi="Times New Roman" w:cs="Times New Roman"/>
                <w:color w:val="auto"/>
                <w:kern w:val="0"/>
                <w:sz w:val="20"/>
                <w:szCs w:val="20"/>
                <w:highlight w:val="none"/>
                <w:lang w:eastAsia="zh-CN"/>
              </w:rPr>
              <w:t>储运于阴凉、通风仓间内。仓内温度不宜超过30℃。远离火种、热源。防止阳光直射。应与氧气、氧化剂等分开存放。切忌混储混运。储存间内的照明、通风等设施应采用防爆型。</w:t>
            </w:r>
            <w:r>
              <w:rPr>
                <w:rFonts w:hint="default" w:ascii="Times New Roman" w:hAnsi="Times New Roman" w:cs="Times New Roman"/>
                <w:color w:val="auto"/>
                <w:kern w:val="0"/>
                <w:sz w:val="20"/>
                <w:szCs w:val="20"/>
                <w:highlight w:val="none"/>
                <w:lang w:eastAsia="en-US"/>
              </w:rPr>
              <w:t>禁止使用易产生火花的机械设备和工具。</w:t>
            </w:r>
          </w:p>
        </w:tc>
      </w:tr>
    </w:tbl>
    <w:p w14:paraId="61C0BDE4">
      <w:pPr>
        <w:keepNext w:val="0"/>
        <w:keepLines w:val="0"/>
        <w:pageBreakBefore w:val="0"/>
        <w:widowControl w:val="0"/>
        <w:kinsoku/>
        <w:wordWrap/>
        <w:overflowPunct/>
        <w:topLinePunct w:val="0"/>
        <w:autoSpaceDE/>
        <w:autoSpaceDN/>
        <w:bidi w:val="0"/>
        <w:adjustRightInd/>
        <w:snapToGrid/>
        <w:spacing w:before="157" w:beforeLines="50" w:line="240" w:lineRule="auto"/>
        <w:ind w:firstLine="480" w:firstLineChars="200"/>
        <w:jc w:val="both"/>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3</w:t>
      </w: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二氧化硫</w:t>
      </w:r>
    </w:p>
    <w:p w14:paraId="2AB73B17">
      <w:pPr>
        <w:spacing w:line="240" w:lineRule="auto"/>
        <w:jc w:val="center"/>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3</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b/>
          <w:bCs/>
          <w:color w:val="auto"/>
          <w:highlight w:val="none"/>
        </w:rPr>
        <w:t xml:space="preserve"> </w:t>
      </w:r>
      <w:r>
        <w:rPr>
          <w:rFonts w:hint="eastAsia" w:ascii="Times New Roman" w:hAnsi="Times New Roman" w:cs="Times New Roman"/>
          <w:b/>
          <w:bCs/>
          <w:color w:val="auto"/>
          <w:highlight w:val="none"/>
          <w:lang w:val="en-US" w:eastAsia="zh-CN"/>
        </w:rPr>
        <w:t>二氧化硫理化特性及危险特性</w:t>
      </w:r>
    </w:p>
    <w:tbl>
      <w:tblPr>
        <w:tblStyle w:val="132"/>
        <w:tblW w:w="5000"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082"/>
        <w:gridCol w:w="1350"/>
        <w:gridCol w:w="2608"/>
        <w:gridCol w:w="4032"/>
      </w:tblGrid>
      <w:tr w14:paraId="53BEC8D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restart"/>
            <w:tcBorders>
              <w:tl2br w:val="nil"/>
              <w:tr2bl w:val="nil"/>
            </w:tcBorders>
            <w:vAlign w:val="center"/>
          </w:tcPr>
          <w:p w14:paraId="2488829F">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标识</w:t>
            </w:r>
          </w:p>
        </w:tc>
        <w:tc>
          <w:tcPr>
            <w:tcW w:w="2181" w:type="pct"/>
            <w:gridSpan w:val="2"/>
            <w:tcBorders>
              <w:tl2br w:val="nil"/>
              <w:tr2bl w:val="nil"/>
            </w:tcBorders>
            <w:vAlign w:val="center"/>
          </w:tcPr>
          <w:p w14:paraId="2407E4D5">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中文名：二氧化硫</w:t>
            </w:r>
          </w:p>
        </w:tc>
        <w:tc>
          <w:tcPr>
            <w:tcW w:w="2221" w:type="pct"/>
            <w:tcBorders>
              <w:tl2br w:val="nil"/>
              <w:tr2bl w:val="nil"/>
            </w:tcBorders>
            <w:vAlign w:val="center"/>
          </w:tcPr>
          <w:p w14:paraId="5DE27567">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英文名：sulfur dioxide</w:t>
            </w:r>
          </w:p>
        </w:tc>
      </w:tr>
      <w:tr w14:paraId="5DC800A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592B7A1B">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p>
        </w:tc>
        <w:tc>
          <w:tcPr>
            <w:tcW w:w="2181" w:type="pct"/>
            <w:gridSpan w:val="2"/>
            <w:tcBorders>
              <w:tl2br w:val="nil"/>
              <w:tr2bl w:val="nil"/>
            </w:tcBorders>
            <w:vAlign w:val="center"/>
          </w:tcPr>
          <w:p w14:paraId="73F838C5">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position w:val="2"/>
                <w:sz w:val="20"/>
                <w:szCs w:val="20"/>
                <w:highlight w:val="none"/>
                <w:lang w:eastAsia="en-US"/>
              </w:rPr>
              <w:t>分子式：SO</w:t>
            </w:r>
            <w:r>
              <w:rPr>
                <w:rFonts w:hint="default" w:ascii="Times New Roman" w:hAnsi="Times New Roman" w:eastAsia="宋体" w:cs="Times New Roman"/>
                <w:color w:val="auto"/>
                <w:position w:val="2"/>
                <w:sz w:val="20"/>
                <w:szCs w:val="20"/>
                <w:highlight w:val="none"/>
                <w:vertAlign w:val="subscript"/>
                <w:lang w:eastAsia="en-US"/>
              </w:rPr>
              <w:t>2</w:t>
            </w:r>
          </w:p>
        </w:tc>
        <w:tc>
          <w:tcPr>
            <w:tcW w:w="2221" w:type="pct"/>
            <w:tcBorders>
              <w:tl2br w:val="nil"/>
              <w:tr2bl w:val="nil"/>
            </w:tcBorders>
            <w:vAlign w:val="center"/>
          </w:tcPr>
          <w:p w14:paraId="14A6CB0A">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分子量：64</w:t>
            </w:r>
          </w:p>
        </w:tc>
      </w:tr>
      <w:tr w14:paraId="0DCA5CC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5CCD94C1">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p>
        </w:tc>
        <w:tc>
          <w:tcPr>
            <w:tcW w:w="744" w:type="pct"/>
            <w:tcBorders>
              <w:tl2br w:val="nil"/>
              <w:tr2bl w:val="nil"/>
            </w:tcBorders>
            <w:vAlign w:val="center"/>
          </w:tcPr>
          <w:p w14:paraId="55D08FA5">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危规号：23013</w:t>
            </w:r>
          </w:p>
        </w:tc>
        <w:tc>
          <w:tcPr>
            <w:tcW w:w="1437" w:type="pct"/>
            <w:tcBorders>
              <w:tl2br w:val="nil"/>
              <w:tr2bl w:val="nil"/>
            </w:tcBorders>
            <w:vAlign w:val="center"/>
          </w:tcPr>
          <w:p w14:paraId="3D239D7C">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UN 编号：/</w:t>
            </w:r>
          </w:p>
        </w:tc>
        <w:tc>
          <w:tcPr>
            <w:tcW w:w="2221" w:type="pct"/>
            <w:tcBorders>
              <w:tl2br w:val="nil"/>
              <w:tr2bl w:val="nil"/>
            </w:tcBorders>
            <w:vAlign w:val="center"/>
          </w:tcPr>
          <w:p w14:paraId="1A5D7125">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CAS 号：7446-09-5</w:t>
            </w:r>
          </w:p>
        </w:tc>
      </w:tr>
      <w:tr w14:paraId="1545209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restart"/>
            <w:tcBorders>
              <w:tl2br w:val="nil"/>
              <w:tr2bl w:val="nil"/>
            </w:tcBorders>
            <w:vAlign w:val="center"/>
          </w:tcPr>
          <w:p w14:paraId="27560AF2">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理化性质</w:t>
            </w:r>
          </w:p>
        </w:tc>
        <w:tc>
          <w:tcPr>
            <w:tcW w:w="2181" w:type="pct"/>
            <w:gridSpan w:val="2"/>
            <w:tcBorders>
              <w:tl2br w:val="nil"/>
              <w:tr2bl w:val="nil"/>
            </w:tcBorders>
            <w:vAlign w:val="center"/>
          </w:tcPr>
          <w:p w14:paraId="2AEEB8C9">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eastAsia="zh-CN"/>
              </w:rPr>
              <w:t>外观与性状：无色气体，特臭</w:t>
            </w:r>
          </w:p>
        </w:tc>
        <w:tc>
          <w:tcPr>
            <w:tcW w:w="2221" w:type="pct"/>
            <w:tcBorders>
              <w:tl2br w:val="nil"/>
              <w:tr2bl w:val="nil"/>
            </w:tcBorders>
            <w:vAlign w:val="center"/>
          </w:tcPr>
          <w:p w14:paraId="2333CCD1">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溶解性：溶于水，乙醇</w:t>
            </w:r>
          </w:p>
        </w:tc>
      </w:tr>
      <w:tr w14:paraId="0DABC3B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17FF9F84">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p>
        </w:tc>
        <w:tc>
          <w:tcPr>
            <w:tcW w:w="2181" w:type="pct"/>
            <w:gridSpan w:val="2"/>
            <w:tcBorders>
              <w:tl2br w:val="nil"/>
              <w:tr2bl w:val="nil"/>
            </w:tcBorders>
            <w:vAlign w:val="center"/>
          </w:tcPr>
          <w:p w14:paraId="449744F3">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熔点(℃)：-75.5℃</w:t>
            </w:r>
          </w:p>
        </w:tc>
        <w:tc>
          <w:tcPr>
            <w:tcW w:w="2221" w:type="pct"/>
            <w:tcBorders>
              <w:tl2br w:val="nil"/>
              <w:tr2bl w:val="nil"/>
            </w:tcBorders>
            <w:vAlign w:val="center"/>
          </w:tcPr>
          <w:p w14:paraId="7A3CE861">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沸点(℃)-10℃</w:t>
            </w:r>
          </w:p>
        </w:tc>
      </w:tr>
      <w:tr w14:paraId="2C84CE6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1180A564">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p>
        </w:tc>
        <w:tc>
          <w:tcPr>
            <w:tcW w:w="2181" w:type="pct"/>
            <w:gridSpan w:val="2"/>
            <w:tcBorders>
              <w:tl2br w:val="nil"/>
              <w:tr2bl w:val="nil"/>
            </w:tcBorders>
            <w:vAlign w:val="center"/>
          </w:tcPr>
          <w:p w14:paraId="0F55B99C">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饱和蒸气压(kPa)338.42(21.1℃)</w:t>
            </w:r>
          </w:p>
        </w:tc>
        <w:tc>
          <w:tcPr>
            <w:tcW w:w="2221" w:type="pct"/>
            <w:tcBorders>
              <w:tl2br w:val="nil"/>
              <w:tr2bl w:val="nil"/>
            </w:tcBorders>
            <w:vAlign w:val="center"/>
          </w:tcPr>
          <w:p w14:paraId="66BE45B3">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临界压力(MPa)7.87</w:t>
            </w:r>
          </w:p>
        </w:tc>
      </w:tr>
      <w:tr w14:paraId="14B74F4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7DF002BC">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p>
        </w:tc>
        <w:tc>
          <w:tcPr>
            <w:tcW w:w="2181" w:type="pct"/>
            <w:gridSpan w:val="2"/>
            <w:tcBorders>
              <w:tl2br w:val="nil"/>
              <w:tr2bl w:val="nil"/>
            </w:tcBorders>
            <w:vAlign w:val="center"/>
          </w:tcPr>
          <w:p w14:paraId="7BA5F003">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稳定性：稳定</w:t>
            </w:r>
          </w:p>
        </w:tc>
        <w:tc>
          <w:tcPr>
            <w:tcW w:w="2221" w:type="pct"/>
            <w:tcBorders>
              <w:tl2br w:val="nil"/>
              <w:tr2bl w:val="nil"/>
            </w:tcBorders>
            <w:vAlign w:val="center"/>
          </w:tcPr>
          <w:p w14:paraId="27F59DE6">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临界温度(℃)157.8</w:t>
            </w:r>
          </w:p>
        </w:tc>
      </w:tr>
      <w:tr w14:paraId="71873B8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restart"/>
            <w:tcBorders>
              <w:tl2br w:val="nil"/>
              <w:tr2bl w:val="nil"/>
            </w:tcBorders>
            <w:vAlign w:val="center"/>
          </w:tcPr>
          <w:p w14:paraId="576A3981">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危险特性</w:t>
            </w:r>
          </w:p>
        </w:tc>
        <w:tc>
          <w:tcPr>
            <w:tcW w:w="2181" w:type="pct"/>
            <w:gridSpan w:val="2"/>
            <w:tcBorders>
              <w:tl2br w:val="nil"/>
              <w:tr2bl w:val="nil"/>
            </w:tcBorders>
            <w:vAlign w:val="center"/>
          </w:tcPr>
          <w:p w14:paraId="212CDF5C">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eastAsia="zh-CN"/>
              </w:rPr>
              <w:t>危险性类别：不燃。若遇高热，容器内 压增大，有开裂和爆炸的危险。</w:t>
            </w:r>
          </w:p>
        </w:tc>
        <w:tc>
          <w:tcPr>
            <w:tcW w:w="2221" w:type="pct"/>
            <w:tcBorders>
              <w:tl2br w:val="nil"/>
              <w:tr2bl w:val="nil"/>
            </w:tcBorders>
            <w:vAlign w:val="center"/>
          </w:tcPr>
          <w:p w14:paraId="51818990">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eastAsia="zh-CN"/>
              </w:rPr>
              <w:t>燃烧性：本品不燃，有毒，具强刺激性。</w:t>
            </w:r>
          </w:p>
        </w:tc>
      </w:tr>
      <w:tr w14:paraId="1897AF9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6C04225A">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zh-CN"/>
              </w:rPr>
            </w:pPr>
          </w:p>
        </w:tc>
        <w:tc>
          <w:tcPr>
            <w:tcW w:w="4403" w:type="pct"/>
            <w:gridSpan w:val="3"/>
            <w:tcBorders>
              <w:tl2br w:val="nil"/>
              <w:tr2bl w:val="nil"/>
            </w:tcBorders>
            <w:vAlign w:val="center"/>
          </w:tcPr>
          <w:p w14:paraId="75A6D565">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eastAsia="zh-CN"/>
              </w:rPr>
              <w:t>LD50：无资料</w:t>
            </w:r>
          </w:p>
          <w:p w14:paraId="1C5589E4">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zh-CN"/>
              </w:rPr>
            </w:pPr>
            <w:r>
              <w:rPr>
                <w:rFonts w:hint="default" w:ascii="Times New Roman" w:hAnsi="Times New Roman" w:eastAsia="宋体" w:cs="Times New Roman"/>
                <w:color w:val="auto"/>
                <w:sz w:val="20"/>
                <w:szCs w:val="20"/>
                <w:highlight w:val="none"/>
                <w:lang w:eastAsia="zh-CN"/>
              </w:rPr>
              <w:t>LC50：6600mg/m</w:t>
            </w:r>
            <w:r>
              <w:rPr>
                <w:rFonts w:hint="default" w:ascii="Times New Roman" w:hAnsi="Times New Roman" w:eastAsia="宋体" w:cs="Times New Roman"/>
                <w:color w:val="auto"/>
                <w:sz w:val="20"/>
                <w:szCs w:val="20"/>
                <w:highlight w:val="none"/>
                <w:vertAlign w:val="superscript"/>
                <w:lang w:eastAsia="zh-CN"/>
              </w:rPr>
              <w:t>3</w:t>
            </w:r>
            <w:r>
              <w:rPr>
                <w:rFonts w:hint="default" w:ascii="Times New Roman" w:hAnsi="Times New Roman" w:eastAsia="宋体" w:cs="Times New Roman"/>
                <w:color w:val="auto"/>
                <w:sz w:val="20"/>
                <w:szCs w:val="20"/>
                <w:highlight w:val="none"/>
                <w:lang w:eastAsia="zh-CN"/>
              </w:rPr>
              <w:t>，1 小时(大鼠吸入)</w:t>
            </w:r>
          </w:p>
        </w:tc>
      </w:tr>
      <w:tr w14:paraId="569EFBE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tcBorders>
              <w:tl2br w:val="nil"/>
              <w:tr2bl w:val="nil"/>
            </w:tcBorders>
            <w:vAlign w:val="center"/>
          </w:tcPr>
          <w:p w14:paraId="0E3823CD">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健康危害</w:t>
            </w:r>
          </w:p>
        </w:tc>
        <w:tc>
          <w:tcPr>
            <w:tcW w:w="4403" w:type="pct"/>
            <w:gridSpan w:val="3"/>
            <w:tcBorders>
              <w:tl2br w:val="nil"/>
              <w:tr2bl w:val="nil"/>
            </w:tcBorders>
            <w:vAlign w:val="center"/>
          </w:tcPr>
          <w:p w14:paraId="1AC23130">
            <w:pPr>
              <w:keepNext w:val="0"/>
              <w:keepLines w:val="0"/>
              <w:suppressLineNumbers w:val="0"/>
              <w:autoSpaceDE w:val="0"/>
              <w:autoSpaceDN w:val="0"/>
              <w:adjustRightInd w:val="0"/>
              <w:spacing w:before="62" w:beforeLines="20" w:beforeAutospacing="0" w:after="62" w:afterLines="2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侵入途径：吸入、食入、经皮吸收。</w:t>
            </w:r>
          </w:p>
          <w:p w14:paraId="26E5BD61">
            <w:pPr>
              <w:keepNext w:val="0"/>
              <w:keepLines w:val="0"/>
              <w:suppressLineNumbers w:val="0"/>
              <w:autoSpaceDE w:val="0"/>
              <w:autoSpaceDN w:val="0"/>
              <w:adjustRightInd w:val="0"/>
              <w:spacing w:before="62" w:beforeLines="20" w:beforeAutospacing="0" w:after="62" w:afterLines="20" w:afterAutospacing="0" w:line="240" w:lineRule="auto"/>
              <w:ind w:left="0" w:right="0"/>
              <w:jc w:val="left"/>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zh-CN"/>
              </w:rPr>
              <w:t>健康危害：易被湿润的粘膜表面吸收生成亚硫酸、硫酸。对眼及呼吸道粘膜有强烈的刺激作用。大量吸入可引起肺水肿、喉水肿、声带痉挛而致窒息。急性中毒：轻度中毒时，发生流泪、畏光、咳嗽，咽、喉灼痛等；严重中毒可在数小时内发生肺水肿；极高浓度吸入可引起反射性声门痉挛而致窒息。皮肤或眼接触发生炎症或灼伤。慢性影响：长期低浓度接触，可有头痛、头昏、乏力等全身症状以及慢性鼻炎、咽喉炎、支气管炎、嗅觉及味觉减退等。</w:t>
            </w:r>
            <w:r>
              <w:rPr>
                <w:rFonts w:hint="default" w:ascii="Times New Roman" w:hAnsi="Times New Roman" w:eastAsia="宋体" w:cs="Times New Roman"/>
                <w:color w:val="auto"/>
                <w:kern w:val="0"/>
                <w:sz w:val="20"/>
                <w:szCs w:val="20"/>
                <w:highlight w:val="none"/>
                <w:lang w:eastAsia="en-US"/>
              </w:rPr>
              <w:t>少数工人有牙齿酸蚀症。</w:t>
            </w:r>
          </w:p>
        </w:tc>
      </w:tr>
      <w:tr w14:paraId="2AD37F5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tcBorders>
              <w:tl2br w:val="nil"/>
              <w:tr2bl w:val="nil"/>
            </w:tcBorders>
            <w:vAlign w:val="center"/>
          </w:tcPr>
          <w:p w14:paraId="2C3248E0">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急救</w:t>
            </w:r>
          </w:p>
        </w:tc>
        <w:tc>
          <w:tcPr>
            <w:tcW w:w="4403" w:type="pct"/>
            <w:gridSpan w:val="3"/>
            <w:tcBorders>
              <w:tl2br w:val="nil"/>
              <w:tr2bl w:val="nil"/>
            </w:tcBorders>
            <w:vAlign w:val="center"/>
          </w:tcPr>
          <w:p w14:paraId="20227432">
            <w:pPr>
              <w:keepNext w:val="0"/>
              <w:keepLines w:val="0"/>
              <w:suppressLineNumbers w:val="0"/>
              <w:autoSpaceDE w:val="0"/>
              <w:autoSpaceDN w:val="0"/>
              <w:adjustRightInd w:val="0"/>
              <w:spacing w:before="62" w:beforeLines="20" w:beforeAutospacing="0" w:after="62" w:afterLines="2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皮肤接触：脱去污染的衣着，用大量流动清水彻底冲洗。 眼睛接触：立即提起眼睑，用大量流动清水彻底冲洗。</w:t>
            </w:r>
          </w:p>
          <w:p w14:paraId="64D06C31">
            <w:pPr>
              <w:keepNext w:val="0"/>
              <w:keepLines w:val="0"/>
              <w:suppressLineNumbers w:val="0"/>
              <w:autoSpaceDE w:val="0"/>
              <w:autoSpaceDN w:val="0"/>
              <w:adjustRightInd w:val="0"/>
              <w:spacing w:before="62" w:beforeLines="20" w:beforeAutospacing="0" w:after="62" w:afterLines="2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吸入：脱离现场至空气新鲜处。必要时进行人工呼吸。就医。</w:t>
            </w:r>
          </w:p>
        </w:tc>
      </w:tr>
      <w:tr w14:paraId="727C6FA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tcBorders>
              <w:tl2br w:val="nil"/>
              <w:tr2bl w:val="nil"/>
            </w:tcBorders>
            <w:vAlign w:val="center"/>
          </w:tcPr>
          <w:p w14:paraId="0EC85FBB">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泄漏处理</w:t>
            </w:r>
          </w:p>
        </w:tc>
        <w:tc>
          <w:tcPr>
            <w:tcW w:w="4403" w:type="pct"/>
            <w:gridSpan w:val="3"/>
            <w:tcBorders>
              <w:tl2br w:val="nil"/>
              <w:tr2bl w:val="nil"/>
            </w:tcBorders>
            <w:vAlign w:val="center"/>
          </w:tcPr>
          <w:p w14:paraId="380D54D6">
            <w:pPr>
              <w:pStyle w:val="111"/>
              <w:keepNext w:val="0"/>
              <w:keepLines w:val="0"/>
              <w:suppressLineNumbers w:val="0"/>
              <w:spacing w:beforeAutospacing="0" w:afterAutospacing="0" w:line="240" w:lineRule="auto"/>
              <w:ind w:left="0" w:right="0"/>
              <w:jc w:val="left"/>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zh-CN"/>
              </w:rPr>
              <w:t>迅速撤离泄漏污染区人员至上风处，并立即进行隔离，小泄漏时隔离 150m，大泄漏时隔离 450m， 严格限制出入。建议应急处理人员戴自给正压式呼吸器，穿防毒服。从上风处进入现场。尽可能切断泄漏源。用工业覆盖层或吸附/ 吸收剂盖住泄漏点附近的下水道等地方，防止气体进入。合理通风，加速扩散。喷雾状水稀释、溶解。构筑围堤或挖坑收容产生的大量废水。如有可能，用一捉捕器使气体通过次氯酸钠溶液。</w:t>
            </w:r>
            <w:r>
              <w:rPr>
                <w:rFonts w:hint="default" w:ascii="Times New Roman" w:hAnsi="Times New Roman" w:eastAsia="宋体" w:cs="Times New Roman"/>
                <w:color w:val="auto"/>
                <w:sz w:val="20"/>
                <w:szCs w:val="20"/>
                <w:highlight w:val="none"/>
                <w:lang w:eastAsia="en-US"/>
              </w:rPr>
              <w:t>漏气容器要妥善处理，修复、检验后再用。</w:t>
            </w:r>
          </w:p>
        </w:tc>
      </w:tr>
      <w:tr w14:paraId="40E6019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tcBorders>
              <w:tl2br w:val="nil"/>
              <w:tr2bl w:val="nil"/>
            </w:tcBorders>
            <w:vAlign w:val="center"/>
          </w:tcPr>
          <w:p w14:paraId="2AD458AC">
            <w:pPr>
              <w:pStyle w:val="111"/>
              <w:keepNext w:val="0"/>
              <w:keepLines w:val="0"/>
              <w:suppressLineNumbers w:val="0"/>
              <w:spacing w:beforeAutospacing="0" w:afterAutospacing="0" w:line="240" w:lineRule="auto"/>
              <w:ind w:left="0" w:right="0"/>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en-US"/>
              </w:rPr>
              <w:t>操作注意事项</w:t>
            </w:r>
          </w:p>
        </w:tc>
        <w:tc>
          <w:tcPr>
            <w:tcW w:w="4403" w:type="pct"/>
            <w:gridSpan w:val="3"/>
            <w:tcBorders>
              <w:tl2br w:val="nil"/>
              <w:tr2bl w:val="nil"/>
            </w:tcBorders>
            <w:vAlign w:val="center"/>
          </w:tcPr>
          <w:p w14:paraId="2F5A93D4">
            <w:pPr>
              <w:pStyle w:val="111"/>
              <w:keepNext w:val="0"/>
              <w:keepLines w:val="0"/>
              <w:suppressLineNumbers w:val="0"/>
              <w:spacing w:beforeAutospacing="0" w:afterAutospacing="0" w:line="240" w:lineRule="auto"/>
              <w:ind w:left="0" w:right="0"/>
              <w:jc w:val="left"/>
              <w:rPr>
                <w:rFonts w:hint="default" w:ascii="Times New Roman" w:hAnsi="Times New Roman" w:eastAsia="宋体" w:cs="Times New Roman"/>
                <w:color w:val="auto"/>
                <w:sz w:val="20"/>
                <w:szCs w:val="20"/>
                <w:highlight w:val="none"/>
                <w:lang w:eastAsia="en-US"/>
              </w:rPr>
            </w:pPr>
            <w:r>
              <w:rPr>
                <w:rFonts w:hint="default" w:ascii="Times New Roman" w:hAnsi="Times New Roman" w:eastAsia="宋体" w:cs="Times New Roman"/>
                <w:color w:val="auto"/>
                <w:sz w:val="20"/>
                <w:szCs w:val="20"/>
                <w:highlight w:val="none"/>
                <w:lang w:eastAsia="zh-CN"/>
              </w:rPr>
              <w:t>严加密闭，提供充分的局部排风和全面通风。操作人员必须经过专门培训，严格遵 守操作规程。建议操作人员佩戴自吸过滤式防毒面具(全面罩)，穿聚乙烯防毒服， 戴橡胶手套。远离易燃、可燃物。防止气体泄漏到工作场所空气中。避免与氧化剂、 还原剂接触。搬运时轻装轻卸，防止钢瓶及附件破损。</w:t>
            </w:r>
            <w:r>
              <w:rPr>
                <w:rFonts w:hint="default" w:ascii="Times New Roman" w:hAnsi="Times New Roman" w:eastAsia="宋体" w:cs="Times New Roman"/>
                <w:color w:val="auto"/>
                <w:sz w:val="20"/>
                <w:szCs w:val="20"/>
                <w:highlight w:val="none"/>
                <w:lang w:eastAsia="en-US"/>
              </w:rPr>
              <w:t>配备泄漏应急处理设备。</w:t>
            </w:r>
          </w:p>
        </w:tc>
      </w:tr>
    </w:tbl>
    <w:p w14:paraId="43DBB5B2">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4</w:t>
      </w: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二氧化氮</w:t>
      </w:r>
    </w:p>
    <w:p w14:paraId="54EDC96F">
      <w:pPr>
        <w:spacing w:line="240" w:lineRule="auto"/>
        <w:jc w:val="center"/>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b/>
          <w:bCs/>
          <w:color w:val="auto"/>
          <w:highlight w:val="none"/>
        </w:rPr>
        <w:t xml:space="preserve"> </w:t>
      </w:r>
      <w:r>
        <w:rPr>
          <w:rFonts w:hint="eastAsia" w:ascii="Times New Roman" w:hAnsi="Times New Roman" w:cs="Times New Roman"/>
          <w:b/>
          <w:bCs/>
          <w:color w:val="auto"/>
          <w:highlight w:val="none"/>
          <w:lang w:val="en-US" w:eastAsia="zh-CN"/>
        </w:rPr>
        <w:t>二氧化氮理化特性及危险特性</w:t>
      </w:r>
    </w:p>
    <w:tbl>
      <w:tblPr>
        <w:tblStyle w:val="132"/>
        <w:tblW w:w="4997"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082"/>
        <w:gridCol w:w="1919"/>
        <w:gridCol w:w="1518"/>
        <w:gridCol w:w="1934"/>
        <w:gridCol w:w="2614"/>
      </w:tblGrid>
      <w:tr w14:paraId="729FBCC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restart"/>
            <w:tcBorders>
              <w:tl2br w:val="nil"/>
              <w:tr2bl w:val="nil"/>
            </w:tcBorders>
            <w:vAlign w:val="center"/>
          </w:tcPr>
          <w:p w14:paraId="3479410E">
            <w:pPr>
              <w:keepNext w:val="0"/>
              <w:keepLines w:val="0"/>
              <w:suppressLineNumbers w:val="0"/>
              <w:autoSpaceDE w:val="0"/>
              <w:autoSpaceDN w:val="0"/>
              <w:spacing w:before="1"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标识</w:t>
            </w:r>
          </w:p>
        </w:tc>
        <w:tc>
          <w:tcPr>
            <w:tcW w:w="1058" w:type="pct"/>
            <w:tcBorders>
              <w:tl2br w:val="nil"/>
              <w:tr2bl w:val="nil"/>
            </w:tcBorders>
            <w:vAlign w:val="center"/>
          </w:tcPr>
          <w:p w14:paraId="2AC19552">
            <w:pPr>
              <w:keepNext w:val="0"/>
              <w:keepLines w:val="0"/>
              <w:suppressLineNumbers w:val="0"/>
              <w:autoSpaceDE w:val="0"/>
              <w:autoSpaceDN w:val="0"/>
              <w:spacing w:before="24"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中文名：</w:t>
            </w:r>
          </w:p>
        </w:tc>
        <w:tc>
          <w:tcPr>
            <w:tcW w:w="837" w:type="pct"/>
            <w:tcBorders>
              <w:tl2br w:val="nil"/>
              <w:tr2bl w:val="nil"/>
            </w:tcBorders>
            <w:vAlign w:val="center"/>
          </w:tcPr>
          <w:p w14:paraId="5F8A3F75">
            <w:pPr>
              <w:keepNext w:val="0"/>
              <w:keepLines w:val="0"/>
              <w:suppressLineNumbers w:val="0"/>
              <w:autoSpaceDE w:val="0"/>
              <w:autoSpaceDN w:val="0"/>
              <w:spacing w:before="24"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二氧化氮</w:t>
            </w:r>
          </w:p>
        </w:tc>
        <w:tc>
          <w:tcPr>
            <w:tcW w:w="1066" w:type="pct"/>
            <w:tcBorders>
              <w:tl2br w:val="nil"/>
              <w:tr2bl w:val="nil"/>
            </w:tcBorders>
            <w:vAlign w:val="center"/>
          </w:tcPr>
          <w:p w14:paraId="55B14F15">
            <w:pPr>
              <w:keepNext w:val="0"/>
              <w:keepLines w:val="0"/>
              <w:suppressLineNumbers w:val="0"/>
              <w:autoSpaceDE w:val="0"/>
              <w:autoSpaceDN w:val="0"/>
              <w:spacing w:before="24"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英文名</w:t>
            </w:r>
          </w:p>
        </w:tc>
        <w:tc>
          <w:tcPr>
            <w:tcW w:w="1440" w:type="pct"/>
            <w:tcBorders>
              <w:tl2br w:val="nil"/>
              <w:tr2bl w:val="nil"/>
            </w:tcBorders>
            <w:vAlign w:val="center"/>
          </w:tcPr>
          <w:p w14:paraId="0E33C1D5">
            <w:pPr>
              <w:keepNext w:val="0"/>
              <w:keepLines w:val="0"/>
              <w:suppressLineNumbers w:val="0"/>
              <w:autoSpaceDE w:val="0"/>
              <w:autoSpaceDN w:val="0"/>
              <w:spacing w:before="38"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nitrogen dioxide</w:t>
            </w:r>
          </w:p>
        </w:tc>
      </w:tr>
      <w:tr w14:paraId="185C516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continue"/>
            <w:tcBorders>
              <w:tl2br w:val="nil"/>
              <w:tr2bl w:val="nil"/>
            </w:tcBorders>
            <w:vAlign w:val="center"/>
          </w:tcPr>
          <w:p w14:paraId="751910A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1058" w:type="pct"/>
            <w:tcBorders>
              <w:tl2br w:val="nil"/>
              <w:tr2bl w:val="nil"/>
            </w:tcBorders>
            <w:vAlign w:val="center"/>
          </w:tcPr>
          <w:p w14:paraId="5DA1B1A9">
            <w:pPr>
              <w:keepNext w:val="0"/>
              <w:keepLines w:val="0"/>
              <w:suppressLineNumbers w:val="0"/>
              <w:autoSpaceDE w:val="0"/>
              <w:autoSpaceDN w:val="0"/>
              <w:spacing w:before="12" w:beforeAutospacing="0" w:after="0" w:afterAutospacing="0" w:line="267"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分子式：</w:t>
            </w:r>
          </w:p>
        </w:tc>
        <w:tc>
          <w:tcPr>
            <w:tcW w:w="837" w:type="pct"/>
            <w:tcBorders>
              <w:tl2br w:val="nil"/>
              <w:tr2bl w:val="nil"/>
            </w:tcBorders>
            <w:vAlign w:val="center"/>
          </w:tcPr>
          <w:p w14:paraId="1F298121">
            <w:pPr>
              <w:keepNext w:val="0"/>
              <w:keepLines w:val="0"/>
              <w:suppressLineNumbers w:val="0"/>
              <w:autoSpaceDE w:val="0"/>
              <w:autoSpaceDN w:val="0"/>
              <w:spacing w:before="23" w:beforeAutospacing="0" w:after="0" w:afterAutospacing="0" w:line="256"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position w:val="2"/>
                <w:sz w:val="20"/>
                <w:szCs w:val="20"/>
                <w:highlight w:val="none"/>
                <w:lang w:eastAsia="en-US"/>
              </w:rPr>
              <w:t>NO</w:t>
            </w:r>
            <w:r>
              <w:rPr>
                <w:rFonts w:hint="default" w:ascii="Times New Roman" w:hAnsi="Times New Roman" w:eastAsia="宋体" w:cs="Times New Roman"/>
                <w:color w:val="auto"/>
                <w:kern w:val="0"/>
                <w:position w:val="2"/>
                <w:sz w:val="20"/>
                <w:szCs w:val="20"/>
                <w:highlight w:val="none"/>
                <w:vertAlign w:val="subscript"/>
                <w:lang w:eastAsia="en-US"/>
              </w:rPr>
              <w:t>2</w:t>
            </w:r>
          </w:p>
        </w:tc>
        <w:tc>
          <w:tcPr>
            <w:tcW w:w="1066" w:type="pct"/>
            <w:tcBorders>
              <w:tl2br w:val="nil"/>
              <w:tr2bl w:val="nil"/>
            </w:tcBorders>
            <w:vAlign w:val="center"/>
          </w:tcPr>
          <w:p w14:paraId="164B9593">
            <w:pPr>
              <w:keepNext w:val="0"/>
              <w:keepLines w:val="0"/>
              <w:suppressLineNumbers w:val="0"/>
              <w:autoSpaceDE w:val="0"/>
              <w:autoSpaceDN w:val="0"/>
              <w:spacing w:before="12" w:beforeAutospacing="0" w:after="0" w:afterAutospacing="0" w:line="267"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分子量：</w:t>
            </w:r>
          </w:p>
        </w:tc>
        <w:tc>
          <w:tcPr>
            <w:tcW w:w="1440" w:type="pct"/>
            <w:tcBorders>
              <w:tl2br w:val="nil"/>
              <w:tr2bl w:val="nil"/>
            </w:tcBorders>
            <w:vAlign w:val="center"/>
          </w:tcPr>
          <w:p w14:paraId="6CB5DFEC">
            <w:pPr>
              <w:keepNext w:val="0"/>
              <w:keepLines w:val="0"/>
              <w:suppressLineNumbers w:val="0"/>
              <w:autoSpaceDE w:val="0"/>
              <w:autoSpaceDN w:val="0"/>
              <w:spacing w:before="26"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46</w:t>
            </w:r>
          </w:p>
        </w:tc>
      </w:tr>
      <w:tr w14:paraId="35F977E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continue"/>
            <w:tcBorders>
              <w:tl2br w:val="nil"/>
              <w:tr2bl w:val="nil"/>
            </w:tcBorders>
            <w:vAlign w:val="center"/>
          </w:tcPr>
          <w:p w14:paraId="28ACA3A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1058" w:type="pct"/>
            <w:tcBorders>
              <w:tl2br w:val="nil"/>
              <w:tr2bl w:val="nil"/>
            </w:tcBorders>
            <w:vAlign w:val="center"/>
          </w:tcPr>
          <w:p w14:paraId="020E39F3">
            <w:pPr>
              <w:keepNext w:val="0"/>
              <w:keepLines w:val="0"/>
              <w:suppressLineNumbers w:val="0"/>
              <w:autoSpaceDE w:val="0"/>
              <w:autoSpaceDN w:val="0"/>
              <w:spacing w:before="13" w:beforeAutospacing="0" w:after="0" w:afterAutospacing="0" w:line="266"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危规编号：</w:t>
            </w:r>
          </w:p>
        </w:tc>
        <w:tc>
          <w:tcPr>
            <w:tcW w:w="837" w:type="pct"/>
            <w:tcBorders>
              <w:tl2br w:val="nil"/>
              <w:tr2bl w:val="nil"/>
            </w:tcBorders>
            <w:vAlign w:val="center"/>
          </w:tcPr>
          <w:p w14:paraId="76D1C650">
            <w:pPr>
              <w:keepNext w:val="0"/>
              <w:keepLines w:val="0"/>
              <w:suppressLineNumbers w:val="0"/>
              <w:autoSpaceDE w:val="0"/>
              <w:autoSpaceDN w:val="0"/>
              <w:spacing w:before="26"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23012</w:t>
            </w:r>
          </w:p>
        </w:tc>
        <w:tc>
          <w:tcPr>
            <w:tcW w:w="1066" w:type="pct"/>
            <w:tcBorders>
              <w:tl2br w:val="nil"/>
              <w:tr2bl w:val="nil"/>
            </w:tcBorders>
            <w:vAlign w:val="center"/>
          </w:tcPr>
          <w:p w14:paraId="68B1DD41">
            <w:pPr>
              <w:keepNext w:val="0"/>
              <w:keepLines w:val="0"/>
              <w:suppressLineNumbers w:val="0"/>
              <w:autoSpaceDE w:val="0"/>
              <w:autoSpaceDN w:val="0"/>
              <w:spacing w:before="13" w:beforeAutospacing="0" w:after="0" w:afterAutospacing="0" w:line="266"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CAS 号：</w:t>
            </w:r>
          </w:p>
        </w:tc>
        <w:tc>
          <w:tcPr>
            <w:tcW w:w="1440" w:type="pct"/>
            <w:tcBorders>
              <w:tl2br w:val="nil"/>
              <w:tr2bl w:val="nil"/>
            </w:tcBorders>
            <w:vAlign w:val="center"/>
          </w:tcPr>
          <w:p w14:paraId="0A81F0A4">
            <w:pPr>
              <w:keepNext w:val="0"/>
              <w:keepLines w:val="0"/>
              <w:suppressLineNumbers w:val="0"/>
              <w:autoSpaceDE w:val="0"/>
              <w:autoSpaceDN w:val="0"/>
              <w:spacing w:before="26"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10102-44-0</w:t>
            </w:r>
          </w:p>
        </w:tc>
      </w:tr>
      <w:tr w14:paraId="35E0F11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restart"/>
            <w:tcBorders>
              <w:tl2br w:val="nil"/>
              <w:tr2bl w:val="nil"/>
            </w:tcBorders>
            <w:vAlign w:val="center"/>
          </w:tcPr>
          <w:p w14:paraId="3E78C45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理化性质</w:t>
            </w:r>
          </w:p>
        </w:tc>
        <w:tc>
          <w:tcPr>
            <w:tcW w:w="4402" w:type="pct"/>
            <w:gridSpan w:val="4"/>
            <w:tcBorders>
              <w:tl2br w:val="nil"/>
              <w:tr2bl w:val="nil"/>
            </w:tcBorders>
            <w:vAlign w:val="center"/>
          </w:tcPr>
          <w:p w14:paraId="3A10E9AA">
            <w:pPr>
              <w:keepNext w:val="0"/>
              <w:keepLines w:val="0"/>
              <w:suppressLineNumbers w:val="0"/>
              <w:autoSpaceDE w:val="0"/>
              <w:autoSpaceDN w:val="0"/>
              <w:spacing w:before="13" w:beforeAutospacing="0" w:after="0" w:afterAutospacing="0" w:line="266" w:lineRule="exact"/>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外观与特性：黄褐色液体或气体，有刺 激性气味。</w:t>
            </w:r>
          </w:p>
        </w:tc>
      </w:tr>
      <w:tr w14:paraId="382C6F9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continue"/>
            <w:tcBorders>
              <w:tl2br w:val="nil"/>
              <w:tr2bl w:val="nil"/>
            </w:tcBorders>
            <w:vAlign w:val="center"/>
          </w:tcPr>
          <w:p w14:paraId="118E643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1058" w:type="pct"/>
            <w:tcBorders>
              <w:tl2br w:val="nil"/>
              <w:tr2bl w:val="nil"/>
            </w:tcBorders>
            <w:vAlign w:val="center"/>
          </w:tcPr>
          <w:p w14:paraId="1EA654F0">
            <w:pPr>
              <w:keepNext w:val="0"/>
              <w:keepLines w:val="0"/>
              <w:suppressLineNumbers w:val="0"/>
              <w:autoSpaceDE w:val="0"/>
              <w:autoSpaceDN w:val="0"/>
              <w:spacing w:before="14" w:beforeAutospacing="0" w:after="0" w:afterAutospacing="0" w:line="265"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熔点(℃)</w:t>
            </w:r>
          </w:p>
        </w:tc>
        <w:tc>
          <w:tcPr>
            <w:tcW w:w="837" w:type="pct"/>
            <w:tcBorders>
              <w:tl2br w:val="nil"/>
              <w:tr2bl w:val="nil"/>
            </w:tcBorders>
            <w:vAlign w:val="center"/>
          </w:tcPr>
          <w:p w14:paraId="6E154A4F">
            <w:pPr>
              <w:keepNext w:val="0"/>
              <w:keepLines w:val="0"/>
              <w:suppressLineNumbers w:val="0"/>
              <w:autoSpaceDE w:val="0"/>
              <w:autoSpaceDN w:val="0"/>
              <w:spacing w:before="28"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-9.3</w:t>
            </w:r>
          </w:p>
        </w:tc>
        <w:tc>
          <w:tcPr>
            <w:tcW w:w="1066" w:type="pct"/>
            <w:tcBorders>
              <w:tl2br w:val="nil"/>
              <w:tr2bl w:val="nil"/>
            </w:tcBorders>
            <w:vAlign w:val="center"/>
          </w:tcPr>
          <w:p w14:paraId="41D0B1B5">
            <w:pPr>
              <w:keepNext w:val="0"/>
              <w:keepLines w:val="0"/>
              <w:suppressLineNumbers w:val="0"/>
              <w:autoSpaceDE w:val="0"/>
              <w:autoSpaceDN w:val="0"/>
              <w:spacing w:before="14" w:beforeAutospacing="0" w:after="0" w:afterAutospacing="0" w:line="265"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沸点(℃)</w:t>
            </w:r>
          </w:p>
        </w:tc>
        <w:tc>
          <w:tcPr>
            <w:tcW w:w="1440" w:type="pct"/>
            <w:tcBorders>
              <w:tl2br w:val="nil"/>
              <w:tr2bl w:val="nil"/>
            </w:tcBorders>
            <w:vAlign w:val="center"/>
          </w:tcPr>
          <w:p w14:paraId="7E3E5414">
            <w:pPr>
              <w:keepNext w:val="0"/>
              <w:keepLines w:val="0"/>
              <w:suppressLineNumbers w:val="0"/>
              <w:autoSpaceDE w:val="0"/>
              <w:autoSpaceDN w:val="0"/>
              <w:spacing w:before="28"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22.4</w:t>
            </w:r>
          </w:p>
        </w:tc>
      </w:tr>
      <w:tr w14:paraId="68A6FBE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continue"/>
            <w:tcBorders>
              <w:tl2br w:val="nil"/>
              <w:tr2bl w:val="nil"/>
            </w:tcBorders>
            <w:vAlign w:val="center"/>
          </w:tcPr>
          <w:p w14:paraId="1BC2A6B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1058" w:type="pct"/>
            <w:tcBorders>
              <w:tl2br w:val="nil"/>
              <w:tr2bl w:val="nil"/>
            </w:tcBorders>
            <w:vAlign w:val="center"/>
          </w:tcPr>
          <w:p w14:paraId="158180D0">
            <w:pPr>
              <w:keepNext w:val="0"/>
              <w:keepLines w:val="0"/>
              <w:suppressLineNumbers w:val="0"/>
              <w:autoSpaceDE w:val="0"/>
              <w:autoSpaceDN w:val="0"/>
              <w:spacing w:before="12" w:beforeAutospacing="0" w:after="0" w:afterAutospacing="0" w:line="267"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饱和蒸气压(kPa)</w:t>
            </w:r>
          </w:p>
        </w:tc>
        <w:tc>
          <w:tcPr>
            <w:tcW w:w="837" w:type="pct"/>
            <w:tcBorders>
              <w:tl2br w:val="nil"/>
              <w:tr2bl w:val="nil"/>
            </w:tcBorders>
            <w:vAlign w:val="center"/>
          </w:tcPr>
          <w:p w14:paraId="24375AFE">
            <w:pPr>
              <w:keepNext w:val="0"/>
              <w:keepLines w:val="0"/>
              <w:suppressLineNumbers w:val="0"/>
              <w:autoSpaceDE w:val="0"/>
              <w:autoSpaceDN w:val="0"/>
              <w:spacing w:before="12" w:beforeAutospacing="0" w:after="0" w:afterAutospacing="0" w:line="267"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101.32(22℃)</w:t>
            </w:r>
          </w:p>
        </w:tc>
        <w:tc>
          <w:tcPr>
            <w:tcW w:w="1066" w:type="pct"/>
            <w:tcBorders>
              <w:tl2br w:val="nil"/>
              <w:tr2bl w:val="nil"/>
            </w:tcBorders>
            <w:vAlign w:val="center"/>
          </w:tcPr>
          <w:p w14:paraId="7AAA9B49">
            <w:pPr>
              <w:keepNext w:val="0"/>
              <w:keepLines w:val="0"/>
              <w:suppressLineNumbers w:val="0"/>
              <w:autoSpaceDE w:val="0"/>
              <w:autoSpaceDN w:val="0"/>
              <w:spacing w:before="12" w:beforeAutospacing="0" w:after="0" w:afterAutospacing="0" w:line="267"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相对密度(空气=1)</w:t>
            </w:r>
          </w:p>
        </w:tc>
        <w:tc>
          <w:tcPr>
            <w:tcW w:w="1440" w:type="pct"/>
            <w:tcBorders>
              <w:tl2br w:val="nil"/>
              <w:tr2bl w:val="nil"/>
            </w:tcBorders>
            <w:vAlign w:val="center"/>
          </w:tcPr>
          <w:p w14:paraId="7E1437A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r>
      <w:tr w14:paraId="3C6DBCF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continue"/>
            <w:tcBorders>
              <w:tl2br w:val="nil"/>
              <w:tr2bl w:val="nil"/>
            </w:tcBorders>
            <w:vAlign w:val="center"/>
          </w:tcPr>
          <w:p w14:paraId="691B5DE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1058" w:type="pct"/>
            <w:tcBorders>
              <w:tl2br w:val="nil"/>
              <w:tr2bl w:val="nil"/>
            </w:tcBorders>
            <w:vAlign w:val="center"/>
          </w:tcPr>
          <w:p w14:paraId="59ED7613">
            <w:pPr>
              <w:keepNext w:val="0"/>
              <w:keepLines w:val="0"/>
              <w:suppressLineNumbers w:val="0"/>
              <w:autoSpaceDE w:val="0"/>
              <w:autoSpaceDN w:val="0"/>
              <w:spacing w:before="13" w:beforeAutospacing="0" w:after="0" w:afterAutospacing="0" w:line="266"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溶解性</w:t>
            </w:r>
          </w:p>
        </w:tc>
        <w:tc>
          <w:tcPr>
            <w:tcW w:w="3343" w:type="pct"/>
            <w:gridSpan w:val="3"/>
            <w:tcBorders>
              <w:tl2br w:val="nil"/>
              <w:tr2bl w:val="nil"/>
            </w:tcBorders>
            <w:vAlign w:val="center"/>
          </w:tcPr>
          <w:p w14:paraId="05D7A1FB">
            <w:pPr>
              <w:keepNext w:val="0"/>
              <w:keepLines w:val="0"/>
              <w:suppressLineNumbers w:val="0"/>
              <w:autoSpaceDE w:val="0"/>
              <w:autoSpaceDN w:val="0"/>
              <w:spacing w:before="13" w:beforeAutospacing="0" w:after="0" w:afterAutospacing="0" w:line="266"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溶于水</w:t>
            </w:r>
          </w:p>
        </w:tc>
      </w:tr>
      <w:tr w14:paraId="3F3C996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tcBorders>
              <w:tl2br w:val="nil"/>
              <w:tr2bl w:val="nil"/>
            </w:tcBorders>
            <w:vAlign w:val="center"/>
          </w:tcPr>
          <w:p w14:paraId="58F69AE8">
            <w:pPr>
              <w:keepNext w:val="0"/>
              <w:keepLines w:val="0"/>
              <w:suppressLineNumbers w:val="0"/>
              <w:autoSpaceDE w:val="0"/>
              <w:autoSpaceDN w:val="0"/>
              <w:spacing w:before="157" w:beforeAutospacing="0" w:after="0" w:afterAutospacing="0" w:line="240" w:lineRule="auto"/>
              <w:ind w:left="0" w:right="8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急性毒性</w:t>
            </w:r>
          </w:p>
        </w:tc>
        <w:tc>
          <w:tcPr>
            <w:tcW w:w="4402" w:type="pct"/>
            <w:gridSpan w:val="4"/>
            <w:tcBorders>
              <w:tl2br w:val="nil"/>
              <w:tr2bl w:val="nil"/>
            </w:tcBorders>
            <w:vAlign w:val="center"/>
          </w:tcPr>
          <w:p w14:paraId="07A18DF3">
            <w:pPr>
              <w:keepNext w:val="0"/>
              <w:keepLines w:val="0"/>
              <w:suppressLineNumbers w:val="0"/>
              <w:autoSpaceDE w:val="0"/>
              <w:autoSpaceDN w:val="0"/>
              <w:spacing w:before="23"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LD50：无资料</w:t>
            </w:r>
          </w:p>
          <w:p w14:paraId="5BCF6AAF">
            <w:pPr>
              <w:keepNext w:val="0"/>
              <w:keepLines w:val="0"/>
              <w:suppressLineNumbers w:val="0"/>
              <w:autoSpaceDE w:val="0"/>
              <w:autoSpaceDN w:val="0"/>
              <w:spacing w:before="2"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LC50：126mg/m</w:t>
            </w:r>
            <w:r>
              <w:rPr>
                <w:rFonts w:hint="default" w:ascii="Times New Roman" w:hAnsi="Times New Roman" w:eastAsia="宋体" w:cs="Times New Roman"/>
                <w:color w:val="auto"/>
                <w:kern w:val="0"/>
                <w:position w:val="7"/>
                <w:sz w:val="20"/>
                <w:szCs w:val="20"/>
                <w:highlight w:val="none"/>
                <w:lang w:eastAsia="zh-CN"/>
              </w:rPr>
              <w:t>3</w:t>
            </w:r>
            <w:r>
              <w:rPr>
                <w:rFonts w:hint="default" w:ascii="Times New Roman" w:hAnsi="Times New Roman" w:eastAsia="宋体" w:cs="Times New Roman"/>
                <w:color w:val="auto"/>
                <w:kern w:val="0"/>
                <w:sz w:val="20"/>
                <w:szCs w:val="20"/>
                <w:highlight w:val="none"/>
                <w:lang w:eastAsia="zh-CN"/>
              </w:rPr>
              <w:t>，4 小时(大鼠吸入)</w:t>
            </w:r>
          </w:p>
        </w:tc>
      </w:tr>
      <w:tr w14:paraId="527486C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restart"/>
            <w:tcBorders>
              <w:tl2br w:val="nil"/>
              <w:tr2bl w:val="nil"/>
            </w:tcBorders>
            <w:vAlign w:val="center"/>
          </w:tcPr>
          <w:p w14:paraId="12D52E54">
            <w:pPr>
              <w:keepNext w:val="0"/>
              <w:keepLines w:val="0"/>
              <w:suppressLineNumbers w:val="0"/>
              <w:autoSpaceDE w:val="0"/>
              <w:autoSpaceDN w:val="0"/>
              <w:spacing w:before="12" w:beforeAutospacing="0" w:after="0" w:afterAutospacing="0" w:line="265" w:lineRule="exact"/>
              <w:ind w:left="0" w:right="8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健康危害</w:t>
            </w:r>
          </w:p>
        </w:tc>
        <w:tc>
          <w:tcPr>
            <w:tcW w:w="1058" w:type="pct"/>
            <w:tcBorders>
              <w:tl2br w:val="nil"/>
              <w:tr2bl w:val="nil"/>
            </w:tcBorders>
            <w:vAlign w:val="center"/>
          </w:tcPr>
          <w:p w14:paraId="175F0B4F">
            <w:pPr>
              <w:keepNext w:val="0"/>
              <w:keepLines w:val="0"/>
              <w:suppressLineNumbers w:val="0"/>
              <w:autoSpaceDE w:val="0"/>
              <w:autoSpaceDN w:val="0"/>
              <w:spacing w:before="12" w:beforeAutospacing="0" w:after="0" w:afterAutospacing="0" w:line="265"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侵入途径</w:t>
            </w:r>
          </w:p>
        </w:tc>
        <w:tc>
          <w:tcPr>
            <w:tcW w:w="3343" w:type="pct"/>
            <w:gridSpan w:val="3"/>
            <w:tcBorders>
              <w:tl2br w:val="nil"/>
              <w:tr2bl w:val="nil"/>
            </w:tcBorders>
            <w:vAlign w:val="center"/>
          </w:tcPr>
          <w:p w14:paraId="3441916B">
            <w:pPr>
              <w:keepNext w:val="0"/>
              <w:keepLines w:val="0"/>
              <w:suppressLineNumbers w:val="0"/>
              <w:autoSpaceDE w:val="0"/>
              <w:autoSpaceDN w:val="0"/>
              <w:spacing w:before="12" w:beforeAutospacing="0" w:after="0" w:afterAutospacing="0" w:line="265" w:lineRule="exact"/>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吸入</w:t>
            </w:r>
          </w:p>
        </w:tc>
      </w:tr>
      <w:tr w14:paraId="244BBF6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vMerge w:val="continue"/>
            <w:tcBorders>
              <w:tl2br w:val="nil"/>
              <w:tr2bl w:val="nil"/>
            </w:tcBorders>
            <w:vAlign w:val="center"/>
          </w:tcPr>
          <w:p w14:paraId="5B63FA2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4402" w:type="pct"/>
            <w:gridSpan w:val="4"/>
            <w:tcBorders>
              <w:tl2br w:val="nil"/>
              <w:tr2bl w:val="nil"/>
            </w:tcBorders>
            <w:vAlign w:val="center"/>
          </w:tcPr>
          <w:p w14:paraId="258187C9">
            <w:pPr>
              <w:keepNext w:val="0"/>
              <w:keepLines w:val="0"/>
              <w:suppressLineNumbers w:val="0"/>
              <w:autoSpaceDE w:val="0"/>
              <w:autoSpaceDN w:val="0"/>
              <w:spacing w:before="2" w:beforeAutospacing="0" w:after="0" w:afterAutospacing="0" w:line="242" w:lineRule="auto"/>
              <w:ind w:left="0" w:right="-44"/>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氮氧化物主要损害呼吸道。吸入气体初期仅有轻微的眼及上呼吸道刺激症状，如咽 部不适、干咳等。常经数小时至十几小时或更长时间潜伏期后发生迟发性肺水肿、 成人呼吸窘迫综合征，出现胸闷、呼吸窘迫、咳嗽、咯泡沫痰、紫绀等。可并发气 胸及纵隔气肿。肺水肿消退后两周左右可出现迟发性阻塞性细支气管炎。慢性作用： 主要表现为神经衷弱综合征</w:t>
            </w:r>
          </w:p>
          <w:p w14:paraId="7542F206">
            <w:pPr>
              <w:keepNext w:val="0"/>
              <w:keepLines w:val="0"/>
              <w:suppressLineNumbers w:val="0"/>
              <w:autoSpaceDE w:val="0"/>
              <w:autoSpaceDN w:val="0"/>
              <w:spacing w:before="2" w:beforeAutospacing="0" w:after="0" w:afterAutospacing="0" w:line="251" w:lineRule="exact"/>
              <w:ind w:left="0" w:right="0"/>
              <w:jc w:val="left"/>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zh-CN"/>
              </w:rPr>
              <w:t>及慢性呼吸道炎症。个别病例出现肺纤维化。</w:t>
            </w:r>
            <w:r>
              <w:rPr>
                <w:rFonts w:hint="default" w:ascii="Times New Roman" w:hAnsi="Times New Roman" w:eastAsia="宋体" w:cs="Times New Roman"/>
                <w:color w:val="auto"/>
                <w:kern w:val="0"/>
                <w:sz w:val="20"/>
                <w:szCs w:val="20"/>
                <w:highlight w:val="none"/>
                <w:lang w:eastAsia="en-US"/>
              </w:rPr>
              <w:t>可引起牙 齿酸蚀症。</w:t>
            </w:r>
          </w:p>
        </w:tc>
      </w:tr>
      <w:tr w14:paraId="328FBF7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tcBorders>
              <w:tl2br w:val="nil"/>
              <w:tr2bl w:val="nil"/>
            </w:tcBorders>
            <w:vAlign w:val="center"/>
          </w:tcPr>
          <w:p w14:paraId="08F98EA2">
            <w:pPr>
              <w:keepNext w:val="0"/>
              <w:keepLines w:val="0"/>
              <w:suppressLineNumbers w:val="0"/>
              <w:autoSpaceDE w:val="0"/>
              <w:autoSpaceDN w:val="0"/>
              <w:spacing w:before="158" w:beforeAutospacing="0" w:after="0" w:afterAutospacing="0" w:line="240" w:lineRule="auto"/>
              <w:ind w:left="0" w:right="8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急救措施</w:t>
            </w:r>
          </w:p>
        </w:tc>
        <w:tc>
          <w:tcPr>
            <w:tcW w:w="4402" w:type="pct"/>
            <w:gridSpan w:val="4"/>
            <w:tcBorders>
              <w:tl2br w:val="nil"/>
              <w:tr2bl w:val="nil"/>
            </w:tcBorders>
            <w:vAlign w:val="center"/>
          </w:tcPr>
          <w:p w14:paraId="68E19EA3">
            <w:pPr>
              <w:keepNext w:val="0"/>
              <w:keepLines w:val="0"/>
              <w:suppressLineNumbers w:val="0"/>
              <w:autoSpaceDE w:val="0"/>
              <w:autoSpaceDN w:val="0"/>
              <w:spacing w:before="20" w:beforeAutospacing="0" w:after="0" w:afterAutospacing="0" w:line="270" w:lineRule="atLeast"/>
              <w:ind w:left="0" w:right="144"/>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迅速脱离现场至空气新鲜处。保持呼吸道通畅。如呼吸困难，给输氧。 如呼吸停止，立即进行人工呼吸。就医。迅速撤离泄漏污染区人员至上风处，并进行隔离，严格</w:t>
            </w:r>
          </w:p>
        </w:tc>
      </w:tr>
      <w:tr w14:paraId="080D9EC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tcBorders>
              <w:tl2br w:val="nil"/>
              <w:tr2bl w:val="nil"/>
            </w:tcBorders>
            <w:vAlign w:val="center"/>
          </w:tcPr>
          <w:p w14:paraId="4FB1E3F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泄漏应急处理</w:t>
            </w:r>
          </w:p>
        </w:tc>
        <w:tc>
          <w:tcPr>
            <w:tcW w:w="4402" w:type="pct"/>
            <w:gridSpan w:val="4"/>
            <w:tcBorders>
              <w:tl2br w:val="nil"/>
              <w:tr2bl w:val="nil"/>
            </w:tcBorders>
            <w:vAlign w:val="center"/>
          </w:tcPr>
          <w:p w14:paraId="768283F7">
            <w:pPr>
              <w:keepNext w:val="0"/>
              <w:keepLines w:val="0"/>
              <w:suppressLineNumbers w:val="0"/>
              <w:autoSpaceDE w:val="0"/>
              <w:autoSpaceDN w:val="0"/>
              <w:spacing w:before="56" w:beforeAutospacing="0" w:after="0" w:afterAutospacing="0" w:line="242" w:lineRule="auto"/>
              <w:ind w:left="0" w:right="144"/>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迅速撤离泄漏污染区人员至上风处，并进行隔离，严格限制出入。建议应急处理人 员戴自给正压式呼吸器，穿防毒服。尽可能切断泄漏源。若是气体，合理通风，加 速扩散。喷雾状水稀释、溶解。构筑围堤或挖坑收容产生的大量废水。漏气容器要 妥善处理，修复、检验后再用。若是液体，用大量水冲洗，洗水稀释后放入废水系 统。若大量泄漏，构筑围堤或挖坑收容。喷雾状水冷却和稀释蒸汽。用防爆泵转移 至槽车或专用收集器内，回收或运至废物处理场所处置。</w:t>
            </w:r>
          </w:p>
        </w:tc>
      </w:tr>
      <w:tr w14:paraId="0B39C86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tcBorders>
              <w:tl2br w:val="nil"/>
              <w:tr2bl w:val="nil"/>
            </w:tcBorders>
            <w:vAlign w:val="center"/>
          </w:tcPr>
          <w:p w14:paraId="0D902E0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操作注意事项</w:t>
            </w:r>
          </w:p>
        </w:tc>
        <w:tc>
          <w:tcPr>
            <w:tcW w:w="4402" w:type="pct"/>
            <w:gridSpan w:val="4"/>
            <w:tcBorders>
              <w:tl2br w:val="nil"/>
              <w:tr2bl w:val="nil"/>
            </w:tcBorders>
            <w:vAlign w:val="center"/>
          </w:tcPr>
          <w:p w14:paraId="6F437DB0">
            <w:pPr>
              <w:keepNext w:val="0"/>
              <w:keepLines w:val="0"/>
              <w:suppressLineNumbers w:val="0"/>
              <w:autoSpaceDE w:val="0"/>
              <w:autoSpaceDN w:val="0"/>
              <w:spacing w:before="47" w:beforeAutospacing="0" w:after="0" w:afterAutospacing="0" w:line="242" w:lineRule="auto"/>
              <w:ind w:left="0" w:right="67"/>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严加密闭，提供充分的局部排风和全面通风。操作人员必须经过专门培训，严格遵 守操作规程。建议操作人员佩戴自吸过滤式防毒面具(全面罩)，穿胶布防毒衣， 戴橡胶手套。远离火种、热源，工作场所严禁吸烟。远离易燃、可燃物。防止气体 或蒸气泄漏到工作场所空气中。避免与还原剂接触。搬运时轻装轻卸，防止钢瓶及 附件破损。配备相应品种和数量的消防器材及泄漏应急处理设备。</w:t>
            </w:r>
          </w:p>
        </w:tc>
      </w:tr>
      <w:tr w14:paraId="59C49C1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tcBorders>
              <w:tl2br w:val="nil"/>
              <w:tr2bl w:val="nil"/>
            </w:tcBorders>
            <w:vAlign w:val="center"/>
          </w:tcPr>
          <w:p w14:paraId="42C97D1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防护措施</w:t>
            </w:r>
          </w:p>
        </w:tc>
        <w:tc>
          <w:tcPr>
            <w:tcW w:w="4402" w:type="pct"/>
            <w:gridSpan w:val="4"/>
            <w:tcBorders>
              <w:tl2br w:val="nil"/>
              <w:tr2bl w:val="nil"/>
            </w:tcBorders>
            <w:vAlign w:val="center"/>
          </w:tcPr>
          <w:p w14:paraId="46D1CB1A">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工程控制：严加密闭，提供充分的局部排风和全面通风。提供安全淋浴和洗眼设备。</w:t>
            </w:r>
          </w:p>
          <w:p w14:paraId="7969912A">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呼吸系统防护：空气中浓度超标时，佩戴自吸过滤式防毒面具(全面罩)。紧急事态抢救或撤离时，建议佩戴空气呼吸器。</w:t>
            </w:r>
          </w:p>
          <w:p w14:paraId="61F2E799">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眼睛防护：呼吸系统防护中已作防护。身体防护：穿胶布防毒衣</w:t>
            </w:r>
          </w:p>
          <w:p w14:paraId="3EABD5CA">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手防护：戴橡胶手套。</w:t>
            </w:r>
          </w:p>
          <w:p w14:paraId="61356DDD">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其他防护：工作现场禁止吸烟、进食和饮水。保持良好的卫生习惯。进入罐、限制性空间或其它高浓度区作业，须有人监护。</w:t>
            </w:r>
          </w:p>
        </w:tc>
      </w:tr>
      <w:tr w14:paraId="274ACED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7" w:type="pct"/>
            <w:tcBorders>
              <w:tl2br w:val="nil"/>
              <w:tr2bl w:val="nil"/>
            </w:tcBorders>
            <w:vAlign w:val="center"/>
          </w:tcPr>
          <w:p w14:paraId="66A3F76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储存注意事项</w:t>
            </w:r>
          </w:p>
        </w:tc>
        <w:tc>
          <w:tcPr>
            <w:tcW w:w="4402" w:type="pct"/>
            <w:gridSpan w:val="4"/>
            <w:tcBorders>
              <w:tl2br w:val="nil"/>
              <w:tr2bl w:val="nil"/>
            </w:tcBorders>
            <w:vAlign w:val="center"/>
          </w:tcPr>
          <w:p w14:paraId="3B578309">
            <w:pPr>
              <w:keepNext w:val="0"/>
              <w:keepLines w:val="0"/>
              <w:suppressLineNumbers w:val="0"/>
              <w:autoSpaceDE w:val="0"/>
              <w:autoSpaceDN w:val="0"/>
              <w:spacing w:before="55" w:beforeAutospacing="0" w:after="0" w:afterAutospacing="0" w:line="242" w:lineRule="auto"/>
              <w:ind w:left="0" w:right="-44"/>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用刚瓶运输时必须戴好钢瓶上的安全帽。钢瓶平放，并应将瓶口朝同一方向，不可交叉；高度不得超过车辆防护栏板，并用三角木垫卡牢，防止滚动。严禁与易燃可燃物、还原剂、食用化学品等混装混运。夏季应早晚运输，防止日光曝晒。公路运输时要按规定路线行驶，禁止在居民区和人口稠密区停留。</w:t>
            </w:r>
          </w:p>
        </w:tc>
      </w:tr>
    </w:tbl>
    <w:p w14:paraId="233876DD">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5</w:t>
      </w: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氨</w:t>
      </w:r>
    </w:p>
    <w:p w14:paraId="4E680E5E">
      <w:pPr>
        <w:spacing w:line="240" w:lineRule="auto"/>
        <w:jc w:val="center"/>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5</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b/>
          <w:bCs/>
          <w:color w:val="auto"/>
          <w:highlight w:val="none"/>
        </w:rPr>
        <w:t xml:space="preserve"> </w:t>
      </w:r>
      <w:r>
        <w:rPr>
          <w:rFonts w:hint="eastAsia" w:ascii="Times New Roman" w:hAnsi="Times New Roman" w:cs="Times New Roman"/>
          <w:b/>
          <w:bCs/>
          <w:color w:val="auto"/>
          <w:highlight w:val="none"/>
          <w:lang w:val="en-US" w:eastAsia="zh-CN"/>
        </w:rPr>
        <w:t>氨理化特性及危险特性</w:t>
      </w:r>
    </w:p>
    <w:tbl>
      <w:tblPr>
        <w:tblStyle w:val="132"/>
        <w:tblW w:w="5000"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082"/>
        <w:gridCol w:w="1987"/>
        <w:gridCol w:w="2018"/>
        <w:gridCol w:w="3985"/>
      </w:tblGrid>
      <w:tr w14:paraId="5D2DD3D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restart"/>
            <w:tcBorders>
              <w:tl2br w:val="nil"/>
              <w:tr2bl w:val="nil"/>
            </w:tcBorders>
            <w:vAlign w:val="center"/>
          </w:tcPr>
          <w:p w14:paraId="63E2F1A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标识</w:t>
            </w:r>
          </w:p>
        </w:tc>
        <w:tc>
          <w:tcPr>
            <w:tcW w:w="2207" w:type="pct"/>
            <w:gridSpan w:val="2"/>
            <w:tcBorders>
              <w:tl2br w:val="nil"/>
              <w:tr2bl w:val="nil"/>
            </w:tcBorders>
            <w:vAlign w:val="center"/>
          </w:tcPr>
          <w:p w14:paraId="145CE5E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中文名：氨气</w:t>
            </w:r>
          </w:p>
        </w:tc>
        <w:tc>
          <w:tcPr>
            <w:tcW w:w="2195" w:type="pct"/>
            <w:tcBorders>
              <w:tl2br w:val="nil"/>
              <w:tr2bl w:val="nil"/>
            </w:tcBorders>
            <w:vAlign w:val="center"/>
          </w:tcPr>
          <w:p w14:paraId="4AEC0FF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英文名：Ammonia</w:t>
            </w:r>
          </w:p>
        </w:tc>
      </w:tr>
      <w:tr w14:paraId="55BFC25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4224E02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1BB749F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分子式：NH</w:t>
            </w:r>
            <w:r>
              <w:rPr>
                <w:rFonts w:hint="default" w:ascii="Times New Roman" w:hAnsi="Times New Roman" w:eastAsia="宋体" w:cs="Times New Roman"/>
                <w:color w:val="auto"/>
                <w:kern w:val="0"/>
                <w:sz w:val="20"/>
                <w:szCs w:val="20"/>
                <w:highlight w:val="none"/>
                <w:vertAlign w:val="subscript"/>
                <w:lang w:eastAsia="en-US"/>
              </w:rPr>
              <w:t>3</w:t>
            </w:r>
          </w:p>
        </w:tc>
        <w:tc>
          <w:tcPr>
            <w:tcW w:w="2195" w:type="pct"/>
            <w:tcBorders>
              <w:tl2br w:val="nil"/>
              <w:tr2bl w:val="nil"/>
            </w:tcBorders>
            <w:vAlign w:val="center"/>
          </w:tcPr>
          <w:p w14:paraId="619CC1B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分子量：17.03</w:t>
            </w:r>
          </w:p>
        </w:tc>
      </w:tr>
      <w:tr w14:paraId="631ABCE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3890A84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1095" w:type="pct"/>
            <w:tcBorders>
              <w:tl2br w:val="nil"/>
              <w:tr2bl w:val="nil"/>
            </w:tcBorders>
            <w:vAlign w:val="center"/>
          </w:tcPr>
          <w:p w14:paraId="2093951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危规号：23003</w:t>
            </w:r>
          </w:p>
        </w:tc>
        <w:tc>
          <w:tcPr>
            <w:tcW w:w="1112" w:type="pct"/>
            <w:tcBorders>
              <w:tl2br w:val="nil"/>
              <w:tr2bl w:val="nil"/>
            </w:tcBorders>
            <w:vAlign w:val="center"/>
          </w:tcPr>
          <w:p w14:paraId="58CC48A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UN编号：1005</w:t>
            </w:r>
          </w:p>
        </w:tc>
        <w:tc>
          <w:tcPr>
            <w:tcW w:w="2195" w:type="pct"/>
            <w:tcBorders>
              <w:tl2br w:val="nil"/>
              <w:tr2bl w:val="nil"/>
            </w:tcBorders>
            <w:vAlign w:val="center"/>
          </w:tcPr>
          <w:p w14:paraId="300C4E0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CAS号：7664-41-7</w:t>
            </w:r>
          </w:p>
        </w:tc>
      </w:tr>
      <w:tr w14:paraId="6BCDD68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restart"/>
            <w:tcBorders>
              <w:tl2br w:val="nil"/>
              <w:tr2bl w:val="nil"/>
            </w:tcBorders>
            <w:vAlign w:val="center"/>
          </w:tcPr>
          <w:p w14:paraId="13CD0F7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理化性质</w:t>
            </w:r>
          </w:p>
        </w:tc>
        <w:tc>
          <w:tcPr>
            <w:tcW w:w="2207" w:type="pct"/>
            <w:gridSpan w:val="2"/>
            <w:tcBorders>
              <w:tl2br w:val="nil"/>
              <w:tr2bl w:val="nil"/>
            </w:tcBorders>
            <w:vAlign w:val="center"/>
          </w:tcPr>
          <w:p w14:paraId="3CD7B24F">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外观与形状：无色有刺激性恶臭气体，在适当压力下可液化成液氨</w:t>
            </w:r>
          </w:p>
        </w:tc>
        <w:tc>
          <w:tcPr>
            <w:tcW w:w="2195" w:type="pct"/>
            <w:tcBorders>
              <w:tl2br w:val="nil"/>
              <w:tr2bl w:val="nil"/>
            </w:tcBorders>
            <w:vAlign w:val="center"/>
          </w:tcPr>
          <w:p w14:paraId="39E0454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溶解性：易溶于水、乙醇、乙醚</w:t>
            </w:r>
          </w:p>
        </w:tc>
      </w:tr>
      <w:tr w14:paraId="652D4F3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52AC0C4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2D5FD6C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熔点(℃)：-77.7</w:t>
            </w:r>
          </w:p>
        </w:tc>
        <w:tc>
          <w:tcPr>
            <w:tcW w:w="2195" w:type="pct"/>
            <w:tcBorders>
              <w:tl2br w:val="nil"/>
              <w:tr2bl w:val="nil"/>
            </w:tcBorders>
            <w:vAlign w:val="center"/>
          </w:tcPr>
          <w:p w14:paraId="50BFB27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沸点(℃)：-33.5</w:t>
            </w:r>
          </w:p>
        </w:tc>
      </w:tr>
      <w:tr w14:paraId="5F18633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1645241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758531E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相对密度(水=1)：0.82(-79℃)</w:t>
            </w:r>
          </w:p>
        </w:tc>
        <w:tc>
          <w:tcPr>
            <w:tcW w:w="2195" w:type="pct"/>
            <w:tcBorders>
              <w:tl2br w:val="nil"/>
              <w:tr2bl w:val="nil"/>
            </w:tcBorders>
            <w:vAlign w:val="center"/>
          </w:tcPr>
          <w:p w14:paraId="11D9798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相对密度(空气=1)：0.6</w:t>
            </w:r>
          </w:p>
        </w:tc>
      </w:tr>
      <w:tr w14:paraId="29191E0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45A25A9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007B36F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饱和蒸汽压(kPa)：506.62(4.7℃)</w:t>
            </w:r>
          </w:p>
        </w:tc>
        <w:tc>
          <w:tcPr>
            <w:tcW w:w="2195" w:type="pct"/>
            <w:tcBorders>
              <w:tl2br w:val="nil"/>
              <w:tr2bl w:val="nil"/>
            </w:tcBorders>
            <w:vAlign w:val="center"/>
          </w:tcPr>
          <w:p w14:paraId="11F96EB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禁忌物：卤素、酰基氯、酸类、氯仿、强氧化剂</w:t>
            </w:r>
          </w:p>
        </w:tc>
      </w:tr>
      <w:tr w14:paraId="7CE331A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43A2A73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2207" w:type="pct"/>
            <w:gridSpan w:val="2"/>
            <w:tcBorders>
              <w:tl2br w:val="nil"/>
              <w:tr2bl w:val="nil"/>
            </w:tcBorders>
            <w:vAlign w:val="center"/>
          </w:tcPr>
          <w:p w14:paraId="51F5939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临界压力(Mpa)：11.40</w:t>
            </w:r>
          </w:p>
        </w:tc>
        <w:tc>
          <w:tcPr>
            <w:tcW w:w="2195" w:type="pct"/>
            <w:tcBorders>
              <w:tl2br w:val="nil"/>
              <w:tr2bl w:val="nil"/>
            </w:tcBorders>
            <w:vAlign w:val="center"/>
          </w:tcPr>
          <w:p w14:paraId="552B658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临界温度(℃)：132.4</w:t>
            </w:r>
          </w:p>
        </w:tc>
      </w:tr>
      <w:tr w14:paraId="6BCF8ED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32F3C6C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4D1E941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稳定性：稳定</w:t>
            </w:r>
          </w:p>
        </w:tc>
        <w:tc>
          <w:tcPr>
            <w:tcW w:w="2195" w:type="pct"/>
            <w:tcBorders>
              <w:tl2br w:val="nil"/>
              <w:tr2bl w:val="nil"/>
            </w:tcBorders>
            <w:vAlign w:val="center"/>
          </w:tcPr>
          <w:p w14:paraId="29242C9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聚合危害：</w:t>
            </w:r>
          </w:p>
        </w:tc>
      </w:tr>
      <w:tr w14:paraId="5304B8D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restart"/>
            <w:tcBorders>
              <w:tl2br w:val="nil"/>
              <w:tr2bl w:val="nil"/>
            </w:tcBorders>
            <w:vAlign w:val="center"/>
          </w:tcPr>
          <w:p w14:paraId="14A6F2B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危险特性</w:t>
            </w:r>
          </w:p>
        </w:tc>
        <w:tc>
          <w:tcPr>
            <w:tcW w:w="2207" w:type="pct"/>
            <w:gridSpan w:val="2"/>
            <w:tcBorders>
              <w:tl2br w:val="nil"/>
              <w:tr2bl w:val="nil"/>
            </w:tcBorders>
            <w:vAlign w:val="center"/>
          </w:tcPr>
          <w:p w14:paraId="63B9596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危险性类别：第2..3类有毒气体</w:t>
            </w:r>
          </w:p>
        </w:tc>
        <w:tc>
          <w:tcPr>
            <w:tcW w:w="2195" w:type="pct"/>
            <w:tcBorders>
              <w:tl2br w:val="nil"/>
              <w:tr2bl w:val="nil"/>
            </w:tcBorders>
            <w:vAlign w:val="center"/>
          </w:tcPr>
          <w:p w14:paraId="58A87E5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燃烧性：可燃</w:t>
            </w:r>
          </w:p>
        </w:tc>
      </w:tr>
      <w:tr w14:paraId="3E68852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7733B7A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1619F15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引燃温度(℃)：651</w:t>
            </w:r>
          </w:p>
        </w:tc>
        <w:tc>
          <w:tcPr>
            <w:tcW w:w="2195" w:type="pct"/>
            <w:tcBorders>
              <w:tl2br w:val="nil"/>
              <w:tr2bl w:val="nil"/>
            </w:tcBorders>
            <w:vAlign w:val="center"/>
          </w:tcPr>
          <w:p w14:paraId="7C4D595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闪点(℃)：无意义</w:t>
            </w:r>
          </w:p>
        </w:tc>
      </w:tr>
      <w:tr w14:paraId="724CB02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4AC894B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0BFDF3C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爆炸下限(%)：14.5</w:t>
            </w:r>
          </w:p>
        </w:tc>
        <w:tc>
          <w:tcPr>
            <w:tcW w:w="2195" w:type="pct"/>
            <w:tcBorders>
              <w:tl2br w:val="nil"/>
              <w:tr2bl w:val="nil"/>
            </w:tcBorders>
            <w:vAlign w:val="center"/>
          </w:tcPr>
          <w:p w14:paraId="287D846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爆炸上限(%)：27.4</w:t>
            </w:r>
          </w:p>
        </w:tc>
      </w:tr>
      <w:tr w14:paraId="2B7F3CB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030F322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79047FA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最小点火能(MJ)：1000</w:t>
            </w:r>
          </w:p>
        </w:tc>
        <w:tc>
          <w:tcPr>
            <w:tcW w:w="2195" w:type="pct"/>
            <w:tcBorders>
              <w:tl2br w:val="nil"/>
              <w:tr2bl w:val="nil"/>
            </w:tcBorders>
            <w:vAlign w:val="center"/>
          </w:tcPr>
          <w:p w14:paraId="3CA1EFF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最大爆炸压力(MPa)：4.85</w:t>
            </w:r>
          </w:p>
        </w:tc>
      </w:tr>
      <w:tr w14:paraId="0789936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4B49AAA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207" w:type="pct"/>
            <w:gridSpan w:val="2"/>
            <w:tcBorders>
              <w:tl2br w:val="nil"/>
              <w:tr2bl w:val="nil"/>
            </w:tcBorders>
            <w:vAlign w:val="center"/>
          </w:tcPr>
          <w:p w14:paraId="64247E8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燃烧热(kJ/kg)：18700</w:t>
            </w:r>
          </w:p>
        </w:tc>
        <w:tc>
          <w:tcPr>
            <w:tcW w:w="2195" w:type="pct"/>
            <w:tcBorders>
              <w:tl2br w:val="nil"/>
              <w:tr2bl w:val="nil"/>
            </w:tcBorders>
            <w:vAlign w:val="center"/>
          </w:tcPr>
          <w:p w14:paraId="671764F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燃烧(分解)产物：氮氧化物、水</w:t>
            </w:r>
          </w:p>
        </w:tc>
      </w:tr>
      <w:tr w14:paraId="313C6C4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43E996D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403" w:type="pct"/>
            <w:gridSpan w:val="3"/>
            <w:tcBorders>
              <w:tl2br w:val="nil"/>
              <w:tr2bl w:val="nil"/>
            </w:tcBorders>
            <w:vAlign w:val="center"/>
          </w:tcPr>
          <w:p w14:paraId="734B77B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与空气混合能形成爆炸性混合物。</w:t>
            </w:r>
            <w:r>
              <w:rPr>
                <w:rFonts w:hint="default" w:ascii="Times New Roman" w:hAnsi="Times New Roman" w:eastAsia="宋体" w:cs="Times New Roman"/>
                <w:color w:val="auto"/>
                <w:kern w:val="0"/>
                <w:sz w:val="20"/>
                <w:szCs w:val="20"/>
                <w:highlight w:val="none"/>
                <w:lang w:eastAsia="zh-CN"/>
              </w:rPr>
              <w:t>遇明火、热即会发生燃烧爆炸。与氟、氯等接触会发生剧烈的化学反应。若遇高热，容器内压增大，又开裂和爆炸危险。</w:t>
            </w:r>
            <w:r>
              <w:rPr>
                <w:rFonts w:hint="default" w:ascii="Times New Roman" w:hAnsi="Times New Roman" w:eastAsia="宋体" w:cs="Times New Roman"/>
                <w:color w:val="auto"/>
                <w:kern w:val="0"/>
                <w:sz w:val="20"/>
                <w:szCs w:val="20"/>
                <w:highlight w:val="none"/>
                <w:lang w:eastAsia="en-US"/>
              </w:rPr>
              <w:t>遇热放出氨和氮及氮氧化物的有毒烟雾。</w:t>
            </w:r>
          </w:p>
        </w:tc>
      </w:tr>
      <w:tr w14:paraId="3DC29D2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76123CF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4403" w:type="pct"/>
            <w:gridSpan w:val="3"/>
            <w:tcBorders>
              <w:tl2br w:val="nil"/>
              <w:tr2bl w:val="nil"/>
            </w:tcBorders>
            <w:vAlign w:val="center"/>
          </w:tcPr>
          <w:p w14:paraId="34B924B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灭火方法：消防人员必须穿戴全身防火防毒服。切断气源。若不能立即切断气源，则不允许熄灭正在燃烧的气体。喷气冷却容器，可能的话将容器从火场移至空旷处。</w:t>
            </w:r>
          </w:p>
        </w:tc>
      </w:tr>
      <w:tr w14:paraId="29068425">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6E13DA1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403" w:type="pct"/>
            <w:gridSpan w:val="3"/>
            <w:tcBorders>
              <w:tl2br w:val="nil"/>
              <w:tr2bl w:val="nil"/>
            </w:tcBorders>
            <w:vAlign w:val="center"/>
          </w:tcPr>
          <w:p w14:paraId="0AA2F7B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灭火剂：雾状水、抗溶性泡沫、二氧化碳、砂土。</w:t>
            </w:r>
          </w:p>
        </w:tc>
      </w:tr>
      <w:tr w14:paraId="4164544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restart"/>
            <w:tcBorders>
              <w:tl2br w:val="nil"/>
              <w:tr2bl w:val="nil"/>
            </w:tcBorders>
            <w:vAlign w:val="center"/>
          </w:tcPr>
          <w:p w14:paraId="7A0856A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健康危害</w:t>
            </w:r>
          </w:p>
        </w:tc>
        <w:tc>
          <w:tcPr>
            <w:tcW w:w="4403" w:type="pct"/>
            <w:gridSpan w:val="3"/>
            <w:tcBorders>
              <w:tl2br w:val="nil"/>
              <w:tr2bl w:val="nil"/>
            </w:tcBorders>
            <w:vAlign w:val="center"/>
          </w:tcPr>
          <w:p w14:paraId="2CF1555B">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侵入途径：吸入，此外可以通过皮肤吸收</w:t>
            </w:r>
          </w:p>
        </w:tc>
      </w:tr>
      <w:tr w14:paraId="0CE8A72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410322C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403" w:type="pct"/>
            <w:gridSpan w:val="3"/>
            <w:tcBorders>
              <w:tl2br w:val="nil"/>
              <w:tr2bl w:val="nil"/>
            </w:tcBorders>
            <w:vAlign w:val="center"/>
          </w:tcPr>
          <w:p w14:paraId="305A2275">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健康危害：对粘膜和皮肤有碱性刺激及腐蚀作用，可造成组织溶解性坏死。高浓度时可引起反射性呼吸停止和心脏停搏。</w:t>
            </w:r>
          </w:p>
        </w:tc>
      </w:tr>
      <w:tr w14:paraId="2108FFF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vMerge w:val="continue"/>
            <w:tcBorders>
              <w:tl2br w:val="nil"/>
              <w:tr2bl w:val="nil"/>
            </w:tcBorders>
            <w:vAlign w:val="center"/>
          </w:tcPr>
          <w:p w14:paraId="5460D23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403" w:type="pct"/>
            <w:gridSpan w:val="3"/>
            <w:tcBorders>
              <w:tl2br w:val="nil"/>
              <w:tr2bl w:val="nil"/>
            </w:tcBorders>
            <w:vAlign w:val="center"/>
          </w:tcPr>
          <w:p w14:paraId="216E56E9">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工作场所最高允许浓度：中国MAC(mg/m</w:t>
            </w:r>
            <w:r>
              <w:rPr>
                <w:rFonts w:hint="default" w:ascii="Times New Roman" w:hAnsi="Times New Roman" w:eastAsia="宋体" w:cs="Times New Roman"/>
                <w:color w:val="auto"/>
                <w:kern w:val="0"/>
                <w:sz w:val="20"/>
                <w:szCs w:val="20"/>
                <w:highlight w:val="none"/>
                <w:vertAlign w:val="superscript"/>
                <w:lang w:eastAsia="zh-CN"/>
              </w:rPr>
              <w:t>3</w:t>
            </w:r>
            <w:r>
              <w:rPr>
                <w:rFonts w:hint="default" w:ascii="Times New Roman" w:hAnsi="Times New Roman" w:eastAsia="宋体" w:cs="Times New Roman"/>
                <w:color w:val="auto"/>
                <w:kern w:val="0"/>
                <w:sz w:val="20"/>
                <w:szCs w:val="20"/>
                <w:highlight w:val="none"/>
                <w:lang w:eastAsia="zh-CN"/>
              </w:rPr>
              <w:t>)：30；前苏联MAC(mg/m</w:t>
            </w:r>
            <w:r>
              <w:rPr>
                <w:rFonts w:hint="default" w:ascii="Times New Roman" w:hAnsi="Times New Roman" w:eastAsia="宋体" w:cs="Times New Roman"/>
                <w:color w:val="auto"/>
                <w:kern w:val="0"/>
                <w:sz w:val="20"/>
                <w:szCs w:val="20"/>
                <w:highlight w:val="none"/>
                <w:vertAlign w:val="superscript"/>
                <w:lang w:eastAsia="zh-CN"/>
              </w:rPr>
              <w:t>3</w:t>
            </w:r>
            <w:r>
              <w:rPr>
                <w:rFonts w:hint="default" w:ascii="Times New Roman" w:hAnsi="Times New Roman" w:eastAsia="宋体" w:cs="Times New Roman"/>
                <w:color w:val="auto"/>
                <w:kern w:val="0"/>
                <w:sz w:val="20"/>
                <w:szCs w:val="20"/>
                <w:highlight w:val="none"/>
                <w:lang w:eastAsia="zh-CN"/>
              </w:rPr>
              <w:t>)：20</w:t>
            </w:r>
          </w:p>
        </w:tc>
      </w:tr>
      <w:tr w14:paraId="7CB5910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tcBorders>
              <w:tl2br w:val="nil"/>
              <w:tr2bl w:val="nil"/>
            </w:tcBorders>
            <w:vAlign w:val="center"/>
          </w:tcPr>
          <w:p w14:paraId="714F651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急救</w:t>
            </w:r>
          </w:p>
        </w:tc>
        <w:tc>
          <w:tcPr>
            <w:tcW w:w="4403" w:type="pct"/>
            <w:gridSpan w:val="3"/>
            <w:tcBorders>
              <w:tl2br w:val="nil"/>
              <w:tr2bl w:val="nil"/>
            </w:tcBorders>
            <w:vAlign w:val="center"/>
          </w:tcPr>
          <w:p w14:paraId="0DE6FBF4">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皮肤接触：立即脱去污染的衣着，用流动清水冲洗至少30分钟</w:t>
            </w:r>
          </w:p>
          <w:p w14:paraId="715C8133">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眼睛接触：立即用流动清水或凉开水冲洗至少10分钟。</w:t>
            </w:r>
          </w:p>
          <w:p w14:paraId="04D57F43">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吸入：吸入者应迅速脱离现场，至空气新鲜处。维持呼吸功能。卧床静息。及时观察血气分析及胸部X线片变化。给对症、支持治疗。</w:t>
            </w:r>
          </w:p>
          <w:p w14:paraId="0D7FD907">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食入：给饮牛奶，有腐蚀症状时忌洗胃。</w:t>
            </w:r>
          </w:p>
        </w:tc>
      </w:tr>
      <w:tr w14:paraId="3F6D0CCC">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tcBorders>
              <w:tl2br w:val="nil"/>
              <w:tr2bl w:val="nil"/>
            </w:tcBorders>
            <w:vAlign w:val="center"/>
          </w:tcPr>
          <w:p w14:paraId="5C8A595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color w:val="auto"/>
                <w:kern w:val="0"/>
                <w:sz w:val="20"/>
                <w:szCs w:val="20"/>
                <w:highlight w:val="none"/>
                <w:lang w:eastAsia="zh-CN"/>
              </w:rPr>
            </w:pPr>
          </w:p>
          <w:p w14:paraId="429252A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color w:val="auto"/>
                <w:kern w:val="0"/>
                <w:sz w:val="20"/>
                <w:szCs w:val="20"/>
                <w:highlight w:val="none"/>
                <w:lang w:eastAsia="zh-CN"/>
              </w:rPr>
            </w:pPr>
          </w:p>
          <w:p w14:paraId="027A51D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泄漏处理</w:t>
            </w:r>
          </w:p>
        </w:tc>
        <w:tc>
          <w:tcPr>
            <w:tcW w:w="4403" w:type="pct"/>
            <w:gridSpan w:val="3"/>
            <w:tcBorders>
              <w:tl2br w:val="nil"/>
              <w:tr2bl w:val="nil"/>
            </w:tcBorders>
            <w:vAlign w:val="center"/>
          </w:tcPr>
          <w:p w14:paraId="29A1CE1E">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zh-CN"/>
              </w:rPr>
              <w:t>迅速撤离泄漏污染区人员至上风处，并进行隔离，严格限制出入。用湿草席等盖在泄漏处或漏出来的氨液上，然后从远处用水管冲洗。气体大量喷出时，在远处用喷射雾状水吸收。液体附着物要用大量水冲洗或用含盐酸的水中和。废气要用水吸收后盐酸中和，也可用大量水稀释排入下水道。</w:t>
            </w:r>
            <w:r>
              <w:rPr>
                <w:rFonts w:hint="default" w:ascii="Times New Roman" w:hAnsi="Times New Roman" w:eastAsia="宋体" w:cs="Times New Roman"/>
                <w:color w:val="auto"/>
                <w:kern w:val="0"/>
                <w:sz w:val="20"/>
                <w:szCs w:val="20"/>
                <w:highlight w:val="none"/>
                <w:lang w:eastAsia="en-US"/>
              </w:rPr>
              <w:t>中和剂，除盐酸外硫酸和其它酸也可以。</w:t>
            </w:r>
          </w:p>
        </w:tc>
      </w:tr>
      <w:tr w14:paraId="5B26E7A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596" w:type="pct"/>
            <w:tcBorders>
              <w:tl2br w:val="nil"/>
              <w:tr2bl w:val="nil"/>
            </w:tcBorders>
            <w:vAlign w:val="center"/>
          </w:tcPr>
          <w:p w14:paraId="5590CBE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color w:val="auto"/>
                <w:kern w:val="0"/>
                <w:sz w:val="20"/>
                <w:szCs w:val="20"/>
                <w:highlight w:val="none"/>
                <w:lang w:eastAsia="en-US"/>
              </w:rPr>
            </w:pPr>
          </w:p>
          <w:p w14:paraId="2EEBE01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b/>
                <w:color w:val="auto"/>
                <w:kern w:val="0"/>
                <w:sz w:val="20"/>
                <w:szCs w:val="20"/>
                <w:highlight w:val="none"/>
                <w:lang w:eastAsia="en-US"/>
              </w:rPr>
            </w:pPr>
          </w:p>
          <w:p w14:paraId="2A00DDE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储运</w:t>
            </w:r>
          </w:p>
        </w:tc>
        <w:tc>
          <w:tcPr>
            <w:tcW w:w="4403" w:type="pct"/>
            <w:gridSpan w:val="3"/>
            <w:tcBorders>
              <w:tl2br w:val="nil"/>
              <w:tr2bl w:val="nil"/>
            </w:tcBorders>
            <w:vAlign w:val="center"/>
          </w:tcPr>
          <w:p w14:paraId="7E4C9617">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谨防容器受损；本品适宜室外或单独存放，室内存放应置于凉爽、通风处；避易燃物，与其他化学品分离，尤其是氧化气体，次氯酸物、碘和酸；严禁烟火。搬运时要轻装轻卸，防止包装及容器损坏。分装和搬运作业要注意个人防护。运输按规定路线行驶，勿在居民区和人口稠密区停留。</w:t>
            </w:r>
          </w:p>
        </w:tc>
      </w:tr>
    </w:tbl>
    <w:p w14:paraId="400670D5">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6</w:t>
      </w: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硫化氢</w:t>
      </w:r>
    </w:p>
    <w:p w14:paraId="052931A4">
      <w:pPr>
        <w:spacing w:line="240" w:lineRule="auto"/>
        <w:jc w:val="center"/>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6</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b/>
          <w:bCs/>
          <w:color w:val="auto"/>
          <w:highlight w:val="none"/>
        </w:rPr>
        <w:t xml:space="preserve"> </w:t>
      </w:r>
      <w:r>
        <w:rPr>
          <w:rFonts w:hint="eastAsia" w:ascii="Times New Roman" w:hAnsi="Times New Roman" w:cs="Times New Roman"/>
          <w:b/>
          <w:bCs/>
          <w:color w:val="auto"/>
          <w:highlight w:val="none"/>
          <w:lang w:val="en-US" w:eastAsia="zh-CN"/>
        </w:rPr>
        <w:t>硫化氢理化特性及危险特性</w:t>
      </w:r>
    </w:p>
    <w:tbl>
      <w:tblPr>
        <w:tblStyle w:val="132"/>
        <w:tblW w:w="5000"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098"/>
        <w:gridCol w:w="1973"/>
        <w:gridCol w:w="2018"/>
        <w:gridCol w:w="3983"/>
      </w:tblGrid>
      <w:tr w14:paraId="0C632AC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restart"/>
            <w:tcBorders>
              <w:tl2br w:val="nil"/>
              <w:tr2bl w:val="nil"/>
            </w:tcBorders>
            <w:vAlign w:val="center"/>
          </w:tcPr>
          <w:p w14:paraId="6289DF4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标识</w:t>
            </w:r>
          </w:p>
        </w:tc>
        <w:tc>
          <w:tcPr>
            <w:tcW w:w="2199" w:type="pct"/>
            <w:gridSpan w:val="2"/>
            <w:tcBorders>
              <w:tl2br w:val="nil"/>
              <w:tr2bl w:val="nil"/>
            </w:tcBorders>
            <w:vAlign w:val="center"/>
          </w:tcPr>
          <w:p w14:paraId="5E47677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中文名：硫化氢</w:t>
            </w:r>
          </w:p>
        </w:tc>
        <w:tc>
          <w:tcPr>
            <w:tcW w:w="2195" w:type="pct"/>
            <w:tcBorders>
              <w:tl2br w:val="nil"/>
              <w:tr2bl w:val="nil"/>
            </w:tcBorders>
            <w:vAlign w:val="center"/>
          </w:tcPr>
          <w:p w14:paraId="7458C3F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英文名：hydrogensulfide</w:t>
            </w:r>
          </w:p>
        </w:tc>
      </w:tr>
      <w:tr w14:paraId="5D8C545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536E0AB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3F9DB4D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position w:val="2"/>
                <w:sz w:val="20"/>
                <w:szCs w:val="20"/>
                <w:highlight w:val="none"/>
                <w:lang w:eastAsia="en-US"/>
              </w:rPr>
              <w:t>分子式：H</w:t>
            </w:r>
            <w:r>
              <w:rPr>
                <w:rFonts w:hint="default" w:ascii="Times New Roman" w:hAnsi="Times New Roman" w:eastAsia="宋体" w:cs="Times New Roman"/>
                <w:color w:val="auto"/>
                <w:kern w:val="0"/>
                <w:position w:val="2"/>
                <w:sz w:val="20"/>
                <w:szCs w:val="20"/>
                <w:highlight w:val="none"/>
                <w:vertAlign w:val="subscript"/>
                <w:lang w:eastAsia="en-US"/>
              </w:rPr>
              <w:t>2</w:t>
            </w:r>
            <w:r>
              <w:rPr>
                <w:rFonts w:hint="default" w:ascii="Times New Roman" w:hAnsi="Times New Roman" w:eastAsia="宋体" w:cs="Times New Roman"/>
                <w:color w:val="auto"/>
                <w:kern w:val="0"/>
                <w:position w:val="2"/>
                <w:sz w:val="20"/>
                <w:szCs w:val="20"/>
                <w:highlight w:val="none"/>
                <w:lang w:eastAsia="en-US"/>
              </w:rPr>
              <w:t>S</w:t>
            </w:r>
          </w:p>
        </w:tc>
        <w:tc>
          <w:tcPr>
            <w:tcW w:w="2195" w:type="pct"/>
            <w:tcBorders>
              <w:tl2br w:val="nil"/>
              <w:tr2bl w:val="nil"/>
            </w:tcBorders>
            <w:vAlign w:val="center"/>
          </w:tcPr>
          <w:p w14:paraId="202F9C4F">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分子量：34</w:t>
            </w:r>
          </w:p>
        </w:tc>
      </w:tr>
      <w:tr w14:paraId="28847BF6">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6B8D99E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1087" w:type="pct"/>
            <w:tcBorders>
              <w:tl2br w:val="nil"/>
              <w:tr2bl w:val="nil"/>
            </w:tcBorders>
            <w:vAlign w:val="center"/>
          </w:tcPr>
          <w:p w14:paraId="3256012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危规号：21005</w:t>
            </w:r>
          </w:p>
        </w:tc>
        <w:tc>
          <w:tcPr>
            <w:tcW w:w="1112" w:type="pct"/>
            <w:tcBorders>
              <w:tl2br w:val="nil"/>
              <w:tr2bl w:val="nil"/>
            </w:tcBorders>
            <w:vAlign w:val="center"/>
          </w:tcPr>
          <w:p w14:paraId="2876B43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UN编号：1016</w:t>
            </w:r>
          </w:p>
        </w:tc>
        <w:tc>
          <w:tcPr>
            <w:tcW w:w="2195" w:type="pct"/>
            <w:tcBorders>
              <w:tl2br w:val="nil"/>
              <w:tr2bl w:val="nil"/>
            </w:tcBorders>
            <w:vAlign w:val="center"/>
          </w:tcPr>
          <w:p w14:paraId="6CEBAE2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CAS号：630-08-0</w:t>
            </w:r>
          </w:p>
        </w:tc>
      </w:tr>
      <w:tr w14:paraId="0CBDB47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restart"/>
            <w:tcBorders>
              <w:tl2br w:val="nil"/>
              <w:tr2bl w:val="nil"/>
            </w:tcBorders>
            <w:vAlign w:val="center"/>
          </w:tcPr>
          <w:p w14:paraId="7D9460F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理化性质</w:t>
            </w:r>
          </w:p>
        </w:tc>
        <w:tc>
          <w:tcPr>
            <w:tcW w:w="2199" w:type="pct"/>
            <w:gridSpan w:val="2"/>
            <w:tcBorders>
              <w:tl2br w:val="nil"/>
              <w:tr2bl w:val="nil"/>
            </w:tcBorders>
            <w:vAlign w:val="center"/>
          </w:tcPr>
          <w:p w14:paraId="405899F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外观与形状：无色有恶臭气体</w:t>
            </w:r>
          </w:p>
        </w:tc>
        <w:tc>
          <w:tcPr>
            <w:tcW w:w="2195" w:type="pct"/>
            <w:tcBorders>
              <w:tl2br w:val="nil"/>
              <w:tr2bl w:val="nil"/>
            </w:tcBorders>
            <w:vAlign w:val="center"/>
          </w:tcPr>
          <w:p w14:paraId="2217F92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溶解性：溶于水、乙醇。</w:t>
            </w:r>
          </w:p>
        </w:tc>
      </w:tr>
      <w:tr w14:paraId="03DDA22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64C02F23">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3BDD349F">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熔点(℃)：-84.5</w:t>
            </w:r>
          </w:p>
        </w:tc>
        <w:tc>
          <w:tcPr>
            <w:tcW w:w="2195" w:type="pct"/>
            <w:tcBorders>
              <w:tl2br w:val="nil"/>
              <w:tr2bl w:val="nil"/>
            </w:tcBorders>
            <w:vAlign w:val="center"/>
          </w:tcPr>
          <w:p w14:paraId="3038889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沸点(℃)：-60.4</w:t>
            </w:r>
          </w:p>
        </w:tc>
      </w:tr>
      <w:tr w14:paraId="2D647BC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68A1EDE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2730CB4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相对密度(水=1)：</w:t>
            </w:r>
          </w:p>
        </w:tc>
        <w:tc>
          <w:tcPr>
            <w:tcW w:w="2195" w:type="pct"/>
            <w:tcBorders>
              <w:tl2br w:val="nil"/>
              <w:tr2bl w:val="nil"/>
            </w:tcBorders>
            <w:vAlign w:val="center"/>
          </w:tcPr>
          <w:p w14:paraId="15F32F2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相对密度(空气=1)：1.19</w:t>
            </w:r>
          </w:p>
        </w:tc>
      </w:tr>
      <w:tr w14:paraId="40471AD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02EE4DC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0B299645">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饱和蒸汽压(kPa)：2026.5(-24.5℃)</w:t>
            </w:r>
          </w:p>
        </w:tc>
        <w:tc>
          <w:tcPr>
            <w:tcW w:w="2195" w:type="pct"/>
            <w:tcBorders>
              <w:tl2br w:val="nil"/>
              <w:tr2bl w:val="nil"/>
            </w:tcBorders>
            <w:vAlign w:val="center"/>
          </w:tcPr>
          <w:p w14:paraId="55768E8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禁忌物：强氧化剂、碱类</w:t>
            </w:r>
          </w:p>
        </w:tc>
      </w:tr>
      <w:tr w14:paraId="629EFE7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02DC948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2199" w:type="pct"/>
            <w:gridSpan w:val="2"/>
            <w:tcBorders>
              <w:tl2br w:val="nil"/>
              <w:tr2bl w:val="nil"/>
            </w:tcBorders>
            <w:vAlign w:val="center"/>
          </w:tcPr>
          <w:p w14:paraId="633BA9C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临界压力(Mpa)：9.01</w:t>
            </w:r>
          </w:p>
        </w:tc>
        <w:tc>
          <w:tcPr>
            <w:tcW w:w="2195" w:type="pct"/>
            <w:tcBorders>
              <w:tl2br w:val="nil"/>
              <w:tr2bl w:val="nil"/>
            </w:tcBorders>
            <w:vAlign w:val="center"/>
          </w:tcPr>
          <w:p w14:paraId="02ED3F3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临界温度(℃)：100.4</w:t>
            </w:r>
          </w:p>
        </w:tc>
      </w:tr>
      <w:tr w14:paraId="1183C7A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0895F5A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7BFCE16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稳定性：稳定</w:t>
            </w:r>
          </w:p>
        </w:tc>
        <w:tc>
          <w:tcPr>
            <w:tcW w:w="2195" w:type="pct"/>
            <w:tcBorders>
              <w:tl2br w:val="nil"/>
              <w:tr2bl w:val="nil"/>
            </w:tcBorders>
            <w:vAlign w:val="center"/>
          </w:tcPr>
          <w:p w14:paraId="2F6003F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聚合危害：不聚合</w:t>
            </w:r>
          </w:p>
        </w:tc>
      </w:tr>
      <w:tr w14:paraId="7C541E0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restart"/>
            <w:tcBorders>
              <w:tl2br w:val="nil"/>
              <w:tr2bl w:val="nil"/>
            </w:tcBorders>
            <w:vAlign w:val="center"/>
          </w:tcPr>
          <w:p w14:paraId="078F5E16">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危险特性</w:t>
            </w:r>
          </w:p>
        </w:tc>
        <w:tc>
          <w:tcPr>
            <w:tcW w:w="2199" w:type="pct"/>
            <w:gridSpan w:val="2"/>
            <w:tcBorders>
              <w:tl2br w:val="nil"/>
              <w:tr2bl w:val="nil"/>
            </w:tcBorders>
            <w:vAlign w:val="center"/>
          </w:tcPr>
          <w:p w14:paraId="2219349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危险性类别：第2.1类易燃气体</w:t>
            </w:r>
          </w:p>
        </w:tc>
        <w:tc>
          <w:tcPr>
            <w:tcW w:w="2195" w:type="pct"/>
            <w:tcBorders>
              <w:tl2br w:val="nil"/>
              <w:tr2bl w:val="nil"/>
            </w:tcBorders>
            <w:vAlign w:val="center"/>
          </w:tcPr>
          <w:p w14:paraId="3C03E42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燃烧性：易燃</w:t>
            </w:r>
          </w:p>
        </w:tc>
      </w:tr>
      <w:tr w14:paraId="00FDA41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420FFFE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7AD91E5A">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引燃温度(℃)：260</w:t>
            </w:r>
          </w:p>
        </w:tc>
        <w:tc>
          <w:tcPr>
            <w:tcW w:w="2195" w:type="pct"/>
            <w:tcBorders>
              <w:tl2br w:val="nil"/>
              <w:tr2bl w:val="nil"/>
            </w:tcBorders>
            <w:vAlign w:val="center"/>
          </w:tcPr>
          <w:p w14:paraId="766E4FF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闪点(℃)：无意义</w:t>
            </w:r>
          </w:p>
        </w:tc>
      </w:tr>
      <w:tr w14:paraId="35B987BC">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1D8D1AF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494F4A72">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爆炸下限(%)：4.0</w:t>
            </w:r>
          </w:p>
        </w:tc>
        <w:tc>
          <w:tcPr>
            <w:tcW w:w="2195" w:type="pct"/>
            <w:tcBorders>
              <w:tl2br w:val="nil"/>
              <w:tr2bl w:val="nil"/>
            </w:tcBorders>
            <w:vAlign w:val="center"/>
          </w:tcPr>
          <w:p w14:paraId="01E7D3EB">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爆炸上限(%)：46.0</w:t>
            </w:r>
          </w:p>
        </w:tc>
      </w:tr>
      <w:tr w14:paraId="65C2197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2998F4F8">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6BFA850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最小点火能(MJ)：0.077</w:t>
            </w:r>
          </w:p>
        </w:tc>
        <w:tc>
          <w:tcPr>
            <w:tcW w:w="2195" w:type="pct"/>
            <w:tcBorders>
              <w:tl2br w:val="nil"/>
              <w:tr2bl w:val="nil"/>
            </w:tcBorders>
            <w:vAlign w:val="center"/>
          </w:tcPr>
          <w:p w14:paraId="04CDC9C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最大爆炸压力(MPa):0.490</w:t>
            </w:r>
          </w:p>
        </w:tc>
      </w:tr>
      <w:tr w14:paraId="0724D69D">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62583CC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2199" w:type="pct"/>
            <w:gridSpan w:val="2"/>
            <w:tcBorders>
              <w:tl2br w:val="nil"/>
              <w:tr2bl w:val="nil"/>
            </w:tcBorders>
            <w:vAlign w:val="center"/>
          </w:tcPr>
          <w:p w14:paraId="6E2087D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燃烧热：3524kcal/kg</w:t>
            </w:r>
          </w:p>
        </w:tc>
        <w:tc>
          <w:tcPr>
            <w:tcW w:w="2195" w:type="pct"/>
            <w:tcBorders>
              <w:tl2br w:val="nil"/>
              <w:tr2bl w:val="nil"/>
            </w:tcBorders>
            <w:vAlign w:val="center"/>
          </w:tcPr>
          <w:p w14:paraId="710926D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燃烧(分解)产物：硫氧化物</w:t>
            </w:r>
          </w:p>
        </w:tc>
      </w:tr>
      <w:tr w14:paraId="44E970B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2B49EEE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394" w:type="pct"/>
            <w:gridSpan w:val="3"/>
            <w:tcBorders>
              <w:tl2br w:val="nil"/>
              <w:tr2bl w:val="nil"/>
            </w:tcBorders>
            <w:vAlign w:val="center"/>
          </w:tcPr>
          <w:p w14:paraId="4E5F9BD1">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危险特性：与空气混合能形成爆炸性混合物，遇明火、高热能引起燃烧爆炸。与浓硝酸、发烟硝酸或其它强氧化剂剧烈反应，发生爆炸。气体比空气重，能在较低处扩散到相当远的地方，遇明火会引着回燃。</w:t>
            </w:r>
          </w:p>
        </w:tc>
      </w:tr>
      <w:tr w14:paraId="3C3FC64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4A96543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394" w:type="pct"/>
            <w:gridSpan w:val="3"/>
            <w:tcBorders>
              <w:tl2br w:val="nil"/>
              <w:tr2bl w:val="nil"/>
            </w:tcBorders>
            <w:vAlign w:val="center"/>
          </w:tcPr>
          <w:p w14:paraId="0429376B">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灭火方法：消防人员必须穿戴全身防火防毒服。切断气源。若不能切断气源，则不允许熄灭正在燃烧的气体，喷水冷却容器，可能的话将容器从火场移至空旷处。</w:t>
            </w:r>
          </w:p>
        </w:tc>
      </w:tr>
      <w:tr w14:paraId="2556B0B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75A5A944">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394" w:type="pct"/>
            <w:gridSpan w:val="3"/>
            <w:tcBorders>
              <w:tl2br w:val="nil"/>
              <w:tr2bl w:val="nil"/>
            </w:tcBorders>
            <w:vAlign w:val="center"/>
          </w:tcPr>
          <w:p w14:paraId="6F5B86FE">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灭火剂：雾状水、抗溶性泡沫、干粉。</w:t>
            </w:r>
          </w:p>
        </w:tc>
      </w:tr>
      <w:tr w14:paraId="1BA90891">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restart"/>
            <w:tcBorders>
              <w:tl2br w:val="nil"/>
              <w:tr2bl w:val="nil"/>
            </w:tcBorders>
            <w:vAlign w:val="center"/>
          </w:tcPr>
          <w:p w14:paraId="09C537DE">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健康危害</w:t>
            </w:r>
          </w:p>
        </w:tc>
        <w:tc>
          <w:tcPr>
            <w:tcW w:w="4394" w:type="pct"/>
            <w:gridSpan w:val="3"/>
            <w:tcBorders>
              <w:tl2br w:val="nil"/>
              <w:tr2bl w:val="nil"/>
            </w:tcBorders>
            <w:vAlign w:val="center"/>
          </w:tcPr>
          <w:p w14:paraId="6DFCF0A6">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健康危害：本品是强烈的神经毒物，对粘膜有强烈刺激作用。</w:t>
            </w:r>
          </w:p>
        </w:tc>
      </w:tr>
      <w:tr w14:paraId="3933528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3EBA6AAF">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394" w:type="pct"/>
            <w:gridSpan w:val="3"/>
            <w:tcBorders>
              <w:tl2br w:val="nil"/>
              <w:tr2bl w:val="nil"/>
            </w:tcBorders>
            <w:vAlign w:val="center"/>
          </w:tcPr>
          <w:p w14:paraId="109B8468">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zh-CN"/>
              </w:rPr>
              <w:t>急性中毒：短期内吸入高浓度硫化氢后出现流泪、眼痛、眼内异物感、畏光、视物模糊、流涕、咽喉部灼热感、咳嗽、胸闷、头痛、乏力、意识模糊等。部分患者可有心肌损害。重者可出现脑水肿、肺水肿。极高浓度(1000mg/m</w:t>
            </w:r>
            <w:r>
              <w:rPr>
                <w:rFonts w:hint="default" w:ascii="Times New Roman" w:hAnsi="Times New Roman" w:eastAsia="宋体" w:cs="Times New Roman"/>
                <w:color w:val="auto"/>
                <w:kern w:val="0"/>
                <w:sz w:val="20"/>
                <w:szCs w:val="20"/>
                <w:highlight w:val="none"/>
                <w:vertAlign w:val="superscript"/>
                <w:lang w:eastAsia="zh-CN"/>
              </w:rPr>
              <w:t>3</w:t>
            </w:r>
            <w:r>
              <w:rPr>
                <w:rFonts w:hint="default" w:ascii="Times New Roman" w:hAnsi="Times New Roman" w:eastAsia="宋体" w:cs="Times New Roman"/>
                <w:color w:val="auto"/>
                <w:kern w:val="0"/>
                <w:sz w:val="20"/>
                <w:szCs w:val="20"/>
                <w:highlight w:val="none"/>
                <w:lang w:eastAsia="zh-CN"/>
              </w:rPr>
              <w:t>以上)然时可在数种内突然昏迷，呼吸和心跳骤停，发生闪电型死亡。</w:t>
            </w:r>
            <w:r>
              <w:rPr>
                <w:rFonts w:hint="default" w:ascii="Times New Roman" w:hAnsi="Times New Roman" w:eastAsia="宋体" w:cs="Times New Roman"/>
                <w:color w:val="auto"/>
                <w:kern w:val="0"/>
                <w:sz w:val="20"/>
                <w:szCs w:val="20"/>
                <w:highlight w:val="none"/>
                <w:lang w:eastAsia="en-US"/>
              </w:rPr>
              <w:t>高浓度接触眼结膜发生水肿和角膜溃殇。</w:t>
            </w:r>
          </w:p>
        </w:tc>
      </w:tr>
      <w:tr w14:paraId="3A17F77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00F239ED">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4394" w:type="pct"/>
            <w:gridSpan w:val="3"/>
            <w:tcBorders>
              <w:tl2br w:val="nil"/>
              <w:tr2bl w:val="nil"/>
            </w:tcBorders>
            <w:vAlign w:val="center"/>
          </w:tcPr>
          <w:p w14:paraId="67A4D8A4">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长期低浓度接触，引起神经衰弱综合症和植物神经功能紊乱。</w:t>
            </w:r>
          </w:p>
        </w:tc>
      </w:tr>
      <w:tr w14:paraId="41FE18D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447DD7D7">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zh-CN"/>
              </w:rPr>
            </w:pPr>
          </w:p>
        </w:tc>
        <w:tc>
          <w:tcPr>
            <w:tcW w:w="4394" w:type="pct"/>
            <w:gridSpan w:val="3"/>
            <w:tcBorders>
              <w:tl2br w:val="nil"/>
              <w:tr2bl w:val="nil"/>
            </w:tcBorders>
            <w:vAlign w:val="center"/>
          </w:tcPr>
          <w:p w14:paraId="2ACE28C0">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工作场所最高允许浓度：中国MAC=10mg/m</w:t>
            </w:r>
            <w:r>
              <w:rPr>
                <w:rFonts w:hint="default" w:ascii="Times New Roman" w:hAnsi="Times New Roman" w:eastAsia="宋体" w:cs="Times New Roman"/>
                <w:color w:val="auto"/>
                <w:kern w:val="0"/>
                <w:sz w:val="20"/>
                <w:szCs w:val="20"/>
                <w:highlight w:val="none"/>
                <w:vertAlign w:val="superscript"/>
                <w:lang w:eastAsia="zh-CN"/>
              </w:rPr>
              <w:t>3</w:t>
            </w:r>
          </w:p>
        </w:tc>
      </w:tr>
      <w:tr w14:paraId="5ACD419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restart"/>
            <w:tcBorders>
              <w:tl2br w:val="nil"/>
              <w:tr2bl w:val="nil"/>
            </w:tcBorders>
            <w:vAlign w:val="center"/>
          </w:tcPr>
          <w:p w14:paraId="4C0B5701">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急救</w:t>
            </w:r>
          </w:p>
        </w:tc>
        <w:tc>
          <w:tcPr>
            <w:tcW w:w="4394" w:type="pct"/>
            <w:gridSpan w:val="3"/>
            <w:tcBorders>
              <w:tl2br w:val="nil"/>
              <w:tr2bl w:val="nil"/>
            </w:tcBorders>
            <w:vAlign w:val="center"/>
          </w:tcPr>
          <w:p w14:paraId="6A15A0F8">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zh-CN"/>
              </w:rPr>
              <w:t>眼睛接触：提起眼险，用流动清水或生理盐水冲洗。</w:t>
            </w:r>
            <w:r>
              <w:rPr>
                <w:rFonts w:hint="default" w:ascii="Times New Roman" w:hAnsi="Times New Roman" w:eastAsia="宋体" w:cs="Times New Roman"/>
                <w:color w:val="auto"/>
                <w:kern w:val="0"/>
                <w:sz w:val="20"/>
                <w:szCs w:val="20"/>
                <w:highlight w:val="none"/>
                <w:lang w:eastAsia="en-US"/>
              </w:rPr>
              <w:t>就医。</w:t>
            </w:r>
          </w:p>
        </w:tc>
      </w:tr>
      <w:tr w14:paraId="4C4AB790">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vMerge w:val="continue"/>
            <w:tcBorders>
              <w:tl2br w:val="nil"/>
              <w:tr2bl w:val="nil"/>
            </w:tcBorders>
            <w:vAlign w:val="center"/>
          </w:tcPr>
          <w:p w14:paraId="0F5AA649">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p>
        </w:tc>
        <w:tc>
          <w:tcPr>
            <w:tcW w:w="4394" w:type="pct"/>
            <w:gridSpan w:val="3"/>
            <w:tcBorders>
              <w:tl2br w:val="nil"/>
              <w:tr2bl w:val="nil"/>
            </w:tcBorders>
            <w:vAlign w:val="center"/>
          </w:tcPr>
          <w:p w14:paraId="23AA033B">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zh-CN"/>
              </w:rPr>
              <w:t>吸入：迅速脱离现场至空气新鲜处。保持呼吸道畅通。如呼吸困难，给输氧。如呼吸停止，立即进行人工呼吸。</w:t>
            </w:r>
            <w:r>
              <w:rPr>
                <w:rFonts w:hint="default" w:ascii="Times New Roman" w:hAnsi="Times New Roman" w:eastAsia="宋体" w:cs="Times New Roman"/>
                <w:color w:val="auto"/>
                <w:kern w:val="0"/>
                <w:sz w:val="20"/>
                <w:szCs w:val="20"/>
                <w:highlight w:val="none"/>
                <w:lang w:eastAsia="en-US"/>
              </w:rPr>
              <w:t>就医。</w:t>
            </w:r>
          </w:p>
        </w:tc>
      </w:tr>
      <w:tr w14:paraId="759A5E8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tcBorders>
              <w:tl2br w:val="nil"/>
              <w:tr2bl w:val="nil"/>
            </w:tcBorders>
            <w:vAlign w:val="center"/>
          </w:tcPr>
          <w:p w14:paraId="6970F3F0">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泄漏处理</w:t>
            </w:r>
          </w:p>
        </w:tc>
        <w:tc>
          <w:tcPr>
            <w:tcW w:w="4394" w:type="pct"/>
            <w:gridSpan w:val="3"/>
            <w:tcBorders>
              <w:tl2br w:val="nil"/>
              <w:tr2bl w:val="nil"/>
            </w:tcBorders>
            <w:vAlign w:val="center"/>
          </w:tcPr>
          <w:p w14:paraId="2D4B3C38">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zh-CN"/>
              </w:rPr>
              <w:t>迅速撤离泄漏污染区人员至上风处，并立即隔离，小泄漏时隔离150m，大泄漏时隔离300m，严格限制出入。切断火源，建议应急处理人员戴自给正压式呼吸器，穿消防防护服。从上风向进入现场，尽可能切断泄漏源。合理通风，加强扩散。喷雾状水稀释、溶解。构筑围堤或挖坑收容产生的大量废水。如有可能，将残余气或漏出气用排风机送至水洗塔相连的通风橱内。或使其通过三氯化铁水溶液，管路装止回装置以防溶液吸回。</w:t>
            </w:r>
            <w:r>
              <w:rPr>
                <w:rFonts w:hint="default" w:ascii="Times New Roman" w:hAnsi="Times New Roman" w:eastAsia="宋体" w:cs="Times New Roman"/>
                <w:color w:val="auto"/>
                <w:kern w:val="0"/>
                <w:sz w:val="20"/>
                <w:szCs w:val="20"/>
                <w:highlight w:val="none"/>
                <w:lang w:eastAsia="en-US"/>
              </w:rPr>
              <w:t>漏气溶器要妥善</w:t>
            </w:r>
          </w:p>
          <w:p w14:paraId="3A51F7C0">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处理、修复、检验后再用。</w:t>
            </w:r>
          </w:p>
        </w:tc>
      </w:tr>
      <w:tr w14:paraId="263B732B">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05" w:type="pct"/>
            <w:tcBorders>
              <w:tl2br w:val="nil"/>
              <w:tr2bl w:val="nil"/>
            </w:tcBorders>
            <w:vAlign w:val="center"/>
          </w:tcPr>
          <w:p w14:paraId="3E2A7DAC">
            <w:pPr>
              <w:keepNext w:val="0"/>
              <w:keepLines w:val="0"/>
              <w:suppressLineNumbers w:val="0"/>
              <w:autoSpaceDE w:val="0"/>
              <w:autoSpaceDN w:val="0"/>
              <w:spacing w:before="0" w:beforeAutospacing="0" w:after="0" w:afterAutospacing="0" w:line="240" w:lineRule="auto"/>
              <w:ind w:left="0" w:right="0"/>
              <w:jc w:val="center"/>
              <w:rPr>
                <w:rFonts w:hint="default" w:ascii="Times New Roman" w:hAnsi="Times New Roman" w:eastAsia="宋体" w:cs="Times New Roman"/>
                <w:color w:val="auto"/>
                <w:kern w:val="0"/>
                <w:sz w:val="20"/>
                <w:szCs w:val="20"/>
                <w:highlight w:val="none"/>
                <w:lang w:eastAsia="en-US"/>
              </w:rPr>
            </w:pPr>
            <w:r>
              <w:rPr>
                <w:rFonts w:hint="default" w:ascii="Times New Roman" w:hAnsi="Times New Roman" w:eastAsia="宋体" w:cs="Times New Roman"/>
                <w:color w:val="auto"/>
                <w:kern w:val="0"/>
                <w:sz w:val="20"/>
                <w:szCs w:val="20"/>
                <w:highlight w:val="none"/>
                <w:lang w:eastAsia="en-US"/>
              </w:rPr>
              <w:t>储运</w:t>
            </w:r>
          </w:p>
        </w:tc>
        <w:tc>
          <w:tcPr>
            <w:tcW w:w="4394" w:type="pct"/>
            <w:gridSpan w:val="3"/>
            <w:tcBorders>
              <w:tl2br w:val="nil"/>
              <w:tr2bl w:val="nil"/>
            </w:tcBorders>
            <w:vAlign w:val="center"/>
          </w:tcPr>
          <w:p w14:paraId="7F2414B5">
            <w:pPr>
              <w:keepNext w:val="0"/>
              <w:keepLines w:val="0"/>
              <w:suppressLineNumbers w:val="0"/>
              <w:autoSpaceDE w:val="0"/>
              <w:autoSpaceDN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eastAsia="zh-CN"/>
              </w:rPr>
            </w:pPr>
            <w:r>
              <w:rPr>
                <w:rFonts w:hint="default" w:ascii="Times New Roman" w:hAnsi="Times New Roman" w:eastAsia="宋体" w:cs="Times New Roman"/>
                <w:color w:val="auto"/>
                <w:kern w:val="0"/>
                <w:sz w:val="20"/>
                <w:szCs w:val="20"/>
                <w:highlight w:val="none"/>
                <w:lang w:eastAsia="zh-CN"/>
              </w:rPr>
              <w:t>储运于阴凉、通风仓间内。仓内温度不宜超过30℃。远离火种、热源。防止阳光直射。保持容器密封。配备相应品种和数量的消防器材。禁止使用易产生火花的机械设备和工具。</w:t>
            </w:r>
          </w:p>
        </w:tc>
      </w:tr>
    </w:tbl>
    <w:p w14:paraId="2D6F3264">
      <w:pPr>
        <w:spacing w:line="360" w:lineRule="auto"/>
        <w:ind w:firstLine="480" w:firstLineChars="200"/>
        <w:jc w:val="both"/>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7</w:t>
      </w:r>
      <w:r>
        <w:rPr>
          <w:rFonts w:hint="default" w:ascii="Times New Roman" w:hAnsi="Times New Roman" w:eastAsia="宋体" w:cs="Times New Roman"/>
          <w:b/>
          <w:bCs/>
          <w:color w:val="auto"/>
          <w:kern w:val="0"/>
          <w:sz w:val="24"/>
          <w:szCs w:val="24"/>
          <w:highlight w:val="none"/>
          <w:lang w:val="en-US" w:eastAsia="zh-CN" w:bidi="ar"/>
        </w:rPr>
        <w:t>）柴油</w:t>
      </w:r>
    </w:p>
    <w:p w14:paraId="151F9520">
      <w:pPr>
        <w:spacing w:line="240" w:lineRule="auto"/>
        <w:jc w:val="center"/>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7</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b/>
          <w:bCs/>
          <w:color w:val="auto"/>
          <w:highlight w:val="none"/>
        </w:rPr>
        <w:t xml:space="preserve"> </w:t>
      </w:r>
      <w:r>
        <w:rPr>
          <w:rFonts w:hint="default" w:ascii="Times New Roman" w:hAnsi="Times New Roman" w:cs="Times New Roman"/>
          <w:b/>
          <w:bCs/>
          <w:color w:val="auto"/>
          <w:highlight w:val="none"/>
          <w:lang w:val="en-US" w:eastAsia="zh-CN"/>
        </w:rPr>
        <w:t>柴油</w:t>
      </w:r>
      <w:r>
        <w:rPr>
          <w:rFonts w:hint="eastAsia" w:ascii="Times New Roman" w:hAnsi="Times New Roman" w:cs="Times New Roman"/>
          <w:b/>
          <w:bCs/>
          <w:color w:val="auto"/>
          <w:highlight w:val="none"/>
          <w:lang w:val="en-US" w:eastAsia="zh-CN"/>
        </w:rPr>
        <w:t>理化特性及危险特性</w:t>
      </w:r>
    </w:p>
    <w:tbl>
      <w:tblPr>
        <w:tblStyle w:val="36"/>
        <w:tblW w:w="4897"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10"/>
        <w:gridCol w:w="4395"/>
        <w:gridCol w:w="3592"/>
      </w:tblGrid>
      <w:tr w14:paraId="3C7B412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tcBorders>
              <w:tl2br w:val="nil"/>
              <w:tr2bl w:val="nil"/>
            </w:tcBorders>
            <w:noWrap w:val="0"/>
            <w:vAlign w:val="center"/>
          </w:tcPr>
          <w:p w14:paraId="5F511B81">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标识</w:t>
            </w:r>
          </w:p>
        </w:tc>
        <w:tc>
          <w:tcPr>
            <w:tcW w:w="2415" w:type="pct"/>
            <w:tcBorders>
              <w:tl2br w:val="nil"/>
              <w:tr2bl w:val="nil"/>
            </w:tcBorders>
            <w:noWrap w:val="0"/>
            <w:vAlign w:val="center"/>
          </w:tcPr>
          <w:p w14:paraId="2C8AC709">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主要成分：C4-C12脂肪烃和环烷烃</w:t>
            </w:r>
          </w:p>
        </w:tc>
        <w:tc>
          <w:tcPr>
            <w:tcW w:w="1974" w:type="pct"/>
            <w:tcBorders>
              <w:tl2br w:val="nil"/>
              <w:tr2bl w:val="nil"/>
            </w:tcBorders>
            <w:noWrap w:val="0"/>
            <w:vAlign w:val="center"/>
          </w:tcPr>
          <w:p w14:paraId="3CF10053">
            <w:pPr>
              <w:keepNext w:val="0"/>
              <w:keepLines w:val="0"/>
              <w:widowControl/>
              <w:suppressLineNumbers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危险性类别：易燃液体</w:t>
            </w:r>
          </w:p>
        </w:tc>
      </w:tr>
      <w:tr w14:paraId="55010B4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vMerge w:val="restart"/>
            <w:tcBorders>
              <w:tl2br w:val="nil"/>
              <w:tr2bl w:val="nil"/>
            </w:tcBorders>
            <w:noWrap w:val="0"/>
            <w:vAlign w:val="center"/>
          </w:tcPr>
          <w:p w14:paraId="4DB71762">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理化性质</w:t>
            </w:r>
          </w:p>
        </w:tc>
        <w:tc>
          <w:tcPr>
            <w:tcW w:w="2415" w:type="pct"/>
            <w:tcBorders>
              <w:tl2br w:val="nil"/>
              <w:tr2bl w:val="nil"/>
            </w:tcBorders>
            <w:noWrap w:val="0"/>
            <w:vAlign w:val="center"/>
          </w:tcPr>
          <w:p w14:paraId="43BF60C6">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外观与性状：稍有粘性的棕色液体</w:t>
            </w:r>
          </w:p>
        </w:tc>
        <w:tc>
          <w:tcPr>
            <w:tcW w:w="1974" w:type="pct"/>
            <w:tcBorders>
              <w:tl2br w:val="nil"/>
              <w:tr2bl w:val="nil"/>
            </w:tcBorders>
            <w:noWrap w:val="0"/>
            <w:vAlign w:val="center"/>
          </w:tcPr>
          <w:p w14:paraId="1A77BBE4">
            <w:pPr>
              <w:keepNext w:val="0"/>
              <w:keepLines w:val="0"/>
              <w:widowControl/>
              <w:suppressLineNumbers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溶解性：不溶于水</w:t>
            </w:r>
          </w:p>
        </w:tc>
      </w:tr>
      <w:tr w14:paraId="0FC5B0A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vMerge w:val="continue"/>
            <w:tcBorders>
              <w:tl2br w:val="nil"/>
              <w:tr2bl w:val="nil"/>
            </w:tcBorders>
            <w:noWrap w:val="0"/>
            <w:vAlign w:val="center"/>
          </w:tcPr>
          <w:p w14:paraId="30C029F1">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p>
        </w:tc>
        <w:tc>
          <w:tcPr>
            <w:tcW w:w="2415" w:type="pct"/>
            <w:tcBorders>
              <w:tl2br w:val="nil"/>
              <w:tr2bl w:val="nil"/>
            </w:tcBorders>
            <w:noWrap w:val="0"/>
            <w:vAlign w:val="center"/>
          </w:tcPr>
          <w:p w14:paraId="0041564F">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沸点（℃）：282~338</w:t>
            </w:r>
          </w:p>
        </w:tc>
        <w:tc>
          <w:tcPr>
            <w:tcW w:w="1974" w:type="pct"/>
            <w:tcBorders>
              <w:tl2br w:val="nil"/>
              <w:tr2bl w:val="nil"/>
            </w:tcBorders>
            <w:noWrap w:val="0"/>
            <w:vAlign w:val="center"/>
          </w:tcPr>
          <w:p w14:paraId="77230DC1">
            <w:pPr>
              <w:keepNext w:val="0"/>
              <w:keepLines w:val="0"/>
              <w:widowControl/>
              <w:suppressLineNumbers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闪点（℃）：38</w:t>
            </w:r>
          </w:p>
        </w:tc>
      </w:tr>
      <w:tr w14:paraId="4D20AF6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vMerge w:val="continue"/>
            <w:tcBorders>
              <w:tl2br w:val="nil"/>
              <w:tr2bl w:val="nil"/>
            </w:tcBorders>
            <w:noWrap w:val="0"/>
            <w:vAlign w:val="center"/>
          </w:tcPr>
          <w:p w14:paraId="47AB8AE8">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p>
        </w:tc>
        <w:tc>
          <w:tcPr>
            <w:tcW w:w="2415" w:type="pct"/>
            <w:tcBorders>
              <w:tl2br w:val="nil"/>
              <w:tr2bl w:val="nil"/>
            </w:tcBorders>
            <w:noWrap w:val="0"/>
            <w:vAlign w:val="center"/>
          </w:tcPr>
          <w:p w14:paraId="14524C4D">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相对密度（水=1）/</w:t>
            </w:r>
          </w:p>
          <w:p w14:paraId="0F532524">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相对密度（空气=1）4</w:t>
            </w:r>
          </w:p>
        </w:tc>
        <w:tc>
          <w:tcPr>
            <w:tcW w:w="1974" w:type="pct"/>
            <w:tcBorders>
              <w:tl2br w:val="nil"/>
              <w:tr2bl w:val="nil"/>
            </w:tcBorders>
            <w:noWrap w:val="0"/>
            <w:vAlign w:val="center"/>
          </w:tcPr>
          <w:p w14:paraId="0D4A4524">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灭火剂：雾状水、泡沫、二氧化碳、干粉、砂土</w:t>
            </w:r>
          </w:p>
        </w:tc>
      </w:tr>
      <w:tr w14:paraId="095178A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660" w:hRule="atLeast"/>
          <w:jc w:val="center"/>
        </w:trPr>
        <w:tc>
          <w:tcPr>
            <w:tcW w:w="610" w:type="pct"/>
            <w:tcBorders>
              <w:tl2br w:val="nil"/>
              <w:tr2bl w:val="nil"/>
            </w:tcBorders>
            <w:noWrap w:val="0"/>
            <w:vAlign w:val="center"/>
          </w:tcPr>
          <w:p w14:paraId="058A41B3">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危险特性</w:t>
            </w:r>
          </w:p>
        </w:tc>
        <w:tc>
          <w:tcPr>
            <w:tcW w:w="4389" w:type="pct"/>
            <w:gridSpan w:val="2"/>
            <w:tcBorders>
              <w:tl2br w:val="nil"/>
              <w:tr2bl w:val="nil"/>
            </w:tcBorders>
            <w:noWrap w:val="0"/>
            <w:vAlign w:val="top"/>
          </w:tcPr>
          <w:p w14:paraId="50BA38E6">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遇明火、高热与氧化剂接触，有引起燃烧爆炸的危险。若遇高热，容器内压增大，有开裂和爆炸的危险。对环境有危害，对水体和大气可造成污染。本品易燃，具刺激性。</w:t>
            </w:r>
          </w:p>
        </w:tc>
      </w:tr>
      <w:tr w14:paraId="4B9EFDF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660" w:hRule="atLeast"/>
          <w:jc w:val="center"/>
        </w:trPr>
        <w:tc>
          <w:tcPr>
            <w:tcW w:w="610" w:type="pct"/>
            <w:tcBorders>
              <w:tl2br w:val="nil"/>
              <w:tr2bl w:val="nil"/>
            </w:tcBorders>
            <w:noWrap w:val="0"/>
            <w:vAlign w:val="center"/>
          </w:tcPr>
          <w:p w14:paraId="16F83E4B">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毒性</w:t>
            </w:r>
          </w:p>
        </w:tc>
        <w:tc>
          <w:tcPr>
            <w:tcW w:w="4389" w:type="pct"/>
            <w:gridSpan w:val="2"/>
            <w:tcBorders>
              <w:tl2br w:val="nil"/>
              <w:tr2bl w:val="nil"/>
            </w:tcBorders>
            <w:noWrap w:val="0"/>
            <w:vAlign w:val="center"/>
          </w:tcPr>
          <w:p w14:paraId="1E0F7B4A">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毒理学资料：/</w:t>
            </w:r>
          </w:p>
        </w:tc>
      </w:tr>
      <w:tr w14:paraId="4513A7E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tcBorders>
              <w:tl2br w:val="nil"/>
              <w:tr2bl w:val="nil"/>
            </w:tcBorders>
            <w:noWrap w:val="0"/>
            <w:vAlign w:val="center"/>
          </w:tcPr>
          <w:p w14:paraId="738549C0">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健康危害</w:t>
            </w:r>
          </w:p>
        </w:tc>
        <w:tc>
          <w:tcPr>
            <w:tcW w:w="4389" w:type="pct"/>
            <w:gridSpan w:val="2"/>
            <w:tcBorders>
              <w:tl2br w:val="nil"/>
              <w:tr2bl w:val="nil"/>
            </w:tcBorders>
            <w:noWrap w:val="0"/>
            <w:vAlign w:val="top"/>
          </w:tcPr>
          <w:p w14:paraId="2DCA25E9">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侵入途径:吸入、食入。 </w:t>
            </w:r>
          </w:p>
          <w:p w14:paraId="02252DDD">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健康危害：皮肤接触可为主要吸收途径，可致急性肾脏损害。柴油可引起接触性皮炎、油性痤疮。吸入其雾滴或液体呛入可引起吸入性肺炎。能经胎盘进入胎儿血中。柴油废气可引起眼、鼻刺激性症状，头晕及头痛。</w:t>
            </w:r>
          </w:p>
        </w:tc>
      </w:tr>
      <w:tr w14:paraId="5436001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tcBorders>
              <w:tl2br w:val="nil"/>
              <w:tr2bl w:val="nil"/>
            </w:tcBorders>
            <w:noWrap w:val="0"/>
            <w:vAlign w:val="center"/>
          </w:tcPr>
          <w:p w14:paraId="5365D788">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急救方案</w:t>
            </w:r>
          </w:p>
        </w:tc>
        <w:tc>
          <w:tcPr>
            <w:tcW w:w="4389" w:type="pct"/>
            <w:gridSpan w:val="2"/>
            <w:tcBorders>
              <w:tl2br w:val="nil"/>
              <w:tr2bl w:val="nil"/>
            </w:tcBorders>
            <w:noWrap w:val="0"/>
            <w:vAlign w:val="top"/>
          </w:tcPr>
          <w:p w14:paraId="761F4BE5">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皮肤接触：立即脱去被污染的衣着，用大量清水冲洗。 </w:t>
            </w:r>
          </w:p>
          <w:p w14:paraId="71A80E7B">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眼接触：立即提起眼验，用大量流动清水成生理盐水冲洗至少15分钟，就医。</w:t>
            </w:r>
          </w:p>
          <w:p w14:paraId="1FC79F77">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吸入：迅速脱离现场至空气新鲜处，保持呼吸道通畅，如呼吸困难，给输氧；如呼吸停止，立即进行人工呼吸，就医。</w:t>
            </w:r>
          </w:p>
          <w:p w14:paraId="7483352D">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食入：饮足量温水，催吐，就医。</w:t>
            </w:r>
          </w:p>
        </w:tc>
      </w:tr>
      <w:tr w14:paraId="020EE9F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tcBorders>
              <w:tl2br w:val="nil"/>
              <w:tr2bl w:val="nil"/>
            </w:tcBorders>
            <w:noWrap w:val="0"/>
            <w:vAlign w:val="center"/>
          </w:tcPr>
          <w:p w14:paraId="4209D671">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防护措施</w:t>
            </w:r>
          </w:p>
        </w:tc>
        <w:tc>
          <w:tcPr>
            <w:tcW w:w="4389" w:type="pct"/>
            <w:gridSpan w:val="2"/>
            <w:tcBorders>
              <w:tl2br w:val="nil"/>
              <w:tr2bl w:val="nil"/>
            </w:tcBorders>
            <w:noWrap w:val="0"/>
            <w:vAlign w:val="top"/>
          </w:tcPr>
          <w:p w14:paraId="3E56F548">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工程控制：密闭操作，注意通风。</w:t>
            </w:r>
          </w:p>
          <w:p w14:paraId="43A4660E">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呼吸系统防护：空气中浓度超标时，建议佩戴自吸过滤式防毒而具</w:t>
            </w:r>
            <w:r>
              <w:rPr>
                <w:rFonts w:hint="eastAsia" w:ascii="Times New Roman" w:hAnsi="Times New Roman" w:eastAsia="宋体" w:cs="Times New Roman"/>
                <w:color w:val="auto"/>
                <w:kern w:val="0"/>
                <w:sz w:val="20"/>
                <w:szCs w:val="20"/>
                <w:highlight w:val="none"/>
                <w:lang w:val="en-US" w:eastAsia="zh-CN" w:bidi="ar"/>
              </w:rPr>
              <w:t>（</w:t>
            </w:r>
            <w:r>
              <w:rPr>
                <w:rFonts w:hint="default" w:ascii="Times New Roman" w:hAnsi="Times New Roman" w:eastAsia="宋体" w:cs="Times New Roman"/>
                <w:color w:val="auto"/>
                <w:kern w:val="0"/>
                <w:sz w:val="20"/>
                <w:szCs w:val="20"/>
                <w:highlight w:val="none"/>
                <w:lang w:val="en-US" w:eastAsia="zh-CN" w:bidi="ar"/>
              </w:rPr>
              <w:t>半面罩</w:t>
            </w:r>
            <w:r>
              <w:rPr>
                <w:rFonts w:hint="eastAsia" w:ascii="Times New Roman" w:hAnsi="Times New Roman" w:eastAsia="宋体" w:cs="Times New Roman"/>
                <w:color w:val="auto"/>
                <w:kern w:val="0"/>
                <w:sz w:val="20"/>
                <w:szCs w:val="20"/>
                <w:highlight w:val="none"/>
                <w:lang w:val="en-US" w:eastAsia="zh-CN" w:bidi="ar"/>
              </w:rPr>
              <w:t>）</w:t>
            </w:r>
            <w:r>
              <w:rPr>
                <w:rFonts w:hint="default" w:ascii="Times New Roman" w:hAnsi="Times New Roman" w:eastAsia="宋体" w:cs="Times New Roman"/>
                <w:color w:val="auto"/>
                <w:kern w:val="0"/>
                <w:sz w:val="20"/>
                <w:szCs w:val="20"/>
                <w:highlight w:val="none"/>
                <w:lang w:val="en-US" w:eastAsia="zh-CN" w:bidi="ar"/>
              </w:rPr>
              <w:t xml:space="preserve">，紧急事态抢救或撤离时，应该佩戴空气呼吸器。 </w:t>
            </w:r>
          </w:p>
          <w:p w14:paraId="2FEBE5C7">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眼睛发肤：戴化学安全防护眼镜。</w:t>
            </w:r>
          </w:p>
          <w:p w14:paraId="7629F5A8">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身体防护：穿一般作业防护服。 </w:t>
            </w:r>
          </w:p>
          <w:p w14:paraId="60A8BBB9">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手防护：橡胶耐油手套。 </w:t>
            </w:r>
          </w:p>
          <w:p w14:paraId="1B19155D">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其他：工作现场严禁吸烟，避免长期反复接触。</w:t>
            </w:r>
          </w:p>
        </w:tc>
      </w:tr>
      <w:tr w14:paraId="6531C43B">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tcBorders>
              <w:tl2br w:val="nil"/>
              <w:tr2bl w:val="nil"/>
            </w:tcBorders>
            <w:noWrap w:val="0"/>
            <w:vAlign w:val="center"/>
          </w:tcPr>
          <w:p w14:paraId="508AD63A">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泄漏应急处理</w:t>
            </w:r>
          </w:p>
        </w:tc>
        <w:tc>
          <w:tcPr>
            <w:tcW w:w="4389" w:type="pct"/>
            <w:gridSpan w:val="2"/>
            <w:tcBorders>
              <w:tl2br w:val="nil"/>
              <w:tr2bl w:val="nil"/>
            </w:tcBorders>
            <w:noWrap w:val="0"/>
            <w:vAlign w:val="top"/>
          </w:tcPr>
          <w:p w14:paraId="397276DE">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迅速撤离泄漏污染区人员至安全区，并进行隔离，严格限制出入，切断火源，建议应急处理人员佩戴自给正压式呼吸器，穿防毒服。尽可能切断泄漏源。防止流入下水道、排洪沟等限制性空间。 </w:t>
            </w:r>
          </w:p>
          <w:p w14:paraId="723432C8">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小量泄漏：用活性炭或其它惰性材料吸收。</w:t>
            </w:r>
          </w:p>
          <w:p w14:paraId="1669A793">
            <w:pPr>
              <w:keepNext w:val="0"/>
              <w:keepLines w:val="0"/>
              <w:widowControl/>
              <w:suppressLineNumbers w:val="0"/>
              <w:spacing w:before="0" w:beforeAutospacing="0" w:after="0" w:afterAutospacing="0" w:line="240" w:lineRule="auto"/>
              <w:ind w:left="0" w:right="0"/>
              <w:jc w:val="left"/>
              <w:rPr>
                <w:rFonts w:hint="default" w:ascii="Times New Roman" w:hAnsi="Times New Roman" w:cs="Times New Roman"/>
                <w:color w:val="auto"/>
                <w:sz w:val="20"/>
                <w:szCs w:val="20"/>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大量泄漏：构筑围提或挖抗收容。用泵转移至槽车或专用收集器内，回收或运至废物处理场所处置。</w:t>
            </w:r>
          </w:p>
        </w:tc>
      </w:tr>
      <w:tr w14:paraId="0628018D">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10" w:type="pct"/>
            <w:tcBorders>
              <w:tl2br w:val="nil"/>
              <w:tr2bl w:val="nil"/>
            </w:tcBorders>
            <w:noWrap w:val="0"/>
            <w:vAlign w:val="center"/>
          </w:tcPr>
          <w:p w14:paraId="6655EA13">
            <w:pPr>
              <w:pStyle w:val="34"/>
              <w:keepNext w:val="0"/>
              <w:keepLines w:val="0"/>
              <w:suppressLineNumbers w:val="0"/>
              <w:spacing w:before="0" w:beforeAutospacing="0" w:afterAutospacing="0" w:line="240" w:lineRule="auto"/>
              <w:ind w:left="0" w:leftChars="0" w:right="0" w:firstLine="0" w:firstLineChars="0"/>
              <w:jc w:val="center"/>
              <w:rPr>
                <w:rFonts w:hint="default" w:ascii="Times New Roman" w:hAnsi="Times New Roman" w:cs="Times New Roman"/>
                <w:color w:val="auto"/>
                <w:sz w:val="20"/>
                <w:szCs w:val="20"/>
                <w:highlight w:val="none"/>
                <w:vertAlign w:val="baseline"/>
                <w:lang w:val="en-US" w:eastAsia="zh-CN"/>
              </w:rPr>
            </w:pPr>
            <w:r>
              <w:rPr>
                <w:rFonts w:hint="default" w:ascii="Times New Roman" w:hAnsi="Times New Roman" w:cs="Times New Roman"/>
                <w:color w:val="auto"/>
                <w:sz w:val="20"/>
                <w:szCs w:val="20"/>
                <w:highlight w:val="none"/>
                <w:vertAlign w:val="baseline"/>
                <w:lang w:val="en-US" w:eastAsia="zh-CN"/>
              </w:rPr>
              <w:t>储存</w:t>
            </w:r>
          </w:p>
        </w:tc>
        <w:tc>
          <w:tcPr>
            <w:tcW w:w="4389" w:type="pct"/>
            <w:gridSpan w:val="2"/>
            <w:tcBorders>
              <w:tl2br w:val="nil"/>
              <w:tr2bl w:val="nil"/>
            </w:tcBorders>
            <w:noWrap w:val="0"/>
            <w:vAlign w:val="top"/>
          </w:tcPr>
          <w:p w14:paraId="123CC1E9">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存于阴凉、通风的库房，远离火种、热源，应与氧化剂、卤素分开存放，切忌混储。采用防爆照明、通风设施。储区应备有泄漏应急处理设备和合适的收容材料。</w:t>
            </w:r>
          </w:p>
          <w:p w14:paraId="01206ADA">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运输前应先检查包装容器是否完整，密封，运输过程中要确保容器不泄漏、不倒塌、不坠落、不损坏。严禁与氧化剂、卤素、食用化学品等混装混运。运输途中应防暴晒、雨淋、防高温。中途停留应远离火种、热源、高温区。装运该物品的车辆排气管必须配备阻火装置。禁止使用易产生火花的机械设备和工具装卸。运输车船必须彻底清洗、消毒，否则不得装运其他物品。船运时，配装位置应远离卧室、厨房，并与机舱、电 源、火源等部位隔离。公路运输时要按规定路线行驶。</w:t>
            </w:r>
          </w:p>
        </w:tc>
      </w:tr>
    </w:tbl>
    <w:p w14:paraId="7ED68A80">
      <w:pPr>
        <w:keepNext w:val="0"/>
        <w:keepLines w:val="0"/>
        <w:pageBreakBefore w:val="0"/>
        <w:widowControl w:val="0"/>
        <w:kinsoku/>
        <w:wordWrap/>
        <w:overflowPunct/>
        <w:topLinePunct w:val="0"/>
        <w:autoSpaceDE/>
        <w:autoSpaceDN/>
        <w:bidi w:val="0"/>
        <w:adjustRightInd/>
        <w:snapToGrid/>
        <w:spacing w:before="157" w:beforeLines="50" w:line="360" w:lineRule="auto"/>
        <w:ind w:firstLine="480" w:firstLineChars="200"/>
        <w:jc w:val="both"/>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kern w:val="0"/>
          <w:sz w:val="24"/>
          <w:szCs w:val="24"/>
          <w:highlight w:val="none"/>
          <w:lang w:val="en-US" w:eastAsia="zh-CN" w:bidi="ar"/>
        </w:rPr>
        <w:t>（</w:t>
      </w:r>
      <w:r>
        <w:rPr>
          <w:rFonts w:hint="eastAsia" w:ascii="Times New Roman" w:hAnsi="Times New Roman" w:eastAsia="宋体" w:cs="Times New Roman"/>
          <w:b/>
          <w:bCs/>
          <w:color w:val="auto"/>
          <w:kern w:val="0"/>
          <w:sz w:val="24"/>
          <w:szCs w:val="24"/>
          <w:highlight w:val="none"/>
          <w:lang w:val="en-US" w:eastAsia="zh-CN" w:bidi="ar"/>
        </w:rPr>
        <w:t>8</w:t>
      </w:r>
      <w:r>
        <w:rPr>
          <w:rFonts w:hint="default" w:ascii="Times New Roman" w:hAnsi="Times New Roman" w:eastAsia="宋体" w:cs="Times New Roman"/>
          <w:b/>
          <w:bCs/>
          <w:color w:val="auto"/>
          <w:kern w:val="0"/>
          <w:sz w:val="24"/>
          <w:szCs w:val="24"/>
          <w:highlight w:val="none"/>
          <w:lang w:val="en-US" w:eastAsia="zh-CN" w:bidi="ar"/>
        </w:rPr>
        <w:t>）机油、润滑油</w:t>
      </w:r>
    </w:p>
    <w:p w14:paraId="267AC000">
      <w:pPr>
        <w:spacing w:line="240" w:lineRule="auto"/>
        <w:jc w:val="center"/>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9.4</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8</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default" w:ascii="Times New Roman" w:hAnsi="Times New Roman" w:cs="Times New Roman"/>
          <w:b/>
          <w:bCs/>
          <w:color w:val="auto"/>
          <w:highlight w:val="none"/>
        </w:rPr>
        <w:t xml:space="preserve"> </w:t>
      </w:r>
      <w:r>
        <w:rPr>
          <w:rFonts w:hint="default" w:ascii="Times New Roman" w:hAnsi="Times New Roman" w:cs="Times New Roman"/>
          <w:b/>
          <w:bCs/>
          <w:color w:val="auto"/>
          <w:highlight w:val="none"/>
          <w:lang w:val="en-US" w:eastAsia="zh-CN"/>
        </w:rPr>
        <w:t>机油、润滑油</w:t>
      </w:r>
      <w:r>
        <w:rPr>
          <w:rFonts w:hint="eastAsia" w:ascii="Times New Roman" w:hAnsi="Times New Roman" w:cs="Times New Roman"/>
          <w:b/>
          <w:bCs/>
          <w:color w:val="auto"/>
          <w:highlight w:val="none"/>
          <w:lang w:val="en-US" w:eastAsia="zh-CN"/>
        </w:rPr>
        <w:t>理化特性及危险特性</w:t>
      </w:r>
    </w:p>
    <w:tbl>
      <w:tblPr>
        <w:tblStyle w:val="36"/>
        <w:tblW w:w="499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218"/>
        <w:gridCol w:w="4482"/>
        <w:gridCol w:w="3581"/>
      </w:tblGrid>
      <w:tr w14:paraId="362589F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tcBorders>
              <w:tl2br w:val="nil"/>
              <w:tr2bl w:val="nil"/>
            </w:tcBorders>
            <w:noWrap w:val="0"/>
            <w:vAlign w:val="center"/>
          </w:tcPr>
          <w:p w14:paraId="48CDD6F3">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标识</w:t>
            </w:r>
          </w:p>
        </w:tc>
        <w:tc>
          <w:tcPr>
            <w:tcW w:w="2414" w:type="pct"/>
            <w:tcBorders>
              <w:tl2br w:val="nil"/>
              <w:tr2bl w:val="nil"/>
            </w:tcBorders>
            <w:noWrap w:val="0"/>
            <w:vAlign w:val="center"/>
          </w:tcPr>
          <w:p w14:paraId="2A65A62F">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分子量：230-500</w:t>
            </w:r>
          </w:p>
        </w:tc>
        <w:tc>
          <w:tcPr>
            <w:tcW w:w="1929" w:type="pct"/>
            <w:tcBorders>
              <w:tl2br w:val="nil"/>
              <w:tr2bl w:val="nil"/>
            </w:tcBorders>
            <w:noWrap w:val="0"/>
            <w:vAlign w:val="center"/>
          </w:tcPr>
          <w:p w14:paraId="70B318CE">
            <w:pPr>
              <w:keepNext w:val="0"/>
              <w:keepLines w:val="0"/>
              <w:widowControl/>
              <w:suppressLineNumbers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危险性类别：易燃液体</w:t>
            </w:r>
          </w:p>
        </w:tc>
      </w:tr>
      <w:tr w14:paraId="2834361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vMerge w:val="restart"/>
            <w:tcBorders>
              <w:tl2br w:val="nil"/>
              <w:tr2bl w:val="nil"/>
            </w:tcBorders>
            <w:noWrap w:val="0"/>
            <w:vAlign w:val="center"/>
          </w:tcPr>
          <w:p w14:paraId="42C53ECD">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理化性质</w:t>
            </w:r>
          </w:p>
        </w:tc>
        <w:tc>
          <w:tcPr>
            <w:tcW w:w="2414" w:type="pct"/>
            <w:tcBorders>
              <w:tl2br w:val="nil"/>
              <w:tr2bl w:val="nil"/>
            </w:tcBorders>
            <w:noWrap w:val="0"/>
            <w:vAlign w:val="center"/>
          </w:tcPr>
          <w:p w14:paraId="6AF93A67">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外观与性状：油状液体，淡黄色至褐色， 无气味或略带异味</w:t>
            </w:r>
          </w:p>
        </w:tc>
        <w:tc>
          <w:tcPr>
            <w:tcW w:w="1929" w:type="pct"/>
            <w:tcBorders>
              <w:tl2br w:val="nil"/>
              <w:tr2bl w:val="nil"/>
            </w:tcBorders>
            <w:noWrap w:val="0"/>
            <w:vAlign w:val="center"/>
          </w:tcPr>
          <w:p w14:paraId="763C9B7C">
            <w:pPr>
              <w:keepNext w:val="0"/>
              <w:keepLines w:val="0"/>
              <w:widowControl/>
              <w:suppressLineNumbers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溶解性：不溶于水</w:t>
            </w:r>
          </w:p>
        </w:tc>
      </w:tr>
      <w:tr w14:paraId="5F7A666E">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vMerge w:val="continue"/>
            <w:tcBorders>
              <w:tl2br w:val="nil"/>
              <w:tr2bl w:val="nil"/>
            </w:tcBorders>
            <w:noWrap w:val="0"/>
            <w:vAlign w:val="center"/>
          </w:tcPr>
          <w:p w14:paraId="500C6EA1">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p>
        </w:tc>
        <w:tc>
          <w:tcPr>
            <w:tcW w:w="2414" w:type="pct"/>
            <w:tcBorders>
              <w:tl2br w:val="nil"/>
              <w:tr2bl w:val="nil"/>
            </w:tcBorders>
            <w:noWrap w:val="0"/>
            <w:vAlign w:val="center"/>
          </w:tcPr>
          <w:p w14:paraId="670BA661">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引燃温度（℃）：248</w:t>
            </w:r>
          </w:p>
        </w:tc>
        <w:tc>
          <w:tcPr>
            <w:tcW w:w="1929" w:type="pct"/>
            <w:tcBorders>
              <w:tl2br w:val="nil"/>
              <w:tr2bl w:val="nil"/>
            </w:tcBorders>
            <w:noWrap w:val="0"/>
            <w:vAlign w:val="center"/>
          </w:tcPr>
          <w:p w14:paraId="61E321F8">
            <w:pPr>
              <w:keepNext w:val="0"/>
              <w:keepLines w:val="0"/>
              <w:widowControl/>
              <w:suppressLineNumbers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闪点（℃）：76</w:t>
            </w:r>
          </w:p>
        </w:tc>
      </w:tr>
      <w:tr w14:paraId="50AAF3E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vMerge w:val="continue"/>
            <w:tcBorders>
              <w:tl2br w:val="nil"/>
              <w:tr2bl w:val="nil"/>
            </w:tcBorders>
            <w:noWrap w:val="0"/>
            <w:vAlign w:val="center"/>
          </w:tcPr>
          <w:p w14:paraId="0AD87768">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p>
        </w:tc>
        <w:tc>
          <w:tcPr>
            <w:tcW w:w="2414" w:type="pct"/>
            <w:tcBorders>
              <w:tl2br w:val="nil"/>
              <w:tr2bl w:val="nil"/>
            </w:tcBorders>
            <w:noWrap w:val="0"/>
            <w:vAlign w:val="center"/>
          </w:tcPr>
          <w:p w14:paraId="45FA6DBE">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相对密度（水=1）≤1</w:t>
            </w:r>
          </w:p>
          <w:p w14:paraId="39EACA0A">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相对密度（空气=1）/</w:t>
            </w:r>
          </w:p>
        </w:tc>
        <w:tc>
          <w:tcPr>
            <w:tcW w:w="1929" w:type="pct"/>
            <w:tcBorders>
              <w:tl2br w:val="nil"/>
              <w:tr2bl w:val="nil"/>
            </w:tcBorders>
            <w:noWrap w:val="0"/>
            <w:vAlign w:val="center"/>
          </w:tcPr>
          <w:p w14:paraId="3EDD9750">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both"/>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灭火剂：雾状水、泡沫、二氧化碳、干粉、砂土</w:t>
            </w:r>
          </w:p>
        </w:tc>
      </w:tr>
      <w:tr w14:paraId="4DD0413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660" w:hRule="atLeast"/>
          <w:jc w:val="center"/>
        </w:trPr>
        <w:tc>
          <w:tcPr>
            <w:tcW w:w="656" w:type="pct"/>
            <w:tcBorders>
              <w:tl2br w:val="nil"/>
              <w:tr2bl w:val="nil"/>
            </w:tcBorders>
            <w:noWrap w:val="0"/>
            <w:vAlign w:val="center"/>
          </w:tcPr>
          <w:p w14:paraId="4FF9AEED">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sz w:val="20"/>
                <w:szCs w:val="20"/>
                <w:highlight w:val="none"/>
                <w:lang w:val="en-US" w:eastAsia="zh-CN"/>
              </w:rPr>
              <w:t>危险特性</w:t>
            </w:r>
          </w:p>
        </w:tc>
        <w:tc>
          <w:tcPr>
            <w:tcW w:w="4343" w:type="pct"/>
            <w:gridSpan w:val="2"/>
            <w:tcBorders>
              <w:tl2br w:val="nil"/>
              <w:tr2bl w:val="nil"/>
            </w:tcBorders>
            <w:noWrap w:val="0"/>
            <w:vAlign w:val="top"/>
          </w:tcPr>
          <w:p w14:paraId="5A528D90">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禁忌物：热源、明火。</w:t>
            </w:r>
          </w:p>
          <w:p w14:paraId="3F77F01C">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危险特性：遇热源和明火有燃烧危险。</w:t>
            </w:r>
          </w:p>
        </w:tc>
      </w:tr>
      <w:tr w14:paraId="3699EDBF">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660" w:hRule="atLeast"/>
          <w:jc w:val="center"/>
        </w:trPr>
        <w:tc>
          <w:tcPr>
            <w:tcW w:w="656" w:type="pct"/>
            <w:tcBorders>
              <w:tl2br w:val="nil"/>
              <w:tr2bl w:val="nil"/>
            </w:tcBorders>
            <w:noWrap w:val="0"/>
            <w:vAlign w:val="center"/>
          </w:tcPr>
          <w:p w14:paraId="6C1C666B">
            <w:pPr>
              <w:pStyle w:val="34"/>
              <w:keepNext w:val="0"/>
              <w:keepLines w:val="0"/>
              <w:suppressLineNumbers w:val="0"/>
              <w:spacing w:before="0" w:beforeAutospacing="0" w:afterAutospacing="0" w:line="240" w:lineRule="auto"/>
              <w:ind w:left="0" w:leftChars="0" w:right="0" w:rightChars="0" w:firstLine="0" w:firstLineChars="0"/>
              <w:jc w:val="center"/>
              <w:rPr>
                <w:rFonts w:hint="default" w:ascii="Times New Roman" w:hAnsi="Times New Roman" w:cs="Times New Roman" w:eastAsiaTheme="minorEastAsia"/>
                <w:color w:val="auto"/>
                <w:kern w:val="2"/>
                <w:sz w:val="20"/>
                <w:szCs w:val="20"/>
                <w:highlight w:val="none"/>
                <w:vertAlign w:val="baseline"/>
                <w:lang w:val="en-US" w:eastAsia="zh-CN" w:bidi="ar-SA"/>
              </w:rPr>
            </w:pPr>
            <w:r>
              <w:rPr>
                <w:rFonts w:hint="default" w:ascii="Times New Roman" w:hAnsi="Times New Roman" w:cs="Times New Roman"/>
                <w:color w:val="auto"/>
                <w:sz w:val="20"/>
                <w:szCs w:val="20"/>
                <w:highlight w:val="none"/>
                <w:vertAlign w:val="baseline"/>
                <w:lang w:val="en-US" w:eastAsia="zh-CN"/>
              </w:rPr>
              <w:t>毒性</w:t>
            </w:r>
          </w:p>
        </w:tc>
        <w:tc>
          <w:tcPr>
            <w:tcW w:w="4343" w:type="pct"/>
            <w:gridSpan w:val="2"/>
            <w:tcBorders>
              <w:tl2br w:val="nil"/>
              <w:tr2bl w:val="nil"/>
            </w:tcBorders>
            <w:noWrap w:val="0"/>
            <w:vAlign w:val="center"/>
          </w:tcPr>
          <w:p w14:paraId="166DD2F5">
            <w:pPr>
              <w:keepNext w:val="0"/>
              <w:keepLines w:val="0"/>
              <w:widowControl/>
              <w:suppressLineNumbers w:val="0"/>
              <w:spacing w:before="0" w:beforeAutospacing="0" w:after="0" w:afterAutospacing="0" w:line="240" w:lineRule="auto"/>
              <w:ind w:left="0" w:right="0"/>
              <w:jc w:val="both"/>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毒理学资料：轻度危害。</w:t>
            </w:r>
          </w:p>
        </w:tc>
      </w:tr>
      <w:tr w14:paraId="50A36F44">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tcBorders>
              <w:tl2br w:val="nil"/>
              <w:tr2bl w:val="nil"/>
            </w:tcBorders>
            <w:noWrap w:val="0"/>
            <w:vAlign w:val="center"/>
          </w:tcPr>
          <w:p w14:paraId="09254B0B">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健康危害</w:t>
            </w:r>
          </w:p>
        </w:tc>
        <w:tc>
          <w:tcPr>
            <w:tcW w:w="4343" w:type="pct"/>
            <w:gridSpan w:val="2"/>
            <w:tcBorders>
              <w:tl2br w:val="nil"/>
              <w:tr2bl w:val="nil"/>
            </w:tcBorders>
            <w:noWrap w:val="0"/>
            <w:vAlign w:val="top"/>
          </w:tcPr>
          <w:p w14:paraId="3138904B">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侵入途径:吸入、食入。 </w:t>
            </w:r>
          </w:p>
          <w:p w14:paraId="4130AB03">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健康危害：急性吸入，可出现乏力、头量、头痛、恶心，严重者可引起油性肺炎，慢接触者，暴露部位可发生油性疮和按触性皮炎。可引起神经衰弱综合征，呼吸道和眼剩症状及慢性油脂性肺炎。</w:t>
            </w:r>
          </w:p>
        </w:tc>
      </w:tr>
      <w:tr w14:paraId="755F8E2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tcBorders>
              <w:tl2br w:val="nil"/>
              <w:tr2bl w:val="nil"/>
            </w:tcBorders>
            <w:noWrap w:val="0"/>
            <w:vAlign w:val="center"/>
          </w:tcPr>
          <w:p w14:paraId="03471E05">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急救方案</w:t>
            </w:r>
          </w:p>
        </w:tc>
        <w:tc>
          <w:tcPr>
            <w:tcW w:w="4343" w:type="pct"/>
            <w:gridSpan w:val="2"/>
            <w:tcBorders>
              <w:tl2br w:val="nil"/>
              <w:tr2bl w:val="nil"/>
            </w:tcBorders>
            <w:noWrap w:val="0"/>
            <w:vAlign w:val="top"/>
          </w:tcPr>
          <w:p w14:paraId="2AA7874A">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皮肤接触：立即脱去被污染的衣着，用大量清水冲洗。 </w:t>
            </w:r>
          </w:p>
          <w:p w14:paraId="1F69ED13">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眼接触：立即提起眼验，用大量流动清水成生理盐水冲洗，就医。</w:t>
            </w:r>
          </w:p>
          <w:p w14:paraId="75713534">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吸入：迅速脱离现场至空气新鲜处，保持呼吸道通畅，如呼吸困难，给输氧；如呼吸停止，立即进行人工呼吸，就医。</w:t>
            </w:r>
          </w:p>
          <w:p w14:paraId="49757B5D">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食入：饮足量温水，催吐，就医。</w:t>
            </w:r>
          </w:p>
        </w:tc>
      </w:tr>
      <w:tr w14:paraId="1A2332B2">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tcBorders>
              <w:tl2br w:val="nil"/>
              <w:tr2bl w:val="nil"/>
            </w:tcBorders>
            <w:noWrap w:val="0"/>
            <w:vAlign w:val="center"/>
          </w:tcPr>
          <w:p w14:paraId="7ED14245">
            <w:pPr>
              <w:keepNext w:val="0"/>
              <w:keepLines w:val="0"/>
              <w:widowControl/>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2"/>
                <w:sz w:val="20"/>
                <w:szCs w:val="20"/>
                <w:highlight w:val="none"/>
                <w:lang w:val="en-US" w:eastAsia="zh-CN" w:bidi="ar-SA"/>
              </w:rPr>
            </w:pPr>
            <w:r>
              <w:rPr>
                <w:rFonts w:hint="default" w:ascii="Times New Roman" w:hAnsi="Times New Roman" w:eastAsia="宋体" w:cs="Times New Roman"/>
                <w:color w:val="auto"/>
                <w:kern w:val="2"/>
                <w:sz w:val="20"/>
                <w:szCs w:val="20"/>
                <w:highlight w:val="none"/>
                <w:lang w:val="en-US" w:eastAsia="zh-CN" w:bidi="ar-SA"/>
              </w:rPr>
              <w:t>防护措施</w:t>
            </w:r>
          </w:p>
        </w:tc>
        <w:tc>
          <w:tcPr>
            <w:tcW w:w="4343" w:type="pct"/>
            <w:gridSpan w:val="2"/>
            <w:tcBorders>
              <w:tl2br w:val="nil"/>
              <w:tr2bl w:val="nil"/>
            </w:tcBorders>
            <w:noWrap w:val="0"/>
            <w:vAlign w:val="top"/>
          </w:tcPr>
          <w:p w14:paraId="6657C694">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工程控制：密闭操作，注意通风。</w:t>
            </w:r>
          </w:p>
          <w:p w14:paraId="22DF037D">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呼吸系统防护：空气中浓度超标时，建议佩戴自吸过滤式防毒而具</w:t>
            </w:r>
            <w:r>
              <w:rPr>
                <w:rFonts w:hint="eastAsia" w:ascii="Times New Roman" w:hAnsi="Times New Roman" w:eastAsia="宋体" w:cs="Times New Roman"/>
                <w:color w:val="auto"/>
                <w:kern w:val="0"/>
                <w:sz w:val="20"/>
                <w:szCs w:val="20"/>
                <w:highlight w:val="none"/>
                <w:lang w:val="en-US" w:eastAsia="zh-CN" w:bidi="ar"/>
              </w:rPr>
              <w:t>（</w:t>
            </w:r>
            <w:r>
              <w:rPr>
                <w:rFonts w:hint="default" w:ascii="Times New Roman" w:hAnsi="Times New Roman" w:eastAsia="宋体" w:cs="Times New Roman"/>
                <w:color w:val="auto"/>
                <w:kern w:val="0"/>
                <w:sz w:val="20"/>
                <w:szCs w:val="20"/>
                <w:highlight w:val="none"/>
                <w:lang w:val="en-US" w:eastAsia="zh-CN" w:bidi="ar"/>
              </w:rPr>
              <w:t>半面罩</w:t>
            </w:r>
            <w:r>
              <w:rPr>
                <w:rFonts w:hint="eastAsia" w:ascii="Times New Roman" w:hAnsi="Times New Roman" w:eastAsia="宋体" w:cs="Times New Roman"/>
                <w:color w:val="auto"/>
                <w:kern w:val="0"/>
                <w:sz w:val="20"/>
                <w:szCs w:val="20"/>
                <w:highlight w:val="none"/>
                <w:lang w:val="en-US" w:eastAsia="zh-CN" w:bidi="ar"/>
              </w:rPr>
              <w:t>）</w:t>
            </w:r>
            <w:r>
              <w:rPr>
                <w:rFonts w:hint="default" w:ascii="Times New Roman" w:hAnsi="Times New Roman" w:eastAsia="宋体" w:cs="Times New Roman"/>
                <w:color w:val="auto"/>
                <w:kern w:val="0"/>
                <w:sz w:val="20"/>
                <w:szCs w:val="20"/>
                <w:highlight w:val="none"/>
                <w:lang w:val="en-US" w:eastAsia="zh-CN" w:bidi="ar"/>
              </w:rPr>
              <w:t xml:space="preserve">，紧急事态抢救或撤离时，应该佩戴空气呼吸器。 </w:t>
            </w:r>
          </w:p>
          <w:p w14:paraId="1C671410">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眼睛发肤：戴化学安全防护眼镜。</w:t>
            </w:r>
          </w:p>
          <w:p w14:paraId="6E0B0DFC">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身体防护：穿防毒物渗透工作服。 </w:t>
            </w:r>
          </w:p>
          <w:p w14:paraId="5266068B">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手防护：橡胶耐油手套。 </w:t>
            </w:r>
          </w:p>
          <w:p w14:paraId="4BAAAFEC">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其他：工作现场严禁吸烟，避免长期反复接触。</w:t>
            </w:r>
          </w:p>
        </w:tc>
      </w:tr>
      <w:tr w14:paraId="66938F08">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tcBorders>
              <w:tl2br w:val="nil"/>
              <w:tr2bl w:val="nil"/>
            </w:tcBorders>
            <w:noWrap w:val="0"/>
            <w:vAlign w:val="center"/>
          </w:tcPr>
          <w:p w14:paraId="1DBCA70A">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outlineLvl w:val="9"/>
              <w:rPr>
                <w:rFonts w:hint="default" w:ascii="Times New Roman" w:hAnsi="Times New Roman" w:eastAsia="宋体" w:cs="Times New Roman"/>
                <w:color w:val="auto"/>
                <w:sz w:val="20"/>
                <w:szCs w:val="20"/>
                <w:highlight w:val="none"/>
                <w:lang w:val="en-US" w:eastAsia="zh-CN"/>
              </w:rPr>
            </w:pPr>
            <w:r>
              <w:rPr>
                <w:rFonts w:hint="default" w:ascii="Times New Roman" w:hAnsi="Times New Roman" w:eastAsia="宋体" w:cs="Times New Roman"/>
                <w:color w:val="auto"/>
                <w:sz w:val="20"/>
                <w:szCs w:val="20"/>
                <w:highlight w:val="none"/>
                <w:lang w:val="en-US" w:eastAsia="zh-CN"/>
              </w:rPr>
              <w:t>泄漏应急处理</w:t>
            </w:r>
          </w:p>
        </w:tc>
        <w:tc>
          <w:tcPr>
            <w:tcW w:w="4343" w:type="pct"/>
            <w:gridSpan w:val="2"/>
            <w:tcBorders>
              <w:tl2br w:val="nil"/>
              <w:tr2bl w:val="nil"/>
            </w:tcBorders>
            <w:noWrap w:val="0"/>
            <w:vAlign w:val="top"/>
          </w:tcPr>
          <w:p w14:paraId="739AEF42">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 xml:space="preserve">迅速撤离泄漏污染区人员至安全区，并进行隔离，严格限制出入，切断火源，建议 应急处理人员佩戴自给正压式呼吸器，穿防毒服。尽可能切断泄漏源。防止流入下水 道、排洪沟等限制性空间。 </w:t>
            </w:r>
          </w:p>
          <w:p w14:paraId="32D83D6C">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小量泄漏：用砂土或其它不燃材料吸附或吸收。</w:t>
            </w:r>
          </w:p>
          <w:p w14:paraId="54301CD0">
            <w:pPr>
              <w:keepNext w:val="0"/>
              <w:keepLines w:val="0"/>
              <w:widowControl/>
              <w:suppressLineNumbers w:val="0"/>
              <w:spacing w:before="0" w:beforeAutospacing="0" w:after="0" w:afterAutospacing="0" w:line="240" w:lineRule="auto"/>
              <w:ind w:left="0" w:right="0"/>
              <w:jc w:val="left"/>
              <w:rPr>
                <w:rFonts w:hint="default" w:ascii="Times New Roman" w:hAnsi="Times New Roman" w:cs="Times New Roman"/>
                <w:color w:val="auto"/>
                <w:highlight w:val="none"/>
                <w:lang w:val="en-US" w:eastAsia="zh-CN"/>
              </w:rPr>
            </w:pPr>
            <w:r>
              <w:rPr>
                <w:rFonts w:hint="default" w:ascii="Times New Roman" w:hAnsi="Times New Roman" w:eastAsia="宋体" w:cs="Times New Roman"/>
                <w:color w:val="auto"/>
                <w:kern w:val="0"/>
                <w:sz w:val="20"/>
                <w:szCs w:val="20"/>
                <w:highlight w:val="none"/>
                <w:lang w:val="en-US" w:eastAsia="zh-CN" w:bidi="ar"/>
              </w:rPr>
              <w:t>大量泄漏：构筑围提或挖抗收容。用泵转移至槽车或专用收集器内，回收或运至废物处理场所处置。</w:t>
            </w:r>
          </w:p>
        </w:tc>
      </w:tr>
      <w:tr w14:paraId="68F32256">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656" w:type="pct"/>
            <w:tcBorders>
              <w:tl2br w:val="nil"/>
              <w:tr2bl w:val="nil"/>
            </w:tcBorders>
            <w:noWrap w:val="0"/>
            <w:vAlign w:val="center"/>
          </w:tcPr>
          <w:p w14:paraId="4546C7EA">
            <w:pPr>
              <w:pStyle w:val="34"/>
              <w:keepNext w:val="0"/>
              <w:keepLines w:val="0"/>
              <w:suppressLineNumbers w:val="0"/>
              <w:spacing w:before="0" w:beforeAutospacing="0" w:afterAutospacing="0" w:line="240" w:lineRule="auto"/>
              <w:ind w:left="0" w:leftChars="0" w:right="0" w:firstLine="0" w:firstLineChars="0"/>
              <w:jc w:val="center"/>
              <w:rPr>
                <w:rFonts w:hint="default" w:ascii="Times New Roman" w:hAnsi="Times New Roman" w:cs="Times New Roman"/>
                <w:color w:val="auto"/>
                <w:sz w:val="20"/>
                <w:szCs w:val="20"/>
                <w:highlight w:val="none"/>
                <w:vertAlign w:val="baseline"/>
                <w:lang w:val="en-US" w:eastAsia="zh-CN"/>
              </w:rPr>
            </w:pPr>
            <w:r>
              <w:rPr>
                <w:rFonts w:hint="default" w:ascii="Times New Roman" w:hAnsi="Times New Roman" w:cs="Times New Roman"/>
                <w:color w:val="auto"/>
                <w:sz w:val="20"/>
                <w:szCs w:val="20"/>
                <w:highlight w:val="none"/>
                <w:vertAlign w:val="baseline"/>
                <w:lang w:val="en-US" w:eastAsia="zh-CN"/>
              </w:rPr>
              <w:t>储存</w:t>
            </w:r>
          </w:p>
        </w:tc>
        <w:tc>
          <w:tcPr>
            <w:tcW w:w="4343" w:type="pct"/>
            <w:gridSpan w:val="2"/>
            <w:tcBorders>
              <w:tl2br w:val="nil"/>
              <w:tr2bl w:val="nil"/>
            </w:tcBorders>
            <w:noWrap w:val="0"/>
            <w:vAlign w:val="top"/>
          </w:tcPr>
          <w:p w14:paraId="75CB0048">
            <w:pPr>
              <w:keepNext w:val="0"/>
              <w:keepLines w:val="0"/>
              <w:widowControl/>
              <w:suppressLineNumbers w:val="0"/>
              <w:spacing w:before="0" w:beforeAutospacing="0" w:after="0" w:afterAutospacing="0" w:line="240" w:lineRule="auto"/>
              <w:ind w:left="0" w:right="0"/>
              <w:jc w:val="left"/>
              <w:rPr>
                <w:rFonts w:hint="default" w:ascii="Times New Roman" w:hAnsi="Times New Roman" w:eastAsia="宋体" w:cs="Times New Roman"/>
                <w:color w:val="auto"/>
                <w:kern w:val="0"/>
                <w:sz w:val="20"/>
                <w:szCs w:val="20"/>
                <w:highlight w:val="none"/>
                <w:lang w:val="en-US" w:eastAsia="zh-CN" w:bidi="ar"/>
              </w:rPr>
            </w:pPr>
            <w:r>
              <w:rPr>
                <w:rFonts w:hint="default" w:ascii="Times New Roman" w:hAnsi="Times New Roman" w:eastAsia="宋体" w:cs="Times New Roman"/>
                <w:color w:val="auto"/>
                <w:kern w:val="0"/>
                <w:sz w:val="20"/>
                <w:szCs w:val="20"/>
                <w:highlight w:val="none"/>
                <w:lang w:val="en-US" w:eastAsia="zh-CN" w:bidi="ar"/>
              </w:rPr>
              <w:t>存于阴凉、通风的库房，远离火种、热源，应与氧化剂分开存放，切忌混储，配备相应品种和数量的消防器材，储区应备有泄漏应急处理设备和合适的收容材料。运输前应先检查包装容器是否完整，密封，运输过程中要确保容器不泄漏、不倒塌、不坠落、不损坏，严禁与氧化剂、食用化学品等混装混运。运输车辆必须彻底清洗、消毒，否则不得装运其他物品。船运时，配装位置应远离卧室、厨房，并与机舱、电 源、火源等部位隔离。公路运输时要按规定路线行驶。</w:t>
            </w:r>
          </w:p>
        </w:tc>
      </w:tr>
    </w:tbl>
    <w:p w14:paraId="172153C5">
      <w:pPr>
        <w:pStyle w:val="131"/>
        <w:keepNext w:val="0"/>
        <w:keepLines w:val="0"/>
        <w:pageBreakBefore w:val="0"/>
        <w:widowControl w:val="0"/>
        <w:kinsoku/>
        <w:wordWrap/>
        <w:overflowPunct/>
        <w:topLinePunct w:val="0"/>
        <w:autoSpaceDE/>
        <w:autoSpaceDN/>
        <w:bidi w:val="0"/>
        <w:adjustRightInd/>
        <w:snapToGrid w:val="0"/>
        <w:spacing w:line="360" w:lineRule="auto"/>
        <w:ind w:firstLine="504"/>
        <w:textAlignment w:val="auto"/>
        <w:rPr>
          <w:rFonts w:hint="eastAsia" w:ascii="Times New Roman" w:hAnsi="Times New Roman" w:cs="Times New Roman"/>
          <w:color w:val="auto"/>
          <w:sz w:val="24"/>
          <w:szCs w:val="24"/>
          <w:highlight w:val="none"/>
          <w:lang w:val="en-US" w:eastAsia="zh-CN"/>
        </w:rPr>
      </w:pPr>
    </w:p>
    <w:p w14:paraId="79D4E0A8">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生产系统危险性识别</w:t>
      </w:r>
    </w:p>
    <w:p w14:paraId="0F8E6125">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危险物质向环境转移的途径识别</w:t>
      </w:r>
    </w:p>
    <w:p w14:paraId="076289B9">
      <w:pPr>
        <w:pStyle w:val="5"/>
        <w:rPr>
          <w:rFonts w:hint="default" w:ascii="Times New Roman" w:hAnsi="Times New Roman" w:cs="Times New Roman" w:eastAsiaTheme="minorEastAsia"/>
          <w:b/>
          <w:bCs/>
          <w:color w:val="auto"/>
          <w:kern w:val="2"/>
          <w:sz w:val="24"/>
          <w:szCs w:val="28"/>
          <w:highlight w:val="none"/>
          <w:lang w:val="en-US" w:eastAsia="zh-CN" w:bidi="ar-SA"/>
        </w:rPr>
      </w:pPr>
      <w:r>
        <w:rPr>
          <w:rFonts w:hint="default" w:ascii="Times New Roman" w:hAnsi="Times New Roman" w:cs="Times New Roman"/>
          <w:b/>
          <w:bCs/>
          <w:color w:val="auto"/>
          <w:kern w:val="2"/>
          <w:sz w:val="24"/>
          <w:szCs w:val="28"/>
          <w:highlight w:val="none"/>
          <w:lang w:val="en-US" w:eastAsia="zh-CN" w:bidi="ar-SA"/>
        </w:rPr>
        <w:t>环境风险类型</w:t>
      </w:r>
    </w:p>
    <w:p w14:paraId="187797AD">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环境风险类型包括危险物质泄漏，以及火灾、爆炸等引发的伴生/次生污染物排放。根据本项目的特点，生产设施或生产过程中存在的可能引发环境风险的事故有：</w:t>
      </w:r>
    </w:p>
    <w:p w14:paraId="33C9DC19">
      <w:pPr>
        <w:ind w:firstLine="480"/>
        <w:rPr>
          <w:rFonts w:hint="default" w:ascii="Times New Roman" w:hAnsi="Times New Roman" w:cs="Times New Roman"/>
          <w:color w:val="auto"/>
          <w:sz w:val="24"/>
          <w:szCs w:val="24"/>
          <w:highlight w:val="none"/>
        </w:rPr>
      </w:pPr>
      <w:r>
        <w:rPr>
          <w:rFonts w:hint="default" w:ascii="Times New Roman" w:hAnsi="Times New Roman" w:cs="Times New Roman"/>
          <w:b w:val="0"/>
          <w:bCs w:val="0"/>
          <w:color w:val="auto"/>
          <w:sz w:val="24"/>
          <w:szCs w:val="24"/>
          <w:highlight w:val="none"/>
          <w:lang w:eastAsia="zh-CN"/>
        </w:rPr>
        <w:t>（</w:t>
      </w:r>
      <w:r>
        <w:rPr>
          <w:rFonts w:hint="default" w:ascii="Times New Roman" w:hAnsi="Times New Roman" w:cs="Times New Roman"/>
          <w:b w:val="0"/>
          <w:bCs w:val="0"/>
          <w:color w:val="auto"/>
          <w:sz w:val="24"/>
          <w:szCs w:val="24"/>
          <w:highlight w:val="none"/>
          <w:lang w:val="en-US" w:eastAsia="zh-CN"/>
        </w:rPr>
        <w:t>1</w:t>
      </w:r>
      <w:r>
        <w:rPr>
          <w:rFonts w:hint="default" w:ascii="Times New Roman" w:hAnsi="Times New Roman" w:cs="Times New Roman"/>
          <w:b w:val="0"/>
          <w:bCs w:val="0"/>
          <w:color w:val="auto"/>
          <w:sz w:val="24"/>
          <w:szCs w:val="24"/>
          <w:highlight w:val="none"/>
          <w:lang w:eastAsia="zh-CN"/>
        </w:rPr>
        <w:t>）</w:t>
      </w:r>
      <w:r>
        <w:rPr>
          <w:rFonts w:hint="default" w:ascii="Times New Roman" w:hAnsi="Times New Roman" w:eastAsia="宋体" w:cs="Times New Roman"/>
          <w:color w:val="auto"/>
          <w:sz w:val="24"/>
          <w:szCs w:val="24"/>
          <w:highlight w:val="none"/>
          <w:lang w:val="en-US" w:eastAsia="zh-CN"/>
        </w:rPr>
        <w:t>柴油储罐、焦油储罐：储罐破损或储罐的防渗池防渗层破裂导致柴油泄漏；静电积聚、设备失修、本体、管道接口、阀门密封不严、材质不当、受到腐蚀或破坏等泄漏、误操作和明火引起火灾爆炸。</w:t>
      </w:r>
      <w:r>
        <w:rPr>
          <w:rFonts w:hint="default" w:ascii="Times New Roman" w:hAnsi="Times New Roman" w:cs="Times New Roman"/>
          <w:color w:val="auto"/>
          <w:sz w:val="24"/>
          <w:szCs w:val="24"/>
          <w:highlight w:val="none"/>
        </w:rPr>
        <w:t>柴油储罐</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焦油储罐</w:t>
      </w:r>
      <w:r>
        <w:rPr>
          <w:rFonts w:hint="default" w:ascii="Times New Roman" w:hAnsi="Times New Roman" w:cs="Times New Roman"/>
          <w:color w:val="auto"/>
          <w:sz w:val="24"/>
          <w:szCs w:val="24"/>
          <w:highlight w:val="none"/>
        </w:rPr>
        <w:t>存在缺陷或操作不当，可能会从罐内大量泄漏到环境中，如果处置不当会对地表水、地下水造成污染；</w:t>
      </w:r>
    </w:p>
    <w:p w14:paraId="3DCB1326">
      <w:pPr>
        <w:ind w:firstLine="480"/>
        <w:rPr>
          <w:rFonts w:hint="default" w:ascii="Times New Roman" w:hAnsi="Times New Roman" w:cs="Times New Roman"/>
          <w:color w:val="auto"/>
          <w:kern w:val="0"/>
          <w:sz w:val="24"/>
          <w:szCs w:val="24"/>
          <w:highlight w:val="none"/>
        </w:rPr>
      </w:pPr>
      <w:r>
        <w:rPr>
          <w:rFonts w:hint="default" w:ascii="Times New Roman" w:hAnsi="Times New Roman" w:cs="Times New Roman"/>
          <w:color w:val="auto"/>
          <w:kern w:val="0"/>
          <w:sz w:val="24"/>
          <w:szCs w:val="24"/>
          <w:highlight w:val="none"/>
        </w:rPr>
        <w:t>生产装置、气柜等存在可燃物质火灾、爆炸以及废气事故排放风险，可能对空气、土壤、地下水和地表水造成环境影响。</w:t>
      </w:r>
    </w:p>
    <w:p w14:paraId="146C7BF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sz w:val="24"/>
          <w:szCs w:val="24"/>
          <w:highlight w:val="none"/>
          <w:lang w:val="en-US" w:eastAsia="zh-CN"/>
        </w:rPr>
        <w:t>气柜：设备失修、本体、管道接口、阀门密封不严、材质不当、受到腐蚀或破坏等</w:t>
      </w:r>
      <w:r>
        <w:rPr>
          <w:rFonts w:hint="default" w:ascii="Times New Roman" w:hAnsi="Times New Roman" w:eastAsia="宋体" w:cs="Times New Roman"/>
          <w:color w:val="auto"/>
          <w:kern w:val="0"/>
          <w:sz w:val="24"/>
          <w:szCs w:val="24"/>
          <w:highlight w:val="none"/>
          <w:lang w:val="en-US" w:eastAsia="zh-CN" w:bidi="ar"/>
        </w:rPr>
        <w:t xml:space="preserve">导致热解气泄漏； </w:t>
      </w:r>
    </w:p>
    <w:p w14:paraId="353ED1E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①生产区设备或储存区储存容器等破损、破裂、操作不当等事故将导致大量料液（或气体）排放；各种液体物料在场内通过管道输送，若管道老化损坏、连接阀门或软管破裂，工作人员操作不当，均存在泄漏风险；</w:t>
      </w:r>
    </w:p>
    <w:p w14:paraId="04E6FEA1">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（2）渗滤液、污水处理设施污水泄漏</w:t>
      </w:r>
    </w:p>
    <w:p w14:paraId="7400537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渗滤液收集池、污水池等建构筑物或装置、管道等破损导致泄漏，或者接头部位密闭不严以及操作不当导致跑、冒、滴、漏</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cs="Times New Roman"/>
          <w:color w:val="auto"/>
          <w:sz w:val="24"/>
          <w:szCs w:val="24"/>
          <w:highlight w:val="none"/>
        </w:rPr>
        <w:t>渗滤液浓度很高，渗滤液渗漏</w:t>
      </w:r>
      <w:r>
        <w:rPr>
          <w:rFonts w:hint="eastAsia" w:ascii="Times New Roman" w:hAnsi="Times New Roman" w:cs="Times New Roman"/>
          <w:color w:val="auto"/>
          <w:sz w:val="24"/>
          <w:szCs w:val="24"/>
          <w:highlight w:val="none"/>
          <w:lang w:val="en-US" w:eastAsia="zh-CN"/>
        </w:rPr>
        <w:t>会</w:t>
      </w:r>
      <w:r>
        <w:rPr>
          <w:rFonts w:hint="default" w:ascii="Times New Roman" w:hAnsi="Times New Roman" w:cs="Times New Roman"/>
          <w:color w:val="auto"/>
          <w:sz w:val="24"/>
          <w:szCs w:val="24"/>
          <w:highlight w:val="none"/>
        </w:rPr>
        <w:t>对附近地土壤及</w:t>
      </w:r>
      <w:r>
        <w:rPr>
          <w:rFonts w:hint="eastAsia" w:ascii="Times New Roman" w:hAnsi="Times New Roman" w:cs="Times New Roman"/>
          <w:color w:val="auto"/>
          <w:sz w:val="24"/>
          <w:szCs w:val="24"/>
          <w:highlight w:val="none"/>
          <w:lang w:val="en-US" w:eastAsia="zh-CN"/>
        </w:rPr>
        <w:t>地</w:t>
      </w:r>
      <w:r>
        <w:rPr>
          <w:rFonts w:hint="default" w:ascii="Times New Roman" w:hAnsi="Times New Roman" w:cs="Times New Roman"/>
          <w:color w:val="auto"/>
          <w:sz w:val="24"/>
          <w:szCs w:val="24"/>
          <w:highlight w:val="none"/>
        </w:rPr>
        <w:t>下水造成污染。</w:t>
      </w:r>
    </w:p>
    <w:p w14:paraId="18B18FF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②操作有误或违章作业导致物料泄漏；</w:t>
      </w:r>
    </w:p>
    <w:p w14:paraId="292FA5DE">
      <w:pPr>
        <w:keepNext w:val="0"/>
        <w:keepLines w:val="0"/>
        <w:widowControl/>
        <w:suppressLineNumbers w:val="0"/>
        <w:ind w:firstLine="480" w:firstLineChars="200"/>
        <w:jc w:val="left"/>
        <w:rPr>
          <w:rFonts w:hint="default" w:ascii="Times New Roman" w:hAnsi="Times New Roman"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lang w:val="en-US" w:eastAsia="zh-CN" w:bidi="ar"/>
        </w:rPr>
        <w:t>⑤危险废物在暂存过程中由于容器破裂或操作不当导致泄漏，则可能</w:t>
      </w:r>
      <w:r>
        <w:rPr>
          <w:rFonts w:hint="default" w:ascii="Times New Roman" w:hAnsi="Times New Roman" w:cs="Times New Roman"/>
          <w:color w:val="auto"/>
          <w:kern w:val="0"/>
          <w:sz w:val="24"/>
          <w:szCs w:val="24"/>
          <w:highlight w:val="none"/>
        </w:rPr>
        <w:t>对空气、土壤、地下水和地表水造成环境影响；</w:t>
      </w:r>
    </w:p>
    <w:p w14:paraId="62BD9CCB">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危废暂存间、柴油发电机房贮存的矿物油、柴油泄漏并发生火灾爆炸，燃烧产生的辐射热将影响其周围的装置或周围建筑物，甚至引起新的火灾。</w:t>
      </w:r>
    </w:p>
    <w:p w14:paraId="30882453">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（2）火灾、爆炸等引发的伴生/次生污染物排放</w:t>
      </w:r>
    </w:p>
    <w:p w14:paraId="11F184C4">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①火灾、爆炸事故情形</w:t>
      </w:r>
    </w:p>
    <w:p w14:paraId="38E771A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本项目可能引发的火灾、爆炸事故如下：</w:t>
      </w:r>
    </w:p>
    <w:p w14:paraId="50E22896">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eastAsia" w:ascii="Times New Roman" w:hAnsi="Times New Roman" w:eastAsia="宋体" w:cs="Times New Roman"/>
          <w:b/>
          <w:bCs/>
          <w:color w:val="auto"/>
          <w:kern w:val="0"/>
          <w:sz w:val="24"/>
          <w:szCs w:val="24"/>
          <w:highlight w:val="none"/>
          <w:lang w:val="en-US" w:eastAsia="zh-CN" w:bidi="ar"/>
        </w:rPr>
        <w:t>1）</w:t>
      </w:r>
      <w:r>
        <w:rPr>
          <w:rFonts w:hint="default" w:ascii="Times New Roman" w:hAnsi="Times New Roman" w:eastAsia="宋体" w:cs="Times New Roman"/>
          <w:b/>
          <w:bCs/>
          <w:color w:val="auto"/>
          <w:kern w:val="0"/>
          <w:sz w:val="24"/>
          <w:szCs w:val="24"/>
          <w:highlight w:val="none"/>
          <w:lang w:val="en-US" w:eastAsia="zh-CN" w:bidi="ar"/>
        </w:rPr>
        <w:t>热解系统爆炸、破裂</w:t>
      </w:r>
    </w:p>
    <w:p w14:paraId="2452810A">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热解回转窑内因CO量过大造成爆炸事故；当生活垃圾中含有危险成分（如混入火药、汽油或其它易燃易爆品）燃烧中发生爆炸；运行中突然熄火后，运行人员违规操作强行点火，造成窑内大量可燃烟气爆炸；点火失败时，天然气与空气形成爆炸性气体混合物，再次点火发生爆炸。</w:t>
      </w:r>
    </w:p>
    <w:p w14:paraId="08030F2B">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当热解回转窑爆炸事故发生时，未经净化的气体及未经高温分解的二噁英随烟气瞬时从溢出，并随烟气扩散至外界</w:t>
      </w:r>
      <w:r>
        <w:rPr>
          <w:rFonts w:hint="default" w:ascii="Times New Roman" w:hAnsi="Times New Roman" w:cs="Times New Roman"/>
          <w:color w:val="auto"/>
          <w:sz w:val="24"/>
          <w:szCs w:val="24"/>
          <w:highlight w:val="none"/>
        </w:rPr>
        <w:t>对大气环境造成污染</w:t>
      </w:r>
      <w:r>
        <w:rPr>
          <w:rFonts w:hint="default" w:ascii="Times New Roman" w:hAnsi="Times New Roman" w:eastAsia="宋体" w:cs="Times New Roman"/>
          <w:color w:val="auto"/>
          <w:kern w:val="0"/>
          <w:sz w:val="24"/>
          <w:szCs w:val="24"/>
          <w:highlight w:val="none"/>
          <w:lang w:val="en-US" w:eastAsia="zh-CN" w:bidi="ar"/>
        </w:rPr>
        <w:t>。</w:t>
      </w:r>
    </w:p>
    <w:p w14:paraId="7C0E32FF">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eastAsia" w:ascii="Times New Roman" w:hAnsi="Times New Roman" w:eastAsia="宋体" w:cs="Times New Roman"/>
          <w:b/>
          <w:bCs/>
          <w:color w:val="auto"/>
          <w:kern w:val="0"/>
          <w:sz w:val="24"/>
          <w:szCs w:val="24"/>
          <w:highlight w:val="none"/>
          <w:lang w:val="en-US" w:eastAsia="zh-CN" w:bidi="ar"/>
        </w:rPr>
        <w:t>2）</w:t>
      </w:r>
      <w:r>
        <w:rPr>
          <w:rFonts w:hint="default" w:ascii="Times New Roman" w:hAnsi="Times New Roman" w:eastAsia="宋体" w:cs="Times New Roman"/>
          <w:b/>
          <w:bCs/>
          <w:color w:val="auto"/>
          <w:kern w:val="0"/>
          <w:sz w:val="24"/>
          <w:szCs w:val="24"/>
          <w:highlight w:val="none"/>
          <w:lang w:val="en-US" w:eastAsia="zh-CN" w:bidi="ar"/>
        </w:rPr>
        <w:t>气柜热解气泄漏、火灾、爆炸</w:t>
      </w:r>
    </w:p>
    <w:p w14:paraId="18B4DA14">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气柜存在着设备失修、本体、管道接口、阀门密封不严、材质不当、受到腐蚀或破坏等泄漏、误操作和明火</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高热引起火灾爆炸事故的可能性，进而污染大气环境、导致人员中毒。</w:t>
      </w:r>
    </w:p>
    <w:p w14:paraId="0116E615">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eastAsia" w:ascii="Times New Roman" w:hAnsi="Times New Roman" w:eastAsia="宋体" w:cs="Times New Roman"/>
          <w:b/>
          <w:bCs/>
          <w:color w:val="auto"/>
          <w:kern w:val="0"/>
          <w:sz w:val="24"/>
          <w:szCs w:val="24"/>
          <w:highlight w:val="none"/>
          <w:lang w:val="en-US" w:eastAsia="zh-CN" w:bidi="ar"/>
        </w:rPr>
        <w:t>3</w:t>
      </w:r>
      <w:r>
        <w:rPr>
          <w:rFonts w:hint="default" w:ascii="Times New Roman" w:hAnsi="Times New Roman" w:eastAsia="宋体" w:cs="Times New Roman"/>
          <w:b/>
          <w:bCs/>
          <w:color w:val="auto"/>
          <w:kern w:val="0"/>
          <w:sz w:val="24"/>
          <w:szCs w:val="24"/>
          <w:highlight w:val="none"/>
          <w:lang w:val="en-US" w:eastAsia="zh-CN" w:bidi="ar"/>
        </w:rPr>
        <w:t>）柴油储罐泄漏、火灾、爆炸</w:t>
      </w:r>
    </w:p>
    <w:p w14:paraId="319F315C">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柴油储罐中存在着由于静电积聚、设备失修、本体、管道接口、阀门密封不严、材质不当、受到腐蚀或破坏等泄漏、误操作和明火引起火灾爆炸事故的可能性，储罐破损或储罐</w:t>
      </w:r>
      <w:r>
        <w:rPr>
          <w:rFonts w:hint="eastAsia" w:ascii="Times New Roman" w:hAnsi="Times New Roman" w:eastAsia="宋体" w:cs="Times New Roman"/>
          <w:color w:val="auto"/>
          <w:kern w:val="0"/>
          <w:sz w:val="24"/>
          <w:szCs w:val="24"/>
          <w:highlight w:val="none"/>
          <w:lang w:val="en-US" w:eastAsia="zh-CN" w:bidi="ar"/>
        </w:rPr>
        <w:t>围堰</w:t>
      </w:r>
      <w:r>
        <w:rPr>
          <w:rFonts w:hint="default" w:ascii="Times New Roman" w:hAnsi="Times New Roman" w:eastAsia="宋体" w:cs="Times New Roman"/>
          <w:color w:val="auto"/>
          <w:kern w:val="0"/>
          <w:sz w:val="24"/>
          <w:szCs w:val="24"/>
          <w:highlight w:val="none"/>
          <w:lang w:val="en-US" w:eastAsia="zh-CN" w:bidi="ar"/>
        </w:rPr>
        <w:t>防渗层破裂导致柴油泄漏，泄漏的柴油、消防废水污染土壤和地下水，火灾释放的CO等污染物污染大气环境、导致人员中毒。</w:t>
      </w:r>
    </w:p>
    <w:p w14:paraId="26C4FDFF">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b/>
          <w:bCs/>
          <w:color w:val="auto"/>
          <w:kern w:val="0"/>
          <w:sz w:val="24"/>
          <w:szCs w:val="24"/>
          <w:highlight w:val="none"/>
          <w:lang w:val="en-US" w:eastAsia="zh-CN" w:bidi="ar"/>
        </w:rPr>
      </w:pPr>
      <w:r>
        <w:rPr>
          <w:rFonts w:hint="eastAsia" w:ascii="Times New Roman" w:hAnsi="Times New Roman" w:eastAsia="宋体" w:cs="Times New Roman"/>
          <w:b/>
          <w:bCs/>
          <w:color w:val="auto"/>
          <w:kern w:val="0"/>
          <w:sz w:val="24"/>
          <w:szCs w:val="24"/>
          <w:highlight w:val="none"/>
          <w:lang w:val="en-US" w:eastAsia="zh-CN" w:bidi="ar"/>
        </w:rPr>
        <w:t>4</w:t>
      </w:r>
      <w:r>
        <w:rPr>
          <w:rFonts w:hint="default" w:ascii="Times New Roman" w:hAnsi="Times New Roman" w:eastAsia="宋体" w:cs="Times New Roman"/>
          <w:b/>
          <w:bCs/>
          <w:color w:val="auto"/>
          <w:kern w:val="0"/>
          <w:sz w:val="24"/>
          <w:szCs w:val="24"/>
          <w:highlight w:val="none"/>
          <w:lang w:val="en-US" w:eastAsia="zh-CN" w:bidi="ar"/>
        </w:rPr>
        <w:t>）焦油储罐泄漏、火灾、爆炸</w:t>
      </w:r>
    </w:p>
    <w:p w14:paraId="4920FFF0">
      <w:pPr>
        <w:pStyle w:val="34"/>
        <w:keepNext w:val="0"/>
        <w:keepLines w:val="0"/>
        <w:pageBreakBefore w:val="0"/>
        <w:widowControl w:val="0"/>
        <w:kinsoku/>
        <w:wordWrap/>
        <w:overflowPunct/>
        <w:topLinePunct w:val="0"/>
        <w:autoSpaceDE/>
        <w:autoSpaceDN/>
        <w:bidi w:val="0"/>
        <w:adjustRightInd/>
        <w:snapToGrid w:val="0"/>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焦油储罐中存在着由于静电积聚、设备失修、本体、管道接口、阀门密封不严、材质不当、受到腐蚀或破坏等泄漏、误操作和明火引起火灾爆炸事故的可能性，储罐破损或储罐</w:t>
      </w:r>
      <w:r>
        <w:rPr>
          <w:rFonts w:hint="eastAsia" w:ascii="Times New Roman" w:hAnsi="Times New Roman" w:eastAsia="宋体" w:cs="Times New Roman"/>
          <w:color w:val="auto"/>
          <w:kern w:val="0"/>
          <w:sz w:val="24"/>
          <w:szCs w:val="24"/>
          <w:highlight w:val="none"/>
          <w:lang w:val="en-US" w:eastAsia="zh-CN" w:bidi="ar"/>
        </w:rPr>
        <w:t>围堰</w:t>
      </w:r>
      <w:r>
        <w:rPr>
          <w:rFonts w:hint="default" w:ascii="Times New Roman" w:hAnsi="Times New Roman" w:eastAsia="宋体" w:cs="Times New Roman"/>
          <w:color w:val="auto"/>
          <w:kern w:val="0"/>
          <w:sz w:val="24"/>
          <w:szCs w:val="24"/>
          <w:highlight w:val="none"/>
          <w:lang w:val="en-US" w:eastAsia="zh-CN" w:bidi="ar"/>
        </w:rPr>
        <w:t>防渗层破裂导致焦油泄漏，泄漏的焦油、消防废水污染土壤和地下水，火灾释放的 CO 等污染物污染大气环境、导致人员中毒。</w:t>
      </w:r>
    </w:p>
    <w:p w14:paraId="6BFAECA8">
      <w:pPr>
        <w:pStyle w:val="130"/>
        <w:keepNext w:val="0"/>
        <w:keepLines w:val="0"/>
        <w:pageBreakBefore w:val="0"/>
        <w:widowControl/>
        <w:kinsoku/>
        <w:wordWrap/>
        <w:overflowPunct/>
        <w:topLinePunct w:val="0"/>
        <w:autoSpaceDE/>
        <w:autoSpaceDN/>
        <w:bidi w:val="0"/>
        <w:adjustRightInd/>
        <w:snapToGrid w:val="0"/>
        <w:spacing w:line="360" w:lineRule="auto"/>
        <w:ind w:left="478" w:leftChars="228" w:firstLine="0" w:firstLineChars="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c.危废暂存间</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贮存的矿物油、柴油，若发生泄漏后遇明火、高热引起燃烧爆炸；</w:t>
      </w:r>
      <w:r>
        <w:rPr>
          <w:rFonts w:hint="eastAsia" w:ascii="Times New Roman" w:hAnsi="Times New Roman" w:eastAsia="宋体" w:cs="Times New Roman"/>
          <w:color w:val="auto"/>
          <w:kern w:val="0"/>
          <w:sz w:val="24"/>
          <w:szCs w:val="24"/>
          <w:highlight w:val="none"/>
          <w:lang w:val="en-US" w:eastAsia="zh-CN" w:bidi="ar"/>
        </w:rPr>
        <w:t>5）其他火灾爆炸</w:t>
      </w:r>
    </w:p>
    <w:p w14:paraId="131FA353">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a.</w:t>
      </w:r>
      <w:r>
        <w:rPr>
          <w:rFonts w:hint="default" w:ascii="Times New Roman" w:hAnsi="Times New Roman" w:eastAsia="宋体" w:cs="Times New Roman"/>
          <w:color w:val="auto"/>
          <w:kern w:val="0"/>
          <w:sz w:val="24"/>
          <w:szCs w:val="24"/>
          <w:highlight w:val="none"/>
          <w:lang w:val="en-US" w:eastAsia="zh-CN" w:bidi="ar"/>
        </w:rPr>
        <w:t>废气处理装置中，包括集气管、除尘器等未定期清理粉尘，将可能发生火灾、爆炸。火灾事故的影响主要表现热辐射及燃烧废气对周围环境的影响，如果热辐射非常高可能引起其它易燃或助燃物质起火。此外，热辐射也会使有机体燃烧，同时发生爆炸事故时，容易衍生出消防废水等泄漏进入土壤或地表水，进而污染周边环境。</w:t>
      </w:r>
    </w:p>
    <w:p w14:paraId="6C145CD5">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b</w:t>
      </w:r>
      <w:r>
        <w:rPr>
          <w:rFonts w:hint="default" w:ascii="Times New Roman" w:hAnsi="Times New Roman" w:eastAsia="宋体" w:cs="Times New Roman"/>
          <w:color w:val="auto"/>
          <w:kern w:val="0"/>
          <w:sz w:val="24"/>
          <w:szCs w:val="24"/>
          <w:highlight w:val="none"/>
          <w:lang w:val="en-US" w:eastAsia="zh-CN" w:bidi="ar"/>
        </w:rPr>
        <w:t>.设计缺陷、管理不善、工人违规操作、电器设备老化等引发火灾、爆炸事故。</w:t>
      </w:r>
    </w:p>
    <w:p w14:paraId="45410B2A">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②伴生/次生污染物排放情形</w:t>
      </w:r>
    </w:p>
    <w:p w14:paraId="14784BA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火灾、爆炸等事故发生后，引发的伴生/次生污染物排放情形主要有以下几种：</w:t>
      </w:r>
    </w:p>
    <w:p w14:paraId="49AD335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a.</w:t>
      </w:r>
      <w:r>
        <w:rPr>
          <w:rFonts w:hint="default" w:ascii="Times New Roman" w:hAnsi="Times New Roman" w:eastAsia="宋体" w:cs="Times New Roman"/>
          <w:color w:val="auto"/>
          <w:kern w:val="0"/>
          <w:sz w:val="24"/>
          <w:szCs w:val="24"/>
          <w:highlight w:val="none"/>
          <w:lang w:val="en-US" w:eastAsia="zh-CN" w:bidi="ar"/>
        </w:rPr>
        <w:t>火灾、爆炸事故发生后，因火灾引发的伴生/次生污染物一氧化碳等将对厂区及周边大气环境产生影响。</w:t>
      </w:r>
    </w:p>
    <w:p w14:paraId="1B2EE01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b.事故应急救援中产生的消防喷淋水将伴有一定的物料，若沿雨水管网外排，将对受纳水体产生严重污染。</w:t>
      </w:r>
    </w:p>
    <w:p w14:paraId="5915A0BE">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c.抢险、救援过程中可能使用拦截、堵漏材料，掺杂一定的物料，若使用后随意丢弃、排放，将对环境产生二次污染。</w:t>
      </w:r>
    </w:p>
    <w:p w14:paraId="6FE03BB4">
      <w:pPr>
        <w:pStyle w:val="5"/>
        <w:rPr>
          <w:rFonts w:hint="default" w:ascii="Times New Roman" w:hAnsi="Times New Roman" w:cs="Times New Roman"/>
          <w:b/>
          <w:bCs/>
          <w:color w:val="auto"/>
          <w:kern w:val="2"/>
          <w:sz w:val="24"/>
          <w:szCs w:val="28"/>
          <w:highlight w:val="none"/>
          <w:lang w:val="en-US" w:eastAsia="zh-CN" w:bidi="ar-SA"/>
        </w:rPr>
      </w:pPr>
      <w:r>
        <w:rPr>
          <w:rFonts w:hint="default" w:ascii="Times New Roman" w:hAnsi="Times New Roman" w:cs="Times New Roman"/>
          <w:b/>
          <w:bCs/>
          <w:color w:val="auto"/>
          <w:kern w:val="2"/>
          <w:sz w:val="24"/>
          <w:szCs w:val="28"/>
          <w:highlight w:val="none"/>
          <w:lang w:val="en-US" w:eastAsia="zh-CN" w:bidi="ar-SA"/>
        </w:rPr>
        <w:t>危险物质</w:t>
      </w:r>
      <w:r>
        <w:rPr>
          <w:rFonts w:hint="eastAsia" w:ascii="Times New Roman" w:hAnsi="Times New Roman" w:cs="Times New Roman"/>
          <w:b/>
          <w:bCs/>
          <w:color w:val="auto"/>
          <w:kern w:val="2"/>
          <w:sz w:val="24"/>
          <w:szCs w:val="28"/>
          <w:highlight w:val="none"/>
          <w:lang w:val="en-US" w:eastAsia="zh-CN" w:bidi="ar-SA"/>
        </w:rPr>
        <w:t>向环境转移的</w:t>
      </w:r>
      <w:r>
        <w:rPr>
          <w:rFonts w:hint="default" w:ascii="Times New Roman" w:hAnsi="Times New Roman" w:cs="Times New Roman"/>
          <w:b/>
          <w:bCs/>
          <w:color w:val="auto"/>
          <w:kern w:val="2"/>
          <w:sz w:val="24"/>
          <w:szCs w:val="28"/>
          <w:highlight w:val="none"/>
          <w:lang w:val="en-US" w:eastAsia="zh-CN" w:bidi="ar-SA"/>
        </w:rPr>
        <w:t>可能途径和影响方式</w:t>
      </w:r>
    </w:p>
    <w:p w14:paraId="6E989B9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由于泄漏、火灾、爆炸等事故，有毒有害物料会以气态或液态形式释放至环境中，造成环境影响。本项目发生环境风险主要对水体、空气、土壤</w:t>
      </w:r>
      <w:r>
        <w:rPr>
          <w:rFonts w:hint="eastAsia" w:ascii="Times New Roman" w:hAnsi="Times New Roman" w:eastAsia="宋体" w:cs="Times New Roman"/>
          <w:color w:val="auto"/>
          <w:kern w:val="0"/>
          <w:sz w:val="24"/>
          <w:szCs w:val="24"/>
          <w:highlight w:val="none"/>
          <w:lang w:val="en-US" w:eastAsia="zh-CN" w:bidi="ar"/>
        </w:rPr>
        <w:t>、地下水</w:t>
      </w:r>
      <w:r>
        <w:rPr>
          <w:rFonts w:hint="default" w:ascii="Times New Roman" w:hAnsi="Times New Roman" w:eastAsia="宋体" w:cs="Times New Roman"/>
          <w:color w:val="auto"/>
          <w:kern w:val="0"/>
          <w:sz w:val="24"/>
          <w:szCs w:val="24"/>
          <w:highlight w:val="none"/>
          <w:lang w:val="en-US" w:eastAsia="zh-CN" w:bidi="ar"/>
        </w:rPr>
        <w:t>等环境要素产生影响，具体环境风险途径识别如下：</w:t>
      </w:r>
    </w:p>
    <w:p w14:paraId="3768852B">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（1）大气中的扩散</w:t>
      </w:r>
    </w:p>
    <w:p w14:paraId="5CF2B50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有毒有害物质进入环境空气的方式主要有三种情况，一是生产过程中产生的</w:t>
      </w:r>
      <w:r>
        <w:rPr>
          <w:rFonts w:hint="eastAsia" w:ascii="Times New Roman" w:hAnsi="Times New Roman" w:eastAsia="宋体" w:cs="Times New Roman"/>
          <w:color w:val="auto"/>
          <w:kern w:val="0"/>
          <w:sz w:val="24"/>
          <w:szCs w:val="24"/>
          <w:highlight w:val="none"/>
          <w:lang w:val="en-US" w:eastAsia="zh-CN" w:bidi="ar"/>
        </w:rPr>
        <w:t>毒性</w:t>
      </w:r>
      <w:r>
        <w:rPr>
          <w:rFonts w:hint="default" w:ascii="Times New Roman" w:hAnsi="Times New Roman" w:eastAsia="宋体" w:cs="Times New Roman"/>
          <w:color w:val="auto"/>
          <w:kern w:val="0"/>
          <w:sz w:val="24"/>
          <w:szCs w:val="24"/>
          <w:highlight w:val="none"/>
          <w:lang w:val="en-US" w:eastAsia="zh-CN" w:bidi="ar"/>
        </w:rPr>
        <w:t>废气等未经有效处理直接排入空气，对周边环境空气造成污染；二是火灾爆炸时未完全燃烧的有毒有害化学物质、浓烟、恶臭等影响周边厂区安全；三是液体泄漏事故中液体的挥发。易引发人员中毒等事故。</w:t>
      </w:r>
    </w:p>
    <w:p w14:paraId="082B19D4">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default" w:ascii="Times New Roman" w:hAnsi="Times New Roman" w:eastAsia="宋体" w:cs="Times New Roman"/>
          <w:b/>
          <w:bCs/>
          <w:color w:val="auto"/>
          <w:kern w:val="0"/>
          <w:sz w:val="24"/>
          <w:szCs w:val="24"/>
          <w:highlight w:val="none"/>
          <w:lang w:val="en-US" w:eastAsia="zh-CN" w:bidi="ar"/>
        </w:rPr>
        <w:t>（2）水体中的弥散</w:t>
      </w:r>
    </w:p>
    <w:p w14:paraId="191C8CDD">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有毒有害物质进入水环境的方式主要有以下2种情况：一是液体泄漏直接进入水体的情况；二是火灾爆炸时含有毒有害物料的消防水由于处理措施不当直接排入地表水系统，引起环境污染。进入水环境的有毒有害物质通过复杂的物理化学过程被稀释、扩散和降解，包括水中颗粒物及底部沉积物对它的吸附作用，以及有毒有害物质在水/气界面上的挥发作用，生物化学的转化等过程。</w:t>
      </w:r>
    </w:p>
    <w:p w14:paraId="44389EA8">
      <w:pPr>
        <w:keepNext w:val="0"/>
        <w:keepLines w:val="0"/>
        <w:widowControl/>
        <w:suppressLineNumbers w:val="0"/>
        <w:ind w:firstLine="480" w:firstLineChars="200"/>
        <w:jc w:val="left"/>
        <w:rPr>
          <w:rFonts w:hint="default" w:ascii="Times New Roman" w:hAnsi="Times New Roman" w:eastAsia="宋体" w:cs="Times New Roman"/>
          <w:b/>
          <w:bCs/>
          <w:color w:val="auto"/>
          <w:kern w:val="0"/>
          <w:sz w:val="24"/>
          <w:szCs w:val="24"/>
          <w:highlight w:val="none"/>
          <w:lang w:val="en-US" w:eastAsia="zh-CN" w:bidi="ar"/>
        </w:rPr>
      </w:pPr>
      <w:r>
        <w:rPr>
          <w:rFonts w:hint="eastAsia" w:ascii="Times New Roman" w:hAnsi="Times New Roman" w:eastAsia="宋体" w:cs="Times New Roman"/>
          <w:b/>
          <w:bCs/>
          <w:color w:val="auto"/>
          <w:kern w:val="0"/>
          <w:sz w:val="24"/>
          <w:szCs w:val="24"/>
          <w:highlight w:val="none"/>
          <w:lang w:val="en-US" w:eastAsia="zh-CN" w:bidi="ar"/>
        </w:rPr>
        <w:t>（3）</w:t>
      </w:r>
      <w:r>
        <w:rPr>
          <w:rFonts w:hint="default" w:ascii="Times New Roman" w:hAnsi="Times New Roman" w:eastAsia="宋体" w:cs="Times New Roman"/>
          <w:b/>
          <w:bCs/>
          <w:color w:val="auto"/>
          <w:kern w:val="0"/>
          <w:sz w:val="24"/>
          <w:szCs w:val="24"/>
          <w:highlight w:val="none"/>
          <w:lang w:val="en-US" w:eastAsia="zh-CN" w:bidi="ar"/>
        </w:rPr>
        <w:t>土壤/地下水中的渗透</w:t>
      </w:r>
    </w:p>
    <w:p w14:paraId="62AF08B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有毒有害物质</w:t>
      </w:r>
      <w:r>
        <w:rPr>
          <w:rFonts w:hint="default" w:ascii="Times New Roman" w:hAnsi="Times New Roman" w:eastAsia="宋体" w:cs="Times New Roman"/>
          <w:color w:val="auto"/>
          <w:kern w:val="0"/>
          <w:sz w:val="24"/>
          <w:szCs w:val="24"/>
          <w:highlight w:val="none"/>
          <w:lang w:val="en-US" w:eastAsia="zh-CN" w:bidi="ar"/>
        </w:rPr>
        <w:t>物质储存不当或泄漏未及时处理，聚积地面，通过地面渗透进入土壤或地下含水层，对土壤环境/地下水环境造成风险事故。</w:t>
      </w:r>
    </w:p>
    <w:p w14:paraId="1C15D66B">
      <w:pPr>
        <w:pStyle w:val="4"/>
        <w:keepNext/>
        <w:keepLines/>
        <w:pageBreakBefore w:val="0"/>
        <w:widowControl w:val="0"/>
        <w:kinsoku/>
        <w:wordWrap/>
        <w:overflowPunct/>
        <w:topLinePunct w:val="0"/>
        <w:autoSpaceDE/>
        <w:autoSpaceDN/>
        <w:bidi w:val="0"/>
        <w:adjustRightInd/>
        <w:snapToGrid w:val="0"/>
        <w:spacing w:before="157" w:beforeLines="50" w:after="0"/>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风险识别结果</w:t>
      </w:r>
    </w:p>
    <w:p w14:paraId="799F3F65">
      <w:pPr>
        <w:pStyle w:val="3"/>
        <w:spacing w:before="0" w:after="0"/>
        <w:rPr>
          <w:rFonts w:hint="default" w:ascii="Times New Roman" w:hAnsi="Times New Roman" w:eastAsia="宋体" w:cs="Times New Roman"/>
          <w:bCs/>
          <w:color w:val="auto"/>
          <w:szCs w:val="28"/>
          <w:highlight w:val="none"/>
        </w:rPr>
      </w:pPr>
      <w:bookmarkStart w:id="170" w:name="_Toc15149"/>
      <w:bookmarkStart w:id="171" w:name="_Toc122792272"/>
      <w:r>
        <w:rPr>
          <w:rFonts w:hint="default" w:ascii="Times New Roman" w:hAnsi="Times New Roman" w:eastAsia="宋体" w:cs="Times New Roman"/>
          <w:bCs/>
          <w:color w:val="auto"/>
          <w:szCs w:val="28"/>
          <w:highlight w:val="none"/>
        </w:rPr>
        <w:t>风险事故情形分析</w:t>
      </w:r>
      <w:bookmarkEnd w:id="170"/>
      <w:bookmarkEnd w:id="171"/>
    </w:p>
    <w:p w14:paraId="52D4B3C0">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源项分析</w:t>
      </w:r>
    </w:p>
    <w:p w14:paraId="7ACB985E">
      <w:pPr>
        <w:pStyle w:val="3"/>
        <w:spacing w:before="0" w:after="0"/>
        <w:rPr>
          <w:rFonts w:hint="default" w:ascii="Times New Roman" w:hAnsi="Times New Roman" w:eastAsia="宋体" w:cs="Times New Roman"/>
          <w:bCs/>
          <w:color w:val="auto"/>
          <w:szCs w:val="28"/>
          <w:highlight w:val="none"/>
        </w:rPr>
      </w:pPr>
      <w:bookmarkStart w:id="172" w:name="_Toc122792273"/>
      <w:bookmarkStart w:id="173" w:name="_Toc15860"/>
      <w:r>
        <w:rPr>
          <w:rFonts w:hint="default" w:ascii="Times New Roman" w:hAnsi="Times New Roman" w:eastAsia="宋体" w:cs="Times New Roman"/>
          <w:bCs/>
          <w:color w:val="auto"/>
          <w:szCs w:val="28"/>
          <w:highlight w:val="none"/>
        </w:rPr>
        <w:t>风险预测与评价</w:t>
      </w:r>
      <w:bookmarkEnd w:id="172"/>
      <w:bookmarkEnd w:id="173"/>
    </w:p>
    <w:p w14:paraId="4092D196">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大气环境风险预测与评价</w:t>
      </w:r>
    </w:p>
    <w:p w14:paraId="60E435CF">
      <w:pPr>
        <w:pStyle w:val="14"/>
        <w:rPr>
          <w:rFonts w:hint="default" w:ascii="Times New Roman" w:hAnsi="Times New Roman" w:cs="Times New Roman"/>
          <w:color w:val="auto"/>
          <w:spacing w:val="6"/>
          <w:highlight w:val="none"/>
        </w:rPr>
      </w:pPr>
      <w:r>
        <w:rPr>
          <w:rFonts w:hint="default" w:ascii="Times New Roman" w:hAnsi="Times New Roman" w:cs="Times New Roman"/>
          <w:color w:val="auto"/>
          <w:spacing w:val="6"/>
          <w:highlight w:val="none"/>
        </w:rPr>
        <w:t>①热解炉爆炸事故</w:t>
      </w:r>
    </w:p>
    <w:p w14:paraId="2DF1371E">
      <w:pPr>
        <w:pStyle w:val="14"/>
        <w:rPr>
          <w:rFonts w:hint="default" w:ascii="Times New Roman" w:hAnsi="Times New Roman" w:cs="Times New Roman"/>
          <w:color w:val="auto"/>
          <w:spacing w:val="6"/>
          <w:highlight w:val="none"/>
        </w:rPr>
      </w:pPr>
      <w:r>
        <w:rPr>
          <w:rFonts w:hint="default" w:ascii="Times New Roman" w:hAnsi="Times New Roman" w:cs="Times New Roman"/>
          <w:color w:val="auto"/>
          <w:spacing w:val="6"/>
          <w:highlight w:val="none"/>
        </w:rPr>
        <w:t>热解炉炉膛内温度高达850-</w:t>
      </w:r>
      <w:r>
        <w:rPr>
          <w:rFonts w:hint="default" w:ascii="Times New Roman" w:hAnsi="Times New Roman" w:cs="Times New Roman"/>
          <w:color w:val="auto"/>
          <w:spacing w:val="6"/>
          <w:highlight w:val="none"/>
          <w:lang w:val="en-US" w:eastAsia="zh-CN"/>
        </w:rPr>
        <w:t>95</w:t>
      </w:r>
      <w:r>
        <w:rPr>
          <w:rFonts w:hint="default" w:ascii="Times New Roman" w:hAnsi="Times New Roman" w:cs="Times New Roman"/>
          <w:color w:val="auto"/>
          <w:spacing w:val="6"/>
          <w:highlight w:val="none"/>
        </w:rPr>
        <w:t>0℃，若生活垃圾中混入了易爆废物，或者炉膛内CO浓度过高、系统排气不畅致使炉膛内压力过大存在爆炸风险。本项目热解只接受生活垃圾，不可混入易燃易爆的危险物质；裂解气化焚烧炉内正常情况下CO的浓度在80mg/m</w:t>
      </w:r>
      <w:r>
        <w:rPr>
          <w:rFonts w:hint="default" w:ascii="Times New Roman" w:hAnsi="Times New Roman" w:cs="Times New Roman"/>
          <w:color w:val="auto"/>
          <w:spacing w:val="6"/>
          <w:highlight w:val="none"/>
          <w:vertAlign w:val="superscript"/>
        </w:rPr>
        <w:t>3</w:t>
      </w:r>
      <w:r>
        <w:rPr>
          <w:rFonts w:hint="default" w:ascii="Times New Roman" w:hAnsi="Times New Roman" w:cs="Times New Roman"/>
          <w:color w:val="auto"/>
          <w:spacing w:val="6"/>
          <w:highlight w:val="none"/>
        </w:rPr>
        <w:t>以下，体积比为6.74×10</w:t>
      </w:r>
      <w:r>
        <w:rPr>
          <w:rFonts w:hint="default" w:ascii="Times New Roman" w:hAnsi="Times New Roman" w:cs="Times New Roman"/>
          <w:color w:val="auto"/>
          <w:spacing w:val="6"/>
          <w:highlight w:val="none"/>
          <w:vertAlign w:val="superscript"/>
        </w:rPr>
        <w:t>-5</w:t>
      </w:r>
      <w:r>
        <w:rPr>
          <w:rFonts w:hint="default" w:ascii="Times New Roman" w:hAnsi="Times New Roman" w:cs="Times New Roman"/>
          <w:color w:val="auto"/>
          <w:spacing w:val="6"/>
          <w:highlight w:val="none"/>
        </w:rPr>
        <w:t>，远远低于CO的爆炸极限(v%)12.5-74.2。由于CO量过大而造成爆炸事故的概率非常小，未有相关报道；本项目设置有运行工况在线监控系统，可以实时掌握系统运行工况，一旦出现异常，紧急排查，必要时停炉处理，炉膛爆炸的可能性小。火灾、爆炸事故发生后，会产生大量的烟尘、SO</w:t>
      </w:r>
      <w:r>
        <w:rPr>
          <w:rFonts w:hint="default" w:ascii="Times New Roman" w:hAnsi="Times New Roman" w:cs="Times New Roman"/>
          <w:color w:val="auto"/>
          <w:spacing w:val="6"/>
          <w:highlight w:val="none"/>
          <w:vertAlign w:val="subscript"/>
        </w:rPr>
        <w:t>2</w:t>
      </w:r>
      <w:r>
        <w:rPr>
          <w:rFonts w:hint="default" w:ascii="Times New Roman" w:hAnsi="Times New Roman" w:cs="Times New Roman"/>
          <w:color w:val="auto"/>
          <w:spacing w:val="6"/>
          <w:highlight w:val="none"/>
        </w:rPr>
        <w:t>、NOx，并伴随高温，本项目大气特征污染物二噁英类、重金属、氯化氢、CO、H</w:t>
      </w:r>
      <w:r>
        <w:rPr>
          <w:rFonts w:hint="default" w:ascii="Times New Roman" w:hAnsi="Times New Roman" w:cs="Times New Roman"/>
          <w:color w:val="auto"/>
          <w:spacing w:val="6"/>
          <w:highlight w:val="none"/>
          <w:vertAlign w:val="subscript"/>
        </w:rPr>
        <w:t>2</w:t>
      </w:r>
      <w:r>
        <w:rPr>
          <w:rFonts w:hint="default" w:ascii="Times New Roman" w:hAnsi="Times New Roman" w:cs="Times New Roman"/>
          <w:color w:val="auto"/>
          <w:spacing w:val="6"/>
          <w:highlight w:val="none"/>
        </w:rPr>
        <w:t>S等也会大量增加，应制定相应的应急预案，并对爆炸后的环境空气质量进行监测。</w:t>
      </w:r>
    </w:p>
    <w:p w14:paraId="19DC497A">
      <w:pPr>
        <w:pStyle w:val="14"/>
        <w:rPr>
          <w:rFonts w:hint="default" w:ascii="Times New Roman" w:hAnsi="Times New Roman" w:cs="Times New Roman"/>
          <w:color w:val="auto"/>
          <w:spacing w:val="6"/>
          <w:highlight w:val="none"/>
        </w:rPr>
      </w:pPr>
      <w:r>
        <w:rPr>
          <w:rFonts w:hint="default" w:ascii="Times New Roman" w:hAnsi="Times New Roman" w:cs="Times New Roman"/>
          <w:color w:val="auto"/>
          <w:spacing w:val="6"/>
          <w:highlight w:val="none"/>
        </w:rPr>
        <w:t>②柴油罐爆炸事故</w:t>
      </w:r>
    </w:p>
    <w:p w14:paraId="32FB7D0D">
      <w:pPr>
        <w:pStyle w:val="14"/>
        <w:rPr>
          <w:rFonts w:hint="default" w:ascii="Times New Roman" w:hAnsi="Times New Roman" w:cs="Times New Roman"/>
          <w:color w:val="auto"/>
          <w:spacing w:val="6"/>
          <w:highlight w:val="none"/>
        </w:rPr>
      </w:pPr>
      <w:r>
        <w:rPr>
          <w:rFonts w:hint="default" w:ascii="Times New Roman" w:hAnsi="Times New Roman" w:cs="Times New Roman"/>
          <w:color w:val="auto"/>
          <w:spacing w:val="6"/>
          <w:highlight w:val="none"/>
        </w:rPr>
        <w:t>若柴油罐泄露并遇明火燃烧有可能进一步引发爆炸。本项目应拍专人定期检查柴油罐，一旦出现异常，紧急排查，爆炸的可能性小。火灾、爆炸事故发生后，会产生大量的烟尘、CO、CO</w:t>
      </w:r>
      <w:r>
        <w:rPr>
          <w:rFonts w:hint="default" w:ascii="Times New Roman" w:hAnsi="Times New Roman" w:cs="Times New Roman"/>
          <w:color w:val="auto"/>
          <w:spacing w:val="6"/>
          <w:highlight w:val="none"/>
          <w:vertAlign w:val="subscript"/>
        </w:rPr>
        <w:t>2</w:t>
      </w:r>
      <w:r>
        <w:rPr>
          <w:rFonts w:hint="default" w:ascii="Times New Roman" w:hAnsi="Times New Roman" w:cs="Times New Roman"/>
          <w:color w:val="auto"/>
          <w:spacing w:val="6"/>
          <w:highlight w:val="none"/>
        </w:rPr>
        <w:t>等，并伴随高温，应制定相应的应急预案，并对爆炸后的环境空气质量进行监测。</w:t>
      </w:r>
    </w:p>
    <w:p w14:paraId="74F92A3F">
      <w:pPr>
        <w:pStyle w:val="14"/>
        <w:rPr>
          <w:rFonts w:cs="Times New Roman"/>
          <w:color w:val="auto"/>
          <w:spacing w:val="6"/>
          <w:highlight w:val="none"/>
        </w:rPr>
      </w:pPr>
      <w:r>
        <w:rPr>
          <w:rFonts w:hint="eastAsia" w:cs="Times New Roman"/>
          <w:color w:val="auto"/>
          <w:spacing w:val="6"/>
          <w:highlight w:val="none"/>
        </w:rPr>
        <w:t>③</w:t>
      </w:r>
      <w:r>
        <w:rPr>
          <w:rFonts w:cs="Times New Roman"/>
          <w:color w:val="auto"/>
          <w:spacing w:val="6"/>
          <w:highlight w:val="none"/>
        </w:rPr>
        <w:t>恶臭气体泄漏</w:t>
      </w:r>
    </w:p>
    <w:p w14:paraId="15D69A84">
      <w:pPr>
        <w:pStyle w:val="14"/>
        <w:rPr>
          <w:rFonts w:cs="Times New Roman"/>
          <w:color w:val="auto"/>
          <w:spacing w:val="6"/>
          <w:highlight w:val="none"/>
        </w:rPr>
      </w:pPr>
      <w:r>
        <w:rPr>
          <w:rFonts w:cs="Times New Roman"/>
          <w:color w:val="auto"/>
          <w:spacing w:val="6"/>
          <w:highlight w:val="none"/>
        </w:rPr>
        <w:t>恶臭气体的产生源主要为垃圾暂存仓、渗滤液暂存池。正常工况时，垃圾暂存仓、渗滤液暂存池处于微负压，恶臭气体大部分抽至热解系统，外溢量很少。热解系统因事故停炉后，风机最后关闭，保证垃圾暂存仓、渗滤液暂存池在停炉后还有一段时间处于微负压状态。因垃圾暂存仓、渗滤液暂存池均为全密闭，即便处于常压状态，外溢量也较小。垃圾库顶部设有自流式排气扇，紧急状态下可通过排气扇排气。</w:t>
      </w:r>
    </w:p>
    <w:p w14:paraId="724324A5">
      <w:pPr>
        <w:pStyle w:val="14"/>
        <w:rPr>
          <w:rFonts w:cs="Times New Roman"/>
          <w:color w:val="auto"/>
          <w:spacing w:val="6"/>
          <w:highlight w:val="none"/>
        </w:rPr>
      </w:pPr>
      <w:r>
        <w:rPr>
          <w:rFonts w:hint="eastAsia" w:cs="Times New Roman"/>
          <w:color w:val="auto"/>
          <w:spacing w:val="6"/>
          <w:highlight w:val="none"/>
        </w:rPr>
        <w:t>④</w:t>
      </w:r>
      <w:r>
        <w:rPr>
          <w:rFonts w:cs="Times New Roman"/>
          <w:color w:val="auto"/>
          <w:spacing w:val="6"/>
          <w:highlight w:val="none"/>
        </w:rPr>
        <w:t>设备检修期间生活垃圾应急处置</w:t>
      </w:r>
    </w:p>
    <w:p w14:paraId="14E1C35B">
      <w:pPr>
        <w:pStyle w:val="14"/>
        <w:rPr>
          <w:rFonts w:cs="Times New Roman"/>
          <w:color w:val="auto"/>
          <w:spacing w:val="6"/>
          <w:highlight w:val="none"/>
        </w:rPr>
      </w:pPr>
      <w:r>
        <w:rPr>
          <w:rFonts w:cs="Times New Roman"/>
          <w:color w:val="auto"/>
          <w:spacing w:val="6"/>
          <w:highlight w:val="none"/>
        </w:rPr>
        <w:t>密闭垃圾车进入厂区后，通过地磅称重打单，进入卸料区，并将垃圾倒入垃圾暂存仓。</w:t>
      </w:r>
    </w:p>
    <w:p w14:paraId="3D5ED844">
      <w:pPr>
        <w:pStyle w:val="14"/>
        <w:rPr>
          <w:rFonts w:hint="eastAsia" w:ascii="Times New Roman" w:hAnsi="Times New Roman" w:cs="Times New Roman" w:eastAsiaTheme="minorEastAsia"/>
          <w:b/>
          <w:bCs/>
          <w:color w:val="auto"/>
          <w:sz w:val="24"/>
          <w:szCs w:val="24"/>
          <w:highlight w:val="none"/>
          <w:lang w:val="en-US" w:eastAsia="zh-CN"/>
        </w:rPr>
      </w:pPr>
      <w:r>
        <w:rPr>
          <w:rFonts w:cs="Times New Roman"/>
          <w:color w:val="auto"/>
          <w:spacing w:val="6"/>
          <w:highlight w:val="none"/>
        </w:rPr>
        <w:t>当设备检修期间，生活垃圾采取如下应急处置：</w:t>
      </w:r>
      <w:r>
        <w:rPr>
          <w:rFonts w:hint="eastAsia" w:cs="Times New Roman"/>
          <w:color w:val="auto"/>
          <w:spacing w:val="6"/>
          <w:highlight w:val="none"/>
        </w:rPr>
        <w:t>①</w:t>
      </w:r>
      <w:r>
        <w:rPr>
          <w:rFonts w:cs="Times New Roman"/>
          <w:color w:val="auto"/>
          <w:spacing w:val="6"/>
          <w:highlight w:val="none"/>
        </w:rPr>
        <w:t>“1套</w:t>
      </w:r>
      <w:r>
        <w:rPr>
          <w:rFonts w:hint="default" w:cs="Times New Roman"/>
          <w:color w:val="auto"/>
          <w:spacing w:val="6"/>
          <w:highlight w:val="none"/>
          <w:lang w:val="en-US" w:eastAsia="zh-CN"/>
        </w:rPr>
        <w:t>活性炭吸附+光氧催化</w:t>
      </w:r>
      <w:r>
        <w:rPr>
          <w:rFonts w:cs="Times New Roman"/>
          <w:color w:val="auto"/>
          <w:spacing w:val="6"/>
          <w:highlight w:val="none"/>
        </w:rPr>
        <w:t>+15m排气筒”持续开启，保证恶臭处理后稳定达标排放；</w:t>
      </w:r>
      <w:r>
        <w:rPr>
          <w:rFonts w:hint="eastAsia" w:ascii="宋体" w:hAnsi="宋体" w:cs="宋体"/>
          <w:color w:val="auto"/>
          <w:spacing w:val="6"/>
          <w:highlight w:val="none"/>
        </w:rPr>
        <w:t>②</w:t>
      </w:r>
      <w:r>
        <w:rPr>
          <w:rFonts w:cs="Times New Roman"/>
          <w:color w:val="auto"/>
          <w:spacing w:val="6"/>
          <w:highlight w:val="none"/>
        </w:rPr>
        <w:t>渗滤液增加转运频次，及时密闭运往依托工程处理（垃圾填埋场渗滤液处理</w:t>
      </w:r>
      <w:r>
        <w:rPr>
          <w:rFonts w:hint="eastAsia" w:cs="Times New Roman"/>
          <w:color w:val="auto"/>
          <w:spacing w:val="6"/>
          <w:highlight w:val="none"/>
          <w:lang w:val="en-US" w:eastAsia="zh-CN"/>
        </w:rPr>
        <w:t>站</w:t>
      </w:r>
      <w:r>
        <w:rPr>
          <w:rFonts w:cs="Times New Roman"/>
          <w:color w:val="auto"/>
          <w:spacing w:val="6"/>
          <w:highlight w:val="none"/>
        </w:rPr>
        <w:t>），减少恶臭气体产生，降低渗滤液溢出池体的风险</w:t>
      </w:r>
      <w:r>
        <w:rPr>
          <w:rFonts w:hint="eastAsia" w:cs="Times New Roman"/>
          <w:color w:val="auto"/>
          <w:spacing w:val="6"/>
          <w:highlight w:val="none"/>
          <w:lang w:eastAsia="zh-CN"/>
        </w:rPr>
        <w:t>。</w:t>
      </w:r>
    </w:p>
    <w:p w14:paraId="2800224D">
      <w:pPr>
        <w:pStyle w:val="14"/>
        <w:keepNext w:val="0"/>
        <w:keepLines w:val="0"/>
        <w:pageBreakBefore w:val="0"/>
        <w:kinsoku/>
        <w:wordWrap/>
        <w:overflowPunct/>
        <w:topLinePunct w:val="0"/>
        <w:autoSpaceDE/>
        <w:autoSpaceDN/>
        <w:bidi w:val="0"/>
        <w:adjustRightInd/>
        <w:snapToGrid w:val="0"/>
        <w:textAlignment w:val="auto"/>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3、火灾伴生事故影响分析</w:t>
      </w:r>
    </w:p>
    <w:p w14:paraId="79AAD52F">
      <w:pPr>
        <w:pStyle w:val="14"/>
        <w:keepNext w:val="0"/>
        <w:keepLines w:val="0"/>
        <w:pageBreakBefore w:val="0"/>
        <w:kinsoku/>
        <w:wordWrap/>
        <w:overflowPunct/>
        <w:topLinePunct w:val="0"/>
        <w:autoSpaceDE/>
        <w:autoSpaceDN/>
        <w:bidi w:val="0"/>
        <w:adjustRightInd/>
        <w:snapToGrid w:val="0"/>
        <w:ind w:firstLine="48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w:t>
      </w:r>
      <w:r>
        <w:rPr>
          <w:rFonts w:hint="default" w:ascii="Times New Roman" w:hAnsi="Times New Roman" w:cs="Times New Roman"/>
          <w:color w:val="auto"/>
          <w:highlight w:val="none"/>
          <w:lang w:val="en-US" w:eastAsia="zh-CN"/>
        </w:rPr>
        <w:t>泄漏物质为</w:t>
      </w:r>
      <w:r>
        <w:rPr>
          <w:rFonts w:hint="eastAsia" w:cs="Times New Roman"/>
          <w:color w:val="auto"/>
          <w:highlight w:val="none"/>
          <w:lang w:val="en-US" w:eastAsia="zh-CN"/>
        </w:rPr>
        <w:t>热解气</w:t>
      </w:r>
      <w:r>
        <w:rPr>
          <w:rFonts w:hint="default" w:ascii="Times New Roman" w:hAnsi="Times New Roman" w:cs="Times New Roman"/>
          <w:color w:val="auto"/>
          <w:highlight w:val="none"/>
          <w:lang w:val="en-US" w:eastAsia="zh-CN"/>
        </w:rPr>
        <w:t>，主要成分为</w:t>
      </w:r>
      <w:r>
        <w:rPr>
          <w:rFonts w:hint="default" w:ascii="Times New Roman" w:hAnsi="Times New Roman" w:cs="Times New Roman"/>
          <w:color w:val="auto"/>
          <w:highlight w:val="none"/>
        </w:rPr>
        <w:t>甲烷，发生破裂后遇明火导致燃烧和爆炸会产生次生CO，根据CO危害特性，人体不出现永久性损伤的最低限值为380mg/m</w:t>
      </w:r>
      <w:r>
        <w:rPr>
          <w:rFonts w:hint="default" w:ascii="Times New Roman" w:hAnsi="Times New Roman" w:cs="Times New Roman"/>
          <w:color w:val="auto"/>
          <w:highlight w:val="none"/>
          <w:vertAlign w:val="superscript"/>
        </w:rPr>
        <w:t>3</w:t>
      </w:r>
      <w:r>
        <w:rPr>
          <w:rFonts w:hint="default" w:ascii="Times New Roman" w:hAnsi="Times New Roman" w:cs="Times New Roman"/>
          <w:color w:val="auto"/>
          <w:highlight w:val="none"/>
        </w:rPr>
        <w:t>。</w:t>
      </w:r>
    </w:p>
    <w:p w14:paraId="27C52F09">
      <w:pPr>
        <w:pStyle w:val="14"/>
        <w:keepNext w:val="0"/>
        <w:keepLines w:val="0"/>
        <w:pageBreakBefore w:val="0"/>
        <w:kinsoku/>
        <w:wordWrap/>
        <w:overflowPunct/>
        <w:topLinePunct w:val="0"/>
        <w:autoSpaceDE/>
        <w:autoSpaceDN/>
        <w:bidi w:val="0"/>
        <w:adjustRightInd/>
        <w:snapToGrid w:val="0"/>
        <w:ind w:firstLine="48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w:t>
      </w:r>
      <w:r>
        <w:rPr>
          <w:rFonts w:hint="default" w:ascii="Times New Roman" w:hAnsi="Times New Roman" w:cs="Times New Roman"/>
          <w:color w:val="auto"/>
          <w:highlight w:val="none"/>
          <w:lang w:val="en-US" w:eastAsia="zh-CN"/>
        </w:rPr>
        <w:t>正常运行时间</w:t>
      </w:r>
      <w:r>
        <w:rPr>
          <w:rFonts w:hint="default" w:ascii="Times New Roman" w:hAnsi="Times New Roman" w:cs="Times New Roman"/>
          <w:color w:val="auto"/>
          <w:highlight w:val="none"/>
        </w:rPr>
        <w:t>设置有运行工况在线监控系统，可以实时掌握系统运行工况，一旦出现</w:t>
      </w:r>
      <w:r>
        <w:rPr>
          <w:rFonts w:hint="default" w:ascii="Times New Roman" w:hAnsi="Times New Roman" w:cs="Times New Roman"/>
          <w:color w:val="auto"/>
          <w:highlight w:val="none"/>
          <w:lang w:eastAsia="zh-CN"/>
        </w:rPr>
        <w:t>泄漏</w:t>
      </w:r>
      <w:r>
        <w:rPr>
          <w:rFonts w:hint="default" w:ascii="Times New Roman" w:hAnsi="Times New Roman" w:cs="Times New Roman"/>
          <w:color w:val="auto"/>
          <w:highlight w:val="none"/>
        </w:rPr>
        <w:t>，系统会自动报警，立即进行检修</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当发生火灾后，</w:t>
      </w:r>
      <w:r>
        <w:rPr>
          <w:rFonts w:hint="default" w:ascii="Times New Roman" w:hAnsi="Times New Roman" w:cs="Times New Roman"/>
          <w:color w:val="auto"/>
          <w:highlight w:val="none"/>
        </w:rPr>
        <w:t>为防止缺氧状况发生，救援人员应选择供气式空气呼吸器（工作时间在30~60min），做好防护工作，一旦发生窒息，救援人员应将中毒人员撤出CO污染区（注意：救援人员一定进入污染物前进行含氧量测定，并配备必要的空气呼吸器）才能进入现场进行救援。</w:t>
      </w:r>
    </w:p>
    <w:p w14:paraId="0F76C54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地表水环境风险预测与评价</w:t>
      </w:r>
    </w:p>
    <w:p w14:paraId="49740402">
      <w:pPr>
        <w:pStyle w:val="131"/>
        <w:keepNext w:val="0"/>
        <w:keepLines w:val="0"/>
        <w:pageBreakBefore w:val="0"/>
        <w:kinsoku/>
        <w:wordWrap/>
        <w:overflowPunct/>
        <w:topLinePunct w:val="0"/>
        <w:autoSpaceDE/>
        <w:autoSpaceDN/>
        <w:bidi w:val="0"/>
        <w:adjustRightInd/>
        <w:snapToGrid w:val="0"/>
        <w:ind w:firstLine="504"/>
        <w:textAlignment w:val="auto"/>
        <w:rPr>
          <w:rFonts w:hint="default" w:ascii="Times New Roman" w:hAnsi="Times New Roman" w:eastAsia="宋体" w:cs="Times New Roman"/>
          <w:color w:val="auto"/>
          <w:spacing w:val="0"/>
          <w:kern w:val="0"/>
          <w:sz w:val="24"/>
          <w:szCs w:val="24"/>
          <w:highlight w:val="none"/>
          <w:lang w:val="en-US" w:eastAsia="zh-CN" w:bidi="ar"/>
        </w:rPr>
      </w:pPr>
      <w:r>
        <w:rPr>
          <w:rFonts w:hint="default" w:ascii="Times New Roman" w:hAnsi="Times New Roman" w:eastAsia="宋体" w:cs="Times New Roman"/>
          <w:color w:val="auto"/>
          <w:spacing w:val="0"/>
          <w:kern w:val="0"/>
          <w:sz w:val="24"/>
          <w:szCs w:val="24"/>
          <w:highlight w:val="none"/>
          <w:lang w:val="en-US" w:eastAsia="zh-CN" w:bidi="ar"/>
        </w:rPr>
        <w:t>根据《建设项目环境风险评价技术导则》</w:t>
      </w:r>
      <w:r>
        <w:rPr>
          <w:rFonts w:hint="eastAsia" w:ascii="Times New Roman" w:hAnsi="Times New Roman" w:eastAsia="宋体" w:cs="Times New Roman"/>
          <w:color w:val="auto"/>
          <w:spacing w:val="0"/>
          <w:kern w:val="0"/>
          <w:sz w:val="24"/>
          <w:szCs w:val="24"/>
          <w:highlight w:val="none"/>
          <w:lang w:val="en-US" w:eastAsia="zh-CN" w:bidi="ar"/>
        </w:rPr>
        <w:t>（</w:t>
      </w:r>
      <w:r>
        <w:rPr>
          <w:rFonts w:hint="default" w:ascii="Times New Roman" w:hAnsi="Times New Roman" w:eastAsia="宋体" w:cs="Times New Roman"/>
          <w:color w:val="auto"/>
          <w:spacing w:val="0"/>
          <w:kern w:val="0"/>
          <w:sz w:val="24"/>
          <w:szCs w:val="24"/>
          <w:highlight w:val="none"/>
          <w:lang w:val="en-US" w:eastAsia="zh-CN" w:bidi="ar"/>
        </w:rPr>
        <w:t>HJ169-2018</w:t>
      </w:r>
      <w:r>
        <w:rPr>
          <w:rFonts w:hint="eastAsia" w:ascii="Times New Roman" w:hAnsi="Times New Roman" w:eastAsia="宋体" w:cs="Times New Roman"/>
          <w:color w:val="auto"/>
          <w:spacing w:val="0"/>
          <w:kern w:val="0"/>
          <w:sz w:val="24"/>
          <w:szCs w:val="24"/>
          <w:highlight w:val="none"/>
          <w:lang w:val="en-US" w:eastAsia="zh-CN" w:bidi="ar"/>
        </w:rPr>
        <w:t>）</w:t>
      </w:r>
      <w:r>
        <w:rPr>
          <w:rFonts w:hint="default" w:ascii="Times New Roman" w:hAnsi="Times New Roman" w:eastAsia="宋体" w:cs="Times New Roman"/>
          <w:color w:val="auto"/>
          <w:spacing w:val="0"/>
          <w:kern w:val="0"/>
          <w:sz w:val="24"/>
          <w:szCs w:val="24"/>
          <w:highlight w:val="none"/>
          <w:lang w:val="en-US" w:eastAsia="zh-CN" w:bidi="ar"/>
        </w:rPr>
        <w:t>，地表水环境风险等级为二级，应选择适用的数值方法预测地表水环境风险，给出风险事故情形下可能造成的影响范围与程度。</w:t>
      </w:r>
    </w:p>
    <w:p w14:paraId="42AB8D79">
      <w:pPr>
        <w:pStyle w:val="130"/>
        <w:spacing w:line="360" w:lineRule="auto"/>
        <w:ind w:firstLine="480"/>
        <w:rPr>
          <w:rFonts w:hint="default" w:ascii="Times New Roman" w:hAnsi="Times New Roman" w:eastAsia="宋体" w:cs="Times New Roman"/>
          <w:color w:val="auto"/>
          <w:spacing w:val="0"/>
          <w:kern w:val="0"/>
          <w:sz w:val="24"/>
          <w:szCs w:val="24"/>
          <w:highlight w:val="none"/>
          <w:lang w:val="en-US" w:eastAsia="zh-CN" w:bidi="ar"/>
        </w:rPr>
      </w:pPr>
      <w:r>
        <w:rPr>
          <w:rFonts w:hint="eastAsia" w:ascii="Times New Roman" w:hAnsi="Times New Roman" w:eastAsia="宋体" w:cs="Times New Roman"/>
          <w:color w:val="auto"/>
          <w:spacing w:val="0"/>
          <w:kern w:val="0"/>
          <w:sz w:val="24"/>
          <w:szCs w:val="24"/>
          <w:highlight w:val="none"/>
          <w:lang w:val="en-US" w:eastAsia="zh-CN" w:bidi="ar"/>
        </w:rPr>
        <w:t>本</w:t>
      </w:r>
      <w:r>
        <w:rPr>
          <w:rFonts w:hint="default" w:ascii="Times New Roman" w:hAnsi="Times New Roman" w:eastAsia="宋体" w:cs="Times New Roman"/>
          <w:color w:val="auto"/>
          <w:spacing w:val="0"/>
          <w:kern w:val="0"/>
          <w:sz w:val="24"/>
          <w:szCs w:val="24"/>
          <w:highlight w:val="none"/>
          <w:lang w:val="en-US" w:eastAsia="zh-CN" w:bidi="ar"/>
        </w:rPr>
        <w:t>项目渗滤液泄漏，或火灾等事故情况消防废水及应急处置产生的废水等外泄，通过地表入渗可能对周围地下水产生不利影响。项目应在加强风险源事故风险防范的基础上，按照地下水污染防治措施采取“源头控制、分区防渗及跟踪监测”等风险防范措施，进一步减轻风险事故对地下水环境的影响</w:t>
      </w:r>
      <w:r>
        <w:rPr>
          <w:rFonts w:hint="eastAsia" w:ascii="Times New Roman" w:hAnsi="Times New Roman" w:eastAsia="宋体" w:cs="Times New Roman"/>
          <w:color w:val="auto"/>
          <w:spacing w:val="0"/>
          <w:kern w:val="0"/>
          <w:sz w:val="24"/>
          <w:szCs w:val="24"/>
          <w:highlight w:val="none"/>
          <w:lang w:val="en-US" w:eastAsia="zh-CN" w:bidi="ar"/>
        </w:rPr>
        <w:t>。</w:t>
      </w:r>
      <w:r>
        <w:rPr>
          <w:rFonts w:hint="default" w:ascii="Times New Roman" w:hAnsi="Times New Roman" w:cs="Times New Roman"/>
          <w:color w:val="auto"/>
          <w:sz w:val="24"/>
          <w:szCs w:val="24"/>
          <w:highlight w:val="none"/>
          <w:lang w:val="en-US" w:eastAsia="zh-CN"/>
        </w:rPr>
        <w:t>由于本项目位于普安镇环卫所用地范围内，紧邻剑阁县垃圾填埋场，地下水下游无居民饮用水井分布，因此本项目发生事故时对下游</w:t>
      </w:r>
      <w:r>
        <w:rPr>
          <w:rFonts w:hint="eastAsia" w:ascii="Times New Roman" w:hAnsi="Times New Roman" w:cs="Times New Roman"/>
          <w:color w:val="auto"/>
          <w:sz w:val="24"/>
          <w:szCs w:val="24"/>
          <w:highlight w:val="none"/>
          <w:lang w:val="en-US" w:eastAsia="zh-CN"/>
        </w:rPr>
        <w:t>地下水</w:t>
      </w:r>
      <w:r>
        <w:rPr>
          <w:rFonts w:hint="default" w:ascii="Times New Roman" w:hAnsi="Times New Roman" w:cs="Times New Roman"/>
          <w:color w:val="auto"/>
          <w:sz w:val="24"/>
          <w:szCs w:val="24"/>
          <w:highlight w:val="none"/>
          <w:lang w:val="en-US" w:eastAsia="zh-CN"/>
        </w:rPr>
        <w:t>影响很小</w:t>
      </w:r>
      <w:r>
        <w:rPr>
          <w:rFonts w:hint="default" w:ascii="Times New Roman" w:hAnsi="Times New Roman" w:eastAsia="宋体" w:cs="Times New Roman"/>
          <w:color w:val="auto"/>
          <w:spacing w:val="0"/>
          <w:kern w:val="0"/>
          <w:sz w:val="24"/>
          <w:szCs w:val="24"/>
          <w:highlight w:val="none"/>
          <w:lang w:val="en-US" w:eastAsia="zh-CN" w:bidi="ar"/>
        </w:rPr>
        <w:t>。</w:t>
      </w:r>
    </w:p>
    <w:p w14:paraId="6CFF4A85">
      <w:pPr>
        <w:pStyle w:val="3"/>
        <w:spacing w:before="156" w:after="156"/>
        <w:rPr>
          <w:rFonts w:hint="default" w:ascii="Times New Roman" w:hAnsi="Times New Roman" w:cs="Times New Roman"/>
          <w:color w:val="auto"/>
          <w:highlight w:val="none"/>
        </w:rPr>
      </w:pPr>
      <w:bookmarkStart w:id="174" w:name="_Toc4941"/>
      <w:bookmarkStart w:id="175" w:name="_Toc25441"/>
      <w:bookmarkStart w:id="176" w:name="_Toc22841"/>
      <w:r>
        <w:rPr>
          <w:rFonts w:hint="default" w:ascii="Times New Roman" w:hAnsi="Times New Roman" w:cs="Times New Roman"/>
          <w:color w:val="auto"/>
          <w:highlight w:val="none"/>
        </w:rPr>
        <w:t>环境风险防范</w:t>
      </w:r>
      <w:r>
        <w:rPr>
          <w:rFonts w:hint="default" w:ascii="Times New Roman" w:hAnsi="Times New Roman" w:cs="Times New Roman"/>
          <w:color w:val="auto"/>
          <w:highlight w:val="none"/>
          <w:lang w:eastAsia="zh-CN"/>
        </w:rPr>
        <w:t>管理与风险防范措施</w:t>
      </w:r>
      <w:bookmarkEnd w:id="174"/>
      <w:bookmarkEnd w:id="175"/>
      <w:bookmarkEnd w:id="176"/>
    </w:p>
    <w:p w14:paraId="69215BFD">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环境风险管理</w:t>
      </w:r>
    </w:p>
    <w:p w14:paraId="6661F0E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为避免风险事故发生，避免风险事故发生后对环境造成的严重污染，建设单位首先应树立环境风险意识，并在管理过程中强化环境风险意识。在实际工作与管理过程中应落实环境风险防范措施。</w:t>
      </w:r>
    </w:p>
    <w:p w14:paraId="495A469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1、树立并强化环境风险意识</w:t>
      </w:r>
    </w:p>
    <w:p w14:paraId="251B66A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贯彻“安全第一，预防为主”方针，树立环境风险意识，强化环境风险责任，体现环境保护的内容。</w:t>
      </w:r>
    </w:p>
    <w:p w14:paraId="51D539A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2、实行安全环保管理制度</w:t>
      </w:r>
    </w:p>
    <w:p w14:paraId="2228063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应针对建设项目开展全面、全员、全过程的系统安全管理，把安全工作的重点放在系统的安全隐患上，并从整体和全局上促进建设项目各个环节的安全操作，并建立监察、检测、管理，实行安全检查目标管理。</w:t>
      </w:r>
    </w:p>
    <w:p w14:paraId="49D69CC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3、规范并强化风险预防措施</w:t>
      </w:r>
    </w:p>
    <w:p w14:paraId="126F7AE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为预防安全事故的发生，建设单位应制定安全管理规章制度，并采取相应的预防和处理措施。火灾、爆炸事故的发生，也会产生一定的环境污染，对于这类事故的预防需要制定相应的防范措施，从运输、生产、贮存过程中予以全面考虑，并力求做到规范且可操作性强。</w:t>
      </w:r>
    </w:p>
    <w:p w14:paraId="11A20ADC">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4、提高生产及管理人员的技术水平</w:t>
      </w:r>
    </w:p>
    <w:p w14:paraId="73906A97">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人员的失误也是导致事故发生的重要因素之一。失误的原因主要有技术水平低下、身体状况、工作疏忽等。操作事故是生产过程中发生概率较大的风险事故，而操作及管理人员的技术水平则直接影响到此类事故的发生。建设单位应严格要求操作和管理人员的技术水平，职工上岗前必须参加培训，落实三级安全教育制度。</w:t>
      </w:r>
    </w:p>
    <w:p w14:paraId="4A330B3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5、加强检修现场的安全保卫工作</w:t>
      </w:r>
    </w:p>
    <w:p w14:paraId="20060F0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检修期间，应预先准备好必要的安全保障设施。清理或拆卸设备时，应有安全人员在场，负责实施各项安全措施。</w:t>
      </w:r>
    </w:p>
    <w:p w14:paraId="150EBB44">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6、加强数据的日常记录与管理</w:t>
      </w:r>
    </w:p>
    <w:p w14:paraId="37C4AE38">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加强</w:t>
      </w:r>
      <w:r>
        <w:rPr>
          <w:rFonts w:hint="eastAsia" w:cs="Times New Roman"/>
          <w:color w:val="auto"/>
          <w:highlight w:val="none"/>
          <w:lang w:val="en-US" w:eastAsia="zh-CN"/>
        </w:rPr>
        <w:t>烟气</w:t>
      </w:r>
      <w:r>
        <w:rPr>
          <w:rFonts w:hint="default" w:ascii="Times New Roman" w:hAnsi="Times New Roman" w:cs="Times New Roman"/>
          <w:color w:val="auto"/>
          <w:highlight w:val="none"/>
        </w:rPr>
        <w:t>净化系统、废水处理系统各项操作参数等数据的日常记录与管理，以及跟踪监测的数据管理，以便及时发现问题并能够及时采取减缓危害的措施。</w:t>
      </w:r>
    </w:p>
    <w:p w14:paraId="5CAD5E3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风险防范措施</w:t>
      </w:r>
    </w:p>
    <w:p w14:paraId="3D7B70BD">
      <w:pPr>
        <w:pStyle w:val="5"/>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 xml:space="preserve"> </w:t>
      </w:r>
      <w:r>
        <w:rPr>
          <w:rFonts w:hint="default" w:ascii="Times New Roman" w:hAnsi="Times New Roman" w:cs="Times New Roman"/>
          <w:color w:val="auto"/>
          <w:highlight w:val="none"/>
          <w:lang w:val="en-US" w:eastAsia="zh-CN"/>
        </w:rPr>
        <w:t>热解回转窑爆炸事故防范措施</w:t>
      </w:r>
    </w:p>
    <w:p w14:paraId="452B98B4">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为避免热解回转窑爆炸事故，可采取防范、减缓和应急措施有：</w:t>
      </w:r>
    </w:p>
    <w:p w14:paraId="56B76432">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（1）</w:t>
      </w:r>
      <w:r>
        <w:rPr>
          <w:rFonts w:hint="default" w:ascii="Times New Roman" w:hAnsi="Times New Roman" w:eastAsia="宋体" w:cs="Times New Roman"/>
          <w:color w:val="auto"/>
          <w:kern w:val="0"/>
          <w:sz w:val="24"/>
          <w:szCs w:val="24"/>
          <w:highlight w:val="none"/>
          <w:lang w:val="en-US" w:eastAsia="zh-CN" w:bidi="ar"/>
        </w:rPr>
        <w:t>通过监测炉内氧量而得出燃烧不完全的情况，适时调整燃烧参数，使垃圾尽可能充分的燃烧。</w:t>
      </w:r>
    </w:p>
    <w:p w14:paraId="548BB36C">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引风机与送风机联锁，一旦引风机故障停机，送风机也必须停机，同时停炉；注意监视炉膛负压，防止出现正压。</w:t>
      </w:r>
    </w:p>
    <w:p w14:paraId="0E6F12B3">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（3）</w:t>
      </w:r>
      <w:r>
        <w:rPr>
          <w:rFonts w:hint="default" w:ascii="Times New Roman" w:hAnsi="Times New Roman" w:eastAsia="宋体" w:cs="Times New Roman"/>
          <w:color w:val="auto"/>
          <w:kern w:val="0"/>
          <w:sz w:val="24"/>
          <w:szCs w:val="24"/>
          <w:highlight w:val="none"/>
          <w:lang w:val="en-US" w:eastAsia="zh-CN" w:bidi="ar"/>
        </w:rPr>
        <w:t>若不幸发生炉内爆炸事故而停炉，应立即停止送风并加大引风机抽风一段时间。</w:t>
      </w:r>
    </w:p>
    <w:p w14:paraId="562D160C">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（4）</w:t>
      </w:r>
      <w:r>
        <w:rPr>
          <w:rFonts w:hint="default" w:ascii="Times New Roman" w:hAnsi="Times New Roman" w:eastAsia="宋体" w:cs="Times New Roman"/>
          <w:color w:val="auto"/>
          <w:kern w:val="0"/>
          <w:sz w:val="24"/>
          <w:szCs w:val="24"/>
          <w:highlight w:val="none"/>
          <w:lang w:val="en-US" w:eastAsia="zh-CN" w:bidi="ar"/>
        </w:rPr>
        <w:t>严格按照热解焚烧装置的安全操作规程操作，做好热解回转窑日常检修和维护工作，杜绝事故的发生等，平时加强巡检。</w:t>
      </w:r>
    </w:p>
    <w:p w14:paraId="1AB3ACF8">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（5）</w:t>
      </w:r>
      <w:r>
        <w:rPr>
          <w:rFonts w:hint="default" w:ascii="Times New Roman" w:hAnsi="Times New Roman" w:eastAsia="宋体" w:cs="Times New Roman"/>
          <w:color w:val="auto"/>
          <w:kern w:val="0"/>
          <w:sz w:val="24"/>
          <w:szCs w:val="24"/>
          <w:highlight w:val="none"/>
          <w:lang w:val="en-US" w:eastAsia="zh-CN" w:bidi="ar"/>
        </w:rPr>
        <w:t>热解焚烧装置应安装合格的安全阀，并定期对安全阀进行校验合格。</w:t>
      </w:r>
    </w:p>
    <w:p w14:paraId="79FF5B11">
      <w:pPr>
        <w:keepNext w:val="0"/>
        <w:keepLines w:val="0"/>
        <w:widowControl/>
        <w:numPr>
          <w:ilvl w:val="0"/>
          <w:numId w:val="0"/>
        </w:numPr>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（6）</w:t>
      </w:r>
      <w:r>
        <w:rPr>
          <w:rFonts w:hint="default" w:ascii="Times New Roman" w:hAnsi="Times New Roman" w:eastAsia="宋体" w:cs="Times New Roman"/>
          <w:color w:val="auto"/>
          <w:kern w:val="0"/>
          <w:sz w:val="24"/>
          <w:szCs w:val="24"/>
          <w:highlight w:val="none"/>
          <w:lang w:val="en-US" w:eastAsia="zh-CN" w:bidi="ar"/>
        </w:rPr>
        <w:t>热解焚烧装置设备及其系统的设计、安装、验收、运行应遵守有关规定和规程，特别是从防爆、防振设计等方面防止炉膛爆炸事故的发生。</w:t>
      </w:r>
    </w:p>
    <w:p w14:paraId="610259F2">
      <w:pPr>
        <w:pStyle w:val="5"/>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 xml:space="preserve"> 防火防爆环境风险</w:t>
      </w:r>
      <w:r>
        <w:rPr>
          <w:rFonts w:hint="default" w:ascii="Times New Roman" w:hAnsi="Times New Roman" w:cs="Times New Roman"/>
          <w:color w:val="auto"/>
          <w:highlight w:val="none"/>
          <w:lang w:val="en-US" w:eastAsia="zh-CN"/>
        </w:rPr>
        <w:t>防范措施</w:t>
      </w:r>
    </w:p>
    <w:p w14:paraId="0333D435">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（1）</w:t>
      </w:r>
      <w:r>
        <w:rPr>
          <w:rFonts w:hint="default" w:ascii="Times New Roman" w:hAnsi="Times New Roman" w:cs="Times New Roman"/>
          <w:color w:val="auto"/>
          <w:highlight w:val="none"/>
          <w:lang w:val="en-US" w:eastAsia="zh-CN"/>
        </w:rPr>
        <w:t>当发生火灾或爆炸时，首先关闭雨水排放阀，封堵可能被污染的雨水收集口；对因火灾而产生的一氧化碳和烟尘等污染物，主要采取消防水喷淋洗涤来减轻对环境的影响，消防水全部进入事故池。</w:t>
      </w:r>
    </w:p>
    <w:p w14:paraId="7660B371">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（2）</w:t>
      </w:r>
      <w:r>
        <w:rPr>
          <w:rFonts w:hint="default" w:ascii="Times New Roman" w:hAnsi="Times New Roman" w:cs="Times New Roman"/>
          <w:color w:val="auto"/>
          <w:highlight w:val="none"/>
          <w:lang w:val="en-US" w:eastAsia="zh-CN"/>
        </w:rPr>
        <w:t>厂区其他防火防爆措施：厂区消防给水管网布置成环状，室外消火栓沿道路敷设，各室内消防用水均从室外管网引入。消防用水以发生火灾时最不利情况下的用水量组合进行设计。</w:t>
      </w:r>
    </w:p>
    <w:p w14:paraId="76D0ED1C">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（3）</w:t>
      </w:r>
      <w:r>
        <w:rPr>
          <w:rFonts w:hint="default" w:ascii="Times New Roman" w:hAnsi="Times New Roman" w:cs="Times New Roman"/>
          <w:color w:val="auto"/>
          <w:highlight w:val="none"/>
          <w:lang w:val="en-US" w:eastAsia="zh-CN"/>
        </w:rPr>
        <w:t>探测报警系统：采用集中监控的智能式火灾自动报警系统。</w:t>
      </w:r>
    </w:p>
    <w:p w14:paraId="48255411">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（4）</w:t>
      </w:r>
      <w:r>
        <w:rPr>
          <w:rFonts w:hint="default" w:ascii="Times New Roman" w:hAnsi="Times New Roman" w:cs="Times New Roman"/>
          <w:color w:val="auto"/>
          <w:highlight w:val="none"/>
          <w:lang w:val="en-US" w:eastAsia="zh-CN"/>
        </w:rPr>
        <w:t>建(构)筑物防火、防爆措施:建(构)筑物间设置防火间距。根据现行《建筑设计防火规范》进行主厂房防火分区划分，防火墙及安全出口设置。</w:t>
      </w:r>
    </w:p>
    <w:p w14:paraId="5B16E49E">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（5）</w:t>
      </w:r>
      <w:r>
        <w:rPr>
          <w:rFonts w:hint="default" w:ascii="Times New Roman" w:hAnsi="Times New Roman" w:cs="Times New Roman"/>
          <w:color w:val="auto"/>
          <w:highlight w:val="none"/>
          <w:lang w:val="en-US" w:eastAsia="zh-CN"/>
        </w:rPr>
        <w:t>电气设备的防火、防爆措施:电缆设施采用防火材料封堵，重要回路的电缆采用阻燃电缆；电缆的载流量根据电缆敷设情况考虑电缆不同的折算系数。电缆的选择及短路保护应考虑到电缆的热稳定要求。主要设备应设置防静电接地设施。</w:t>
      </w:r>
    </w:p>
    <w:p w14:paraId="16819B67">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（6）</w:t>
      </w:r>
      <w:r>
        <w:rPr>
          <w:rFonts w:hint="default" w:ascii="Times New Roman" w:hAnsi="Times New Roman" w:cs="Times New Roman"/>
          <w:color w:val="auto"/>
          <w:highlight w:val="none"/>
          <w:lang w:val="en-US" w:eastAsia="zh-CN"/>
        </w:rPr>
        <w:t>压力容器防爆措施:为防止压力容器发生事故，所有压力容器均应安装安全阀，应满足压力容器标准。</w:t>
      </w:r>
    </w:p>
    <w:p w14:paraId="54B9D173">
      <w:pPr>
        <w:pStyle w:val="5"/>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 xml:space="preserve"> 烟气</w:t>
      </w:r>
      <w:r>
        <w:rPr>
          <w:rFonts w:hint="default" w:ascii="Times New Roman" w:hAnsi="Times New Roman" w:cs="Times New Roman"/>
          <w:color w:val="auto"/>
          <w:highlight w:val="none"/>
          <w:lang w:val="en-US" w:eastAsia="zh-CN"/>
        </w:rPr>
        <w:t>净化处理系统事故风险防范措施</w:t>
      </w:r>
    </w:p>
    <w:p w14:paraId="147DDD58">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（1）</w:t>
      </w:r>
      <w:r>
        <w:rPr>
          <w:rFonts w:cs="Times New Roman"/>
          <w:color w:val="auto"/>
          <w:szCs w:val="24"/>
          <w:highlight w:val="none"/>
          <w:lang w:bidi="ar"/>
        </w:rPr>
        <w:t>加强烟气净化系统管理，严格执行操作规程，并认真记录营运台账</w:t>
      </w:r>
      <w:r>
        <w:rPr>
          <w:rFonts w:hint="default" w:ascii="Times New Roman" w:hAnsi="Times New Roman" w:cs="Times New Roman"/>
          <w:color w:val="auto"/>
          <w:highlight w:val="none"/>
          <w:lang w:val="en-US" w:eastAsia="zh-CN"/>
        </w:rPr>
        <w:t>。</w:t>
      </w:r>
    </w:p>
    <w:p w14:paraId="37445984">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（2）</w:t>
      </w:r>
      <w:r>
        <w:rPr>
          <w:rFonts w:cs="Times New Roman"/>
          <w:color w:val="auto"/>
          <w:szCs w:val="24"/>
          <w:highlight w:val="none"/>
          <w:lang w:bidi="ar"/>
        </w:rPr>
        <w:t>定期对设备进行维护，发现故障应按照规章进行上报、维修，并预备备用零部件，把设备发生故障的几率降到最低，并尽可能缩短事故时间</w:t>
      </w:r>
      <w:r>
        <w:rPr>
          <w:rFonts w:hint="default" w:ascii="Times New Roman" w:hAnsi="Times New Roman" w:cs="Times New Roman"/>
          <w:color w:val="auto"/>
          <w:highlight w:val="none"/>
          <w:lang w:val="en-US" w:eastAsia="zh-CN"/>
        </w:rPr>
        <w:t>。</w:t>
      </w:r>
    </w:p>
    <w:p w14:paraId="3B0017FA">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w:t>
      </w:r>
      <w:r>
        <w:rPr>
          <w:rFonts w:hint="eastAsia" w:cs="Times New Roman"/>
          <w:color w:val="auto"/>
          <w:highlight w:val="none"/>
          <w:lang w:val="en-US" w:eastAsia="zh-CN"/>
        </w:rPr>
        <w:t>3</w:t>
      </w:r>
      <w:r>
        <w:rPr>
          <w:rFonts w:hint="default" w:ascii="Times New Roman" w:hAnsi="Times New Roman" w:cs="Times New Roman"/>
          <w:color w:val="auto"/>
          <w:highlight w:val="none"/>
          <w:lang w:val="en-US" w:eastAsia="zh-CN"/>
        </w:rPr>
        <w:t>）</w:t>
      </w:r>
      <w:r>
        <w:rPr>
          <w:rFonts w:cs="Times New Roman"/>
          <w:color w:val="auto"/>
          <w:szCs w:val="24"/>
          <w:highlight w:val="none"/>
          <w:lang w:bidi="ar"/>
        </w:rPr>
        <w:t>采用双回路供电，尽量降低因停电发生不正常排放的几率。</w:t>
      </w:r>
    </w:p>
    <w:p w14:paraId="07111F5E">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w:t>
      </w:r>
      <w:r>
        <w:rPr>
          <w:rFonts w:hint="eastAsia" w:cs="Times New Roman"/>
          <w:color w:val="auto"/>
          <w:highlight w:val="none"/>
          <w:lang w:val="en-US" w:eastAsia="zh-CN"/>
        </w:rPr>
        <w:t>4</w:t>
      </w:r>
      <w:r>
        <w:rPr>
          <w:rFonts w:hint="default" w:ascii="Times New Roman" w:hAnsi="Times New Roman" w:cs="Times New Roman"/>
          <w:color w:val="auto"/>
          <w:highlight w:val="none"/>
          <w:lang w:val="en-US" w:eastAsia="zh-CN"/>
        </w:rPr>
        <w:t>）当点火、闭窑时，通过喷入天然气助燃等方式提高温度，延长辅助燃烧时间。点火时应先喷天然气达到正常炉温，闭窑时延长喷入天然气时间，使窑内残余垃圾充分燃尽再停止喷入</w:t>
      </w:r>
      <w:r>
        <w:rPr>
          <w:rFonts w:hint="eastAsia" w:cs="Times New Roman"/>
          <w:color w:val="auto"/>
          <w:highlight w:val="none"/>
          <w:lang w:val="en-US" w:eastAsia="zh-CN"/>
        </w:rPr>
        <w:t>天然气</w:t>
      </w:r>
      <w:r>
        <w:rPr>
          <w:rFonts w:hint="default" w:ascii="Times New Roman" w:hAnsi="Times New Roman" w:cs="Times New Roman"/>
          <w:color w:val="auto"/>
          <w:highlight w:val="none"/>
          <w:lang w:val="en-US" w:eastAsia="zh-CN"/>
        </w:rPr>
        <w:t>，确保热解回转窑温度≥850℃</w:t>
      </w:r>
      <w:r>
        <w:rPr>
          <w:rFonts w:hint="eastAsia" w:cs="Times New Roman"/>
          <w:color w:val="auto"/>
          <w:highlight w:val="none"/>
          <w:lang w:val="en-US" w:eastAsia="zh-CN"/>
        </w:rPr>
        <w:t>，</w:t>
      </w:r>
      <w:r>
        <w:rPr>
          <w:rFonts w:hint="default" w:ascii="Times New Roman" w:hAnsi="Times New Roman" w:cs="Times New Roman"/>
          <w:color w:val="auto"/>
          <w:highlight w:val="none"/>
          <w:lang w:val="en-US" w:eastAsia="zh-CN"/>
        </w:rPr>
        <w:t>减少二噁英类的生成。</w:t>
      </w:r>
    </w:p>
    <w:p w14:paraId="2C56179E">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w:t>
      </w:r>
      <w:r>
        <w:rPr>
          <w:rFonts w:hint="eastAsia" w:cs="Times New Roman"/>
          <w:color w:val="auto"/>
          <w:highlight w:val="none"/>
          <w:lang w:val="en-US" w:eastAsia="zh-CN"/>
        </w:rPr>
        <w:t>5</w:t>
      </w:r>
      <w:r>
        <w:rPr>
          <w:rFonts w:hint="default" w:ascii="Times New Roman" w:hAnsi="Times New Roman" w:cs="Times New Roman"/>
          <w:color w:val="auto"/>
          <w:highlight w:val="none"/>
          <w:lang w:val="en-US" w:eastAsia="zh-CN"/>
        </w:rPr>
        <w:t>）在其他生产控制不利，如垃圾热值过低不能达到正常炉温时，也应该立即启动辅助燃烧设施，确保炉内达到正常温度和燃烧时间。</w:t>
      </w:r>
    </w:p>
    <w:p w14:paraId="3C91AA9D">
      <w:pPr>
        <w:pStyle w:val="14"/>
        <w:widowControl w:val="0"/>
        <w:numPr>
          <w:ilvl w:val="0"/>
          <w:numId w:val="0"/>
        </w:numPr>
        <w:spacing w:line="360" w:lineRule="auto"/>
        <w:ind w:firstLine="480" w:firstLineChars="200"/>
        <w:jc w:val="both"/>
        <w:rPr>
          <w:rFonts w:hint="eastAsia" w:ascii="Times New Roman" w:hAnsi="Times New Roman" w:cs="Times New Roman" w:eastAsiaTheme="minorEastAsia"/>
          <w:color w:val="auto"/>
          <w:highlight w:val="none"/>
          <w:lang w:val="en-US" w:eastAsia="zh-CN"/>
        </w:rPr>
      </w:pPr>
      <w:r>
        <w:rPr>
          <w:rFonts w:hint="default" w:ascii="Times New Roman" w:hAnsi="Times New Roman" w:cs="Times New Roman"/>
          <w:color w:val="auto"/>
          <w:highlight w:val="none"/>
          <w:lang w:val="en-US" w:eastAsia="zh-CN"/>
        </w:rPr>
        <w:t>（</w:t>
      </w:r>
      <w:r>
        <w:rPr>
          <w:rFonts w:hint="eastAsia" w:cs="Times New Roman"/>
          <w:color w:val="auto"/>
          <w:highlight w:val="none"/>
          <w:lang w:val="en-US" w:eastAsia="zh-CN"/>
        </w:rPr>
        <w:t>6</w:t>
      </w:r>
      <w:r>
        <w:rPr>
          <w:rFonts w:hint="default" w:ascii="Times New Roman" w:hAnsi="Times New Roman" w:cs="Times New Roman"/>
          <w:color w:val="auto"/>
          <w:highlight w:val="none"/>
          <w:lang w:val="en-US" w:eastAsia="zh-CN"/>
        </w:rPr>
        <w:t>）</w:t>
      </w:r>
      <w:r>
        <w:rPr>
          <w:rFonts w:cs="Times New Roman"/>
          <w:color w:val="auto"/>
          <w:szCs w:val="24"/>
          <w:highlight w:val="none"/>
          <w:lang w:bidi="ar"/>
        </w:rPr>
        <w:t>当烟气在线监测系统监测到烟气中的主要大气污染物含量以及烟气的温度、含氧量等指标异常时若出现超标现象立即停止生产，启动应急预案，检修主体设备及环保治理设施运行状况，确保污染物达标排放</w:t>
      </w:r>
      <w:r>
        <w:rPr>
          <w:rFonts w:hint="eastAsia" w:cs="Times New Roman"/>
          <w:color w:val="auto"/>
          <w:szCs w:val="24"/>
          <w:highlight w:val="none"/>
          <w:lang w:eastAsia="zh-CN" w:bidi="ar"/>
        </w:rPr>
        <w:t>。</w:t>
      </w:r>
    </w:p>
    <w:p w14:paraId="59E1C8AE">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cs="Times New Roman"/>
          <w:color w:val="auto"/>
          <w:szCs w:val="24"/>
          <w:highlight w:val="none"/>
          <w:lang w:eastAsia="zh-CN" w:bidi="ar"/>
        </w:rPr>
        <w:t>（</w:t>
      </w:r>
      <w:r>
        <w:rPr>
          <w:rFonts w:hint="eastAsia" w:cs="Times New Roman"/>
          <w:color w:val="auto"/>
          <w:szCs w:val="24"/>
          <w:highlight w:val="none"/>
          <w:lang w:val="en-US" w:eastAsia="zh-CN" w:bidi="ar"/>
        </w:rPr>
        <w:t>7</w:t>
      </w:r>
      <w:r>
        <w:rPr>
          <w:rFonts w:hint="eastAsia" w:cs="Times New Roman"/>
          <w:color w:val="auto"/>
          <w:szCs w:val="24"/>
          <w:highlight w:val="none"/>
          <w:lang w:eastAsia="zh-CN" w:bidi="ar"/>
        </w:rPr>
        <w:t>）</w:t>
      </w:r>
      <w:r>
        <w:rPr>
          <w:rFonts w:cs="Times New Roman"/>
          <w:color w:val="auto"/>
          <w:szCs w:val="24"/>
          <w:highlight w:val="none"/>
          <w:lang w:bidi="ar"/>
        </w:rPr>
        <w:t>制定环境监测计划，对污染源排放情况和周边环境质量情况进行监测，及时了解、掌握本项目及周边环境空气中大气污染物的相关情况。</w:t>
      </w:r>
    </w:p>
    <w:p w14:paraId="5DBC9097">
      <w:pPr>
        <w:pStyle w:val="5"/>
        <w:rPr>
          <w:rFonts w:hint="default" w:cs="Times New Roman"/>
          <w:color w:val="auto"/>
          <w:highlight w:val="none"/>
          <w:lang w:val="en-US" w:eastAsia="zh-CN"/>
        </w:rPr>
      </w:pPr>
      <w:r>
        <w:rPr>
          <w:rFonts w:hint="default" w:cs="Times New Roman"/>
          <w:color w:val="auto"/>
          <w:highlight w:val="none"/>
          <w:lang w:val="en-US" w:eastAsia="zh-CN"/>
        </w:rPr>
        <w:t xml:space="preserve"> 恶臭污染物</w:t>
      </w:r>
      <w:r>
        <w:rPr>
          <w:rFonts w:hint="eastAsia" w:cs="Times New Roman"/>
          <w:color w:val="auto"/>
          <w:highlight w:val="none"/>
          <w:lang w:val="en-US" w:eastAsia="zh-CN"/>
        </w:rPr>
        <w:t>事故排放</w:t>
      </w:r>
      <w:r>
        <w:rPr>
          <w:rFonts w:hint="default" w:cs="Times New Roman"/>
          <w:color w:val="auto"/>
          <w:highlight w:val="none"/>
          <w:lang w:val="en-US" w:eastAsia="zh-CN"/>
        </w:rPr>
        <w:t>防范措施</w:t>
      </w:r>
    </w:p>
    <w:p w14:paraId="1A35D395">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为防治恶臭污染物事故性排放，可采取防范、减缓和应急措施有：</w:t>
      </w:r>
    </w:p>
    <w:p w14:paraId="414EA239">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（1）加强热解回转窑日常检修和维护工作，减小事故发生概率；</w:t>
      </w:r>
    </w:p>
    <w:p w14:paraId="4D1CB18C">
      <w:pPr>
        <w:pStyle w:val="14"/>
        <w:widowControl w:val="0"/>
        <w:numPr>
          <w:ilvl w:val="0"/>
          <w:numId w:val="0"/>
        </w:numPr>
        <w:spacing w:line="360" w:lineRule="auto"/>
        <w:ind w:firstLine="480" w:firstLineChars="200"/>
        <w:jc w:val="both"/>
        <w:rPr>
          <w:rFonts w:hint="eastAsia"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（2）缩短生活垃圾厂内暂存时间，减少恶臭污染物无组织排放量</w:t>
      </w:r>
      <w:r>
        <w:rPr>
          <w:rFonts w:hint="eastAsia" w:ascii="Times New Roman" w:hAnsi="Times New Roman" w:cs="Times New Roman"/>
          <w:color w:val="auto"/>
          <w:highlight w:val="none"/>
          <w:lang w:val="en-US" w:eastAsia="zh-CN"/>
        </w:rPr>
        <w:t>；</w:t>
      </w:r>
    </w:p>
    <w:p w14:paraId="50C798D9">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（3）</w:t>
      </w:r>
      <w:r>
        <w:rPr>
          <w:rFonts w:hint="default" w:ascii="Times New Roman" w:hAnsi="Times New Roman" w:cs="Times New Roman"/>
          <w:color w:val="auto"/>
          <w:highlight w:val="none"/>
          <w:lang w:val="en-US" w:eastAsia="zh-CN"/>
        </w:rPr>
        <w:t>加强负压抽风系统日常检查和检修，保证负压系统正常运行，减小恶臭物质外溢发生概率</w:t>
      </w:r>
      <w:r>
        <w:rPr>
          <w:rFonts w:hint="eastAsia" w:cs="Times New Roman"/>
          <w:color w:val="auto"/>
          <w:highlight w:val="none"/>
          <w:lang w:val="en-US" w:eastAsia="zh-CN"/>
        </w:rPr>
        <w:t>；</w:t>
      </w:r>
    </w:p>
    <w:p w14:paraId="33D3DFAA">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（4）</w:t>
      </w:r>
      <w:r>
        <w:rPr>
          <w:rFonts w:hint="default" w:ascii="Times New Roman" w:hAnsi="Times New Roman" w:cs="Times New Roman"/>
          <w:color w:val="auto"/>
          <w:highlight w:val="none"/>
          <w:lang w:val="en-US" w:eastAsia="zh-CN"/>
        </w:rPr>
        <w:t>加强</w:t>
      </w:r>
      <w:r>
        <w:rPr>
          <w:rFonts w:hint="eastAsia" w:ascii="Times New Roman" w:hAnsi="Times New Roman" w:cs="Times New Roman"/>
          <w:color w:val="auto"/>
          <w:highlight w:val="none"/>
          <w:lang w:val="en-US" w:eastAsia="zh-CN"/>
        </w:rPr>
        <w:t>卸</w:t>
      </w:r>
      <w:r>
        <w:rPr>
          <w:rFonts w:hint="default" w:ascii="Times New Roman" w:hAnsi="Times New Roman" w:cs="Times New Roman"/>
          <w:color w:val="auto"/>
          <w:highlight w:val="none"/>
          <w:lang w:val="en-US" w:eastAsia="zh-CN"/>
        </w:rPr>
        <w:t>料口喷药除臭以尽可能减少臭气产生量</w:t>
      </w:r>
      <w:r>
        <w:rPr>
          <w:rFonts w:hint="eastAsia" w:cs="Times New Roman"/>
          <w:color w:val="auto"/>
          <w:highlight w:val="none"/>
          <w:lang w:val="en-US" w:eastAsia="zh-CN"/>
        </w:rPr>
        <w:t>；</w:t>
      </w:r>
    </w:p>
    <w:p w14:paraId="6A904AD6">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w:t>
      </w:r>
      <w:r>
        <w:rPr>
          <w:rFonts w:hint="eastAsia" w:cs="Times New Roman"/>
          <w:color w:val="auto"/>
          <w:highlight w:val="none"/>
          <w:lang w:val="en-US" w:eastAsia="zh-CN"/>
        </w:rPr>
        <w:t>5</w:t>
      </w:r>
      <w:r>
        <w:rPr>
          <w:rFonts w:hint="default" w:ascii="Times New Roman" w:hAnsi="Times New Roman" w:cs="Times New Roman"/>
          <w:color w:val="auto"/>
          <w:highlight w:val="none"/>
          <w:lang w:val="en-US" w:eastAsia="zh-CN"/>
        </w:rPr>
        <w:t>）</w:t>
      </w:r>
      <w:r>
        <w:rPr>
          <w:rFonts w:cs="Times New Roman"/>
          <w:color w:val="auto"/>
          <w:szCs w:val="24"/>
          <w:highlight w:val="none"/>
          <w:lang w:bidi="ar"/>
        </w:rPr>
        <w:t>开展例行监测，若出现超标现象立即停止生产，启动应急预案，检修废气对应的环保治理设施运行状况，及时检修，确保污染物达标排放</w:t>
      </w:r>
      <w:r>
        <w:rPr>
          <w:rFonts w:hint="default" w:ascii="Times New Roman" w:hAnsi="Times New Roman" w:cs="Times New Roman"/>
          <w:color w:val="auto"/>
          <w:highlight w:val="none"/>
          <w:lang w:val="en-US" w:eastAsia="zh-CN"/>
        </w:rPr>
        <w:t>。</w:t>
      </w:r>
    </w:p>
    <w:p w14:paraId="4278FCE0">
      <w:pPr>
        <w:pStyle w:val="5"/>
        <w:rPr>
          <w:rFonts w:hint="default" w:cs="Times New Roman"/>
          <w:color w:val="auto"/>
          <w:highlight w:val="none"/>
          <w:lang w:val="en-US" w:eastAsia="zh-CN"/>
        </w:rPr>
      </w:pPr>
      <w:r>
        <w:rPr>
          <w:rFonts w:hint="default" w:cs="Times New Roman"/>
          <w:color w:val="auto"/>
          <w:highlight w:val="none"/>
          <w:lang w:val="en-US" w:eastAsia="zh-CN"/>
        </w:rPr>
        <w:t xml:space="preserve"> 除二噁英类系统故障防范措施</w:t>
      </w:r>
    </w:p>
    <w:p w14:paraId="6FC784E2">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控制二噁英类主要是控制温度在850℃以上，且烟气停留时间在 2s以上</w:t>
      </w:r>
      <w:r>
        <w:rPr>
          <w:rFonts w:hint="eastAsia" w:cs="Times New Roman"/>
          <w:color w:val="auto"/>
          <w:highlight w:val="none"/>
          <w:lang w:val="en-US" w:eastAsia="zh-CN"/>
        </w:rPr>
        <w:t>，</w:t>
      </w:r>
      <w:r>
        <w:rPr>
          <w:rFonts w:hint="default" w:ascii="Times New Roman" w:hAnsi="Times New Roman" w:cs="Times New Roman"/>
          <w:color w:val="auto"/>
          <w:highlight w:val="none"/>
          <w:lang w:val="en-US" w:eastAsia="zh-CN"/>
        </w:rPr>
        <w:t>运行过程中应通过自动控制系统，确保炉温和烟气停留时间在正常设计要求范围内，确保对二噁英类的有效控制。由于以上故障的发生率很低，且排出故障的时间较短，超标排放的可能性不大。</w:t>
      </w:r>
    </w:p>
    <w:p w14:paraId="724BE03B">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二噁英类净化系统发生故障，是指活性炭吸附装置故障或布袋泄漏，两者同时发生故障的可能性极小，因此可以保证一定的二噁英类净化效率。当发生故障时，应尽量缩短设备维修及更换时间，减轻事故状态下二噁英类排放对环境的影响。</w:t>
      </w:r>
    </w:p>
    <w:p w14:paraId="6AA04D1F">
      <w:pPr>
        <w:pStyle w:val="5"/>
        <w:rPr>
          <w:rFonts w:hint="default" w:cs="Times New Roman"/>
          <w:color w:val="auto"/>
          <w:highlight w:val="none"/>
          <w:lang w:val="en-US" w:eastAsia="zh-CN"/>
        </w:rPr>
      </w:pPr>
      <w:r>
        <w:rPr>
          <w:rFonts w:hint="default" w:cs="Times New Roman"/>
          <w:color w:val="auto"/>
          <w:highlight w:val="none"/>
          <w:lang w:val="en-US" w:eastAsia="zh-CN"/>
        </w:rPr>
        <w:t xml:space="preserve"> 设备故障应急措施</w:t>
      </w:r>
    </w:p>
    <w:p w14:paraId="608DFF0A">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当设备发生故障时，应迅速查清故障点和故障原因，采取必要的应急措施</w:t>
      </w:r>
      <w:r>
        <w:rPr>
          <w:rFonts w:hint="eastAsia" w:cs="Times New Roman"/>
          <w:color w:val="auto"/>
          <w:highlight w:val="none"/>
          <w:lang w:val="en-US" w:eastAsia="zh-CN"/>
        </w:rPr>
        <w:t>。</w:t>
      </w:r>
      <w:r>
        <w:rPr>
          <w:rFonts w:hint="default" w:ascii="Times New Roman" w:hAnsi="Times New Roman" w:cs="Times New Roman"/>
          <w:color w:val="auto"/>
          <w:highlight w:val="none"/>
          <w:lang w:val="en-US" w:eastAsia="zh-CN"/>
        </w:rPr>
        <w:t>主要故障与应对措施如下：</w:t>
      </w:r>
    </w:p>
    <w:p w14:paraId="1A5B86F0">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（1）循环泵、给水泵等设备发生故障时，迅速启动备用设备，避免对运行造成影响。</w:t>
      </w:r>
    </w:p>
    <w:p w14:paraId="37C2AD89">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（2）热解回转窑发生故障时</w:t>
      </w:r>
      <w:r>
        <w:rPr>
          <w:rFonts w:hint="eastAsia" w:cs="Times New Roman"/>
          <w:color w:val="auto"/>
          <w:highlight w:val="none"/>
          <w:lang w:val="en-US" w:eastAsia="zh-CN"/>
        </w:rPr>
        <w:t>，</w:t>
      </w:r>
      <w:r>
        <w:rPr>
          <w:rFonts w:hint="default" w:ascii="Times New Roman" w:hAnsi="Times New Roman" w:cs="Times New Roman"/>
          <w:color w:val="auto"/>
          <w:highlight w:val="none"/>
          <w:lang w:val="en-US" w:eastAsia="zh-CN"/>
        </w:rPr>
        <w:t>可以采取降负荷、停窑、排空等措施。</w:t>
      </w:r>
    </w:p>
    <w:p w14:paraId="37CE8B9F">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（3）加强热解气净化及烟气处理系统维修，减少出现故障，确保烟气达标排放。</w:t>
      </w:r>
    </w:p>
    <w:p w14:paraId="5B8935AA">
      <w:pPr>
        <w:pStyle w:val="5"/>
        <w:rPr>
          <w:rFonts w:hint="default" w:cs="Times New Roman"/>
          <w:color w:val="auto"/>
          <w:highlight w:val="none"/>
          <w:lang w:val="en-US" w:eastAsia="zh-CN"/>
        </w:rPr>
      </w:pPr>
      <w:r>
        <w:rPr>
          <w:rFonts w:hint="eastAsia" w:cs="Times New Roman"/>
          <w:color w:val="auto"/>
          <w:highlight w:val="none"/>
          <w:lang w:val="en-US" w:eastAsia="zh-CN"/>
        </w:rPr>
        <w:t xml:space="preserve"> </w:t>
      </w:r>
      <w:r>
        <w:rPr>
          <w:rFonts w:hint="default" w:cs="Times New Roman"/>
          <w:color w:val="auto"/>
          <w:highlight w:val="none"/>
          <w:lang w:val="en-US" w:eastAsia="zh-CN"/>
        </w:rPr>
        <w:t>渗滤液</w:t>
      </w:r>
      <w:r>
        <w:rPr>
          <w:rFonts w:hint="eastAsia" w:cs="Times New Roman"/>
          <w:color w:val="auto"/>
          <w:highlight w:val="none"/>
          <w:lang w:val="en-US" w:eastAsia="zh-CN"/>
        </w:rPr>
        <w:t>泄漏</w:t>
      </w:r>
      <w:r>
        <w:rPr>
          <w:rFonts w:hint="default" w:cs="Times New Roman"/>
          <w:color w:val="auto"/>
          <w:highlight w:val="none"/>
          <w:lang w:val="en-US" w:eastAsia="zh-CN"/>
        </w:rPr>
        <w:t>防范措施</w:t>
      </w:r>
    </w:p>
    <w:p w14:paraId="12F432B8">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渗滤液成分复杂，渗滤液渗漏对地下水的污染主要表现在使地下水水质混浊，有臭味，COD、氨氮含量高等。</w:t>
      </w:r>
    </w:p>
    <w:p w14:paraId="0A4368CD">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本项目各池体、生产车间、地下管线等可能对地下水环境造成影响的工程构筑物均按要求进行防渗，企业事故废水由事故应急处池进行收集，事故结束后可分批排入</w:t>
      </w:r>
      <w:r>
        <w:rPr>
          <w:rFonts w:hint="eastAsia" w:cs="Times New Roman"/>
          <w:color w:val="auto"/>
          <w:highlight w:val="none"/>
          <w:lang w:val="en-US" w:eastAsia="zh-CN"/>
        </w:rPr>
        <w:t>园区</w:t>
      </w:r>
      <w:r>
        <w:rPr>
          <w:rFonts w:hint="default" w:ascii="Times New Roman" w:hAnsi="Times New Roman" w:cs="Times New Roman"/>
          <w:color w:val="auto"/>
          <w:highlight w:val="none"/>
          <w:lang w:val="en-US" w:eastAsia="zh-CN"/>
        </w:rPr>
        <w:t>废水处理站进行处理。同时</w:t>
      </w:r>
      <w:r>
        <w:rPr>
          <w:rFonts w:hint="eastAsia" w:cs="Times New Roman"/>
          <w:color w:val="auto"/>
          <w:highlight w:val="none"/>
          <w:lang w:val="en-US" w:eastAsia="zh-CN"/>
        </w:rPr>
        <w:t>，</w:t>
      </w:r>
      <w:r>
        <w:rPr>
          <w:rFonts w:hint="default" w:ascii="Times New Roman" w:hAnsi="Times New Roman" w:cs="Times New Roman"/>
          <w:color w:val="auto"/>
          <w:highlight w:val="none"/>
          <w:lang w:val="en-US" w:eastAsia="zh-CN"/>
        </w:rPr>
        <w:t>在建设过程中项目采取了严格的防渗措施。经分析，在正常工况条件下对地下水环境的影响较小。</w:t>
      </w:r>
    </w:p>
    <w:p w14:paraId="3F4C7841">
      <w:pPr>
        <w:pStyle w:val="14"/>
        <w:widowControl w:val="0"/>
        <w:numPr>
          <w:ilvl w:val="0"/>
          <w:numId w:val="0"/>
        </w:numPr>
        <w:spacing w:line="360" w:lineRule="auto"/>
        <w:ind w:firstLine="480" w:firstLineChars="200"/>
        <w:jc w:val="both"/>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非正常工况下预测结果表明：如果厂内生产废水发生泄漏，在厂内跟踪监测井内的污染物CODMn、氨氮浓度在 1 天后就可以监测出超标情况，因此环评建议项目须做好严格防渗措施及后期监测方案，避免事故工况的发生，进而确保地下水不受影响。</w:t>
      </w:r>
    </w:p>
    <w:p w14:paraId="18FDD918">
      <w:pPr>
        <w:pStyle w:val="14"/>
        <w:widowControl w:val="0"/>
        <w:numPr>
          <w:ilvl w:val="0"/>
          <w:numId w:val="0"/>
        </w:numPr>
        <w:spacing w:line="360" w:lineRule="auto"/>
        <w:ind w:firstLine="480" w:firstLineChars="200"/>
        <w:jc w:val="both"/>
        <w:rPr>
          <w:rFonts w:hint="eastAsia" w:cs="Times New Roman"/>
          <w:color w:val="auto"/>
          <w:highlight w:val="none"/>
          <w:lang w:val="en-US" w:eastAsia="zh-CN"/>
        </w:rPr>
      </w:pPr>
      <w:r>
        <w:rPr>
          <w:rFonts w:hint="default" w:ascii="Times New Roman" w:hAnsi="Times New Roman" w:cs="Times New Roman"/>
          <w:color w:val="auto"/>
          <w:highlight w:val="none"/>
          <w:lang w:val="en-US" w:eastAsia="zh-CN"/>
        </w:rPr>
        <w:t>环评要求本项目运行过程中严格按照6.5.8地下水污染监控对地下水水质进行监测，如发现水质异常，立刻采取有效措施（如采用水动力隔离技术）阻止污染羽的扩散迁移，将地下水控制在局部范围，避免对厂区下游地下水造成污染</w:t>
      </w:r>
      <w:r>
        <w:rPr>
          <w:rFonts w:hint="eastAsia" w:cs="Times New Roman"/>
          <w:color w:val="auto"/>
          <w:highlight w:val="none"/>
          <w:lang w:val="en-US" w:eastAsia="zh-CN"/>
        </w:rPr>
        <w:t>。</w:t>
      </w:r>
    </w:p>
    <w:p w14:paraId="4C3BCD95">
      <w:pPr>
        <w:pStyle w:val="5"/>
        <w:rPr>
          <w:rFonts w:hint="eastAsia" w:cs="Times New Roman"/>
          <w:color w:val="auto"/>
          <w:highlight w:val="none"/>
          <w:lang w:val="en-US" w:eastAsia="zh-CN"/>
        </w:rPr>
      </w:pPr>
      <w:r>
        <w:rPr>
          <w:rFonts w:hint="eastAsia" w:cs="Times New Roman"/>
          <w:color w:val="auto"/>
          <w:highlight w:val="none"/>
          <w:lang w:val="en-US" w:eastAsia="zh-CN"/>
        </w:rPr>
        <w:t xml:space="preserve"> 柴油、焦油泄漏风险防范措施</w:t>
      </w:r>
    </w:p>
    <w:p w14:paraId="3618CC13">
      <w:pPr>
        <w:pStyle w:val="14"/>
        <w:widowControl w:val="0"/>
        <w:numPr>
          <w:ilvl w:val="0"/>
          <w:numId w:val="0"/>
        </w:numPr>
        <w:spacing w:line="360" w:lineRule="auto"/>
        <w:ind w:firstLine="480" w:firstLineChars="200"/>
        <w:jc w:val="both"/>
        <w:rPr>
          <w:rFonts w:hint="eastAsia" w:cs="Times New Roman"/>
          <w:color w:val="auto"/>
          <w:highlight w:val="none"/>
          <w:lang w:val="en-US" w:eastAsia="zh-CN"/>
        </w:rPr>
      </w:pPr>
      <w:r>
        <w:rPr>
          <w:rFonts w:hint="eastAsia" w:cs="Times New Roman"/>
          <w:color w:val="auto"/>
          <w:highlight w:val="none"/>
          <w:lang w:val="en-US" w:eastAsia="zh-CN"/>
        </w:rPr>
        <w:t>（1）应根据暂存物质的物理化学性质，火灾爆炸危险性、物料有毒有害特征，分区布置，并按《建筑设计防火规范》的要求设置足够的安全防火间距，易燃易爆品储罐以及仓库要有易燃物品警告标识。</w:t>
      </w:r>
    </w:p>
    <w:p w14:paraId="16D3A405">
      <w:pPr>
        <w:pStyle w:val="14"/>
        <w:widowControl w:val="0"/>
        <w:numPr>
          <w:ilvl w:val="0"/>
          <w:numId w:val="0"/>
        </w:numPr>
        <w:spacing w:line="360" w:lineRule="auto"/>
        <w:ind w:firstLine="480" w:firstLineChars="200"/>
        <w:jc w:val="both"/>
        <w:rPr>
          <w:rFonts w:hint="eastAsia" w:cs="Times New Roman"/>
          <w:color w:val="auto"/>
          <w:highlight w:val="none"/>
          <w:lang w:val="en-US" w:eastAsia="zh-CN"/>
        </w:rPr>
      </w:pPr>
      <w:r>
        <w:rPr>
          <w:rFonts w:hint="eastAsia" w:cs="Times New Roman"/>
          <w:color w:val="auto"/>
          <w:highlight w:val="none"/>
          <w:lang w:val="en-US" w:eastAsia="zh-CN"/>
        </w:rPr>
        <w:t>（2）储罐应做好泄漏收集工作，储罐周边应设置围堰和截流沟，防止泄漏物料进入环境，安装大型泡沫灭火系统，并保持周边消防通道的畅通。</w:t>
      </w:r>
    </w:p>
    <w:p w14:paraId="13EF6595">
      <w:pPr>
        <w:pStyle w:val="14"/>
        <w:widowControl w:val="0"/>
        <w:numPr>
          <w:ilvl w:val="0"/>
          <w:numId w:val="0"/>
        </w:numPr>
        <w:spacing w:line="360" w:lineRule="auto"/>
        <w:ind w:firstLine="480" w:firstLineChars="200"/>
        <w:jc w:val="both"/>
        <w:rPr>
          <w:rFonts w:hint="eastAsia" w:cs="Times New Roman"/>
          <w:color w:val="auto"/>
          <w:highlight w:val="none"/>
          <w:lang w:val="en-US" w:eastAsia="zh-CN"/>
        </w:rPr>
      </w:pPr>
      <w:r>
        <w:rPr>
          <w:rFonts w:hint="eastAsia" w:cs="Times New Roman"/>
          <w:color w:val="auto"/>
          <w:highlight w:val="none"/>
          <w:lang w:val="en-US" w:eastAsia="zh-CN"/>
        </w:rPr>
        <w:t>（3）储罐通风设施应经常保持完好，地面做好防腐防渗层。</w:t>
      </w:r>
    </w:p>
    <w:p w14:paraId="0E07FCF8">
      <w:pPr>
        <w:pStyle w:val="5"/>
        <w:rPr>
          <w:rFonts w:hint="eastAsia" w:cs="Times New Roman"/>
          <w:color w:val="auto"/>
          <w:highlight w:val="none"/>
          <w:lang w:val="en-US" w:eastAsia="zh-CN"/>
        </w:rPr>
      </w:pPr>
      <w:r>
        <w:rPr>
          <w:rFonts w:hint="eastAsia" w:cs="Times New Roman"/>
          <w:color w:val="auto"/>
          <w:highlight w:val="none"/>
          <w:lang w:val="en-US" w:eastAsia="zh-CN"/>
        </w:rPr>
        <w:t xml:space="preserve"> 危险废物管控风险防范措施</w:t>
      </w:r>
    </w:p>
    <w:p w14:paraId="5344B28F">
      <w:pPr>
        <w:pStyle w:val="14"/>
        <w:widowControl w:val="0"/>
        <w:numPr>
          <w:ilvl w:val="0"/>
          <w:numId w:val="0"/>
        </w:numPr>
        <w:spacing w:line="360" w:lineRule="auto"/>
        <w:ind w:firstLine="480" w:firstLineChars="200"/>
        <w:jc w:val="both"/>
        <w:rPr>
          <w:rFonts w:hint="eastAsia" w:cs="Times New Roman"/>
          <w:color w:val="auto"/>
          <w:highlight w:val="none"/>
          <w:lang w:val="en-US" w:eastAsia="zh-CN"/>
        </w:rPr>
      </w:pPr>
      <w:r>
        <w:rPr>
          <w:rFonts w:hint="eastAsia" w:cs="Times New Roman"/>
          <w:color w:val="auto"/>
          <w:highlight w:val="none"/>
          <w:lang w:val="en-US" w:eastAsia="zh-CN"/>
        </w:rPr>
        <w:t>危险废物临时贮存场所严格按照《危险废物贮存污染控制标准》</w:t>
      </w:r>
      <w:r>
        <w:rPr>
          <w:rFonts w:hint="default" w:ascii="Times New Roman" w:hAnsi="Times New Roman" w:cs="Times New Roman"/>
          <w:color w:val="auto"/>
          <w:highlight w:val="none"/>
        </w:rPr>
        <w:t>（</w:t>
      </w:r>
      <w:r>
        <w:rPr>
          <w:rFonts w:hint="default" w:ascii="Times New Roman" w:hAnsi="Times New Roman" w:eastAsia="宋体" w:cs="Times New Roman"/>
          <w:color w:val="auto"/>
          <w:kern w:val="0"/>
          <w:sz w:val="24"/>
          <w:szCs w:val="24"/>
          <w:highlight w:val="none"/>
          <w:lang w:val="en-US" w:eastAsia="zh-CN" w:bidi="ar"/>
        </w:rPr>
        <w:t>GB18597-2023</w:t>
      </w:r>
      <w:r>
        <w:rPr>
          <w:rFonts w:hint="default" w:ascii="Times New Roman" w:hAnsi="Times New Roman" w:cs="Times New Roman"/>
          <w:color w:val="auto"/>
          <w:highlight w:val="none"/>
        </w:rPr>
        <w:t>）</w:t>
      </w:r>
      <w:r>
        <w:rPr>
          <w:rFonts w:hint="eastAsia" w:cs="Times New Roman"/>
          <w:color w:val="auto"/>
          <w:highlight w:val="none"/>
          <w:lang w:val="en-US" w:eastAsia="zh-CN"/>
        </w:rPr>
        <w:t>的要求进行建设，地面与裙脚要用坚固、防渗的材料建造，建筑材料必须与危险废物相容，用于存放装载液体、半固体危险废物容器的地方，必须有耐腐蚀的硬化地面，且表面无裂缝。危废临时储存所采取分区防渗措施，可有效防止对地下水环境造成污染。</w:t>
      </w:r>
    </w:p>
    <w:p w14:paraId="4A5353D6">
      <w:pPr>
        <w:pStyle w:val="14"/>
        <w:widowControl w:val="0"/>
        <w:numPr>
          <w:ilvl w:val="0"/>
          <w:numId w:val="0"/>
        </w:numPr>
        <w:spacing w:line="360" w:lineRule="auto"/>
        <w:ind w:firstLine="480" w:firstLineChars="200"/>
        <w:jc w:val="both"/>
        <w:rPr>
          <w:rFonts w:hint="eastAsia" w:cs="Times New Roman"/>
          <w:color w:val="auto"/>
          <w:highlight w:val="none"/>
          <w:lang w:val="en-US" w:eastAsia="zh-CN"/>
        </w:rPr>
      </w:pPr>
      <w:r>
        <w:rPr>
          <w:rFonts w:hint="eastAsia" w:cs="Times New Roman"/>
          <w:color w:val="auto"/>
          <w:highlight w:val="none"/>
          <w:lang w:val="en-US" w:eastAsia="zh-CN"/>
        </w:rPr>
        <w:t>项目在运营过程中会产生危险废物，因此在原料收集、运输、贮存和处理过程中应加强环境管理，危废收集点配置相应的原料存储设施和检验化验设备，而且原料存储设施和场所严格按照《危险废物贮存污染控制标准》</w:t>
      </w:r>
      <w:r>
        <w:rPr>
          <w:rFonts w:hint="default" w:ascii="Times New Roman" w:hAnsi="Times New Roman" w:cs="Times New Roman"/>
          <w:color w:val="auto"/>
          <w:highlight w:val="none"/>
        </w:rPr>
        <w:t>（</w:t>
      </w:r>
      <w:r>
        <w:rPr>
          <w:rFonts w:hint="default" w:ascii="Times New Roman" w:hAnsi="Times New Roman" w:eastAsia="宋体" w:cs="Times New Roman"/>
          <w:color w:val="auto"/>
          <w:kern w:val="0"/>
          <w:sz w:val="24"/>
          <w:szCs w:val="24"/>
          <w:highlight w:val="none"/>
          <w:lang w:val="en-US" w:eastAsia="zh-CN" w:bidi="ar"/>
        </w:rPr>
        <w:t>GB18597-2023</w:t>
      </w:r>
      <w:r>
        <w:rPr>
          <w:rFonts w:hint="default" w:ascii="Times New Roman" w:hAnsi="Times New Roman" w:cs="Times New Roman"/>
          <w:color w:val="auto"/>
          <w:highlight w:val="none"/>
        </w:rPr>
        <w:t>）</w:t>
      </w:r>
      <w:r>
        <w:rPr>
          <w:rFonts w:hint="eastAsia" w:cs="Times New Roman"/>
          <w:color w:val="auto"/>
          <w:highlight w:val="none"/>
          <w:lang w:val="en-US" w:eastAsia="zh-CN"/>
        </w:rPr>
        <w:t>的要求进行设置，运输过程委托有危险废物运输资质的物流公司，并且运输过程中加强风险防范措施，危废的暂存应严格环境管理，并对项目危废暂存间采取防渗措施，避免因事故而导致的物料流失、渗漏，对环境造成二次污染。</w:t>
      </w:r>
    </w:p>
    <w:p w14:paraId="396FDA6B">
      <w:pPr>
        <w:pStyle w:val="5"/>
        <w:rPr>
          <w:rFonts w:hint="default" w:cs="Times New Roman"/>
          <w:color w:val="auto"/>
          <w:highlight w:val="none"/>
          <w:lang w:val="en-US" w:eastAsia="zh-CN"/>
        </w:rPr>
      </w:pPr>
      <w:r>
        <w:rPr>
          <w:rFonts w:hint="eastAsia" w:cs="Times New Roman"/>
          <w:color w:val="auto"/>
          <w:highlight w:val="none"/>
          <w:lang w:val="en-US" w:eastAsia="zh-CN"/>
        </w:rPr>
        <w:t xml:space="preserve"> </w:t>
      </w:r>
      <w:r>
        <w:rPr>
          <w:rFonts w:hint="default" w:cs="Times New Roman"/>
          <w:color w:val="auto"/>
          <w:highlight w:val="none"/>
          <w:lang w:val="en-US" w:eastAsia="zh-CN"/>
        </w:rPr>
        <w:t>气柜火灾和爆炸的预防措施</w:t>
      </w:r>
    </w:p>
    <w:p w14:paraId="726F2591">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①气柜周边严要求设置防爆分区划，应布置在通风良好的地方</w:t>
      </w:r>
      <w:r>
        <w:rPr>
          <w:rFonts w:hint="eastAsia" w:cs="Times New Roman"/>
          <w:color w:val="auto"/>
          <w:highlight w:val="none"/>
          <w:lang w:val="en-US" w:eastAsia="zh-CN"/>
        </w:rPr>
        <w:t>；</w:t>
      </w:r>
      <w:r>
        <w:rPr>
          <w:rFonts w:hint="default" w:cs="Times New Roman"/>
          <w:color w:val="auto"/>
          <w:highlight w:val="none"/>
          <w:lang w:val="en-US" w:eastAsia="zh-CN"/>
        </w:rPr>
        <w:t>宜布置在主要生产车间全年最小频率风向上风侧</w:t>
      </w:r>
      <w:r>
        <w:rPr>
          <w:rFonts w:hint="eastAsia" w:cs="Times New Roman"/>
          <w:color w:val="auto"/>
          <w:highlight w:val="none"/>
          <w:lang w:val="en-US" w:eastAsia="zh-CN"/>
        </w:rPr>
        <w:t>；</w:t>
      </w:r>
      <w:r>
        <w:rPr>
          <w:rFonts w:hint="default" w:cs="Times New Roman"/>
          <w:color w:val="auto"/>
          <w:highlight w:val="none"/>
          <w:lang w:val="en-US" w:eastAsia="zh-CN"/>
        </w:rPr>
        <w:t>其防火间距应当满足相关要求</w:t>
      </w:r>
      <w:r>
        <w:rPr>
          <w:rFonts w:hint="eastAsia" w:cs="Times New Roman"/>
          <w:color w:val="auto"/>
          <w:highlight w:val="none"/>
          <w:lang w:val="en-US" w:eastAsia="zh-CN"/>
        </w:rPr>
        <w:t>；</w:t>
      </w:r>
    </w:p>
    <w:p w14:paraId="7C3FF228">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②不采用水灭火，气柜筒体内部和外壁不设置消防水设施，其冷却采用固定式水炮或移动式水枪冷却方式。室外应当设置室外消火栓等消防给水系统，其消防给水设计应满足相关要求；</w:t>
      </w:r>
    </w:p>
    <w:p w14:paraId="7D4C909E">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③气柜活塞与柜顶之间的空间通风条件较差，一旦燃气泄漏则可能达到爆炸极限，遇火花即会爆炸。因此气柜活塞上部应按储存气体特性设置固定式可燃气体浓度监测装置，其监测信号应送到气柜的控制室。进出口管道水封室内应设可燃气体浓度检测报警装置和通风换气系统。</w:t>
      </w:r>
    </w:p>
    <w:p w14:paraId="11F19BAE">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④气柜储气温度不宜超过60℃</w:t>
      </w:r>
      <w:r>
        <w:rPr>
          <w:rFonts w:hint="eastAsia" w:cs="Times New Roman"/>
          <w:color w:val="auto"/>
          <w:highlight w:val="none"/>
          <w:lang w:val="en-US" w:eastAsia="zh-CN"/>
        </w:rPr>
        <w:t>，</w:t>
      </w:r>
      <w:r>
        <w:rPr>
          <w:rFonts w:hint="default" w:cs="Times New Roman"/>
          <w:color w:val="auto"/>
          <w:highlight w:val="none"/>
          <w:lang w:val="en-US" w:eastAsia="zh-CN"/>
        </w:rPr>
        <w:t>气柜进口管道或柜内应设气体温度测量设施。</w:t>
      </w:r>
    </w:p>
    <w:p w14:paraId="76FAC870">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⑤采用防爆型设备。柜体照明灯具应选用防爆型节能灯具。气柜必须设防雷接地和防静电接地。</w:t>
      </w:r>
    </w:p>
    <w:p w14:paraId="7CD846EB">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⑥进入气柜活塞下部检修前必须安全切断气柜所有气体进出口管阀门，确认活塞下部气体中有害物质浓度满足相关要求，含氧量达到19. 5%以上且通风良好。每次进入活塞下部检修的人员和工器具均应登记并确认返回</w:t>
      </w:r>
      <w:r>
        <w:rPr>
          <w:rFonts w:hint="eastAsia" w:cs="Times New Roman"/>
          <w:color w:val="auto"/>
          <w:highlight w:val="none"/>
          <w:lang w:val="en-US" w:eastAsia="zh-CN"/>
        </w:rPr>
        <w:t>，</w:t>
      </w:r>
      <w:r>
        <w:rPr>
          <w:rFonts w:hint="default" w:cs="Times New Roman"/>
          <w:color w:val="auto"/>
          <w:highlight w:val="none"/>
          <w:lang w:val="en-US" w:eastAsia="zh-CN"/>
        </w:rPr>
        <w:t>出入口处应有专人监护。</w:t>
      </w:r>
    </w:p>
    <w:p w14:paraId="76E3AEF6">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⑦气柜入孔、管道阀门法兰连接处等密封部位发生着火时</w:t>
      </w:r>
      <w:r>
        <w:rPr>
          <w:rFonts w:hint="eastAsia" w:cs="Times New Roman"/>
          <w:color w:val="auto"/>
          <w:highlight w:val="none"/>
          <w:lang w:val="en-US" w:eastAsia="zh-CN"/>
        </w:rPr>
        <w:t>，</w:t>
      </w:r>
      <w:r>
        <w:rPr>
          <w:rFonts w:hint="default" w:cs="Times New Roman"/>
          <w:color w:val="auto"/>
          <w:highlight w:val="none"/>
          <w:lang w:val="en-US" w:eastAsia="zh-CN"/>
        </w:rPr>
        <w:t>可采用干粉灭火器、消火栓和堵泥等方法灭火</w:t>
      </w:r>
      <w:r>
        <w:rPr>
          <w:rFonts w:hint="eastAsia" w:cs="Times New Roman"/>
          <w:color w:val="auto"/>
          <w:highlight w:val="none"/>
          <w:lang w:val="en-US" w:eastAsia="zh-CN"/>
        </w:rPr>
        <w:t>；</w:t>
      </w:r>
      <w:r>
        <w:rPr>
          <w:rFonts w:hint="default" w:cs="Times New Roman"/>
          <w:color w:val="auto"/>
          <w:highlight w:val="none"/>
          <w:lang w:val="en-US" w:eastAsia="zh-CN"/>
        </w:rPr>
        <w:t>气柜发生着火或爆炸后，应立即切断气源，根据现场情况使用固定式水炮或移动式水枪对着火罐及相邻罐进行冷却，启动应急预案并通知有关用户及时停止用气。</w:t>
      </w:r>
    </w:p>
    <w:p w14:paraId="2DAB3346">
      <w:pPr>
        <w:pStyle w:val="5"/>
        <w:rPr>
          <w:rFonts w:hint="default" w:cs="Times New Roman"/>
          <w:color w:val="auto"/>
          <w:highlight w:val="none"/>
          <w:lang w:val="en-US" w:eastAsia="zh-CN"/>
        </w:rPr>
      </w:pPr>
      <w:r>
        <w:rPr>
          <w:rFonts w:hint="default" w:cs="Times New Roman"/>
          <w:color w:val="auto"/>
          <w:highlight w:val="none"/>
          <w:lang w:val="en-US" w:eastAsia="zh-CN"/>
        </w:rPr>
        <w:t xml:space="preserve"> 事故情况下废水排放预防措施</w:t>
      </w:r>
    </w:p>
    <w:p w14:paraId="544F7D3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厂区内应设置初期雨水、消防事故废水收集与导流系统。设置独立的重力流排水管道使含污雨水进入初期雨水收集池进行储存，同时在排水管道上设有旁路管道及阀门，在降雨后期，通过阀门开关转换，使清净雨水直接排入绿化带，而不再进入初期雨水池。当发生事故时，事故废水通过管道收集系统，将事故废水导入事故池。当发生渗沥液泄漏事故或消防事故时，应及时封闭雨水管道排口，并采取封堵措施，将事故废水导入事故池，防止泄漏的渗沥液或消防废水沿雨水 系统外流。</w:t>
      </w:r>
    </w:p>
    <w:p w14:paraId="192003BF">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参照《化工建设项目环境保护设计规范》（GB50483-2009），对排入应急 事故池的废水应进行必要的监测，能够回用的回用；对不符合回用要求，但符合 污水处理系统进水要求的废水，应分批进入独山子区污水处理厂进行处理。事故 池应采取安全及防渗措施，且事故池在非事故状态下不得占用以保证可以随时容 纳可能发生的事故产生的废水。</w:t>
      </w:r>
    </w:p>
    <w:p w14:paraId="0C47B849">
      <w:pPr>
        <w:pStyle w:val="5"/>
        <w:pageBreakBefore w:val="0"/>
        <w:kinsoku/>
        <w:wordWrap/>
        <w:overflowPunct/>
        <w:topLinePunct w:val="0"/>
        <w:bidi w:val="0"/>
        <w:snapToGrid/>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地下水及土壤环境风险防范措施</w:t>
      </w:r>
    </w:p>
    <w:p w14:paraId="40A349AC">
      <w:pPr>
        <w:pStyle w:val="34"/>
        <w:pageBreakBefore w:val="0"/>
        <w:kinsoku/>
        <w:wordWrap/>
        <w:overflowPunct/>
        <w:topLinePunct w:val="0"/>
        <w:bidi w:val="0"/>
        <w:snapToGrid/>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（1）源头控制</w:t>
      </w:r>
    </w:p>
    <w:p w14:paraId="015C20A0">
      <w:pPr>
        <w:pStyle w:val="34"/>
        <w:pageBreakBefore w:val="0"/>
        <w:kinsoku/>
        <w:wordWrap/>
        <w:overflowPunct/>
        <w:topLinePunct w:val="0"/>
        <w:bidi w:val="0"/>
        <w:snapToGrid/>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加强生产车间、废水收集系统等隐患排查和管理，降低环境风险。 </w:t>
      </w:r>
    </w:p>
    <w:p w14:paraId="30D31F25">
      <w:pPr>
        <w:pStyle w:val="34"/>
        <w:pageBreakBefore w:val="0"/>
        <w:kinsoku/>
        <w:wordWrap/>
        <w:overflowPunct/>
        <w:topLinePunct w:val="0"/>
        <w:bidi w:val="0"/>
        <w:snapToGrid/>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（2）分区防渗措施 </w:t>
      </w:r>
    </w:p>
    <w:p w14:paraId="7E260605">
      <w:pPr>
        <w:pStyle w:val="34"/>
        <w:pageBreakBefore w:val="0"/>
        <w:kinsoku/>
        <w:wordWrap/>
        <w:overflowPunct/>
        <w:topLinePunct w:val="0"/>
        <w:bidi w:val="0"/>
        <w:snapToGrid/>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本项目划分为重点防渗区、一般防渗区和简单防渗区。具体防渗分区要求见章节 6.3.4。 </w:t>
      </w:r>
    </w:p>
    <w:p w14:paraId="67858CAB">
      <w:pPr>
        <w:pStyle w:val="34"/>
        <w:pageBreakBefore w:val="0"/>
        <w:kinsoku/>
        <w:wordWrap/>
        <w:overflowPunct/>
        <w:topLinePunct w:val="0"/>
        <w:bidi w:val="0"/>
        <w:snapToGrid/>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（3）跟踪监测 </w:t>
      </w:r>
    </w:p>
    <w:p w14:paraId="39376BF3">
      <w:pPr>
        <w:pStyle w:val="34"/>
        <w:pageBreakBefore w:val="0"/>
        <w:kinsoku/>
        <w:wordWrap/>
        <w:overflowPunct/>
        <w:topLinePunct w:val="0"/>
        <w:bidi w:val="0"/>
        <w:snapToGrid/>
        <w:spacing w:after="0"/>
        <w:ind w:left="0" w:leftChars="0"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根据地下水跟踪监测要求，本项目设置 1 个地下水跟踪监测点，位于项目地下水流下游，定期对地下水进行跟踪监测，降低环境风险，减轻事故状态对地下水的影响。本项目地下水跟踪监测具体要求见章节 6.3.5。</w:t>
      </w:r>
    </w:p>
    <w:p w14:paraId="01CAEF17">
      <w:pPr>
        <w:pStyle w:val="5"/>
        <w:rPr>
          <w:rFonts w:hint="default" w:cs="Times New Roman"/>
          <w:color w:val="auto"/>
          <w:highlight w:val="none"/>
          <w:lang w:val="en-US" w:eastAsia="zh-CN"/>
        </w:rPr>
      </w:pPr>
      <w:r>
        <w:rPr>
          <w:rFonts w:hint="default" w:cs="Times New Roman"/>
          <w:color w:val="auto"/>
          <w:highlight w:val="none"/>
          <w:lang w:val="en-US" w:eastAsia="zh-CN"/>
        </w:rPr>
        <w:t>其他风险防范与减缓措施</w:t>
      </w:r>
    </w:p>
    <w:p w14:paraId="35F896F4">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（1）在各危险地点和危险设备处，设立安全标志或涂刷相应的安全色。</w:t>
      </w:r>
    </w:p>
    <w:p w14:paraId="703AF8E4">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2）各工段和生产班组应设有安全生产监督员，对于安全知识和技能应有相当了解和经验，能处理突发事故，可专门负责安全方面的检查监督工作，按照安全卫生管理体系的运行，严格执行制定的各项安全生产规章制度。确保生产秩序正常进行。</w:t>
      </w:r>
    </w:p>
    <w:p w14:paraId="474C9747">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（3）选用先进的工艺技术和安全联锁报警装置，建立完整可靠的自动控制系统，完成各生产装置的工艺参数显示，调节控制，报警记录和自动打印功能</w:t>
      </w:r>
      <w:r>
        <w:rPr>
          <w:rFonts w:hint="eastAsia" w:cs="Times New Roman"/>
          <w:color w:val="auto"/>
          <w:highlight w:val="none"/>
          <w:lang w:val="en-US" w:eastAsia="zh-CN"/>
        </w:rPr>
        <w:t>，</w:t>
      </w:r>
      <w:r>
        <w:rPr>
          <w:rFonts w:hint="default" w:cs="Times New Roman"/>
          <w:color w:val="auto"/>
          <w:highlight w:val="none"/>
          <w:lang w:val="en-US" w:eastAsia="zh-CN"/>
        </w:rPr>
        <w:t>监控整个工艺生产过程。同时，各生产装置均单独设置可编程序逻辑控制系统 PLC，接受主要机泵、设备工艺参数的安全联锁信号，在紧急状态下，逻辑控制器 PLC自动启动，使装置或系统相应部位安全停车。</w:t>
      </w:r>
    </w:p>
    <w:p w14:paraId="57BDEDED">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（4）危险源的厂房和装置在生产过程中进行有效的控制措施，监测危险物质的状态、工艺过程的安全操作、工艺设备的运行状态等，发现问题及时处理</w:t>
      </w:r>
      <w:r>
        <w:rPr>
          <w:rFonts w:hint="eastAsia" w:cs="Times New Roman"/>
          <w:color w:val="auto"/>
          <w:highlight w:val="none"/>
          <w:lang w:val="en-US" w:eastAsia="zh-CN"/>
        </w:rPr>
        <w:t>、</w:t>
      </w:r>
      <w:r>
        <w:rPr>
          <w:rFonts w:hint="default" w:cs="Times New Roman"/>
          <w:color w:val="auto"/>
          <w:highlight w:val="none"/>
          <w:lang w:val="en-US" w:eastAsia="zh-CN"/>
        </w:rPr>
        <w:t>整改。并每年一次向地方政府安全生产监督管理部门报告重大危险源运行情况。</w:t>
      </w:r>
    </w:p>
    <w:p w14:paraId="2760C5C6">
      <w:pPr>
        <w:pStyle w:val="14"/>
        <w:widowControl w:val="0"/>
        <w:numPr>
          <w:ilvl w:val="0"/>
          <w:numId w:val="0"/>
        </w:numPr>
        <w:spacing w:line="360" w:lineRule="auto"/>
        <w:ind w:firstLine="480" w:firstLineChars="200"/>
        <w:jc w:val="both"/>
        <w:rPr>
          <w:rFonts w:hint="default" w:cs="Times New Roman"/>
          <w:color w:val="auto"/>
          <w:highlight w:val="none"/>
          <w:lang w:val="en-US" w:eastAsia="zh-CN"/>
        </w:rPr>
      </w:pPr>
      <w:r>
        <w:rPr>
          <w:rFonts w:hint="default" w:cs="Times New Roman"/>
          <w:color w:val="auto"/>
          <w:highlight w:val="none"/>
          <w:lang w:val="en-US" w:eastAsia="zh-CN"/>
        </w:rPr>
        <w:t>（5）按规范设置安全梯、设备平台和人员安全疏散通道。</w:t>
      </w:r>
    </w:p>
    <w:p w14:paraId="64A90FFF">
      <w:pPr>
        <w:pStyle w:val="14"/>
        <w:widowControl w:val="0"/>
        <w:numPr>
          <w:ilvl w:val="0"/>
          <w:numId w:val="0"/>
        </w:numPr>
        <w:spacing w:line="360" w:lineRule="auto"/>
        <w:ind w:firstLine="480" w:firstLineChars="200"/>
        <w:jc w:val="both"/>
        <w:rPr>
          <w:rFonts w:hint="eastAsia" w:cs="Times New Roman"/>
          <w:color w:val="auto"/>
          <w:highlight w:val="none"/>
          <w:lang w:val="en-US" w:eastAsia="zh-CN"/>
        </w:rPr>
      </w:pPr>
      <w:r>
        <w:rPr>
          <w:rFonts w:hint="default" w:cs="Times New Roman"/>
          <w:color w:val="auto"/>
          <w:highlight w:val="none"/>
          <w:lang w:val="en-US" w:eastAsia="zh-CN"/>
        </w:rPr>
        <w:t>（6）为防止火灾时消防尾水对周边水体造成污染，本次环评提出厂区需设置事故池</w:t>
      </w:r>
      <w:r>
        <w:rPr>
          <w:rFonts w:hint="eastAsia" w:cs="Times New Roman"/>
          <w:color w:val="auto"/>
          <w:highlight w:val="none"/>
          <w:lang w:val="en-US" w:eastAsia="zh-CN"/>
        </w:rPr>
        <w:t>和消防水池</w:t>
      </w:r>
      <w:r>
        <w:rPr>
          <w:rFonts w:hint="default" w:cs="Times New Roman"/>
          <w:color w:val="auto"/>
          <w:highlight w:val="none"/>
          <w:lang w:val="en-US" w:eastAsia="zh-CN"/>
        </w:rPr>
        <w:t>，容量能够满足消防废水收集的需求。消防事故池设为半地下式</w:t>
      </w:r>
      <w:r>
        <w:rPr>
          <w:rFonts w:hint="eastAsia" w:cs="Times New Roman"/>
          <w:color w:val="auto"/>
          <w:highlight w:val="none"/>
          <w:lang w:val="en-US" w:eastAsia="zh-CN"/>
        </w:rPr>
        <w:t>，</w:t>
      </w:r>
      <w:r>
        <w:rPr>
          <w:rFonts w:hint="default" w:cs="Times New Roman"/>
          <w:color w:val="auto"/>
          <w:highlight w:val="none"/>
          <w:lang w:val="en-US" w:eastAsia="zh-CN"/>
        </w:rPr>
        <w:t>以便于废水能自流进入事故池。为了随时应对可能发生的泄漏及事故事件，建设单位应保持事故池处于空置状态</w:t>
      </w:r>
      <w:r>
        <w:rPr>
          <w:rFonts w:hint="eastAsia" w:cs="Times New Roman"/>
          <w:color w:val="auto"/>
          <w:highlight w:val="none"/>
          <w:lang w:val="en-US" w:eastAsia="zh-CN"/>
        </w:rPr>
        <w:t>。</w:t>
      </w:r>
    </w:p>
    <w:p w14:paraId="526FF102">
      <w:pPr>
        <w:pStyle w:val="3"/>
        <w:spacing w:before="156" w:after="156"/>
        <w:rPr>
          <w:rFonts w:hint="default" w:ascii="Times New Roman" w:hAnsi="Times New Roman" w:cs="Times New Roman"/>
          <w:color w:val="auto"/>
          <w:highlight w:val="none"/>
          <w:lang w:val="en-US" w:eastAsia="zh-CN"/>
        </w:rPr>
      </w:pPr>
      <w:bookmarkStart w:id="177" w:name="_Toc12842"/>
      <w:r>
        <w:rPr>
          <w:rFonts w:hint="default" w:ascii="Times New Roman" w:hAnsi="Times New Roman" w:cs="Times New Roman"/>
          <w:color w:val="auto"/>
          <w:highlight w:val="none"/>
          <w:lang w:val="en-US" w:eastAsia="zh-CN"/>
        </w:rPr>
        <w:t>突发环境事件应急预案</w:t>
      </w:r>
      <w:bookmarkEnd w:id="177"/>
    </w:p>
    <w:p w14:paraId="56193ED5">
      <w:pPr>
        <w:pStyle w:val="131"/>
        <w:keepNext w:val="0"/>
        <w:keepLines w:val="0"/>
        <w:pageBreakBefore w:val="0"/>
        <w:widowControl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的投运生产必然伴随着潜在的危害，一旦发生事故，需要采取紧急措施。如果有毒有害物质泄漏到环境，则可能危害环境、造成人员伤亡，故需要实施社会救援，控制和减少事故危害。根据《建设项目环境风险评价技术导则》（HJ169-2018）中“10.3突发环境事件应急预案编制要求”中相关规定，编制企业环境风险应急预案。</w:t>
      </w:r>
    </w:p>
    <w:p w14:paraId="2C1BDD57">
      <w:pPr>
        <w:pStyle w:val="4"/>
        <w:keepNext/>
        <w:keepLines/>
        <w:pageBreakBefore w:val="0"/>
        <w:widowControl w:val="0"/>
        <w:kinsoku/>
        <w:wordWrap/>
        <w:overflowPunct/>
        <w:topLinePunct w:val="0"/>
        <w:autoSpaceDE/>
        <w:autoSpaceDN/>
        <w:bidi w:val="0"/>
        <w:adjustRightInd/>
        <w:snapToGrid w:val="0"/>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应急预案</w:t>
      </w:r>
      <w:r>
        <w:rPr>
          <w:rFonts w:hint="eastAsia" w:ascii="Times New Roman" w:hAnsi="Times New Roman" w:cs="Times New Roman"/>
          <w:color w:val="auto"/>
          <w:highlight w:val="none"/>
          <w:lang w:val="en-US" w:eastAsia="zh-CN"/>
        </w:rPr>
        <w:t>体系</w:t>
      </w:r>
    </w:p>
    <w:p w14:paraId="3136CC4B">
      <w:pPr>
        <w:pStyle w:val="131"/>
        <w:keepNext w:val="0"/>
        <w:keepLines w:val="0"/>
        <w:pageBreakBefore w:val="0"/>
        <w:widowControl w:val="0"/>
        <w:kinsoku/>
        <w:wordWrap/>
        <w:overflowPunct/>
        <w:topLinePunct w:val="0"/>
        <w:autoSpaceDE/>
        <w:autoSpaceDN/>
        <w:bidi w:val="0"/>
        <w:adjustRightInd/>
        <w:snapToGrid w:val="0"/>
        <w:spacing w:line="360" w:lineRule="auto"/>
        <w:ind w:firstLine="506"/>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w:t>
      </w:r>
      <w:r>
        <w:rPr>
          <w:rFonts w:hint="default" w:ascii="Times New Roman" w:hAnsi="Times New Roman" w:cs="Times New Roman"/>
          <w:b/>
          <w:bCs/>
          <w:color w:val="auto"/>
          <w:sz w:val="24"/>
          <w:szCs w:val="24"/>
          <w:highlight w:val="none"/>
          <w:lang w:val="en-US" w:eastAsia="zh-CN"/>
        </w:rPr>
        <w:t>1</w:t>
      </w:r>
      <w:r>
        <w:rPr>
          <w:rFonts w:hint="default" w:ascii="Times New Roman" w:hAnsi="Times New Roman" w:cs="Times New Roman"/>
          <w:b/>
          <w:bCs/>
          <w:color w:val="auto"/>
          <w:sz w:val="24"/>
          <w:szCs w:val="24"/>
          <w:highlight w:val="none"/>
        </w:rPr>
        <w:t>）环境风险事故分类</w:t>
      </w:r>
    </w:p>
    <w:p w14:paraId="01C07AF9">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根据环境风险事故影响和应急援救、控制特点，将环境风险事故分为泄漏、火灾和爆炸三类：</w:t>
      </w:r>
    </w:p>
    <w:p w14:paraId="3522DA5F">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①事故排放：环保设施运行状态异常，“三废”未经处理排出装置界区或未达标排入外环境；</w:t>
      </w:r>
    </w:p>
    <w:p w14:paraId="6BA4673E">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②事故泄漏：设备、管线破损，有毒有害液体泄漏进入污水管线造成水环境污染，有毒有害气体造成环境空气污染；</w:t>
      </w:r>
    </w:p>
    <w:p w14:paraId="37781F6B">
      <w:pPr>
        <w:pStyle w:val="130"/>
        <w:keepNext w:val="0"/>
        <w:keepLines w:val="0"/>
        <w:pageBreakBefore w:val="0"/>
        <w:kinsoku/>
        <w:wordWrap/>
        <w:overflowPunct/>
        <w:topLinePunct w:val="0"/>
        <w:autoSpaceDE/>
        <w:autoSpaceDN/>
        <w:bidi w:val="0"/>
        <w:adjustRightInd/>
        <w:snapToGrid w:val="0"/>
        <w:spacing w:line="360" w:lineRule="auto"/>
        <w:ind w:firstLine="48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③火灾、爆炸：可燃物料泄漏，遇火源发生火灾、爆炸，燃烧废气可能造成环境空气污染，消防水携带物料可能进入外排水管线造成水环境污染。火灾爆炸破坏地下防渗层，致使泄漏的物料深入地下，造成地下水污染。</w:t>
      </w:r>
    </w:p>
    <w:p w14:paraId="34494A7E">
      <w:pPr>
        <w:pStyle w:val="131"/>
        <w:keepNext w:val="0"/>
        <w:keepLines w:val="0"/>
        <w:pageBreakBefore w:val="0"/>
        <w:kinsoku/>
        <w:wordWrap/>
        <w:overflowPunct/>
        <w:topLinePunct w:val="0"/>
        <w:autoSpaceDE/>
        <w:autoSpaceDN/>
        <w:bidi w:val="0"/>
        <w:adjustRightInd/>
        <w:snapToGrid w:val="0"/>
        <w:spacing w:line="360" w:lineRule="auto"/>
        <w:ind w:firstLine="506"/>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w:t>
      </w:r>
      <w:r>
        <w:rPr>
          <w:rFonts w:hint="default" w:ascii="Times New Roman" w:hAnsi="Times New Roman" w:cs="Times New Roman"/>
          <w:b/>
          <w:bCs/>
          <w:color w:val="auto"/>
          <w:sz w:val="24"/>
          <w:szCs w:val="24"/>
          <w:highlight w:val="none"/>
          <w:lang w:val="en-US" w:eastAsia="zh-CN"/>
        </w:rPr>
        <w:t>2</w:t>
      </w:r>
      <w:r>
        <w:rPr>
          <w:rFonts w:hint="default" w:ascii="Times New Roman" w:hAnsi="Times New Roman" w:cs="Times New Roman"/>
          <w:b/>
          <w:bCs/>
          <w:color w:val="auto"/>
          <w:sz w:val="24"/>
          <w:szCs w:val="24"/>
          <w:highlight w:val="none"/>
        </w:rPr>
        <w:t>）环境风险事故分级</w:t>
      </w:r>
    </w:p>
    <w:p w14:paraId="34BE7B14">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按照环境风险事故的严重程度和影响范围，根据事故应急救援需要，将事故划分为Ⅰ、Ⅱ、Ⅲ级。</w:t>
      </w:r>
    </w:p>
    <w:p w14:paraId="43383283">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Ⅰ级事故：是指后果特别重大，且发生后可能持续一段时间，事故控制及其对生产、社会产生的影响依靠项目公司自身救援力量不能控制，需要当地政府有关部门或相关方协助救援的事故。</w:t>
      </w:r>
    </w:p>
    <w:p w14:paraId="203D45B9">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Ⅱ级事故：是指后果重大，且发生后可能持续一段时间，事故控制及其对生产、社会产生的影响依靠车间自身救援力量不能控制，需要项目公司或相关方救援才能控制的事故。</w:t>
      </w:r>
    </w:p>
    <w:p w14:paraId="1A05AF8A">
      <w:pPr>
        <w:pStyle w:val="130"/>
        <w:keepNext w:val="0"/>
        <w:keepLines w:val="0"/>
        <w:pageBreakBefore w:val="0"/>
        <w:kinsoku/>
        <w:wordWrap/>
        <w:overflowPunct/>
        <w:topLinePunct w:val="0"/>
        <w:autoSpaceDE/>
        <w:autoSpaceDN/>
        <w:bidi w:val="0"/>
        <w:adjustRightInd/>
        <w:snapToGrid w:val="0"/>
        <w:spacing w:line="360" w:lineRule="auto"/>
        <w:ind w:firstLine="48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Ⅲ级事故：是指生产装置现场就能控制，不需要救援的事故。</w:t>
      </w:r>
    </w:p>
    <w:p w14:paraId="66F6AFC3">
      <w:pPr>
        <w:pStyle w:val="131"/>
        <w:keepNext w:val="0"/>
        <w:keepLines w:val="0"/>
        <w:pageBreakBefore w:val="0"/>
        <w:kinsoku/>
        <w:wordWrap/>
        <w:overflowPunct/>
        <w:topLinePunct w:val="0"/>
        <w:autoSpaceDE/>
        <w:autoSpaceDN/>
        <w:bidi w:val="0"/>
        <w:adjustRightInd/>
        <w:snapToGrid w:val="0"/>
        <w:spacing w:line="360" w:lineRule="auto"/>
        <w:ind w:firstLine="506"/>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w:t>
      </w:r>
      <w:r>
        <w:rPr>
          <w:rFonts w:hint="default" w:ascii="Times New Roman" w:hAnsi="Times New Roman" w:cs="Times New Roman"/>
          <w:b/>
          <w:bCs/>
          <w:color w:val="auto"/>
          <w:sz w:val="24"/>
          <w:szCs w:val="24"/>
          <w:highlight w:val="none"/>
          <w:lang w:val="en-US" w:eastAsia="zh-CN"/>
        </w:rPr>
        <w:t>3</w:t>
      </w:r>
      <w:r>
        <w:rPr>
          <w:rFonts w:hint="default" w:ascii="Times New Roman" w:hAnsi="Times New Roman" w:cs="Times New Roman"/>
          <w:b/>
          <w:bCs/>
          <w:color w:val="auto"/>
          <w:sz w:val="24"/>
          <w:szCs w:val="24"/>
          <w:highlight w:val="none"/>
        </w:rPr>
        <w:t>）各级应急预案响应和联动程序</w:t>
      </w:r>
    </w:p>
    <w:p w14:paraId="4D254954">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①发生Ⅲ级事故，启动装置级环境风险事件应急预案；</w:t>
      </w:r>
    </w:p>
    <w:p w14:paraId="08E3F59E">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②发生Ⅱ级事故，启动装置级、公司级两级环境风险事件应急预案，同时告知当地政府预警；</w:t>
      </w:r>
    </w:p>
    <w:p w14:paraId="7E349C15">
      <w:pPr>
        <w:pStyle w:val="130"/>
        <w:keepNext w:val="0"/>
        <w:keepLines w:val="0"/>
        <w:pageBreakBefore w:val="0"/>
        <w:kinsoku/>
        <w:wordWrap/>
        <w:overflowPunct/>
        <w:topLinePunct w:val="0"/>
        <w:autoSpaceDE/>
        <w:autoSpaceDN/>
        <w:bidi w:val="0"/>
        <w:adjustRightInd/>
        <w:snapToGrid w:val="0"/>
        <w:spacing w:line="360" w:lineRule="auto"/>
        <w:ind w:firstLine="48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③发生Ⅰ级事故，启动装置级、公司级两级环境风险事件应急预案，同时告知地方政府。</w:t>
      </w:r>
    </w:p>
    <w:p w14:paraId="61C88E74">
      <w:pPr>
        <w:pStyle w:val="4"/>
        <w:keepNext/>
        <w:keepLines/>
        <w:pageBreakBefore w:val="0"/>
        <w:widowControl w:val="0"/>
        <w:kinsoku/>
        <w:wordWrap/>
        <w:overflowPunct/>
        <w:topLinePunct w:val="0"/>
        <w:autoSpaceDE/>
        <w:autoSpaceDN/>
        <w:bidi w:val="0"/>
        <w:adjustRightInd/>
        <w:snapToGrid w:val="0"/>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应急</w:t>
      </w:r>
      <w:r>
        <w:rPr>
          <w:rFonts w:hint="default" w:ascii="Times New Roman" w:hAnsi="Times New Roman" w:cs="Times New Roman"/>
          <w:color w:val="auto"/>
          <w:highlight w:val="none"/>
          <w:lang w:val="en-US" w:eastAsia="zh-CN"/>
        </w:rPr>
        <w:t>机构职责</w:t>
      </w:r>
    </w:p>
    <w:p w14:paraId="3D4D87B0">
      <w:pPr>
        <w:pStyle w:val="131"/>
        <w:keepNext w:val="0"/>
        <w:keepLines w:val="0"/>
        <w:pageBreakBefore w:val="0"/>
        <w:kinsoku/>
        <w:wordWrap/>
        <w:overflowPunct/>
        <w:topLinePunct w:val="0"/>
        <w:autoSpaceDE/>
        <w:autoSpaceDN/>
        <w:bidi w:val="0"/>
        <w:adjustRightInd/>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为有效应对突发环境事件，将突发环境事件对人员、财产和环境造成的损失降至最小程度、最大限度地保障企业员工及周围人民群众的生命财产安全及环境安全，项目应建立应急组织机构并规定各机构应负起的职责。</w:t>
      </w:r>
    </w:p>
    <w:p w14:paraId="288CF864">
      <w:pPr>
        <w:pStyle w:val="131"/>
        <w:keepNext w:val="0"/>
        <w:keepLines w:val="0"/>
        <w:pageBreakBefore w:val="0"/>
        <w:kinsoku/>
        <w:wordWrap/>
        <w:overflowPunct/>
        <w:topLinePunct w:val="0"/>
        <w:bidi w:val="0"/>
        <w:snapToGrid w:val="0"/>
        <w:spacing w:line="360" w:lineRule="auto"/>
        <w:ind w:firstLine="504"/>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企业应急组织机构应由指挥机构和执行机构组成。应急指挥机构成员由总指挥、副总指挥及各执行机构（应急小组）组长组成。应急领导小组下设执行机构，分别为通信联络组、医疗救护组、污染控制组、后勤保障组、警戒疏散组。应急指挥中心设在安全环保部办公室，设24小时应急值守电话，发生重大事故时，负责通知应急领导小组所有成员。现场应急部设在突发环境事件影响范围之外，上风向的空地。</w:t>
      </w:r>
    </w:p>
    <w:p w14:paraId="6EBF55F6">
      <w:pPr>
        <w:pStyle w:val="4"/>
        <w:keepNext/>
        <w:keepLines/>
        <w:pageBreakBefore w:val="0"/>
        <w:widowControl w:val="0"/>
        <w:kinsoku/>
        <w:wordWrap/>
        <w:overflowPunct/>
        <w:topLinePunct w:val="0"/>
        <w:autoSpaceDE/>
        <w:autoSpaceDN/>
        <w:bidi w:val="0"/>
        <w:adjustRightInd/>
        <w:snapToGrid w:val="0"/>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突发事故应急预案</w:t>
      </w:r>
    </w:p>
    <w:p w14:paraId="3C2BF9AA">
      <w:pPr>
        <w:pStyle w:val="130"/>
        <w:keepNext w:val="0"/>
        <w:keepLines w:val="0"/>
        <w:pageBreakBefore w:val="0"/>
        <w:kinsoku/>
        <w:wordWrap/>
        <w:overflowPunct/>
        <w:topLinePunct w:val="0"/>
        <w:autoSpaceDE/>
        <w:autoSpaceDN/>
        <w:bidi w:val="0"/>
        <w:adjustRightInd/>
        <w:snapToGrid w:val="0"/>
        <w:spacing w:line="360" w:lineRule="auto"/>
        <w:ind w:firstLine="48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应急预案</w:t>
      </w:r>
      <w:r>
        <w:rPr>
          <w:rFonts w:hint="eastAsia" w:ascii="Times New Roman" w:hAnsi="Times New Roman" w:cs="Times New Roman"/>
          <w:color w:val="auto"/>
          <w:sz w:val="24"/>
          <w:szCs w:val="24"/>
          <w:highlight w:val="none"/>
          <w:lang w:val="en-US" w:eastAsia="zh-CN"/>
        </w:rPr>
        <w:t>主要</w:t>
      </w:r>
      <w:r>
        <w:rPr>
          <w:rFonts w:hint="default" w:ascii="Times New Roman" w:hAnsi="Times New Roman" w:cs="Times New Roman"/>
          <w:color w:val="auto"/>
          <w:sz w:val="24"/>
          <w:szCs w:val="24"/>
          <w:highlight w:val="none"/>
        </w:rPr>
        <w:t>内容见下表。</w:t>
      </w:r>
    </w:p>
    <w:p w14:paraId="6C5CBBAE">
      <w:pPr>
        <w:pStyle w:val="14"/>
        <w:keepNext w:val="0"/>
        <w:keepLines w:val="0"/>
        <w:pageBreakBefore w:val="0"/>
        <w:kinsoku/>
        <w:wordWrap/>
        <w:overflowPunct/>
        <w:topLinePunct w:val="0"/>
        <w:autoSpaceDE/>
        <w:autoSpaceDN/>
        <w:bidi w:val="0"/>
        <w:adjustRightInd/>
        <w:snapToGrid w:val="0"/>
        <w:spacing w:line="240" w:lineRule="auto"/>
        <w:ind w:left="2548"/>
        <w:textAlignment w:val="auto"/>
        <w:rPr>
          <w:rFonts w:hint="default" w:eastAsiaTheme="minorEastAsia"/>
          <w:b/>
          <w:bCs/>
          <w:color w:val="auto"/>
          <w:sz w:val="21"/>
          <w:szCs w:val="21"/>
          <w:highlight w:val="none"/>
          <w:lang w:val="en-US" w:eastAsia="zh-CN"/>
        </w:rPr>
      </w:pPr>
      <w:r>
        <w:rPr>
          <w:b/>
          <w:bCs/>
          <w:color w:val="auto"/>
          <w:spacing w:val="-2"/>
          <w:sz w:val="21"/>
          <w:szCs w:val="21"/>
          <w:highlight w:val="none"/>
        </w:rPr>
        <w:t>表</w:t>
      </w:r>
      <w:r>
        <w:rPr>
          <w:b/>
          <w:bCs/>
          <w:color w:val="auto"/>
          <w:spacing w:val="-26"/>
          <w:sz w:val="21"/>
          <w:szCs w:val="21"/>
          <w:highlight w:val="none"/>
        </w:rPr>
        <w:t xml:space="preserve"> </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9.8</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noBreakHyphen/>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1</w:t>
      </w:r>
      <w:r>
        <w:rPr>
          <w:rFonts w:hint="default" w:ascii="Times New Roman" w:hAnsi="Times New Roman" w:cs="Times New Roman"/>
          <w:b/>
          <w:bCs/>
          <w:color w:val="auto"/>
          <w:sz w:val="21"/>
          <w:szCs w:val="21"/>
          <w:highlight w:val="none"/>
        </w:rPr>
        <w:fldChar w:fldCharType="end"/>
      </w:r>
      <w:r>
        <w:rPr>
          <w:rFonts w:hint="eastAsia" w:ascii="Times New Roman" w:hAnsi="Times New Roman" w:cs="Times New Roman"/>
          <w:b/>
          <w:bCs/>
          <w:color w:val="auto"/>
          <w:sz w:val="21"/>
          <w:szCs w:val="21"/>
          <w:highlight w:val="none"/>
          <w:lang w:val="en-US" w:eastAsia="zh-CN"/>
        </w:rPr>
        <w:t xml:space="preserve"> 环境风险应急预案内容</w:t>
      </w:r>
    </w:p>
    <w:tbl>
      <w:tblPr>
        <w:tblStyle w:val="132"/>
        <w:tblW w:w="9093" w:type="dxa"/>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0" w:type="dxa"/>
          <w:bottom w:w="0" w:type="dxa"/>
          <w:right w:w="0" w:type="dxa"/>
        </w:tblCellMar>
      </w:tblPr>
      <w:tblGrid>
        <w:gridCol w:w="713"/>
        <w:gridCol w:w="2580"/>
        <w:gridCol w:w="5800"/>
      </w:tblGrid>
      <w:tr w14:paraId="48418B4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28348856">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
                <w:bCs w:val="0"/>
                <w:color w:val="auto"/>
                <w:sz w:val="20"/>
                <w:szCs w:val="20"/>
                <w:highlight w:val="none"/>
                <w:lang w:eastAsia="zh-CN"/>
              </w:rPr>
            </w:pPr>
            <w:r>
              <w:rPr>
                <w:rFonts w:hint="default" w:ascii="Times New Roman" w:hAnsi="Times New Roman" w:cs="Times New Roman"/>
                <w:b/>
                <w:bCs w:val="0"/>
                <w:color w:val="auto"/>
                <w:sz w:val="20"/>
                <w:szCs w:val="20"/>
                <w:highlight w:val="none"/>
                <w:lang w:eastAsia="zh-CN"/>
              </w:rPr>
              <w:t>序号</w:t>
            </w:r>
          </w:p>
        </w:tc>
        <w:tc>
          <w:tcPr>
            <w:tcW w:w="2580" w:type="dxa"/>
            <w:tcBorders>
              <w:tl2br w:val="nil"/>
              <w:tr2bl w:val="nil"/>
            </w:tcBorders>
            <w:vAlign w:val="center"/>
          </w:tcPr>
          <w:p w14:paraId="6B134CB0">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
                <w:bCs w:val="0"/>
                <w:color w:val="auto"/>
                <w:sz w:val="20"/>
                <w:szCs w:val="20"/>
                <w:highlight w:val="none"/>
                <w:lang w:eastAsia="zh-CN"/>
              </w:rPr>
            </w:pPr>
            <w:r>
              <w:rPr>
                <w:rFonts w:hint="default" w:ascii="Times New Roman" w:hAnsi="Times New Roman" w:cs="Times New Roman"/>
                <w:b/>
                <w:bCs w:val="0"/>
                <w:color w:val="auto"/>
                <w:sz w:val="20"/>
                <w:szCs w:val="20"/>
                <w:highlight w:val="none"/>
                <w:lang w:eastAsia="zh-CN"/>
              </w:rPr>
              <w:t>项目</w:t>
            </w:r>
          </w:p>
        </w:tc>
        <w:tc>
          <w:tcPr>
            <w:tcW w:w="5800" w:type="dxa"/>
            <w:tcBorders>
              <w:tl2br w:val="nil"/>
              <w:tr2bl w:val="nil"/>
            </w:tcBorders>
            <w:vAlign w:val="center"/>
          </w:tcPr>
          <w:p w14:paraId="25282F01">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
                <w:bCs w:val="0"/>
                <w:color w:val="auto"/>
                <w:sz w:val="20"/>
                <w:szCs w:val="20"/>
                <w:highlight w:val="none"/>
                <w:lang w:eastAsia="zh-CN"/>
              </w:rPr>
            </w:pPr>
            <w:r>
              <w:rPr>
                <w:rFonts w:hint="default" w:ascii="Times New Roman" w:hAnsi="Times New Roman" w:cs="Times New Roman"/>
                <w:b/>
                <w:bCs w:val="0"/>
                <w:color w:val="auto"/>
                <w:sz w:val="20"/>
                <w:szCs w:val="20"/>
                <w:highlight w:val="none"/>
                <w:lang w:eastAsia="zh-CN"/>
              </w:rPr>
              <w:t>内容及要求</w:t>
            </w:r>
          </w:p>
        </w:tc>
      </w:tr>
      <w:tr w14:paraId="076544F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14EB7658">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1</w:t>
            </w:r>
          </w:p>
        </w:tc>
        <w:tc>
          <w:tcPr>
            <w:tcW w:w="2580" w:type="dxa"/>
            <w:tcBorders>
              <w:tl2br w:val="nil"/>
              <w:tr2bl w:val="nil"/>
            </w:tcBorders>
            <w:vAlign w:val="center"/>
          </w:tcPr>
          <w:p w14:paraId="65FA296F">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应急计划区</w:t>
            </w:r>
          </w:p>
        </w:tc>
        <w:tc>
          <w:tcPr>
            <w:tcW w:w="5800" w:type="dxa"/>
            <w:tcBorders>
              <w:tl2br w:val="nil"/>
              <w:tr2bl w:val="nil"/>
            </w:tcBorders>
            <w:vAlign w:val="center"/>
          </w:tcPr>
          <w:p w14:paraId="6F241074">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危险目标：主装置区（热解车间、垃圾</w:t>
            </w:r>
            <w:r>
              <w:rPr>
                <w:rFonts w:hint="eastAsia" w:ascii="Times New Roman" w:hAnsi="Times New Roman" w:cs="Times New Roman"/>
                <w:bCs/>
                <w:color w:val="auto"/>
                <w:sz w:val="20"/>
                <w:szCs w:val="20"/>
                <w:highlight w:val="none"/>
                <w:lang w:val="en-US" w:eastAsia="zh-CN"/>
              </w:rPr>
              <w:t>暂存仓</w:t>
            </w:r>
            <w:r>
              <w:rPr>
                <w:rFonts w:hint="default" w:ascii="Times New Roman" w:hAnsi="Times New Roman" w:cs="Times New Roman"/>
                <w:bCs/>
                <w:color w:val="auto"/>
                <w:sz w:val="20"/>
                <w:szCs w:val="20"/>
                <w:highlight w:val="none"/>
                <w:lang w:eastAsia="zh-CN"/>
              </w:rPr>
              <w:t xml:space="preserve">、烟气净化系统）、 </w:t>
            </w:r>
            <w:r>
              <w:rPr>
                <w:rFonts w:hint="eastAsia" w:ascii="Times New Roman" w:hAnsi="Times New Roman" w:cs="Times New Roman"/>
                <w:bCs/>
                <w:color w:val="auto"/>
                <w:sz w:val="20"/>
                <w:szCs w:val="20"/>
                <w:highlight w:val="none"/>
                <w:lang w:val="en-US" w:eastAsia="zh-CN"/>
              </w:rPr>
              <w:t>渗滤液收集池、危废间等</w:t>
            </w:r>
            <w:r>
              <w:rPr>
                <w:rFonts w:hint="default" w:ascii="Times New Roman" w:hAnsi="Times New Roman" w:cs="Times New Roman"/>
                <w:bCs/>
                <w:color w:val="auto"/>
                <w:sz w:val="20"/>
                <w:szCs w:val="20"/>
                <w:highlight w:val="none"/>
                <w:lang w:eastAsia="zh-CN"/>
              </w:rPr>
              <w:t>。</w:t>
            </w:r>
          </w:p>
        </w:tc>
      </w:tr>
      <w:tr w14:paraId="053468A8">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34774221">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2</w:t>
            </w:r>
          </w:p>
        </w:tc>
        <w:tc>
          <w:tcPr>
            <w:tcW w:w="2580" w:type="dxa"/>
            <w:tcBorders>
              <w:tl2br w:val="nil"/>
              <w:tr2bl w:val="nil"/>
            </w:tcBorders>
            <w:vAlign w:val="center"/>
          </w:tcPr>
          <w:p w14:paraId="35568353">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应急组织机构、人员</w:t>
            </w:r>
          </w:p>
        </w:tc>
        <w:tc>
          <w:tcPr>
            <w:tcW w:w="5800" w:type="dxa"/>
            <w:tcBorders>
              <w:tl2br w:val="nil"/>
              <w:tr2bl w:val="nil"/>
            </w:tcBorders>
            <w:vAlign w:val="center"/>
          </w:tcPr>
          <w:p w14:paraId="528F1433">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安全生产管理部门、地区应急组织机构、人员</w:t>
            </w:r>
            <w:r>
              <w:rPr>
                <w:rFonts w:hint="eastAsia" w:ascii="Times New Roman" w:hAnsi="Times New Roman" w:cs="Times New Roman"/>
                <w:bCs/>
                <w:color w:val="auto"/>
                <w:sz w:val="20"/>
                <w:szCs w:val="20"/>
                <w:highlight w:val="none"/>
                <w:lang w:eastAsia="zh-CN"/>
              </w:rPr>
              <w:t>。</w:t>
            </w:r>
          </w:p>
        </w:tc>
      </w:tr>
      <w:tr w14:paraId="0D62F50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4DDD55B1">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3</w:t>
            </w:r>
          </w:p>
        </w:tc>
        <w:tc>
          <w:tcPr>
            <w:tcW w:w="2580" w:type="dxa"/>
            <w:tcBorders>
              <w:tl2br w:val="nil"/>
              <w:tr2bl w:val="nil"/>
            </w:tcBorders>
            <w:vAlign w:val="center"/>
          </w:tcPr>
          <w:p w14:paraId="7D4DCF02">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预案分级响应条件</w:t>
            </w:r>
          </w:p>
        </w:tc>
        <w:tc>
          <w:tcPr>
            <w:tcW w:w="5800" w:type="dxa"/>
            <w:tcBorders>
              <w:tl2br w:val="nil"/>
              <w:tr2bl w:val="nil"/>
            </w:tcBorders>
            <w:vAlign w:val="center"/>
          </w:tcPr>
          <w:p w14:paraId="3CA21EDB">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根据事故的严重程度制定相应级别的应急预案及分级响应程序。</w:t>
            </w:r>
          </w:p>
        </w:tc>
      </w:tr>
      <w:tr w14:paraId="06285CC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12E1AC7D">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4</w:t>
            </w:r>
          </w:p>
        </w:tc>
        <w:tc>
          <w:tcPr>
            <w:tcW w:w="2580" w:type="dxa"/>
            <w:tcBorders>
              <w:tl2br w:val="nil"/>
              <w:tr2bl w:val="nil"/>
            </w:tcBorders>
            <w:vAlign w:val="center"/>
          </w:tcPr>
          <w:p w14:paraId="7F958FED">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应急救援保障</w:t>
            </w:r>
          </w:p>
        </w:tc>
        <w:tc>
          <w:tcPr>
            <w:tcW w:w="5800" w:type="dxa"/>
            <w:tcBorders>
              <w:tl2br w:val="nil"/>
              <w:tr2bl w:val="nil"/>
            </w:tcBorders>
            <w:vAlign w:val="center"/>
          </w:tcPr>
          <w:p w14:paraId="6545490C">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应急设施、设备与器材等。</w:t>
            </w:r>
          </w:p>
        </w:tc>
      </w:tr>
      <w:tr w14:paraId="247F2EE7">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2B48BC1D">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5</w:t>
            </w:r>
          </w:p>
        </w:tc>
        <w:tc>
          <w:tcPr>
            <w:tcW w:w="2580" w:type="dxa"/>
            <w:tcBorders>
              <w:tl2br w:val="nil"/>
              <w:tr2bl w:val="nil"/>
            </w:tcBorders>
            <w:vAlign w:val="center"/>
          </w:tcPr>
          <w:p w14:paraId="33DB93F3">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报警、通讯联络方式</w:t>
            </w:r>
          </w:p>
        </w:tc>
        <w:tc>
          <w:tcPr>
            <w:tcW w:w="5800" w:type="dxa"/>
            <w:tcBorders>
              <w:tl2br w:val="nil"/>
              <w:tr2bl w:val="nil"/>
            </w:tcBorders>
            <w:vAlign w:val="center"/>
          </w:tcPr>
          <w:p w14:paraId="74710A13">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规定应急状态下的报警通讯方式、通知方式和交通保障、管制</w:t>
            </w:r>
            <w:r>
              <w:rPr>
                <w:rFonts w:hint="eastAsia" w:ascii="Times New Roman" w:hAnsi="Times New Roman" w:cs="Times New Roman"/>
                <w:bCs/>
                <w:color w:val="auto"/>
                <w:sz w:val="20"/>
                <w:szCs w:val="20"/>
                <w:highlight w:val="none"/>
                <w:lang w:eastAsia="zh-CN"/>
              </w:rPr>
              <w:t>。</w:t>
            </w:r>
          </w:p>
        </w:tc>
      </w:tr>
      <w:tr w14:paraId="48367DF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5A484601">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6</w:t>
            </w:r>
          </w:p>
        </w:tc>
        <w:tc>
          <w:tcPr>
            <w:tcW w:w="2580" w:type="dxa"/>
            <w:tcBorders>
              <w:tl2br w:val="nil"/>
              <w:tr2bl w:val="nil"/>
            </w:tcBorders>
            <w:vAlign w:val="center"/>
          </w:tcPr>
          <w:p w14:paraId="03A3DADF">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应急环境监测、抢险、救援 及控制措施</w:t>
            </w:r>
          </w:p>
        </w:tc>
        <w:tc>
          <w:tcPr>
            <w:tcW w:w="5800" w:type="dxa"/>
            <w:tcBorders>
              <w:tl2br w:val="nil"/>
              <w:tr2bl w:val="nil"/>
            </w:tcBorders>
            <w:vAlign w:val="center"/>
          </w:tcPr>
          <w:p w14:paraId="2158DF70">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由专业队伍负责对事故现场进行侦察监测，对事故性质、参数与后果进行评估，为指挥部门提供决策依据。</w:t>
            </w:r>
          </w:p>
        </w:tc>
      </w:tr>
      <w:tr w14:paraId="6D3B191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4FB84B1C">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7</w:t>
            </w:r>
          </w:p>
        </w:tc>
        <w:tc>
          <w:tcPr>
            <w:tcW w:w="2580" w:type="dxa"/>
            <w:tcBorders>
              <w:tl2br w:val="nil"/>
              <w:tr2bl w:val="nil"/>
            </w:tcBorders>
            <w:vAlign w:val="center"/>
          </w:tcPr>
          <w:p w14:paraId="7E28203C">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应急监测、防护措施、清除 泄漏措施和器材</w:t>
            </w:r>
          </w:p>
        </w:tc>
        <w:tc>
          <w:tcPr>
            <w:tcW w:w="5800" w:type="dxa"/>
            <w:tcBorders>
              <w:tl2br w:val="nil"/>
              <w:tr2bl w:val="nil"/>
            </w:tcBorders>
            <w:vAlign w:val="center"/>
          </w:tcPr>
          <w:p w14:paraId="31AB7153">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事故现场、邻近区域、控制防火区域，控制和清除污染措施及相应设备。</w:t>
            </w:r>
          </w:p>
        </w:tc>
      </w:tr>
      <w:tr w14:paraId="32113803">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57E81ECA">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8</w:t>
            </w:r>
          </w:p>
        </w:tc>
        <w:tc>
          <w:tcPr>
            <w:tcW w:w="2580" w:type="dxa"/>
            <w:tcBorders>
              <w:tl2br w:val="nil"/>
              <w:tr2bl w:val="nil"/>
            </w:tcBorders>
            <w:vAlign w:val="center"/>
          </w:tcPr>
          <w:p w14:paraId="4F2EAD86">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人员紧急撤离、疏散，应急 剂量控制、撤离组织计划</w:t>
            </w:r>
          </w:p>
        </w:tc>
        <w:tc>
          <w:tcPr>
            <w:tcW w:w="5800" w:type="dxa"/>
            <w:tcBorders>
              <w:tl2br w:val="nil"/>
              <w:tr2bl w:val="nil"/>
            </w:tcBorders>
            <w:vAlign w:val="center"/>
          </w:tcPr>
          <w:p w14:paraId="5718E1C3">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事故现场、邻近区域、受事故影响的区域人员及公众对毒物应急剂量控制规定，撤离组织计划及救护，医疗救护与公众健康。</w:t>
            </w:r>
          </w:p>
        </w:tc>
      </w:tr>
      <w:tr w14:paraId="31171C29">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4E84AC25">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9</w:t>
            </w:r>
          </w:p>
        </w:tc>
        <w:tc>
          <w:tcPr>
            <w:tcW w:w="2580" w:type="dxa"/>
            <w:tcBorders>
              <w:tl2br w:val="nil"/>
              <w:tr2bl w:val="nil"/>
            </w:tcBorders>
            <w:vAlign w:val="center"/>
          </w:tcPr>
          <w:p w14:paraId="6B5780D0">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事故应急救援关闭程序与恢 复措施</w:t>
            </w:r>
          </w:p>
        </w:tc>
        <w:tc>
          <w:tcPr>
            <w:tcW w:w="5800" w:type="dxa"/>
            <w:tcBorders>
              <w:tl2br w:val="nil"/>
              <w:tr2bl w:val="nil"/>
            </w:tcBorders>
            <w:vAlign w:val="center"/>
          </w:tcPr>
          <w:p w14:paraId="273796E4">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规定应急状态终止程序，事故现场善后处理，恢复措施，邻近区域解除事故警戒及善后恢复措施。</w:t>
            </w:r>
          </w:p>
        </w:tc>
      </w:tr>
      <w:tr w14:paraId="24CDEFAC">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528774FA">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10</w:t>
            </w:r>
          </w:p>
        </w:tc>
        <w:tc>
          <w:tcPr>
            <w:tcW w:w="2580" w:type="dxa"/>
            <w:tcBorders>
              <w:tl2br w:val="nil"/>
              <w:tr2bl w:val="nil"/>
            </w:tcBorders>
            <w:vAlign w:val="center"/>
          </w:tcPr>
          <w:p w14:paraId="249DEB0E">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应急培训计划</w:t>
            </w:r>
          </w:p>
        </w:tc>
        <w:tc>
          <w:tcPr>
            <w:tcW w:w="5800" w:type="dxa"/>
            <w:tcBorders>
              <w:tl2br w:val="nil"/>
              <w:tr2bl w:val="nil"/>
            </w:tcBorders>
            <w:vAlign w:val="center"/>
          </w:tcPr>
          <w:p w14:paraId="197168DA">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应急计划制定后，平时安排人员培训与演练。</w:t>
            </w:r>
          </w:p>
        </w:tc>
      </w:tr>
      <w:tr w14:paraId="4C29C5F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3" w:type="dxa"/>
            <w:tcBorders>
              <w:tl2br w:val="nil"/>
              <w:tr2bl w:val="nil"/>
            </w:tcBorders>
            <w:vAlign w:val="center"/>
          </w:tcPr>
          <w:p w14:paraId="3EF75011">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11</w:t>
            </w:r>
          </w:p>
        </w:tc>
        <w:tc>
          <w:tcPr>
            <w:tcW w:w="2580" w:type="dxa"/>
            <w:tcBorders>
              <w:tl2br w:val="nil"/>
              <w:tr2bl w:val="nil"/>
            </w:tcBorders>
            <w:vAlign w:val="center"/>
          </w:tcPr>
          <w:p w14:paraId="1DA280AB">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公众教育和信息</w:t>
            </w:r>
          </w:p>
        </w:tc>
        <w:tc>
          <w:tcPr>
            <w:tcW w:w="5800" w:type="dxa"/>
            <w:tcBorders>
              <w:tl2br w:val="nil"/>
              <w:tr2bl w:val="nil"/>
            </w:tcBorders>
            <w:vAlign w:val="center"/>
          </w:tcPr>
          <w:p w14:paraId="4877D1A9">
            <w:pPr>
              <w:keepNext w:val="0"/>
              <w:keepLines w:val="0"/>
              <w:pageBreakBefore w:val="0"/>
              <w:suppressLineNumbers w:val="0"/>
              <w:kinsoku/>
              <w:wordWrap/>
              <w:overflowPunct/>
              <w:topLinePunct w:val="0"/>
              <w:autoSpaceDE w:val="0"/>
              <w:autoSpaceDN w:val="0"/>
              <w:bidi w:val="0"/>
              <w:snapToGrid w:val="0"/>
              <w:spacing w:before="0" w:beforeAutospacing="0" w:after="0" w:afterAutospacing="0" w:line="240" w:lineRule="auto"/>
              <w:ind w:left="0" w:right="0"/>
              <w:jc w:val="center"/>
              <w:textAlignment w:val="auto"/>
              <w:rPr>
                <w:rFonts w:hint="default" w:ascii="Times New Roman" w:hAnsi="Times New Roman" w:cs="Times New Roman"/>
                <w:bCs/>
                <w:color w:val="auto"/>
                <w:sz w:val="20"/>
                <w:szCs w:val="20"/>
                <w:highlight w:val="none"/>
                <w:lang w:eastAsia="zh-CN"/>
              </w:rPr>
            </w:pPr>
            <w:r>
              <w:rPr>
                <w:rFonts w:hint="default" w:ascii="Times New Roman" w:hAnsi="Times New Roman" w:cs="Times New Roman"/>
                <w:bCs/>
                <w:color w:val="auto"/>
                <w:sz w:val="20"/>
                <w:szCs w:val="20"/>
                <w:highlight w:val="none"/>
                <w:lang w:eastAsia="zh-CN"/>
              </w:rPr>
              <w:t>对邻近地区开展公众教育、培训和发布有关信息。</w:t>
            </w:r>
          </w:p>
        </w:tc>
      </w:tr>
    </w:tbl>
    <w:p w14:paraId="164BFAC7">
      <w:pPr>
        <w:pStyle w:val="4"/>
        <w:keepNext/>
        <w:keepLines/>
        <w:pageBreakBefore w:val="0"/>
        <w:widowControl w:val="0"/>
        <w:kinsoku/>
        <w:wordWrap/>
        <w:overflowPunct/>
        <w:topLinePunct w:val="0"/>
        <w:autoSpaceDE/>
        <w:autoSpaceDN/>
        <w:bidi w:val="0"/>
        <w:adjustRightInd/>
        <w:snapToGrid w:val="0"/>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企业突发环境事件风险处置</w:t>
      </w:r>
    </w:p>
    <w:p w14:paraId="1F0FEF9F">
      <w:pPr>
        <w:pStyle w:val="130"/>
        <w:keepNext w:val="0"/>
        <w:keepLines w:val="0"/>
        <w:pageBreakBefore w:val="0"/>
        <w:kinsoku/>
        <w:wordWrap/>
        <w:overflowPunct/>
        <w:topLinePunct w:val="0"/>
        <w:bidi w:val="0"/>
        <w:snapToGrid w:val="0"/>
        <w:spacing w:line="360" w:lineRule="auto"/>
        <w:ind w:firstLine="480"/>
        <w:textAlignment w:val="auto"/>
        <w:rPr>
          <w:rFonts w:hint="eastAsia"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rPr>
        <w:t>企业应将编制突发环境事件风险应急预案在环境保护主管部门备案，并按照《企业突发环境事件风险分级方法》（HJ941-2018）自主评估突发环境事件风险确定环境风险等级，一旦发生突发环境事件即使按照等级相应处置。做到强化源头防控，完善企业突发环境事件风险评估制度，加强环境应急预案编制与备案管理，推进突发环境事件风险分类分级管理，落实排污单位主体责任，完善应急设施建设，定期开展环境风险安全隐患排查和应急演练，提高风险防范水平和应急</w:t>
      </w:r>
      <w:r>
        <w:rPr>
          <w:rFonts w:hint="eastAsia" w:ascii="Times New Roman" w:hAnsi="Times New Roman" w:cs="Times New Roman"/>
          <w:color w:val="auto"/>
          <w:sz w:val="24"/>
          <w:szCs w:val="24"/>
          <w:highlight w:val="none"/>
          <w:lang w:val="en-US" w:eastAsia="zh-CN"/>
        </w:rPr>
        <w:t>处置能力</w:t>
      </w:r>
      <w:r>
        <w:rPr>
          <w:rFonts w:hint="eastAsia" w:ascii="Times New Roman" w:hAnsi="Times New Roman" w:cs="Times New Roman"/>
          <w:color w:val="auto"/>
          <w:sz w:val="24"/>
          <w:szCs w:val="24"/>
          <w:highlight w:val="none"/>
          <w:lang w:eastAsia="zh-CN"/>
        </w:rPr>
        <w:t>。</w:t>
      </w:r>
    </w:p>
    <w:p w14:paraId="0E57B728">
      <w:pPr>
        <w:pStyle w:val="4"/>
        <w:keepNext/>
        <w:keepLines/>
        <w:pageBreakBefore w:val="0"/>
        <w:widowControl w:val="0"/>
        <w:kinsoku/>
        <w:wordWrap/>
        <w:overflowPunct/>
        <w:topLinePunct w:val="0"/>
        <w:autoSpaceDE/>
        <w:autoSpaceDN/>
        <w:bidi w:val="0"/>
        <w:adjustRightInd/>
        <w:snapToGrid w:val="0"/>
        <w:spacing w:before="0" w:beforeLines="0" w:after="0"/>
        <w:ind w:left="0" w:leftChars="0" w:firstLineChars="0"/>
        <w:textAlignment w:val="auto"/>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应急监测</w:t>
      </w:r>
    </w:p>
    <w:p w14:paraId="16AC3B7C">
      <w:pPr>
        <w:keepNext w:val="0"/>
        <w:keepLines w:val="0"/>
        <w:pageBreakBefore w:val="0"/>
        <w:widowControl/>
        <w:numPr>
          <w:ilvl w:val="0"/>
          <w:numId w:val="0"/>
        </w:numPr>
        <w:suppressLineNumbers w:val="0"/>
        <w:kinsoku/>
        <w:wordWrap/>
        <w:overflowPunct/>
        <w:topLinePunct w:val="0"/>
        <w:bidi w:val="0"/>
        <w:snapToGrid/>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事故应急环境监测目的是在企业发生环境风险事故后，通过对厂区周围环境进行监测，及时、准确地掌握污染状况，了解污染程度和范围，分析其变化趋势和规律，为加强事故应急环境管理，实施环境保护提供可靠的技术依据。企业必须配合当地</w:t>
      </w:r>
      <w:r>
        <w:rPr>
          <w:rFonts w:hint="eastAsia" w:ascii="Times New Roman" w:hAnsi="Times New Roman" w:eastAsia="宋体" w:cs="Times New Roman"/>
          <w:color w:val="auto"/>
          <w:kern w:val="0"/>
          <w:sz w:val="24"/>
          <w:szCs w:val="24"/>
          <w:highlight w:val="none"/>
          <w:lang w:val="en-US" w:eastAsia="zh-CN" w:bidi="ar"/>
        </w:rPr>
        <w:t>生态环境保护部门</w:t>
      </w:r>
      <w:r>
        <w:rPr>
          <w:rFonts w:hint="default" w:ascii="Times New Roman" w:hAnsi="Times New Roman" w:eastAsia="宋体" w:cs="Times New Roman"/>
          <w:color w:val="auto"/>
          <w:kern w:val="0"/>
          <w:sz w:val="24"/>
          <w:szCs w:val="24"/>
          <w:highlight w:val="none"/>
          <w:lang w:val="en-US" w:eastAsia="zh-CN" w:bidi="ar"/>
        </w:rPr>
        <w:t>进行监测。</w:t>
      </w:r>
    </w:p>
    <w:p w14:paraId="7B090BDB">
      <w:pPr>
        <w:pStyle w:val="3"/>
        <w:spacing w:before="156" w:after="156"/>
        <w:rPr>
          <w:rFonts w:hint="default" w:ascii="Times New Roman" w:hAnsi="Times New Roman" w:cs="Times New Roman"/>
          <w:color w:val="auto"/>
          <w:highlight w:val="none"/>
        </w:rPr>
      </w:pPr>
      <w:bookmarkStart w:id="178" w:name="_Toc15995"/>
      <w:bookmarkStart w:id="179" w:name="_Toc4362"/>
      <w:bookmarkStart w:id="180" w:name="_Toc12486"/>
      <w:r>
        <w:rPr>
          <w:rFonts w:hint="eastAsia" w:cs="Times New Roman"/>
          <w:color w:val="auto"/>
          <w:highlight w:val="none"/>
          <w:lang w:val="en-US" w:eastAsia="zh-CN"/>
        </w:rPr>
        <w:t>环境</w:t>
      </w:r>
      <w:r>
        <w:rPr>
          <w:rFonts w:hint="default" w:ascii="Times New Roman" w:hAnsi="Times New Roman" w:cs="Times New Roman"/>
          <w:color w:val="auto"/>
          <w:highlight w:val="none"/>
        </w:rPr>
        <w:t>风险</w:t>
      </w:r>
      <w:r>
        <w:rPr>
          <w:rFonts w:hint="eastAsia" w:cs="Times New Roman"/>
          <w:color w:val="auto"/>
          <w:highlight w:val="none"/>
          <w:lang w:val="en-US" w:eastAsia="zh-CN"/>
        </w:rPr>
        <w:t>评价</w:t>
      </w:r>
      <w:r>
        <w:rPr>
          <w:rFonts w:hint="default" w:ascii="Times New Roman" w:hAnsi="Times New Roman" w:cs="Times New Roman"/>
          <w:color w:val="auto"/>
          <w:highlight w:val="none"/>
        </w:rPr>
        <w:t>结论</w:t>
      </w:r>
      <w:bookmarkEnd w:id="178"/>
      <w:bookmarkEnd w:id="179"/>
      <w:bookmarkEnd w:id="180"/>
    </w:p>
    <w:p w14:paraId="11CC2480">
      <w:pPr>
        <w:pStyle w:val="130"/>
        <w:keepNext w:val="0"/>
        <w:keepLines w:val="0"/>
        <w:pageBreakBefore w:val="0"/>
        <w:kinsoku/>
        <w:wordWrap/>
        <w:overflowPunct/>
        <w:topLinePunct w:val="0"/>
        <w:bidi w:val="0"/>
        <w:snapToGrid w:val="0"/>
        <w:spacing w:line="360" w:lineRule="auto"/>
        <w:ind w:firstLine="480"/>
        <w:textAlignment w:val="auto"/>
        <w:rPr>
          <w:rFonts w:hint="default" w:ascii="Times New Roman" w:hAnsi="Times New Roman" w:cs="Times New Roman"/>
          <w:color w:val="auto"/>
          <w:highlight w:val="none"/>
        </w:rPr>
      </w:pPr>
      <w:r>
        <w:rPr>
          <w:rFonts w:hint="default" w:ascii="Times New Roman" w:hAnsi="Times New Roman" w:cs="Times New Roman"/>
          <w:color w:val="auto"/>
          <w:sz w:val="24"/>
          <w:szCs w:val="24"/>
          <w:highlight w:val="none"/>
        </w:rPr>
        <w:t>本项目属于生活垃圾</w:t>
      </w:r>
      <w:r>
        <w:rPr>
          <w:rFonts w:hint="eastAsia" w:ascii="Times New Roman" w:hAnsi="Times New Roman" w:cs="Times New Roman"/>
          <w:color w:val="auto"/>
          <w:sz w:val="24"/>
          <w:szCs w:val="24"/>
          <w:highlight w:val="none"/>
          <w:lang w:val="en-US" w:eastAsia="zh-CN"/>
        </w:rPr>
        <w:t>热解</w:t>
      </w:r>
      <w:r>
        <w:rPr>
          <w:rFonts w:hint="default" w:ascii="Times New Roman" w:hAnsi="Times New Roman" w:cs="Times New Roman"/>
          <w:color w:val="auto"/>
          <w:sz w:val="24"/>
          <w:szCs w:val="24"/>
          <w:highlight w:val="none"/>
        </w:rPr>
        <w:t>项目，生产过程中存在泄漏、火灾、爆炸、废气事故排放等环境风险。通过对项目存在的环境风险识别，分析风险因素对项目周围人群和周围环境造成的不利影响程度，提出了有针对性的风险防范措施。建设单位在生产过程中应加强安全生产和环境保护意识，落实各项环保措施和本评价提出的各项环境风险防范措施，建立有效的突发环境事件应急预案，加强风险管理的条件下，本项目环境风险是处于可控可接受范围内</w:t>
      </w:r>
      <w:r>
        <w:rPr>
          <w:rFonts w:hint="eastAsia" w:ascii="Times New Roman" w:hAnsi="Times New Roman" w:cs="Times New Roman"/>
          <w:color w:val="auto"/>
          <w:sz w:val="24"/>
          <w:szCs w:val="24"/>
          <w:highlight w:val="none"/>
          <w:lang w:eastAsia="zh-CN"/>
        </w:rPr>
        <w:t>。</w:t>
      </w:r>
    </w:p>
    <w:p w14:paraId="5F052E6B">
      <w:pPr>
        <w:pStyle w:val="14"/>
        <w:ind w:firstLine="480"/>
        <w:rPr>
          <w:rFonts w:hint="default" w:ascii="Times New Roman" w:hAnsi="Times New Roman" w:cs="Times New Roman"/>
          <w:color w:val="auto"/>
          <w:highlight w:val="none"/>
        </w:rPr>
      </w:pPr>
    </w:p>
    <w:p w14:paraId="3D24F20E">
      <w:pPr>
        <w:pStyle w:val="14"/>
        <w:ind w:firstLine="480"/>
        <w:rPr>
          <w:rFonts w:hint="default" w:ascii="Times New Roman" w:hAnsi="Times New Roman" w:cs="Times New Roman"/>
          <w:color w:val="auto"/>
          <w:highlight w:val="none"/>
        </w:rPr>
      </w:pPr>
    </w:p>
    <w:p w14:paraId="07D1C4E9">
      <w:pPr>
        <w:pStyle w:val="14"/>
        <w:ind w:firstLine="480"/>
        <w:rPr>
          <w:rFonts w:hint="default" w:ascii="Times New Roman" w:hAnsi="Times New Roman" w:cs="Times New Roman"/>
          <w:color w:val="auto"/>
          <w:highlight w:val="none"/>
        </w:rPr>
        <w:sectPr>
          <w:headerReference r:id="rId34"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335BBB29">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181" w:name="_Toc14707"/>
      <w:bookmarkStart w:id="182" w:name="_Toc7364"/>
      <w:bookmarkStart w:id="183" w:name="_Toc13114"/>
      <w:r>
        <w:rPr>
          <w:rFonts w:hint="default" w:ascii="Times New Roman" w:hAnsi="Times New Roman" w:cs="Times New Roman"/>
          <w:color w:val="auto"/>
          <w:highlight w:val="none"/>
        </w:rPr>
        <w:t>环境影响经济损益分析</w:t>
      </w:r>
      <w:bookmarkEnd w:id="181"/>
      <w:bookmarkEnd w:id="182"/>
      <w:bookmarkEnd w:id="183"/>
    </w:p>
    <w:p w14:paraId="2955453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对建设项目进行环境影响经济损益分析，目的是为了衡量该建设项目投入的环保投资所能收到的环保效果和经济实效，及可能收到的环境和社会效益，最大限度地控制污染，降低破坏环境的程度，合理利用自然资源，以最少的环境代价取得最大的经济效益和社会效益。</w:t>
      </w:r>
    </w:p>
    <w:p w14:paraId="64BEEF2E">
      <w:pPr>
        <w:pStyle w:val="3"/>
        <w:spacing w:before="156" w:after="156"/>
        <w:rPr>
          <w:rFonts w:hint="default" w:ascii="Times New Roman" w:hAnsi="Times New Roman" w:cs="Times New Roman"/>
          <w:color w:val="auto"/>
          <w:highlight w:val="none"/>
        </w:rPr>
      </w:pPr>
      <w:bookmarkStart w:id="184" w:name="_Toc2015"/>
      <w:bookmarkStart w:id="185" w:name="_Toc19144"/>
      <w:bookmarkStart w:id="186" w:name="_Toc22510"/>
      <w:r>
        <w:rPr>
          <w:rFonts w:hint="default" w:ascii="Times New Roman" w:hAnsi="Times New Roman" w:cs="Times New Roman"/>
          <w:color w:val="auto"/>
          <w:highlight w:val="none"/>
          <w:lang w:eastAsia="zh-CN"/>
        </w:rPr>
        <w:t>经济</w:t>
      </w:r>
      <w:r>
        <w:rPr>
          <w:rFonts w:hint="default" w:ascii="Times New Roman" w:hAnsi="Times New Roman" w:cs="Times New Roman"/>
          <w:color w:val="auto"/>
          <w:highlight w:val="none"/>
        </w:rPr>
        <w:t>效益</w:t>
      </w:r>
      <w:bookmarkEnd w:id="184"/>
      <w:r>
        <w:rPr>
          <w:rFonts w:hint="default" w:ascii="Times New Roman" w:hAnsi="Times New Roman" w:cs="Times New Roman"/>
          <w:color w:val="auto"/>
          <w:highlight w:val="none"/>
          <w:lang w:eastAsia="zh-CN"/>
        </w:rPr>
        <w:t>分析</w:t>
      </w:r>
      <w:bookmarkEnd w:id="185"/>
      <w:bookmarkEnd w:id="186"/>
    </w:p>
    <w:p w14:paraId="19C3D557">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本项目建设主要的环境经济损失表现在污染治理设施的投资及运行费、环保税费以及企业罚款、赔偿、超标排污费的缴纳等，其损失费用总额不大。本项目采用先进生产工艺，引进同类型中的较先进设备，运行期产生的废气、废水、固废、噪声均按要求进行有效的治理和综合利用，污染物的排放符合国家</w:t>
      </w:r>
      <w:r>
        <w:rPr>
          <w:rFonts w:hint="eastAsia" w:ascii="Times New Roman" w:hAnsi="Times New Roman" w:cs="Times New Roman"/>
          <w:color w:val="auto"/>
          <w:highlight w:val="none"/>
          <w:lang w:val="en-US" w:eastAsia="zh-CN"/>
        </w:rPr>
        <w:t>有</w:t>
      </w:r>
      <w:r>
        <w:rPr>
          <w:rFonts w:hint="default" w:ascii="Times New Roman" w:hAnsi="Times New Roman" w:cs="Times New Roman"/>
          <w:color w:val="auto"/>
          <w:highlight w:val="none"/>
          <w:lang w:val="en-US" w:eastAsia="zh-CN"/>
        </w:rPr>
        <w:t>关标准的要求。</w:t>
      </w:r>
    </w:p>
    <w:p w14:paraId="1699C2D3">
      <w:pPr>
        <w:pStyle w:val="14"/>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生活垃圾集中处理的直接收益为环境效益，因此，本项目的间接经济效益主要是通过减少生活垃圾污染对社会造成的经济损失而表现出来。</w:t>
      </w:r>
    </w:p>
    <w:p w14:paraId="4FD6B966">
      <w:pPr>
        <w:pStyle w:val="3"/>
        <w:spacing w:before="156" w:after="156"/>
        <w:rPr>
          <w:rFonts w:hint="default" w:ascii="Times New Roman" w:hAnsi="Times New Roman" w:cs="Times New Roman"/>
          <w:color w:val="auto"/>
          <w:highlight w:val="none"/>
        </w:rPr>
      </w:pPr>
      <w:bookmarkStart w:id="187" w:name="_Toc31015"/>
      <w:bookmarkStart w:id="188" w:name="_Toc25451"/>
      <w:bookmarkStart w:id="189" w:name="_Toc10762"/>
      <w:r>
        <w:rPr>
          <w:rFonts w:hint="default" w:ascii="Times New Roman" w:hAnsi="Times New Roman" w:cs="Times New Roman"/>
          <w:color w:val="auto"/>
          <w:highlight w:val="none"/>
          <w:lang w:eastAsia="zh-CN"/>
        </w:rPr>
        <w:t>社会</w:t>
      </w:r>
      <w:r>
        <w:rPr>
          <w:rFonts w:hint="default" w:ascii="Times New Roman" w:hAnsi="Times New Roman" w:cs="Times New Roman"/>
          <w:color w:val="auto"/>
          <w:highlight w:val="none"/>
        </w:rPr>
        <w:t>效益分析</w:t>
      </w:r>
      <w:bookmarkEnd w:id="187"/>
      <w:bookmarkEnd w:id="188"/>
      <w:bookmarkEnd w:id="189"/>
    </w:p>
    <w:p w14:paraId="6DB26F19">
      <w:pPr>
        <w:pStyle w:val="14"/>
        <w:ind w:firstLine="480"/>
        <w:rPr>
          <w:rFonts w:hint="eastAsia"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垃圾是危害人类生态环境和人体健康的重要污染源之一，如不进行有效处置而随意堆放，不仅对水环境、空气环境和土壤环境造成严重的影响和破坏，还会对人身的安全健康构成直接威胁。因此，本项目作为环保公益性工程，其社会效益十分显著，主要体现在以下几方面</w:t>
      </w:r>
      <w:r>
        <w:rPr>
          <w:rFonts w:hint="eastAsia" w:ascii="Times New Roman" w:hAnsi="Times New Roman" w:cs="Times New Roman"/>
          <w:color w:val="auto"/>
          <w:highlight w:val="none"/>
          <w:lang w:val="en-US" w:eastAsia="zh-CN"/>
        </w:rPr>
        <w:t>：</w:t>
      </w:r>
    </w:p>
    <w:p w14:paraId="2BF6F9DC">
      <w:pPr>
        <w:pStyle w:val="14"/>
        <w:ind w:firstLine="480"/>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（1）解决垃圾污染环境问题，改善公众生活质量</w:t>
      </w:r>
    </w:p>
    <w:p w14:paraId="697DF942">
      <w:pPr>
        <w:pStyle w:val="14"/>
        <w:ind w:firstLine="480"/>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本项目具有集中垃圾处理处置设施，有较完备的专业技术、设备和管理能力，专业化水平和处置条件高，可以获得较好的处理效果，降低经营成本和减少处置费用，便于提高污染防治水平，也相应节约人力、物力、财力。项目的建设将解决目前剑阁垃圾消纳出路问题，实现垃圾的“无害化、减量化、资源化”，从根本上有效的减少垃圾污染，改善城市生活环境，保障人民群众的身体健康。</w:t>
      </w:r>
    </w:p>
    <w:p w14:paraId="14B6B0A6">
      <w:pPr>
        <w:pStyle w:val="14"/>
        <w:ind w:firstLine="480"/>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（2）减少垃圾占地，改善投资环境</w:t>
      </w:r>
    </w:p>
    <w:p w14:paraId="221F2A68">
      <w:pPr>
        <w:pStyle w:val="14"/>
        <w:ind w:firstLine="480"/>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城市的发展相应的带来了城市垃圾的增加；同时也因此限制了垃圾处理场地的选择，造成垃圾处理占地的局限。</w:t>
      </w:r>
      <w:r>
        <w:rPr>
          <w:color w:val="auto"/>
          <w:spacing w:val="-3"/>
          <w:highlight w:val="none"/>
        </w:rPr>
        <w:t>垃圾热解可减量化集中处理，</w:t>
      </w:r>
      <w:r>
        <w:rPr>
          <w:rFonts w:hint="eastAsia" w:ascii="Times New Roman" w:hAnsi="Times New Roman" w:cs="Times New Roman"/>
          <w:color w:val="auto"/>
          <w:highlight w:val="none"/>
          <w:lang w:val="en-US" w:eastAsia="zh-CN"/>
        </w:rPr>
        <w:t>可大幅减少垃圾处理占地面积，为城市的安全和社会稳定消除隐患，使城市基础设施尽快地完善，对开发旅游资源将产生深远的影响。</w:t>
      </w:r>
    </w:p>
    <w:p w14:paraId="12E1E886">
      <w:pPr>
        <w:pStyle w:val="14"/>
        <w:ind w:firstLine="480"/>
        <w:rPr>
          <w:color w:val="auto"/>
          <w:highlight w:val="none"/>
        </w:rPr>
      </w:pPr>
      <w:r>
        <w:rPr>
          <w:rFonts w:hint="eastAsia" w:ascii="Times New Roman" w:hAnsi="Times New Roman" w:cs="Times New Roman"/>
          <w:color w:val="auto"/>
          <w:highlight w:val="none"/>
          <w:lang w:val="en-US" w:eastAsia="zh-CN"/>
        </w:rPr>
        <w:t>（3）</w:t>
      </w:r>
      <w:r>
        <w:rPr>
          <w:color w:val="auto"/>
          <w:spacing w:val="-1"/>
          <w:highlight w:val="none"/>
        </w:rPr>
        <w:t>推动</w:t>
      </w:r>
      <w:r>
        <w:rPr>
          <w:rFonts w:hint="eastAsia"/>
          <w:color w:val="auto"/>
          <w:spacing w:val="-1"/>
          <w:highlight w:val="none"/>
          <w:lang w:val="en-US" w:eastAsia="zh-CN"/>
        </w:rPr>
        <w:t>剑阁县</w:t>
      </w:r>
      <w:r>
        <w:rPr>
          <w:color w:val="auto"/>
          <w:spacing w:val="-1"/>
          <w:highlight w:val="none"/>
        </w:rPr>
        <w:t>固体废物处理设施的标准化、规范化</w:t>
      </w:r>
    </w:p>
    <w:p w14:paraId="0076E706">
      <w:pPr>
        <w:pStyle w:val="14"/>
        <w:ind w:firstLine="480"/>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本项目采用热解方式处理垃圾，垃圾减量可达 90%，有效解决了生活垃圾的出路问题，有效实现了生活垃圾处置无害化、减量化和资源化的目标。项目建成将改变剑阁县未来10年内的垃圾处理状况，有利于带动周边区域生活垃圾处理发展方向，推动处理设施区域标准化、规范化和管理水平科学的目标。</w:t>
      </w:r>
    </w:p>
    <w:p w14:paraId="728C2CF2">
      <w:pPr>
        <w:pStyle w:val="14"/>
        <w:ind w:firstLine="480"/>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（4）对公众健康安全和生活质量的影响</w:t>
      </w:r>
    </w:p>
    <w:p w14:paraId="294B6580">
      <w:pPr>
        <w:pStyle w:val="14"/>
        <w:ind w:firstLine="480"/>
        <w:rPr>
          <w:rFonts w:hint="eastAsia"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本项目的实施，将推动项目服务区的环境卫生和增进居民的身体健康；可以有效地控制生活垃圾对当地居民生活环境的影响，控制蚊蝇滋生，消除疾病传染，从而保障人民群众的身体健康安全，减少对居民的不良心理、感官上的刺激和疾病传播几率，从而改善生活质量。</w:t>
      </w:r>
    </w:p>
    <w:p w14:paraId="6A8A1BA1">
      <w:pPr>
        <w:pStyle w:val="3"/>
        <w:spacing w:before="156" w:after="156"/>
        <w:rPr>
          <w:rFonts w:hint="default" w:ascii="Times New Roman" w:hAnsi="Times New Roman" w:cs="Times New Roman"/>
          <w:color w:val="auto"/>
          <w:highlight w:val="none"/>
        </w:rPr>
      </w:pPr>
      <w:bookmarkStart w:id="190" w:name="_Toc8352"/>
      <w:bookmarkStart w:id="191" w:name="_Toc6779"/>
      <w:bookmarkStart w:id="192" w:name="_Toc31157"/>
      <w:r>
        <w:rPr>
          <w:rFonts w:hint="default" w:ascii="Times New Roman" w:hAnsi="Times New Roman" w:cs="Times New Roman"/>
          <w:color w:val="auto"/>
          <w:highlight w:val="none"/>
          <w:lang w:val="en-US" w:eastAsia="zh-CN"/>
        </w:rPr>
        <w:t>环境损益</w:t>
      </w:r>
      <w:r>
        <w:rPr>
          <w:rFonts w:hint="default" w:ascii="Times New Roman" w:hAnsi="Times New Roman" w:cs="Times New Roman"/>
          <w:color w:val="auto"/>
          <w:highlight w:val="none"/>
        </w:rPr>
        <w:t>分析</w:t>
      </w:r>
      <w:bookmarkEnd w:id="190"/>
      <w:bookmarkEnd w:id="191"/>
      <w:bookmarkEnd w:id="192"/>
    </w:p>
    <w:p w14:paraId="54606F6F">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1、环保投资分析</w:t>
      </w:r>
    </w:p>
    <w:p w14:paraId="5A7FDB4C">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本项目建成后年热解处理生活垃圾</w:t>
      </w:r>
      <w:r>
        <w:rPr>
          <w:rFonts w:hint="default" w:ascii="Times New Roman" w:hAnsi="Times New Roman" w:eastAsia="宋体" w:cs="Times New Roman"/>
          <w:color w:val="auto"/>
          <w:sz w:val="24"/>
          <w:szCs w:val="24"/>
          <w:highlight w:val="none"/>
          <w:lang w:val="en-US" w:eastAsia="zh-CN"/>
        </w:rPr>
        <w:t>65700</w:t>
      </w:r>
      <w:r>
        <w:rPr>
          <w:rFonts w:hint="default" w:ascii="Times New Roman" w:hAnsi="Times New Roman" w:cs="Times New Roman"/>
          <w:color w:val="auto"/>
          <w:sz w:val="24"/>
          <w:szCs w:val="24"/>
          <w:highlight w:val="none"/>
          <w:lang w:val="en-US" w:eastAsia="zh-CN"/>
        </w:rPr>
        <w:t>t/a，总投资</w:t>
      </w:r>
      <w:r>
        <w:rPr>
          <w:rFonts w:hint="default" w:ascii="Times New Roman" w:hAnsi="Times New Roman" w:cs="Times New Roman"/>
          <w:b w:val="0"/>
          <w:bCs/>
          <w:color w:val="auto"/>
          <w:sz w:val="24"/>
          <w:szCs w:val="24"/>
          <w:highlight w:val="none"/>
          <w:lang w:val="en-US" w:eastAsia="zh-CN"/>
        </w:rPr>
        <w:t>6800</w:t>
      </w:r>
      <w:r>
        <w:rPr>
          <w:rFonts w:hint="default" w:ascii="Times New Roman" w:hAnsi="Times New Roman" w:cs="Times New Roman"/>
          <w:color w:val="auto"/>
          <w:sz w:val="24"/>
          <w:szCs w:val="24"/>
          <w:highlight w:val="none"/>
          <w:lang w:val="en-US" w:eastAsia="zh-CN"/>
        </w:rPr>
        <w:t>万元，</w:t>
      </w:r>
      <w:r>
        <w:rPr>
          <w:rFonts w:hint="eastAsia" w:ascii="Times New Roman" w:hAnsi="Times New Roman" w:cs="Times New Roman"/>
          <w:color w:val="auto"/>
          <w:sz w:val="24"/>
          <w:szCs w:val="24"/>
          <w:highlight w:val="none"/>
          <w:lang w:val="en-US" w:eastAsia="zh-CN"/>
        </w:rPr>
        <w:t>其中</w:t>
      </w:r>
      <w:r>
        <w:rPr>
          <w:rFonts w:hint="default" w:ascii="Times New Roman" w:hAnsi="Times New Roman" w:cs="Times New Roman"/>
          <w:color w:val="auto"/>
          <w:sz w:val="24"/>
          <w:szCs w:val="24"/>
          <w:highlight w:val="none"/>
          <w:lang w:val="en-US" w:eastAsia="zh-CN"/>
        </w:rPr>
        <w:t>环保投资为194万元，约占本项目总投资的2.9%</w:t>
      </w:r>
      <w:r>
        <w:rPr>
          <w:rFonts w:hint="eastAsia"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本项目环境保护治理措施具有针对性，抓住了本项目污染治理的重点，污染治理效果和环境效益明显。</w:t>
      </w:r>
    </w:p>
    <w:p w14:paraId="275FA82F">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2、环境经济损益分析</w:t>
      </w:r>
    </w:p>
    <w:p w14:paraId="4FE7A075">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项目投运后废气、废水、固废、噪声等均有产生，另外还存在水体、大气环境污染等风险。</w:t>
      </w:r>
      <w:r>
        <w:rPr>
          <w:color w:val="auto"/>
          <w:spacing w:val="-7"/>
          <w:sz w:val="24"/>
          <w:szCs w:val="24"/>
          <w:highlight w:val="none"/>
        </w:rPr>
        <w:t>本项目采取较成熟可靠的废气、废水、噪声和固体废物治理措施，可稳定达</w:t>
      </w:r>
      <w:r>
        <w:rPr>
          <w:color w:val="auto"/>
          <w:spacing w:val="-3"/>
          <w:sz w:val="24"/>
          <w:szCs w:val="24"/>
          <w:highlight w:val="none"/>
        </w:rPr>
        <w:t>标排放，使排入环境的污染物大幅降低，具有明显的环境效益，具体表现</w:t>
      </w:r>
      <w:r>
        <w:rPr>
          <w:color w:val="auto"/>
          <w:spacing w:val="-4"/>
          <w:sz w:val="24"/>
          <w:szCs w:val="24"/>
          <w:highlight w:val="none"/>
        </w:rPr>
        <w:t>在：热</w:t>
      </w:r>
      <w:r>
        <w:rPr>
          <w:color w:val="auto"/>
          <w:spacing w:val="-1"/>
          <w:sz w:val="24"/>
          <w:szCs w:val="24"/>
          <w:highlight w:val="none"/>
        </w:rPr>
        <w:t>解气净化采用</w:t>
      </w:r>
      <w:r>
        <w:rPr>
          <w:rFonts w:ascii="Times New Roman" w:hAnsi="Times New Roman" w:eastAsia="Times New Roman" w:cs="Times New Roman"/>
          <w:color w:val="auto"/>
          <w:spacing w:val="-1"/>
          <w:sz w:val="24"/>
          <w:szCs w:val="24"/>
          <w:highlight w:val="none"/>
        </w:rPr>
        <w:t>“</w:t>
      </w:r>
      <w:r>
        <w:rPr>
          <w:rFonts w:hint="default" w:ascii="Times New Roman" w:hAnsi="Times New Roman" w:cs="Times New Roman"/>
          <w:color w:val="auto"/>
          <w:sz w:val="24"/>
          <w:szCs w:val="24"/>
          <w:highlight w:val="none"/>
          <w:lang w:val="en-US" w:eastAsia="zh-CN"/>
        </w:rPr>
        <w:t>喷淋脱酸除雾+电捕焦油</w:t>
      </w:r>
      <w:r>
        <w:rPr>
          <w:rFonts w:ascii="Times New Roman" w:hAnsi="Times New Roman" w:eastAsia="Times New Roman" w:cs="Times New Roman"/>
          <w:color w:val="auto"/>
          <w:spacing w:val="-1"/>
          <w:sz w:val="24"/>
          <w:szCs w:val="24"/>
          <w:highlight w:val="none"/>
        </w:rPr>
        <w:t>”</w:t>
      </w:r>
      <w:r>
        <w:rPr>
          <w:color w:val="auto"/>
          <w:spacing w:val="-1"/>
          <w:sz w:val="24"/>
          <w:szCs w:val="24"/>
          <w:highlight w:val="none"/>
        </w:rPr>
        <w:t>工艺，净化后</w:t>
      </w:r>
      <w:r>
        <w:rPr>
          <w:color w:val="auto"/>
          <w:spacing w:val="-2"/>
          <w:sz w:val="24"/>
          <w:szCs w:val="24"/>
          <w:highlight w:val="none"/>
        </w:rPr>
        <w:t>的热</w:t>
      </w:r>
      <w:r>
        <w:rPr>
          <w:color w:val="auto"/>
          <w:sz w:val="24"/>
          <w:szCs w:val="24"/>
          <w:highlight w:val="none"/>
        </w:rPr>
        <w:t>解气燃烧废气采用</w:t>
      </w:r>
      <w:r>
        <w:rPr>
          <w:rFonts w:ascii="Times New Roman" w:hAnsi="Times New Roman" w:eastAsia="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SNCR+湿式喷淋脱酸除雾+活性炭吸附+布袋除尘</w:t>
      </w:r>
      <w:r>
        <w:rPr>
          <w:rFonts w:ascii="Times New Roman" w:hAnsi="Times New Roman" w:eastAsia="Times New Roman" w:cs="Times New Roman"/>
          <w:color w:val="auto"/>
          <w:spacing w:val="-1"/>
          <w:sz w:val="24"/>
          <w:szCs w:val="24"/>
          <w:highlight w:val="none"/>
        </w:rPr>
        <w:t>”</w:t>
      </w:r>
      <w:r>
        <w:rPr>
          <w:color w:val="auto"/>
          <w:spacing w:val="-1"/>
          <w:sz w:val="24"/>
          <w:szCs w:val="24"/>
          <w:highlight w:val="none"/>
        </w:rPr>
        <w:t>工艺，去</w:t>
      </w:r>
      <w:r>
        <w:rPr>
          <w:color w:val="auto"/>
          <w:spacing w:val="-3"/>
          <w:sz w:val="24"/>
          <w:szCs w:val="24"/>
          <w:highlight w:val="none"/>
        </w:rPr>
        <w:t>除热解烟气中</w:t>
      </w:r>
      <w:r>
        <w:rPr>
          <w:color w:val="auto"/>
          <w:spacing w:val="-63"/>
          <w:sz w:val="24"/>
          <w:szCs w:val="24"/>
          <w:highlight w:val="none"/>
        </w:rPr>
        <w:t xml:space="preserve"> </w:t>
      </w:r>
      <w:r>
        <w:rPr>
          <w:rFonts w:ascii="Times New Roman" w:hAnsi="Times New Roman" w:eastAsia="Times New Roman" w:cs="Times New Roman"/>
          <w:color w:val="auto"/>
          <w:spacing w:val="-3"/>
          <w:sz w:val="24"/>
          <w:szCs w:val="24"/>
          <w:highlight w:val="none"/>
        </w:rPr>
        <w:t>NOx</w:t>
      </w:r>
      <w:r>
        <w:rPr>
          <w:rFonts w:ascii="Times New Roman" w:hAnsi="Times New Roman" w:eastAsia="Times New Roman" w:cs="Times New Roman"/>
          <w:color w:val="auto"/>
          <w:spacing w:val="-31"/>
          <w:sz w:val="24"/>
          <w:szCs w:val="24"/>
          <w:highlight w:val="none"/>
        </w:rPr>
        <w:t xml:space="preserve"> </w:t>
      </w:r>
      <w:r>
        <w:rPr>
          <w:color w:val="auto"/>
          <w:spacing w:val="-3"/>
          <w:sz w:val="24"/>
          <w:szCs w:val="24"/>
          <w:highlight w:val="none"/>
        </w:rPr>
        <w:t>、</w:t>
      </w:r>
      <w:r>
        <w:rPr>
          <w:rFonts w:ascii="Times New Roman" w:hAnsi="Times New Roman" w:eastAsia="Times New Roman" w:cs="Times New Roman"/>
          <w:color w:val="auto"/>
          <w:spacing w:val="-3"/>
          <w:sz w:val="24"/>
          <w:szCs w:val="24"/>
          <w:highlight w:val="none"/>
        </w:rPr>
        <w:t>SO</w:t>
      </w:r>
      <w:r>
        <w:rPr>
          <w:rFonts w:hint="eastAsia" w:ascii="Times New Roman" w:hAnsi="Times New Roman" w:eastAsia="宋体" w:cs="Times New Roman"/>
          <w:color w:val="auto"/>
          <w:spacing w:val="-3"/>
          <w:sz w:val="24"/>
          <w:szCs w:val="24"/>
          <w:highlight w:val="none"/>
          <w:vertAlign w:val="subscript"/>
          <w:lang w:val="en-US" w:eastAsia="zh-CN"/>
        </w:rPr>
        <w:t>2</w:t>
      </w:r>
      <w:r>
        <w:rPr>
          <w:color w:val="auto"/>
          <w:spacing w:val="-3"/>
          <w:sz w:val="24"/>
          <w:szCs w:val="24"/>
          <w:highlight w:val="none"/>
        </w:rPr>
        <w:t>、</w:t>
      </w:r>
      <w:r>
        <w:rPr>
          <w:rFonts w:ascii="Times New Roman" w:hAnsi="Times New Roman" w:eastAsia="Times New Roman" w:cs="Times New Roman"/>
          <w:color w:val="auto"/>
          <w:spacing w:val="-3"/>
          <w:sz w:val="24"/>
          <w:szCs w:val="24"/>
          <w:highlight w:val="none"/>
        </w:rPr>
        <w:t>HCl</w:t>
      </w:r>
      <w:r>
        <w:rPr>
          <w:color w:val="auto"/>
          <w:spacing w:val="-3"/>
          <w:sz w:val="24"/>
          <w:szCs w:val="24"/>
          <w:highlight w:val="none"/>
        </w:rPr>
        <w:t>等酸性气体，以及烟尘、二噁英类、重金</w:t>
      </w:r>
      <w:r>
        <w:rPr>
          <w:color w:val="auto"/>
          <w:spacing w:val="-4"/>
          <w:sz w:val="24"/>
          <w:szCs w:val="24"/>
          <w:highlight w:val="none"/>
        </w:rPr>
        <w:t>属等污</w:t>
      </w:r>
      <w:r>
        <w:rPr>
          <w:color w:val="auto"/>
          <w:spacing w:val="-3"/>
          <w:sz w:val="24"/>
          <w:szCs w:val="24"/>
          <w:highlight w:val="none"/>
        </w:rPr>
        <w:t>染物；</w:t>
      </w:r>
      <w:r>
        <w:rPr>
          <w:rFonts w:hint="eastAsia"/>
          <w:color w:val="auto"/>
          <w:spacing w:val="-3"/>
          <w:sz w:val="24"/>
          <w:szCs w:val="24"/>
          <w:highlight w:val="none"/>
          <w:lang w:val="en-US" w:eastAsia="zh-CN"/>
        </w:rPr>
        <w:t>废水</w:t>
      </w:r>
      <w:r>
        <w:rPr>
          <w:rFonts w:hint="default" w:ascii="Times New Roman" w:hAnsi="Times New Roman" w:cs="Times New Roman"/>
          <w:color w:val="auto"/>
          <w:sz w:val="24"/>
          <w:szCs w:val="24"/>
          <w:highlight w:val="none"/>
          <w:lang w:val="en-US" w:eastAsia="zh-CN"/>
        </w:rPr>
        <w:t>经渗滤液处理系统处理后回用</w:t>
      </w:r>
      <w:r>
        <w:rPr>
          <w:color w:val="auto"/>
          <w:spacing w:val="-3"/>
          <w:sz w:val="24"/>
          <w:szCs w:val="24"/>
          <w:highlight w:val="none"/>
        </w:rPr>
        <w:t>，不外排；厂区采取严密防渗设计；选用低噪声设备并采用吸声、隔声、消声、减震、绿化等综合降噪措施；</w:t>
      </w:r>
      <w:r>
        <w:rPr>
          <w:rFonts w:hint="eastAsia"/>
          <w:color w:val="auto"/>
          <w:spacing w:val="-3"/>
          <w:sz w:val="24"/>
          <w:szCs w:val="24"/>
          <w:highlight w:val="none"/>
          <w:lang w:val="en-US" w:eastAsia="zh-CN"/>
        </w:rPr>
        <w:t>产生的各类</w:t>
      </w:r>
      <w:r>
        <w:rPr>
          <w:color w:val="auto"/>
          <w:spacing w:val="-3"/>
          <w:sz w:val="24"/>
          <w:szCs w:val="24"/>
          <w:highlight w:val="none"/>
        </w:rPr>
        <w:t>固体废物均得到</w:t>
      </w:r>
      <w:r>
        <w:rPr>
          <w:rFonts w:hint="default" w:ascii="Times New Roman" w:hAnsi="Times New Roman" w:cs="Times New Roman"/>
          <w:color w:val="auto"/>
          <w:sz w:val="24"/>
          <w:szCs w:val="24"/>
          <w:highlight w:val="none"/>
          <w:lang w:val="en-US" w:eastAsia="zh-CN"/>
        </w:rPr>
        <w:t>妥善处置或综合利用。</w:t>
      </w:r>
    </w:p>
    <w:p w14:paraId="75DABDCA">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综上，</w:t>
      </w:r>
      <w:r>
        <w:rPr>
          <w:rFonts w:hint="default" w:ascii="Times New Roman" w:hAnsi="Times New Roman" w:cs="Times New Roman"/>
          <w:color w:val="auto"/>
          <w:sz w:val="24"/>
          <w:szCs w:val="24"/>
          <w:highlight w:val="none"/>
          <w:lang w:val="en-US" w:eastAsia="zh-CN"/>
        </w:rPr>
        <w:t>本项目污染治理将投入一定的环保费用，可实现污染物全面达标排放，确保区域环境不因本项目建设而出现环境质量下降。</w:t>
      </w:r>
    </w:p>
    <w:p w14:paraId="606F1F15">
      <w:pPr>
        <w:pStyle w:val="3"/>
        <w:spacing w:before="156" w:after="156"/>
        <w:rPr>
          <w:rFonts w:hint="default" w:ascii="Times New Roman" w:hAnsi="Times New Roman" w:cs="Times New Roman"/>
          <w:color w:val="auto"/>
          <w:highlight w:val="none"/>
        </w:rPr>
      </w:pPr>
      <w:bookmarkStart w:id="193" w:name="_Toc26420"/>
      <w:bookmarkStart w:id="194" w:name="_Toc29543"/>
      <w:bookmarkStart w:id="195" w:name="_Toc3283"/>
      <w:r>
        <w:rPr>
          <w:rFonts w:hint="default" w:ascii="Times New Roman" w:hAnsi="Times New Roman" w:cs="Times New Roman"/>
          <w:color w:val="auto"/>
          <w:highlight w:val="none"/>
        </w:rPr>
        <w:t>小结</w:t>
      </w:r>
      <w:bookmarkEnd w:id="193"/>
      <w:bookmarkEnd w:id="194"/>
      <w:bookmarkEnd w:id="195"/>
    </w:p>
    <w:p w14:paraId="3AB4F05F">
      <w:pPr>
        <w:pStyle w:val="14"/>
        <w:ind w:firstLine="480"/>
        <w:rPr>
          <w:rFonts w:hint="default" w:ascii="Times New Roman" w:hAnsi="Times New Roman" w:cs="Times New Roman"/>
          <w:color w:val="auto"/>
          <w:highlight w:val="none"/>
        </w:rPr>
        <w:sectPr>
          <w:headerReference r:id="rId35" w:type="default"/>
          <w:footerReference r:id="rId36"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r>
        <w:rPr>
          <w:rFonts w:hint="eastAsia" w:cs="Times New Roman"/>
          <w:color w:val="auto"/>
          <w:highlight w:val="none"/>
          <w:lang w:val="en-US" w:eastAsia="zh-CN"/>
        </w:rPr>
        <w:t>综上分析</w:t>
      </w:r>
      <w:r>
        <w:rPr>
          <w:rFonts w:hint="default" w:ascii="Times New Roman" w:hAnsi="Times New Roman" w:cs="Times New Roman"/>
          <w:color w:val="auto"/>
          <w:highlight w:val="none"/>
        </w:rPr>
        <w:t>，在落实本环评提出的各项污染防治措施的前提下，本项目的建设能够达到经济效益、社会效益和环境效益相统一的要求，通过环保投资减少了污染物排放量，使污染物排放量在环境容量容许的范围内</w:t>
      </w:r>
      <w:r>
        <w:rPr>
          <w:rFonts w:hint="eastAsia" w:cs="Times New Roman"/>
          <w:color w:val="auto"/>
          <w:highlight w:val="none"/>
          <w:lang w:eastAsia="zh-CN"/>
        </w:rPr>
        <w:t>，</w:t>
      </w:r>
      <w:r>
        <w:rPr>
          <w:rFonts w:hint="default" w:ascii="Times New Roman" w:hAnsi="Times New Roman" w:cs="Times New Roman"/>
          <w:color w:val="auto"/>
          <w:highlight w:val="none"/>
        </w:rPr>
        <w:t>项目建设满足可持续发展的要求，从环境经济角度而言，项目建设是可行。</w:t>
      </w:r>
    </w:p>
    <w:p w14:paraId="797E2BA2">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196" w:name="_Toc11719"/>
      <w:bookmarkStart w:id="197" w:name="_Toc8362"/>
      <w:bookmarkStart w:id="198" w:name="_Toc9746"/>
      <w:r>
        <w:rPr>
          <w:rFonts w:hint="default" w:ascii="Times New Roman" w:hAnsi="Times New Roman" w:cs="Times New Roman"/>
          <w:color w:val="auto"/>
          <w:highlight w:val="none"/>
        </w:rPr>
        <w:t>环境管理</w:t>
      </w:r>
      <w:r>
        <w:rPr>
          <w:rFonts w:hint="eastAsia" w:cs="Times New Roman"/>
          <w:color w:val="auto"/>
          <w:highlight w:val="none"/>
          <w:lang w:val="en-US" w:eastAsia="zh-CN"/>
        </w:rPr>
        <w:t>与</w:t>
      </w:r>
      <w:r>
        <w:rPr>
          <w:rFonts w:hint="default" w:ascii="Times New Roman" w:hAnsi="Times New Roman" w:cs="Times New Roman"/>
          <w:color w:val="auto"/>
          <w:highlight w:val="none"/>
        </w:rPr>
        <w:t>监测计划</w:t>
      </w:r>
      <w:bookmarkEnd w:id="196"/>
      <w:bookmarkEnd w:id="197"/>
      <w:bookmarkEnd w:id="198"/>
    </w:p>
    <w:p w14:paraId="0C485AD9">
      <w:pPr>
        <w:pStyle w:val="3"/>
        <w:spacing w:before="156" w:after="156"/>
        <w:rPr>
          <w:rFonts w:hint="default" w:ascii="Times New Roman" w:hAnsi="Times New Roman" w:cs="Times New Roman"/>
          <w:color w:val="auto"/>
          <w:highlight w:val="none"/>
        </w:rPr>
      </w:pPr>
      <w:bookmarkStart w:id="199" w:name="_Toc25480"/>
      <w:bookmarkStart w:id="200" w:name="_Toc23024"/>
      <w:bookmarkStart w:id="201" w:name="_Toc8778"/>
      <w:r>
        <w:rPr>
          <w:rFonts w:hint="default" w:ascii="Times New Roman" w:hAnsi="Times New Roman" w:cs="Times New Roman"/>
          <w:color w:val="auto"/>
          <w:highlight w:val="none"/>
        </w:rPr>
        <w:t>环境管理</w:t>
      </w:r>
      <w:bookmarkEnd w:id="199"/>
      <w:bookmarkEnd w:id="200"/>
      <w:bookmarkEnd w:id="201"/>
    </w:p>
    <w:p w14:paraId="477F8039">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环境管理</w:t>
      </w:r>
      <w:r>
        <w:rPr>
          <w:rFonts w:hint="eastAsia" w:cs="Times New Roman"/>
          <w:color w:val="auto"/>
          <w:highlight w:val="none"/>
          <w:lang w:val="en-US" w:eastAsia="zh-CN"/>
        </w:rPr>
        <w:t>的基本任务</w:t>
      </w:r>
    </w:p>
    <w:p w14:paraId="229B4FA0">
      <w:pPr>
        <w:pStyle w:val="14"/>
        <w:ind w:firstLine="480"/>
        <w:rPr>
          <w:rFonts w:hint="eastAsia" w:ascii="Times New Roman" w:hAnsi="Times New Roman" w:cs="Times New Roman" w:eastAsiaTheme="minorEastAsia"/>
          <w:color w:val="auto"/>
          <w:highlight w:val="none"/>
          <w:lang w:eastAsia="zh-CN"/>
        </w:rPr>
      </w:pPr>
      <w:r>
        <w:rPr>
          <w:color w:val="auto"/>
          <w:spacing w:val="-2"/>
          <w:highlight w:val="none"/>
        </w:rPr>
        <w:t>环境管理是企业管理的重要组成部分，它与企业计划、生</w:t>
      </w:r>
      <w:r>
        <w:rPr>
          <w:color w:val="auto"/>
          <w:spacing w:val="-3"/>
          <w:highlight w:val="none"/>
        </w:rPr>
        <w:t>产、质量、技术、</w:t>
      </w:r>
      <w:r>
        <w:rPr>
          <w:color w:val="auto"/>
          <w:highlight w:val="none"/>
        </w:rPr>
        <w:t xml:space="preserve"> </w:t>
      </w:r>
      <w:r>
        <w:rPr>
          <w:color w:val="auto"/>
          <w:spacing w:val="-2"/>
          <w:highlight w:val="none"/>
        </w:rPr>
        <w:t>财务等管理同等重要。垃圾热解处理是一个垃圾减量化的项目，如因管</w:t>
      </w:r>
      <w:r>
        <w:rPr>
          <w:color w:val="auto"/>
          <w:spacing w:val="-3"/>
          <w:highlight w:val="none"/>
        </w:rPr>
        <w:t>理不善，</w:t>
      </w:r>
      <w:r>
        <w:rPr>
          <w:color w:val="auto"/>
          <w:highlight w:val="none"/>
        </w:rPr>
        <w:t xml:space="preserve"> </w:t>
      </w:r>
      <w:r>
        <w:rPr>
          <w:color w:val="auto"/>
          <w:spacing w:val="2"/>
          <w:highlight w:val="none"/>
        </w:rPr>
        <w:t>会产生更大的污染，环境管理的基本任务是以保护环境为目标，清洁生产为手</w:t>
      </w:r>
      <w:r>
        <w:rPr>
          <w:color w:val="auto"/>
          <w:spacing w:val="11"/>
          <w:highlight w:val="none"/>
        </w:rPr>
        <w:t xml:space="preserve"> </w:t>
      </w:r>
      <w:r>
        <w:rPr>
          <w:color w:val="auto"/>
          <w:spacing w:val="2"/>
          <w:highlight w:val="none"/>
        </w:rPr>
        <w:t>段，发展生产与经济效益，因此环境管理对环境效益、经济效益的提高将起到</w:t>
      </w:r>
      <w:r>
        <w:rPr>
          <w:color w:val="auto"/>
          <w:spacing w:val="11"/>
          <w:highlight w:val="none"/>
        </w:rPr>
        <w:t xml:space="preserve"> </w:t>
      </w:r>
      <w:r>
        <w:rPr>
          <w:color w:val="auto"/>
          <w:spacing w:val="-5"/>
          <w:highlight w:val="none"/>
        </w:rPr>
        <w:t>积极的促进作用</w:t>
      </w:r>
      <w:r>
        <w:rPr>
          <w:rFonts w:hint="eastAsia"/>
          <w:color w:val="auto"/>
          <w:spacing w:val="-5"/>
          <w:highlight w:val="none"/>
          <w:lang w:eastAsia="zh-CN"/>
        </w:rPr>
        <w:t>。</w:t>
      </w:r>
    </w:p>
    <w:p w14:paraId="7B4EFA8B">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环境管理</w:t>
      </w:r>
      <w:r>
        <w:rPr>
          <w:rFonts w:hint="default" w:ascii="Times New Roman" w:hAnsi="Times New Roman" w:cs="Times New Roman"/>
          <w:color w:val="auto"/>
          <w:highlight w:val="none"/>
          <w:lang w:eastAsia="zh-CN"/>
        </w:rPr>
        <w:t>机构</w:t>
      </w:r>
    </w:p>
    <w:p w14:paraId="1478D0A9">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为有效地保护环境和防止污染事故发生，本次评价建议建设单位设置环境保护管理机构和专职的环保管理人员。主要负责施工期及运行期环境保护方面的检测、日常监督、突发性环境污染事故，协调解决与环保部门及周围公众关系的环境管理工作，同时负责贯彻、落实有关环境保护的政策、法规以及本项目日常环境管理和环境监测工作。接受省、市、县各级环保部门的检查、监督，并定期向上级主管部门汇报环境保护工作情况。</w:t>
      </w:r>
    </w:p>
    <w:p w14:paraId="1C951122">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环境管理</w:t>
      </w:r>
      <w:r>
        <w:rPr>
          <w:rFonts w:hint="default" w:ascii="Times New Roman" w:hAnsi="Times New Roman" w:cs="Times New Roman"/>
          <w:color w:val="auto"/>
          <w:highlight w:val="none"/>
          <w:lang w:eastAsia="zh-CN"/>
        </w:rPr>
        <w:t>机构职责</w:t>
      </w:r>
    </w:p>
    <w:p w14:paraId="45A13990">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环境保护管理机构的基本任务是负责组织、落实、监督本项目的环保工作。其主要职责如下：</w:t>
      </w:r>
    </w:p>
    <w:p w14:paraId="347F4E27">
      <w:pPr>
        <w:pStyle w:val="14"/>
        <w:ind w:firstLine="480"/>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lang w:val="en-US" w:eastAsia="zh-CN"/>
        </w:rPr>
        <w:t>1</w:t>
      </w:r>
      <w:r>
        <w:rPr>
          <w:rFonts w:hint="eastAsia" w:ascii="Times New Roman" w:hAnsi="Times New Roman" w:cs="Times New Roman"/>
          <w:color w:val="auto"/>
          <w:highlight w:val="none"/>
          <w:lang w:eastAsia="zh-CN"/>
        </w:rPr>
        <w:t>）</w:t>
      </w:r>
      <w:r>
        <w:rPr>
          <w:rFonts w:hint="default" w:ascii="Times New Roman" w:hAnsi="Times New Roman" w:cs="Times New Roman"/>
          <w:color w:val="auto"/>
          <w:highlight w:val="none"/>
        </w:rPr>
        <w:t>贯彻执行国家与地方制定的有关环境保护法律与政策，协调生产建设与保护环境的关系，处理生产中发生的环境问题，制定可操作的环保管理制度和 责任制，并对实施情况进行监督、检查；</w:t>
      </w:r>
    </w:p>
    <w:p w14:paraId="6FCDBB45">
      <w:pPr>
        <w:pStyle w:val="14"/>
        <w:ind w:firstLine="480"/>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lang w:val="en-US" w:eastAsia="zh-CN"/>
        </w:rPr>
        <w:t>2</w:t>
      </w:r>
      <w:r>
        <w:rPr>
          <w:rFonts w:hint="eastAsia" w:ascii="Times New Roman" w:hAnsi="Times New Roman" w:cs="Times New Roman"/>
          <w:color w:val="auto"/>
          <w:highlight w:val="none"/>
          <w:lang w:eastAsia="zh-CN"/>
        </w:rPr>
        <w:t>）</w:t>
      </w:r>
      <w:r>
        <w:rPr>
          <w:rFonts w:hint="default" w:ascii="Times New Roman" w:hAnsi="Times New Roman" w:cs="Times New Roman"/>
          <w:color w:val="auto"/>
          <w:highlight w:val="none"/>
        </w:rPr>
        <w:t>制定本项目的环保管理制度、环保技术经济政策、环境保护年度实施计 划等；</w:t>
      </w:r>
    </w:p>
    <w:p w14:paraId="6C30C001">
      <w:pPr>
        <w:pStyle w:val="14"/>
        <w:ind w:firstLine="480"/>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lang w:val="en-US" w:eastAsia="zh-CN"/>
        </w:rPr>
        <w:t>3</w:t>
      </w:r>
      <w:r>
        <w:rPr>
          <w:rFonts w:hint="eastAsia" w:ascii="Times New Roman" w:hAnsi="Times New Roman" w:cs="Times New Roman"/>
          <w:color w:val="auto"/>
          <w:highlight w:val="none"/>
          <w:lang w:eastAsia="zh-CN"/>
        </w:rPr>
        <w:t>）</w:t>
      </w:r>
      <w:r>
        <w:rPr>
          <w:rFonts w:hint="default" w:ascii="Times New Roman" w:hAnsi="Times New Roman" w:cs="Times New Roman"/>
          <w:color w:val="auto"/>
          <w:highlight w:val="none"/>
        </w:rPr>
        <w:t>监督本项目“三同时”的实施情况，使本项目的环保措施与主体工程同时 设计、同时施工、同时投产，以保证有效的控制环境污染；同时与政府生态环 保机构密切配合，接受各级政府生态环保部门的检查和指导；</w:t>
      </w:r>
    </w:p>
    <w:p w14:paraId="642092E9">
      <w:pPr>
        <w:pStyle w:val="14"/>
        <w:ind w:firstLine="480"/>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lang w:val="en-US" w:eastAsia="zh-CN"/>
        </w:rPr>
        <w:t>4）</w:t>
      </w:r>
      <w:r>
        <w:rPr>
          <w:rFonts w:hint="default" w:ascii="Times New Roman" w:hAnsi="Times New Roman" w:cs="Times New Roman"/>
          <w:color w:val="auto"/>
          <w:highlight w:val="none"/>
        </w:rPr>
        <w:t>负责监督检查环保设施的运行状况、治理效果、存在问题，安排落实环 保设施的日常维修，以确保环保设施长期稳定、正常运转；</w:t>
      </w:r>
    </w:p>
    <w:p w14:paraId="7A90F69C">
      <w:pPr>
        <w:pStyle w:val="14"/>
        <w:ind w:firstLine="480"/>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lang w:val="en-US" w:eastAsia="zh-CN"/>
        </w:rPr>
        <w:t>5</w:t>
      </w:r>
      <w:r>
        <w:rPr>
          <w:rFonts w:hint="eastAsia" w:ascii="Times New Roman" w:hAnsi="Times New Roman" w:cs="Times New Roman"/>
          <w:color w:val="auto"/>
          <w:highlight w:val="none"/>
          <w:lang w:eastAsia="zh-CN"/>
        </w:rPr>
        <w:t>）</w:t>
      </w:r>
      <w:r>
        <w:rPr>
          <w:rFonts w:hint="default" w:ascii="Times New Roman" w:hAnsi="Times New Roman" w:cs="Times New Roman"/>
          <w:color w:val="auto"/>
          <w:highlight w:val="none"/>
        </w:rPr>
        <w:t>负责厂区环保设施的日常运行管理工作，制定和实施环保设施出现故障的应急计划；</w:t>
      </w:r>
    </w:p>
    <w:p w14:paraId="3F994544">
      <w:pPr>
        <w:pStyle w:val="14"/>
        <w:ind w:firstLine="480"/>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lang w:val="en-US" w:eastAsia="zh-CN"/>
        </w:rPr>
        <w:t>6</w:t>
      </w:r>
      <w:r>
        <w:rPr>
          <w:rFonts w:hint="eastAsia" w:ascii="Times New Roman" w:hAnsi="Times New Roman" w:cs="Times New Roman"/>
          <w:color w:val="auto"/>
          <w:highlight w:val="none"/>
          <w:lang w:eastAsia="zh-CN"/>
        </w:rPr>
        <w:t>）</w:t>
      </w:r>
      <w:r>
        <w:rPr>
          <w:rFonts w:hint="default" w:ascii="Times New Roman" w:hAnsi="Times New Roman" w:cs="Times New Roman"/>
          <w:color w:val="auto"/>
          <w:highlight w:val="none"/>
        </w:rPr>
        <w:t>负责对厂区环保人员及周围居民进行环保教育，不断提高居民的环保意 识和工作人员的业务能力，协同各部门解答和处理与项目工程环境保护相关公 众提出的意见和问题；</w:t>
      </w:r>
    </w:p>
    <w:p w14:paraId="046759D8">
      <w:pPr>
        <w:pStyle w:val="14"/>
        <w:ind w:firstLine="480"/>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lang w:val="en-US" w:eastAsia="zh-CN"/>
        </w:rPr>
        <w:t>7</w:t>
      </w:r>
      <w:r>
        <w:rPr>
          <w:rFonts w:hint="eastAsia" w:ascii="Times New Roman" w:hAnsi="Times New Roman" w:cs="Times New Roman"/>
          <w:color w:val="auto"/>
          <w:highlight w:val="none"/>
          <w:lang w:eastAsia="zh-CN"/>
        </w:rPr>
        <w:t>）</w:t>
      </w:r>
      <w:r>
        <w:rPr>
          <w:rFonts w:hint="default" w:ascii="Times New Roman" w:hAnsi="Times New Roman" w:cs="Times New Roman"/>
          <w:color w:val="auto"/>
          <w:highlight w:val="none"/>
        </w:rPr>
        <w:t>做好监控档案，负责向当地环境保护主管部门上报有关环保材料，贯彻 环保主管部门下达的有关厂区环保工作的任务和要求；</w:t>
      </w:r>
    </w:p>
    <w:p w14:paraId="70F082C0">
      <w:pPr>
        <w:pStyle w:val="14"/>
        <w:ind w:firstLine="480"/>
        <w:rPr>
          <w:rFonts w:hint="eastAsia" w:ascii="Times New Roman" w:hAnsi="Times New Roman" w:cs="Times New Roman"/>
          <w:color w:val="auto"/>
          <w:highlight w:val="none"/>
          <w:lang w:eastAsia="zh-CN"/>
        </w:rPr>
      </w:pP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lang w:val="en-US" w:eastAsia="zh-CN"/>
        </w:rPr>
        <w:t>8</w:t>
      </w:r>
      <w:r>
        <w:rPr>
          <w:rFonts w:hint="eastAsia" w:ascii="Times New Roman" w:hAnsi="Times New Roman" w:cs="Times New Roman"/>
          <w:color w:val="auto"/>
          <w:highlight w:val="none"/>
          <w:lang w:eastAsia="zh-CN"/>
        </w:rPr>
        <w:t>）</w:t>
      </w:r>
      <w:r>
        <w:rPr>
          <w:rFonts w:hint="default" w:ascii="Times New Roman" w:hAnsi="Times New Roman" w:cs="Times New Roman"/>
          <w:color w:val="auto"/>
          <w:highlight w:val="none"/>
        </w:rPr>
        <w:t>组织宣传教育，与企业内部有关部门共同大力普及职工的环境法规及环 境科学知识，提高职工的环保意识。宣传清洁生产理念、宣传垃圾分类理念， 尽可能将污染控制在源头</w:t>
      </w:r>
      <w:r>
        <w:rPr>
          <w:rFonts w:hint="eastAsia" w:ascii="Times New Roman" w:hAnsi="Times New Roman" w:cs="Times New Roman"/>
          <w:color w:val="auto"/>
          <w:highlight w:val="none"/>
          <w:lang w:eastAsia="zh-CN"/>
        </w:rPr>
        <w:t>。</w:t>
      </w:r>
    </w:p>
    <w:p w14:paraId="69155145">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环境管理计划</w:t>
      </w:r>
    </w:p>
    <w:p w14:paraId="5F5D92B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（1）可行性研究阶段</w:t>
      </w:r>
    </w:p>
    <w:p w14:paraId="44137E3A">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项目可研阶段的主要环保工作是建设项目的环境影响评价，为了实施环境影响报告书中提出的各项污染防治与生态保护措施，防止和减缓项目实施潜在的不利影响，经环评单位、设计单位和建设单位研讨，编制环境管理计划。</w:t>
      </w:r>
    </w:p>
    <w:p w14:paraId="6D81EC73">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（2）设计阶段</w:t>
      </w:r>
    </w:p>
    <w:p w14:paraId="1B682B6C">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设计单位参考环评文件，应设计有效的各项污染防治措施，实现达标排放；同时做好环境风险防范措施；做好周围生态环境保护。</w:t>
      </w:r>
    </w:p>
    <w:p w14:paraId="4D44D811">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（3）施工期</w:t>
      </w:r>
    </w:p>
    <w:p w14:paraId="7279659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建设单位与施工单位签定工程承包合同中应有工程施工期间的环境保护条款，包括施工中生态保护、施工期环境污染控制、污染排放管理、施工人员环保教育及相关奖惩条款；</w:t>
      </w:r>
    </w:p>
    <w:p w14:paraId="7E89B40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施工单位应提高环保意识，加强驻地和施工现场的环境管理，合理安排施工计划，切实做到组织计划严谨，文明施工：环保措施逐项落实到位，环保工程与主体工程同时施工、同时运行，环保工程费用专款专用；</w:t>
      </w:r>
    </w:p>
    <w:p w14:paraId="3A56D2F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施工单位应特别注意施工中的水土保持，尽可能保护好植被、土壤，弃土弃渣尽量回填，回填不完须运至指定地点处置，严禁随意堆置，防止水土流失；</w:t>
      </w:r>
    </w:p>
    <w:p w14:paraId="0A058167">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各施工现场、施工单位驻地及施工临时设施，应加强环境管理，避免污水排入地面水环境；易产尘点应采取降尘措施，减少扬尘；施工完毕后施工单位须及时清理和恢复施工现场，妥善处理生活垃圾与施工弃碴；施工噪声应执行《建筑施工场界环境噪声排放标准》（GB12523-2011）中的有关规定；</w:t>
      </w:r>
    </w:p>
    <w:p w14:paraId="7671354D">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认真落实各项补偿措施，做好工程各项环保设施的施工管理与验收，保证环保工程质量，真正做到环保工程“三同时”。</w:t>
      </w:r>
    </w:p>
    <w:p w14:paraId="12C6FE86">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（4）运行期</w:t>
      </w:r>
    </w:p>
    <w:p w14:paraId="592EA48B">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由专人负责运营期的环境管理工作，与当地环保部门及其授权监测部门直接监管污染物的排放情况，对超标排放及污染事故、纠纷进行处理。</w:t>
      </w:r>
    </w:p>
    <w:p w14:paraId="1A0C685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由分管环境的主要领导负责环保指标的落实，将环保指标逐级分解到个人，确保环保设施正常运转和污染物达标排放；配合地方环保部门监测部门进行日常环境监测，记录并及时上报污染源及环保措施运转动态。</w:t>
      </w:r>
    </w:p>
    <w:p w14:paraId="0B540E1E">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各阶段环境管理工作计划见</w:t>
      </w:r>
      <w:r>
        <w:rPr>
          <w:rFonts w:hint="eastAsia" w:cs="Times New Roman"/>
          <w:color w:val="auto"/>
          <w:highlight w:val="none"/>
          <w:lang w:val="en-US" w:eastAsia="zh-CN"/>
        </w:rPr>
        <w:t>下</w:t>
      </w:r>
      <w:r>
        <w:rPr>
          <w:rFonts w:hint="default" w:ascii="Times New Roman" w:hAnsi="Times New Roman" w:cs="Times New Roman"/>
          <w:color w:val="auto"/>
          <w:highlight w:val="none"/>
        </w:rPr>
        <w:t>表。</w:t>
      </w:r>
    </w:p>
    <w:p w14:paraId="679AA878">
      <w:pPr>
        <w:pStyle w:val="11"/>
        <w:rPr>
          <w:rFonts w:hint="eastAsia" w:cs="Times New Roman"/>
          <w:color w:val="auto"/>
          <w:highlight w:val="none"/>
          <w:lang w:val="en-US" w:eastAsia="zh-CN"/>
        </w:rPr>
      </w:pPr>
      <w:r>
        <w:rPr>
          <w:rFonts w:hint="default" w:ascii="Times New Roman" w:hAnsi="Times New Roman" w:cs="Times New Roman"/>
          <w:color w:val="auto"/>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2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11.1</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SEQ 表 \* ARABIC \s 2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1</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color w:val="auto"/>
          <w:highlight w:val="none"/>
        </w:rPr>
        <w:t xml:space="preserve">  </w:t>
      </w:r>
      <w:r>
        <w:rPr>
          <w:rFonts w:hint="eastAsia" w:cs="Times New Roman"/>
          <w:color w:val="auto"/>
          <w:highlight w:val="none"/>
          <w:lang w:val="en-US" w:eastAsia="zh-CN"/>
        </w:rPr>
        <w:t>环境管理计划一览表</w:t>
      </w:r>
    </w:p>
    <w:tbl>
      <w:tblPr>
        <w:tblStyle w:val="132"/>
        <w:tblW w:w="4999"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399"/>
        <w:gridCol w:w="7671"/>
      </w:tblGrid>
      <w:tr w14:paraId="16ABE86E">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71" w:type="pct"/>
            <w:tcBorders>
              <w:tl2br w:val="nil"/>
              <w:tr2bl w:val="nil"/>
            </w:tcBorders>
            <w:vAlign w:val="top"/>
          </w:tcPr>
          <w:p w14:paraId="42DC1B54">
            <w:pPr>
              <w:pStyle w:val="145"/>
              <w:keepNext w:val="0"/>
              <w:keepLines w:val="0"/>
              <w:suppressLineNumbers w:val="0"/>
              <w:autoSpaceDE w:val="0"/>
              <w:autoSpaceDN w:val="0"/>
              <w:spacing w:before="54" w:beforeAutospacing="0" w:after="0" w:afterAutospacing="0" w:line="240" w:lineRule="auto"/>
              <w:ind w:left="504" w:right="0"/>
              <w:rPr>
                <w:rFonts w:hint="default"/>
                <w:b/>
                <w:bCs/>
                <w:color w:val="auto"/>
                <w:highlight w:val="none"/>
              </w:rPr>
            </w:pPr>
            <w:r>
              <w:rPr>
                <w:rFonts w:hint="default"/>
                <w:b/>
                <w:bCs/>
                <w:color w:val="auto"/>
                <w:spacing w:val="-4"/>
                <w:highlight w:val="none"/>
              </w:rPr>
              <w:t>阶段</w:t>
            </w:r>
          </w:p>
        </w:tc>
        <w:tc>
          <w:tcPr>
            <w:tcW w:w="4228" w:type="pct"/>
            <w:tcBorders>
              <w:tl2br w:val="nil"/>
              <w:tr2bl w:val="nil"/>
            </w:tcBorders>
            <w:vAlign w:val="top"/>
          </w:tcPr>
          <w:p w14:paraId="31412EE1">
            <w:pPr>
              <w:pStyle w:val="145"/>
              <w:keepNext w:val="0"/>
              <w:keepLines w:val="0"/>
              <w:suppressLineNumbers w:val="0"/>
              <w:autoSpaceDE w:val="0"/>
              <w:autoSpaceDN w:val="0"/>
              <w:spacing w:before="55" w:beforeAutospacing="0" w:after="0" w:afterAutospacing="0" w:line="240" w:lineRule="auto"/>
              <w:ind w:left="2742" w:right="0"/>
              <w:rPr>
                <w:rFonts w:hint="default"/>
                <w:b/>
                <w:bCs/>
                <w:color w:val="auto"/>
                <w:highlight w:val="none"/>
              </w:rPr>
            </w:pPr>
            <w:r>
              <w:rPr>
                <w:rFonts w:hint="default"/>
                <w:b/>
                <w:bCs/>
                <w:color w:val="auto"/>
                <w:spacing w:val="-1"/>
                <w:highlight w:val="none"/>
              </w:rPr>
              <w:t>环境管理主要任务内容</w:t>
            </w:r>
          </w:p>
        </w:tc>
      </w:tr>
      <w:tr w14:paraId="12BE8CAF">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71" w:type="pct"/>
            <w:tcBorders>
              <w:tl2br w:val="nil"/>
              <w:tr2bl w:val="nil"/>
            </w:tcBorders>
            <w:vAlign w:val="top"/>
          </w:tcPr>
          <w:p w14:paraId="2D4CFEED">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0F8B0725">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611684CD">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797CB1AD">
            <w:pPr>
              <w:pStyle w:val="145"/>
              <w:keepNext w:val="0"/>
              <w:keepLines w:val="0"/>
              <w:suppressLineNumbers w:val="0"/>
              <w:autoSpaceDE w:val="0"/>
              <w:autoSpaceDN w:val="0"/>
              <w:spacing w:before="68" w:beforeAutospacing="0" w:after="0" w:afterAutospacing="0" w:line="240" w:lineRule="auto"/>
              <w:ind w:left="289" w:right="0"/>
              <w:rPr>
                <w:rFonts w:hint="default"/>
                <w:color w:val="auto"/>
                <w:highlight w:val="none"/>
              </w:rPr>
            </w:pPr>
            <w:r>
              <w:rPr>
                <w:rFonts w:hint="default"/>
                <w:color w:val="auto"/>
                <w:spacing w:val="-2"/>
                <w:highlight w:val="none"/>
              </w:rPr>
              <w:t>建设前期</w:t>
            </w:r>
          </w:p>
        </w:tc>
        <w:tc>
          <w:tcPr>
            <w:tcW w:w="4228" w:type="pct"/>
            <w:tcBorders>
              <w:tl2br w:val="nil"/>
              <w:tr2bl w:val="nil"/>
            </w:tcBorders>
            <w:vAlign w:val="top"/>
          </w:tcPr>
          <w:p w14:paraId="3502FE8C">
            <w:pPr>
              <w:pStyle w:val="145"/>
              <w:keepNext w:val="0"/>
              <w:keepLines w:val="0"/>
              <w:suppressLineNumbers w:val="0"/>
              <w:autoSpaceDE w:val="0"/>
              <w:autoSpaceDN w:val="0"/>
              <w:spacing w:before="52" w:beforeAutospacing="0" w:after="0" w:afterAutospacing="0" w:line="240" w:lineRule="auto"/>
              <w:ind w:left="110" w:right="0"/>
              <w:rPr>
                <w:rFonts w:hint="default"/>
                <w:color w:val="auto"/>
                <w:highlight w:val="none"/>
              </w:rPr>
            </w:pPr>
            <w:r>
              <w:rPr>
                <w:rFonts w:hint="default"/>
                <w:color w:val="auto"/>
                <w:highlight w:val="none"/>
              </w:rPr>
              <w:t>①参与项目建设前期各阶段环境保护和环境工程设计方案</w:t>
            </w:r>
            <w:r>
              <w:rPr>
                <w:rFonts w:hint="default"/>
                <w:color w:val="auto"/>
                <w:spacing w:val="-1"/>
                <w:highlight w:val="none"/>
              </w:rPr>
              <w:t>工作；</w:t>
            </w:r>
          </w:p>
          <w:p w14:paraId="18A12CEF">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spacing w:val="-1"/>
                <w:highlight w:val="none"/>
              </w:rPr>
              <w:t>②编制企业环境保护计划，委托环评单位开展项目环境评价；</w:t>
            </w:r>
          </w:p>
          <w:p w14:paraId="33C9E0F0">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spacing w:val="-1"/>
                <w:highlight w:val="none"/>
              </w:rPr>
              <w:t>③积级配合环评单位开展项目区现场踏勘与调</w:t>
            </w:r>
            <w:r>
              <w:rPr>
                <w:rFonts w:hint="default"/>
                <w:color w:val="auto"/>
                <w:spacing w:val="-2"/>
                <w:highlight w:val="none"/>
              </w:rPr>
              <w:t>研工作；</w:t>
            </w:r>
          </w:p>
          <w:p w14:paraId="765A089C">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highlight w:val="none"/>
              </w:rPr>
              <w:t>④针对项目生产特点，建立健全企业内部环境管理与监测制</w:t>
            </w:r>
            <w:r>
              <w:rPr>
                <w:rFonts w:hint="default"/>
                <w:color w:val="auto"/>
                <w:spacing w:val="-1"/>
                <w:highlight w:val="none"/>
              </w:rPr>
              <w:t>度；</w:t>
            </w:r>
          </w:p>
          <w:p w14:paraId="1D9E9A26">
            <w:pPr>
              <w:pStyle w:val="145"/>
              <w:keepNext w:val="0"/>
              <w:keepLines w:val="0"/>
              <w:suppressLineNumbers w:val="0"/>
              <w:autoSpaceDE w:val="0"/>
              <w:autoSpaceDN w:val="0"/>
              <w:spacing w:before="62" w:beforeAutospacing="0" w:after="0" w:afterAutospacing="0" w:line="240" w:lineRule="auto"/>
              <w:ind w:left="113" w:right="114" w:hanging="4"/>
              <w:rPr>
                <w:rFonts w:hint="default"/>
                <w:color w:val="auto"/>
                <w:highlight w:val="none"/>
              </w:rPr>
            </w:pPr>
            <w:r>
              <w:rPr>
                <w:rFonts w:hint="default"/>
                <w:color w:val="auto"/>
                <w:highlight w:val="none"/>
              </w:rPr>
              <w:t>⑤委托设计单位依据环评文件提出的标准、措施及批复意见要求，落实各项</w:t>
            </w:r>
            <w:r>
              <w:rPr>
                <w:rFonts w:hint="default"/>
                <w:color w:val="auto"/>
                <w:spacing w:val="-1"/>
                <w:highlight w:val="none"/>
              </w:rPr>
              <w:t>环保</w:t>
            </w:r>
            <w:r>
              <w:rPr>
                <w:rFonts w:hint="default"/>
                <w:color w:val="auto"/>
                <w:highlight w:val="none"/>
              </w:rPr>
              <w:t xml:space="preserve"> </w:t>
            </w:r>
            <w:r>
              <w:rPr>
                <w:rFonts w:hint="default"/>
                <w:color w:val="auto"/>
                <w:spacing w:val="-1"/>
                <w:highlight w:val="none"/>
              </w:rPr>
              <w:t>工程设计，编制环保专篇。</w:t>
            </w:r>
          </w:p>
        </w:tc>
      </w:tr>
      <w:tr w14:paraId="4C63948A">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71" w:type="pct"/>
            <w:tcBorders>
              <w:tl2br w:val="nil"/>
              <w:tr2bl w:val="nil"/>
            </w:tcBorders>
            <w:vAlign w:val="top"/>
          </w:tcPr>
          <w:p w14:paraId="28346749">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75380600">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5F738038">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5DAC4815">
            <w:pPr>
              <w:pStyle w:val="145"/>
              <w:keepNext w:val="0"/>
              <w:keepLines w:val="0"/>
              <w:suppressLineNumbers w:val="0"/>
              <w:autoSpaceDE w:val="0"/>
              <w:autoSpaceDN w:val="0"/>
              <w:spacing w:before="68" w:beforeAutospacing="0" w:after="0" w:afterAutospacing="0" w:line="240" w:lineRule="auto"/>
              <w:ind w:left="392" w:right="0"/>
              <w:rPr>
                <w:rFonts w:hint="default"/>
                <w:color w:val="auto"/>
                <w:highlight w:val="none"/>
              </w:rPr>
            </w:pPr>
            <w:r>
              <w:rPr>
                <w:rFonts w:hint="default"/>
                <w:color w:val="auto"/>
                <w:spacing w:val="-2"/>
                <w:highlight w:val="none"/>
              </w:rPr>
              <w:t>建设期</w:t>
            </w:r>
          </w:p>
        </w:tc>
        <w:tc>
          <w:tcPr>
            <w:tcW w:w="4228" w:type="pct"/>
            <w:tcBorders>
              <w:tl2br w:val="nil"/>
              <w:tr2bl w:val="nil"/>
            </w:tcBorders>
            <w:vAlign w:val="top"/>
          </w:tcPr>
          <w:p w14:paraId="75F90BF8">
            <w:pPr>
              <w:pStyle w:val="145"/>
              <w:keepNext w:val="0"/>
              <w:keepLines w:val="0"/>
              <w:suppressLineNumbers w:val="0"/>
              <w:autoSpaceDE w:val="0"/>
              <w:autoSpaceDN w:val="0"/>
              <w:spacing w:before="55" w:beforeAutospacing="0" w:after="0" w:afterAutospacing="0" w:line="240" w:lineRule="auto"/>
              <w:ind w:left="110" w:right="0"/>
              <w:rPr>
                <w:rFonts w:hint="default"/>
                <w:color w:val="auto"/>
                <w:highlight w:val="none"/>
              </w:rPr>
            </w:pPr>
            <w:r>
              <w:rPr>
                <w:rFonts w:hint="default"/>
                <w:color w:val="auto"/>
                <w:highlight w:val="none"/>
              </w:rPr>
              <w:t>①按照工程环保设计，与主体工程同步建设，严格执行</w:t>
            </w:r>
            <w:r>
              <w:rPr>
                <w:rFonts w:hint="default" w:ascii="Times New Roman" w:hAnsi="Times New Roman" w:eastAsia="Times New Roman" w:cs="Times New Roman"/>
                <w:color w:val="auto"/>
                <w:highlight w:val="none"/>
              </w:rPr>
              <w:t>“</w:t>
            </w:r>
            <w:r>
              <w:rPr>
                <w:rFonts w:hint="default"/>
                <w:color w:val="auto"/>
                <w:highlight w:val="none"/>
              </w:rPr>
              <w:t>三同时</w:t>
            </w:r>
            <w:r>
              <w:rPr>
                <w:rFonts w:hint="default" w:ascii="Times New Roman" w:hAnsi="Times New Roman" w:eastAsia="Times New Roman" w:cs="Times New Roman"/>
                <w:color w:val="auto"/>
                <w:spacing w:val="-1"/>
                <w:highlight w:val="none"/>
              </w:rPr>
              <w:t>”</w:t>
            </w:r>
            <w:r>
              <w:rPr>
                <w:rFonts w:hint="default"/>
                <w:color w:val="auto"/>
                <w:spacing w:val="-1"/>
                <w:highlight w:val="none"/>
              </w:rPr>
              <w:t>制度；</w:t>
            </w:r>
          </w:p>
          <w:p w14:paraId="683CD58E">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spacing w:val="-2"/>
                <w:highlight w:val="none"/>
              </w:rPr>
              <w:t>②制定建设期环境保护与年度环境管理工作计划；</w:t>
            </w:r>
          </w:p>
          <w:p w14:paraId="1EC98E68">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highlight w:val="none"/>
              </w:rPr>
              <w:t>③建立施工环保档案，确保工程建设正常有序</w:t>
            </w:r>
            <w:r>
              <w:rPr>
                <w:rFonts w:hint="default"/>
                <w:color w:val="auto"/>
                <w:spacing w:val="-1"/>
                <w:highlight w:val="none"/>
              </w:rPr>
              <w:t>进行；</w:t>
            </w:r>
          </w:p>
          <w:p w14:paraId="15BCEF16">
            <w:pPr>
              <w:pStyle w:val="145"/>
              <w:keepNext w:val="0"/>
              <w:keepLines w:val="0"/>
              <w:suppressLineNumbers w:val="0"/>
              <w:autoSpaceDE w:val="0"/>
              <w:autoSpaceDN w:val="0"/>
              <w:spacing w:before="63" w:beforeAutospacing="0" w:after="0" w:afterAutospacing="0" w:line="240" w:lineRule="auto"/>
              <w:ind w:left="110" w:right="114" w:hanging="1"/>
              <w:rPr>
                <w:rFonts w:hint="default"/>
                <w:color w:val="auto"/>
                <w:highlight w:val="none"/>
              </w:rPr>
            </w:pPr>
            <w:r>
              <w:rPr>
                <w:rFonts w:hint="default"/>
                <w:color w:val="auto"/>
                <w:highlight w:val="none"/>
              </w:rPr>
              <w:t>④建立施工期规范化操作程序与环境监理制度，监督、检查并处理施工中偶</w:t>
            </w:r>
            <w:r>
              <w:rPr>
                <w:rFonts w:hint="default"/>
                <w:color w:val="auto"/>
                <w:spacing w:val="-1"/>
                <w:highlight w:val="none"/>
              </w:rPr>
              <w:t>发的</w:t>
            </w:r>
            <w:r>
              <w:rPr>
                <w:rFonts w:hint="default"/>
                <w:color w:val="auto"/>
                <w:highlight w:val="none"/>
              </w:rPr>
              <w:t xml:space="preserve"> </w:t>
            </w:r>
            <w:r>
              <w:rPr>
                <w:rFonts w:hint="default"/>
                <w:color w:val="auto"/>
                <w:spacing w:val="-5"/>
                <w:highlight w:val="none"/>
              </w:rPr>
              <w:t>环境污染纠纷；</w:t>
            </w:r>
          </w:p>
          <w:p w14:paraId="6B911BF3">
            <w:pPr>
              <w:pStyle w:val="145"/>
              <w:keepNext w:val="0"/>
              <w:keepLines w:val="0"/>
              <w:suppressLineNumbers w:val="0"/>
              <w:autoSpaceDE w:val="0"/>
              <w:autoSpaceDN w:val="0"/>
              <w:spacing w:before="59" w:beforeAutospacing="0" w:after="0" w:afterAutospacing="0" w:line="240" w:lineRule="auto"/>
              <w:ind w:left="109" w:right="0"/>
              <w:rPr>
                <w:rFonts w:hint="default"/>
                <w:color w:val="auto"/>
                <w:highlight w:val="none"/>
              </w:rPr>
            </w:pPr>
            <w:r>
              <w:rPr>
                <w:rFonts w:hint="default"/>
                <w:color w:val="auto"/>
                <w:spacing w:val="-1"/>
                <w:highlight w:val="none"/>
              </w:rPr>
              <w:t>⑤监督和考核各施工单位责任书任务完成情况；</w:t>
            </w:r>
          </w:p>
          <w:p w14:paraId="46C08F6B">
            <w:pPr>
              <w:pStyle w:val="145"/>
              <w:keepNext w:val="0"/>
              <w:keepLines w:val="0"/>
              <w:suppressLineNumbers w:val="0"/>
              <w:autoSpaceDE w:val="0"/>
              <w:autoSpaceDN w:val="0"/>
              <w:spacing w:before="63" w:beforeAutospacing="0" w:after="0" w:afterAutospacing="0" w:line="240" w:lineRule="auto"/>
              <w:ind w:left="109" w:right="0"/>
              <w:rPr>
                <w:rFonts w:hint="default"/>
                <w:color w:val="auto"/>
                <w:highlight w:val="none"/>
              </w:rPr>
            </w:pPr>
            <w:r>
              <w:rPr>
                <w:rFonts w:hint="default"/>
                <w:color w:val="auto"/>
                <w:highlight w:val="none"/>
              </w:rPr>
              <w:t>⑥认真做好各项环保设施的施工监理与验收，及时与当地环保行政部门沟</w:t>
            </w:r>
            <w:r>
              <w:rPr>
                <w:rFonts w:hint="default"/>
                <w:color w:val="auto"/>
                <w:spacing w:val="-1"/>
                <w:highlight w:val="none"/>
              </w:rPr>
              <w:t>通。</w:t>
            </w:r>
          </w:p>
        </w:tc>
      </w:tr>
      <w:tr w14:paraId="4E39B494">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71" w:type="pct"/>
            <w:tcBorders>
              <w:tl2br w:val="nil"/>
              <w:tr2bl w:val="nil"/>
            </w:tcBorders>
            <w:vAlign w:val="top"/>
          </w:tcPr>
          <w:p w14:paraId="534BF078">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55914C7D">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2B7B4D67">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3BE18B50">
            <w:pPr>
              <w:pStyle w:val="145"/>
              <w:keepNext w:val="0"/>
              <w:keepLines w:val="0"/>
              <w:suppressLineNumbers w:val="0"/>
              <w:autoSpaceDE w:val="0"/>
              <w:autoSpaceDN w:val="0"/>
              <w:spacing w:before="69" w:beforeAutospacing="0" w:after="0" w:afterAutospacing="0" w:line="240" w:lineRule="auto"/>
              <w:ind w:left="286" w:right="0"/>
              <w:rPr>
                <w:rFonts w:hint="default"/>
                <w:color w:val="auto"/>
                <w:highlight w:val="none"/>
              </w:rPr>
            </w:pPr>
            <w:r>
              <w:rPr>
                <w:rFonts w:hint="default"/>
                <w:color w:val="auto"/>
                <w:spacing w:val="-2"/>
                <w:highlight w:val="none"/>
              </w:rPr>
              <w:t>试运行期</w:t>
            </w:r>
          </w:p>
        </w:tc>
        <w:tc>
          <w:tcPr>
            <w:tcW w:w="4228" w:type="pct"/>
            <w:tcBorders>
              <w:tl2br w:val="nil"/>
              <w:tr2bl w:val="nil"/>
            </w:tcBorders>
            <w:vAlign w:val="top"/>
          </w:tcPr>
          <w:p w14:paraId="5704F07C">
            <w:pPr>
              <w:pStyle w:val="145"/>
              <w:keepNext w:val="0"/>
              <w:keepLines w:val="0"/>
              <w:suppressLineNumbers w:val="0"/>
              <w:autoSpaceDE w:val="0"/>
              <w:autoSpaceDN w:val="0"/>
              <w:spacing w:before="61" w:beforeAutospacing="0" w:after="0" w:afterAutospacing="0" w:line="240" w:lineRule="auto"/>
              <w:ind w:left="110" w:right="0"/>
              <w:rPr>
                <w:rFonts w:hint="default"/>
                <w:color w:val="auto"/>
                <w:highlight w:val="none"/>
              </w:rPr>
            </w:pPr>
            <w:r>
              <w:rPr>
                <w:rFonts w:hint="default"/>
                <w:color w:val="auto"/>
                <w:highlight w:val="none"/>
              </w:rPr>
              <w:t>①对照环评文件、批复文件及设计报告核查环保设施落实</w:t>
            </w:r>
            <w:r>
              <w:rPr>
                <w:rFonts w:hint="default"/>
                <w:color w:val="auto"/>
                <w:spacing w:val="-1"/>
                <w:highlight w:val="none"/>
              </w:rPr>
              <w:t>情况；</w:t>
            </w:r>
          </w:p>
          <w:p w14:paraId="7DD29F6E">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spacing w:val="-3"/>
                <w:highlight w:val="none"/>
              </w:rPr>
              <w:t>②检验环保工程效果和运行状况，建立记录档案，要</w:t>
            </w:r>
            <w:r>
              <w:rPr>
                <w:rFonts w:hint="default"/>
                <w:color w:val="auto"/>
                <w:spacing w:val="-4"/>
                <w:highlight w:val="none"/>
              </w:rPr>
              <w:t>求与主体工程同步投入运行；</w:t>
            </w:r>
          </w:p>
          <w:p w14:paraId="17800B78">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spacing w:val="-3"/>
                <w:highlight w:val="none"/>
              </w:rPr>
              <w:t>③检查环保机构设置及人员配备、环境管理制度、环</w:t>
            </w:r>
            <w:r>
              <w:rPr>
                <w:rFonts w:hint="default"/>
                <w:color w:val="auto"/>
                <w:spacing w:val="-4"/>
                <w:highlight w:val="none"/>
              </w:rPr>
              <w:t>境监理资料档案等是否健全；</w:t>
            </w:r>
          </w:p>
          <w:p w14:paraId="599C76E8">
            <w:pPr>
              <w:pStyle w:val="145"/>
              <w:keepNext w:val="0"/>
              <w:keepLines w:val="0"/>
              <w:suppressLineNumbers w:val="0"/>
              <w:autoSpaceDE w:val="0"/>
              <w:autoSpaceDN w:val="0"/>
              <w:spacing w:before="63" w:beforeAutospacing="0" w:after="0" w:afterAutospacing="0" w:line="240" w:lineRule="auto"/>
              <w:ind w:left="109" w:right="0"/>
              <w:rPr>
                <w:rFonts w:hint="default"/>
                <w:color w:val="auto"/>
                <w:highlight w:val="none"/>
              </w:rPr>
            </w:pPr>
            <w:r>
              <w:rPr>
                <w:rFonts w:hint="default"/>
                <w:color w:val="auto"/>
                <w:highlight w:val="none"/>
              </w:rPr>
              <w:t>④环境保护行政主管部门及企业自主组织对环保设施进行竣工验</w:t>
            </w:r>
            <w:r>
              <w:rPr>
                <w:rFonts w:hint="default"/>
                <w:color w:val="auto"/>
                <w:spacing w:val="-1"/>
                <w:highlight w:val="none"/>
              </w:rPr>
              <w:t>收；</w:t>
            </w:r>
          </w:p>
          <w:p w14:paraId="1CF51A4F">
            <w:pPr>
              <w:pStyle w:val="145"/>
              <w:keepNext w:val="0"/>
              <w:keepLines w:val="0"/>
              <w:suppressLineNumbers w:val="0"/>
              <w:autoSpaceDE w:val="0"/>
              <w:autoSpaceDN w:val="0"/>
              <w:spacing w:before="63" w:beforeAutospacing="0" w:after="0" w:afterAutospacing="0" w:line="240" w:lineRule="auto"/>
              <w:ind w:left="109" w:right="0"/>
              <w:rPr>
                <w:rFonts w:hint="default"/>
                <w:color w:val="auto"/>
                <w:highlight w:val="none"/>
              </w:rPr>
            </w:pPr>
            <w:r>
              <w:rPr>
                <w:rFonts w:hint="default"/>
                <w:color w:val="auto"/>
                <w:spacing w:val="-1"/>
                <w:highlight w:val="none"/>
              </w:rPr>
              <w:t>⑤总结试运行经验，针对存在及出现的问题进行整改，提出补救措施方案；</w:t>
            </w:r>
          </w:p>
          <w:p w14:paraId="17C5AF99">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spacing w:val="-1"/>
                <w:highlight w:val="none"/>
              </w:rPr>
              <w:t>⑥组织编制项目</w:t>
            </w:r>
            <w:r>
              <w:rPr>
                <w:rFonts w:hint="default" w:ascii="Times New Roman" w:hAnsi="Times New Roman" w:eastAsia="Times New Roman" w:cs="Times New Roman"/>
                <w:color w:val="auto"/>
                <w:spacing w:val="-1"/>
                <w:highlight w:val="none"/>
              </w:rPr>
              <w:t>“</w:t>
            </w:r>
            <w:r>
              <w:rPr>
                <w:rFonts w:hint="default"/>
                <w:color w:val="auto"/>
                <w:spacing w:val="-1"/>
                <w:highlight w:val="none"/>
              </w:rPr>
              <w:t>三同时</w:t>
            </w:r>
            <w:r>
              <w:rPr>
                <w:rFonts w:hint="default" w:ascii="Times New Roman" w:hAnsi="Times New Roman" w:eastAsia="Times New Roman" w:cs="Times New Roman"/>
                <w:color w:val="auto"/>
                <w:spacing w:val="-1"/>
                <w:highlight w:val="none"/>
              </w:rPr>
              <w:t>”</w:t>
            </w:r>
            <w:r>
              <w:rPr>
                <w:rFonts w:hint="default"/>
                <w:color w:val="auto"/>
                <w:spacing w:val="-1"/>
                <w:highlight w:val="none"/>
              </w:rPr>
              <w:t>竣工验收监测报告。</w:t>
            </w:r>
          </w:p>
        </w:tc>
      </w:tr>
      <w:tr w14:paraId="244E06A2">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71" w:type="pct"/>
            <w:tcBorders>
              <w:tl2br w:val="nil"/>
              <w:tr2bl w:val="nil"/>
            </w:tcBorders>
            <w:vAlign w:val="top"/>
          </w:tcPr>
          <w:p w14:paraId="7095EDF7">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35A6AAEC">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37FCFF8B">
            <w:pPr>
              <w:keepNext w:val="0"/>
              <w:keepLines w:val="0"/>
              <w:suppressLineNumbers w:val="0"/>
              <w:autoSpaceDE w:val="0"/>
              <w:autoSpaceDN w:val="0"/>
              <w:spacing w:before="0" w:beforeAutospacing="0" w:after="0" w:afterAutospacing="0" w:line="240" w:lineRule="auto"/>
              <w:ind w:left="0" w:right="0"/>
              <w:rPr>
                <w:rFonts w:hint="default" w:ascii="Arial"/>
                <w:color w:val="auto"/>
                <w:sz w:val="21"/>
                <w:highlight w:val="none"/>
              </w:rPr>
            </w:pPr>
          </w:p>
          <w:p w14:paraId="6C98CA0E">
            <w:pPr>
              <w:pStyle w:val="145"/>
              <w:keepNext w:val="0"/>
              <w:keepLines w:val="0"/>
              <w:suppressLineNumbers w:val="0"/>
              <w:autoSpaceDE w:val="0"/>
              <w:autoSpaceDN w:val="0"/>
              <w:spacing w:before="68" w:beforeAutospacing="0" w:after="0" w:afterAutospacing="0" w:line="240" w:lineRule="auto"/>
              <w:ind w:left="389" w:right="0"/>
              <w:rPr>
                <w:rFonts w:hint="default"/>
                <w:color w:val="auto"/>
                <w:highlight w:val="none"/>
              </w:rPr>
            </w:pPr>
            <w:r>
              <w:rPr>
                <w:rFonts w:hint="default"/>
                <w:color w:val="auto"/>
                <w:spacing w:val="-2"/>
                <w:highlight w:val="none"/>
              </w:rPr>
              <w:t>运行期</w:t>
            </w:r>
          </w:p>
        </w:tc>
        <w:tc>
          <w:tcPr>
            <w:tcW w:w="4228" w:type="pct"/>
            <w:tcBorders>
              <w:tl2br w:val="nil"/>
              <w:tr2bl w:val="nil"/>
            </w:tcBorders>
            <w:vAlign w:val="top"/>
          </w:tcPr>
          <w:p w14:paraId="675EC07C">
            <w:pPr>
              <w:pStyle w:val="145"/>
              <w:keepNext w:val="0"/>
              <w:keepLines w:val="0"/>
              <w:suppressLineNumbers w:val="0"/>
              <w:autoSpaceDE w:val="0"/>
              <w:autoSpaceDN w:val="0"/>
              <w:spacing w:before="68" w:beforeAutospacing="0" w:after="0" w:afterAutospacing="0" w:line="240" w:lineRule="auto"/>
              <w:ind w:left="110" w:right="0"/>
              <w:rPr>
                <w:rFonts w:hint="default"/>
                <w:color w:val="auto"/>
                <w:highlight w:val="none"/>
              </w:rPr>
            </w:pPr>
            <w:r>
              <w:rPr>
                <w:rFonts w:hint="default"/>
                <w:color w:val="auto"/>
                <w:spacing w:val="-2"/>
                <w:highlight w:val="none"/>
              </w:rPr>
              <w:t>①贯彻执行国家和地方环境保护法规和标准；</w:t>
            </w:r>
          </w:p>
          <w:p w14:paraId="6CA53B3E">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highlight w:val="none"/>
              </w:rPr>
              <w:t>②严格执行各项生产及环境管理规章制度，保证生产正常运</w:t>
            </w:r>
            <w:r>
              <w:rPr>
                <w:rFonts w:hint="default"/>
                <w:color w:val="auto"/>
                <w:spacing w:val="-1"/>
                <w:highlight w:val="none"/>
              </w:rPr>
              <w:t>行；</w:t>
            </w:r>
          </w:p>
          <w:p w14:paraId="11D63836">
            <w:pPr>
              <w:pStyle w:val="145"/>
              <w:keepNext w:val="0"/>
              <w:keepLines w:val="0"/>
              <w:suppressLineNumbers w:val="0"/>
              <w:autoSpaceDE w:val="0"/>
              <w:autoSpaceDN w:val="0"/>
              <w:spacing w:before="62" w:beforeAutospacing="0" w:after="0" w:afterAutospacing="0" w:line="240" w:lineRule="auto"/>
              <w:ind w:left="109" w:right="0"/>
              <w:rPr>
                <w:rFonts w:hint="default"/>
                <w:color w:val="auto"/>
                <w:highlight w:val="none"/>
              </w:rPr>
            </w:pPr>
            <w:r>
              <w:rPr>
                <w:rFonts w:hint="default"/>
                <w:color w:val="auto"/>
                <w:highlight w:val="none"/>
              </w:rPr>
              <w:t>③申报排污许可证，建立环保设施运行卡，对环保设施定期进行检杳和维</w:t>
            </w:r>
            <w:r>
              <w:rPr>
                <w:rFonts w:hint="default"/>
                <w:color w:val="auto"/>
                <w:spacing w:val="-1"/>
                <w:highlight w:val="none"/>
              </w:rPr>
              <w:t>护；</w:t>
            </w:r>
          </w:p>
          <w:p w14:paraId="02BECE86">
            <w:pPr>
              <w:pStyle w:val="145"/>
              <w:keepNext w:val="0"/>
              <w:keepLines w:val="0"/>
              <w:suppressLineNumbers w:val="0"/>
              <w:autoSpaceDE w:val="0"/>
              <w:autoSpaceDN w:val="0"/>
              <w:spacing w:before="62" w:beforeAutospacing="0" w:after="0" w:afterAutospacing="0" w:line="240" w:lineRule="auto"/>
              <w:ind w:left="113" w:right="114" w:hanging="4"/>
              <w:rPr>
                <w:rFonts w:hint="default"/>
                <w:color w:val="auto"/>
                <w:highlight w:val="none"/>
              </w:rPr>
            </w:pPr>
            <w:r>
              <w:rPr>
                <w:rFonts w:hint="default"/>
                <w:color w:val="auto"/>
                <w:highlight w:val="none"/>
              </w:rPr>
              <w:t>④按照环境监测计划开展定期、不定期污染源与环境质量监测，发现问题及</w:t>
            </w:r>
            <w:r>
              <w:rPr>
                <w:rFonts w:hint="default"/>
                <w:color w:val="auto"/>
                <w:spacing w:val="-1"/>
                <w:highlight w:val="none"/>
              </w:rPr>
              <w:t>时处</w:t>
            </w:r>
            <w:r>
              <w:rPr>
                <w:rFonts w:hint="default"/>
                <w:color w:val="auto"/>
                <w:highlight w:val="none"/>
              </w:rPr>
              <w:t xml:space="preserve"> </w:t>
            </w:r>
            <w:r>
              <w:rPr>
                <w:rFonts w:hint="default"/>
                <w:color w:val="auto"/>
                <w:spacing w:val="-15"/>
                <w:highlight w:val="none"/>
              </w:rPr>
              <w:t>理；</w:t>
            </w:r>
          </w:p>
          <w:p w14:paraId="50388550">
            <w:pPr>
              <w:pStyle w:val="145"/>
              <w:keepNext w:val="0"/>
              <w:keepLines w:val="0"/>
              <w:suppressLineNumbers w:val="0"/>
              <w:autoSpaceDE w:val="0"/>
              <w:autoSpaceDN w:val="0"/>
              <w:spacing w:before="58" w:beforeAutospacing="0" w:after="0" w:afterAutospacing="0" w:line="240" w:lineRule="auto"/>
              <w:ind w:left="126" w:right="114" w:hanging="17"/>
              <w:rPr>
                <w:rFonts w:hint="default"/>
                <w:color w:val="auto"/>
                <w:highlight w:val="none"/>
              </w:rPr>
            </w:pPr>
            <w:r>
              <w:rPr>
                <w:rFonts w:hint="default"/>
                <w:color w:val="auto"/>
                <w:highlight w:val="none"/>
              </w:rPr>
              <w:t>⑤完善环境管理目标任务与企业污染防治措施方案，配合地方环境保护部门</w:t>
            </w:r>
            <w:r>
              <w:rPr>
                <w:rFonts w:hint="default"/>
                <w:color w:val="auto"/>
                <w:spacing w:val="-1"/>
                <w:highlight w:val="none"/>
              </w:rPr>
              <w:t>制定</w:t>
            </w:r>
            <w:r>
              <w:rPr>
                <w:rFonts w:hint="default"/>
                <w:color w:val="auto"/>
                <w:highlight w:val="none"/>
              </w:rPr>
              <w:t xml:space="preserve"> </w:t>
            </w:r>
            <w:r>
              <w:rPr>
                <w:rFonts w:hint="default"/>
                <w:color w:val="auto"/>
                <w:spacing w:val="-5"/>
                <w:highlight w:val="none"/>
              </w:rPr>
              <w:t>区域环境综合整治规划；</w:t>
            </w:r>
          </w:p>
        </w:tc>
      </w:tr>
    </w:tbl>
    <w:p w14:paraId="71B063B7">
      <w:pPr>
        <w:pStyle w:val="3"/>
        <w:spacing w:before="156" w:after="156"/>
        <w:rPr>
          <w:rFonts w:hint="default" w:ascii="Times New Roman" w:hAnsi="Times New Roman" w:cs="Times New Roman"/>
          <w:color w:val="auto"/>
          <w:highlight w:val="none"/>
        </w:rPr>
      </w:pPr>
      <w:bookmarkStart w:id="202" w:name="_Toc3737"/>
      <w:r>
        <w:rPr>
          <w:rFonts w:hint="eastAsia" w:cs="Times New Roman"/>
          <w:color w:val="auto"/>
          <w:highlight w:val="none"/>
          <w:lang w:val="en-US" w:eastAsia="zh-CN"/>
        </w:rPr>
        <w:t>管理要求</w:t>
      </w:r>
      <w:bookmarkEnd w:id="202"/>
    </w:p>
    <w:p w14:paraId="5E4E97E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eastAsia" w:cs="Times New Roman"/>
          <w:color w:val="auto"/>
          <w:highlight w:val="none"/>
          <w:lang w:val="en-US" w:eastAsia="zh-CN"/>
        </w:rPr>
        <w:t>环境管理台账</w:t>
      </w:r>
    </w:p>
    <w:p w14:paraId="5B1E5A05">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（1）记录形式</w:t>
      </w:r>
    </w:p>
    <w:p w14:paraId="742A098D">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分为电子台账和纸质台账两种形式。</w:t>
      </w:r>
    </w:p>
    <w:p w14:paraId="202A2BC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（2）记录内容</w:t>
      </w:r>
    </w:p>
    <w:p w14:paraId="6EFC793F">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包括基本信息、接收固体废物信息、生产设施运行管理信息、污染防治设施运行管理信息、监测记录信息及其他环境管理信息等。生产设施、污染防治设施、排放口编码应与排污许可证副本中载明的编码一致。</w:t>
      </w:r>
    </w:p>
    <w:p w14:paraId="3D133AF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（3）基本信息</w:t>
      </w:r>
    </w:p>
    <w:p w14:paraId="7E913E8F">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基本信息主要包括企业名称、生产经营场所地址、行业类别、法定代表人、统一社会信用代码、接收废物类别、利用处置方式、利用处置规模、环保投资、环境影响评价审批、审核意见及排污许可证编号等。</w:t>
      </w:r>
    </w:p>
    <w:p w14:paraId="4E10AB1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4</w:t>
      </w:r>
      <w:r>
        <w:rPr>
          <w:rFonts w:hint="default" w:ascii="Times New Roman" w:hAnsi="Times New Roman" w:eastAsia="宋体" w:cs="Times New Roman"/>
          <w:color w:val="auto"/>
          <w:kern w:val="0"/>
          <w:sz w:val="24"/>
          <w:szCs w:val="24"/>
          <w:highlight w:val="none"/>
          <w:lang w:val="en-US" w:eastAsia="zh-CN" w:bidi="ar"/>
        </w:rPr>
        <w:t>）生产设施运行信息</w:t>
      </w:r>
    </w:p>
    <w:p w14:paraId="502386E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排污单位应定期记录生产运行状况，并留档保存，记录内容主要包括原辅料及燃料信息、主要生产单元正常工况。</w:t>
      </w:r>
    </w:p>
    <w:p w14:paraId="0B705D5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辅料消耗情况应包括记录日期、批次</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主要辅料名称、用量、有毒有害成分及占比。</w:t>
      </w:r>
    </w:p>
    <w:p w14:paraId="0EB5D834">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主要生产单元正常工况信息应包括设施名称/编码、利用或处置固体废物的名称及类别、记录时间内的实际处理量。</w:t>
      </w:r>
    </w:p>
    <w:p w14:paraId="015AE4A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5</w:t>
      </w:r>
      <w:r>
        <w:rPr>
          <w:rFonts w:hint="default" w:ascii="Times New Roman" w:hAnsi="Times New Roman" w:eastAsia="宋体" w:cs="Times New Roman"/>
          <w:color w:val="auto"/>
          <w:kern w:val="0"/>
          <w:sz w:val="24"/>
          <w:szCs w:val="24"/>
          <w:highlight w:val="none"/>
          <w:lang w:val="en-US" w:eastAsia="zh-CN" w:bidi="ar"/>
        </w:rPr>
        <w:t>）污染防治设施运行管理信息</w:t>
      </w:r>
    </w:p>
    <w:p w14:paraId="1973599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a）正常工况</w:t>
      </w:r>
    </w:p>
    <w:p w14:paraId="5BC5D03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污染防治设施运行信息应按照设施类别分别记录设施的实际运行相关参数和维护记录。</w:t>
      </w:r>
    </w:p>
    <w:p w14:paraId="7318B67F">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1）有组织废气治理设施记录设施名称/编码、设施运行时间、主要运行参数、排气量、主要污染因子及治理效率、排气筒高度、排气筒温度、停运时间、使用药剂的名称和添加量。</w:t>
      </w:r>
    </w:p>
    <w:p w14:paraId="584C8E1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2）无组织废气排放控制记录措施执行情况，应包括记录时间、无组织排放源、采取的控制措施及简要描述。</w:t>
      </w:r>
    </w:p>
    <w:p w14:paraId="6CE0F964">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3）废水处理设施运行情况应包括设施名称/编码、主要运行参数、废水流量、污染因子及治理效率、排放去向、污泥产生量及处理方式、停运时间、使用药剂的名称和添加量。</w:t>
      </w:r>
    </w:p>
    <w:p w14:paraId="53FF1AC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4）</w:t>
      </w:r>
      <w:r>
        <w:rPr>
          <w:rFonts w:hint="eastAsia" w:ascii="Times New Roman" w:hAnsi="Times New Roman" w:eastAsia="宋体" w:cs="Times New Roman"/>
          <w:color w:val="auto"/>
          <w:kern w:val="0"/>
          <w:sz w:val="24"/>
          <w:szCs w:val="24"/>
          <w:highlight w:val="none"/>
          <w:lang w:val="en-US" w:eastAsia="zh-CN" w:bidi="ar"/>
        </w:rPr>
        <w:t>本项目产生的</w:t>
      </w:r>
      <w:r>
        <w:rPr>
          <w:rFonts w:hint="default" w:ascii="Times New Roman" w:hAnsi="Times New Roman" w:eastAsia="宋体" w:cs="Times New Roman"/>
          <w:color w:val="auto"/>
          <w:kern w:val="0"/>
          <w:sz w:val="24"/>
          <w:szCs w:val="24"/>
          <w:highlight w:val="none"/>
          <w:lang w:val="en-US" w:eastAsia="zh-CN" w:bidi="ar"/>
        </w:rPr>
        <w:t>一般工业固体废物/危险废物贮存、利用、处置信息应包括记录时间、产废设施名称/编码、产生的废物名称及类别（属于危险废物的还包括危险废物代码）、废物去向。废物去向包括利用、处置、贮存和委外转移，按照实际情况分别记录利用量、处置量、贮存量以及相应的设施名称或编号，委外的记录转移量、转移联单编号、委托单位。</w:t>
      </w:r>
    </w:p>
    <w:p w14:paraId="32A1C6EB">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b）非正常工况</w:t>
      </w:r>
    </w:p>
    <w:p w14:paraId="43627FA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应记录起止时间、生产设施名称/编码、非正常工况下的固体废物利用/处置情况、辅料添加情况、燃料适用情况、时间原因、对应措施，并记录是否报告。</w:t>
      </w:r>
    </w:p>
    <w:p w14:paraId="321338B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污染防治设施异常情况应记录异常情况起止时间、设施名称或编码、设施异常情况下的污染物排放情况、时间原因、对应措施，并记录是否报告。</w:t>
      </w:r>
    </w:p>
    <w:p w14:paraId="6CDDE82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c）环保设施检查、维护记录要求</w:t>
      </w:r>
    </w:p>
    <w:p w14:paraId="0928983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1）废气治理设施</w:t>
      </w:r>
    </w:p>
    <w:p w14:paraId="4FCC533E">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废气治理设施应每班检查：是否正常、故障原因、维护过程、检查人、检查日期及班次。</w:t>
      </w:r>
    </w:p>
    <w:p w14:paraId="5CE24A4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2）无组织治理设施</w:t>
      </w:r>
    </w:p>
    <w:p w14:paraId="306EDF6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无组织治理设施应每天检查并记录：设施（设备）名称、无组织管控措施是否正常、故障原因、维护过程、检查人、检查日期等信息。</w:t>
      </w:r>
    </w:p>
    <w:p w14:paraId="3EC15453">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3）污水处理设施</w:t>
      </w:r>
    </w:p>
    <w:p w14:paraId="5391E9E9">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污水处理设施应每天检查：风机、水泵和处理设施等是否正常、故障原因、维护过程、检查人、检查日期等信息。污水处理设施应每周记录：药剂名称、药剂投加量、污水处理水量、污水排放量、污水回用量。</w:t>
      </w:r>
    </w:p>
    <w:p w14:paraId="4E6F534A">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4）危险废物贮存场</w:t>
      </w:r>
    </w:p>
    <w:p w14:paraId="7DB48ED8">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每周检查记录：环保标识设施情况，贮存容器是否破损，应急防护设施情况，防渗工程是否正常，问题原因，维护过程，检查人，检查日期等信息。</w:t>
      </w:r>
    </w:p>
    <w:p w14:paraId="24E564E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w:t>
      </w:r>
      <w:r>
        <w:rPr>
          <w:rFonts w:hint="eastAsia" w:ascii="Times New Roman" w:hAnsi="Times New Roman" w:eastAsia="宋体" w:cs="Times New Roman"/>
          <w:color w:val="auto"/>
          <w:kern w:val="0"/>
          <w:sz w:val="24"/>
          <w:szCs w:val="24"/>
          <w:highlight w:val="none"/>
          <w:lang w:val="en-US" w:eastAsia="zh-CN" w:bidi="ar"/>
        </w:rPr>
        <w:t>6</w:t>
      </w:r>
      <w:r>
        <w:rPr>
          <w:rFonts w:hint="default" w:ascii="Times New Roman" w:hAnsi="Times New Roman" w:eastAsia="宋体" w:cs="Times New Roman"/>
          <w:color w:val="auto"/>
          <w:kern w:val="0"/>
          <w:sz w:val="24"/>
          <w:szCs w:val="24"/>
          <w:highlight w:val="none"/>
          <w:lang w:val="en-US" w:eastAsia="zh-CN" w:bidi="ar"/>
        </w:rPr>
        <w:t>）监测记录信息</w:t>
      </w:r>
    </w:p>
    <w:p w14:paraId="089EA8F8">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按照 HJ 819 及各行业自行监测技术指南规定执行。监测质量控制按照 HJ/T 373 和 HJ 819 等规定执行。</w:t>
      </w:r>
    </w:p>
    <w:p w14:paraId="6E243F1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cs="Times New Roman"/>
          <w:color w:val="auto"/>
          <w:highlight w:val="none"/>
          <w:lang w:val="en-US" w:eastAsia="zh-CN"/>
        </w:rPr>
      </w:pPr>
      <w:r>
        <w:rPr>
          <w:rFonts w:hint="eastAsia" w:cs="Times New Roman"/>
          <w:color w:val="auto"/>
          <w:highlight w:val="none"/>
          <w:lang w:val="en-US" w:eastAsia="zh-CN"/>
        </w:rPr>
        <w:t>排污口规范化管理</w:t>
      </w:r>
    </w:p>
    <w:p w14:paraId="2797AED2">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排污口是企业排放污染物进入环境的通道，强化排污口的管理是实施污染物总量控制的基础工作之一，也是区域环境管理逐步实现污染物排放科学化、定量化的重要手段。</w:t>
      </w:r>
    </w:p>
    <w:p w14:paraId="4231382A">
      <w:pPr>
        <w:pStyle w:val="5"/>
        <w:pageBreakBefore w:val="0"/>
        <w:kinsoku/>
        <w:wordWrap/>
        <w:overflowPunct/>
        <w:topLinePunct w:val="0"/>
        <w:autoSpaceDE/>
        <w:autoSpaceDN/>
        <w:bidi w:val="0"/>
        <w:adjustRightInd/>
        <w:snapToGrid w:val="0"/>
        <w:textAlignment w:val="auto"/>
        <w:rPr>
          <w:rFonts w:hint="default" w:ascii="Times New Roman" w:hAnsi="Times New Roman" w:cs="Times New Roman"/>
          <w:color w:val="auto"/>
          <w:highlight w:val="none"/>
        </w:rPr>
      </w:pPr>
      <w:r>
        <w:rPr>
          <w:rFonts w:hint="eastAsia" w:ascii="Times New Roman" w:hAnsi="Times New Roman" w:cs="Times New Roman"/>
          <w:color w:val="auto"/>
          <w:highlight w:val="none"/>
          <w:lang w:val="en-US" w:eastAsia="zh-CN"/>
        </w:rPr>
        <w:t>排污口规范化管理基本原则</w:t>
      </w:r>
    </w:p>
    <w:p w14:paraId="16DEB27C">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排污口规范化管理</w:t>
      </w:r>
      <w:r>
        <w:rPr>
          <w:rFonts w:hint="eastAsia" w:ascii="Times New Roman" w:hAnsi="Times New Roman" w:eastAsia="宋体" w:cs="Times New Roman"/>
          <w:color w:val="auto"/>
          <w:kern w:val="0"/>
          <w:sz w:val="24"/>
          <w:szCs w:val="24"/>
          <w:highlight w:val="none"/>
          <w:lang w:val="en-US" w:eastAsia="zh-CN" w:bidi="ar"/>
        </w:rPr>
        <w:t>的基本原则</w:t>
      </w:r>
      <w:r>
        <w:rPr>
          <w:rFonts w:hint="default" w:ascii="Times New Roman" w:hAnsi="Times New Roman" w:eastAsia="宋体" w:cs="Times New Roman"/>
          <w:color w:val="auto"/>
          <w:kern w:val="0"/>
          <w:sz w:val="24"/>
          <w:szCs w:val="24"/>
          <w:highlight w:val="none"/>
          <w:lang w:val="en-US" w:eastAsia="zh-CN" w:bidi="ar"/>
        </w:rPr>
        <w:t xml:space="preserve">： </w:t>
      </w:r>
    </w:p>
    <w:p w14:paraId="3D1A7FBF">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 xml:space="preserve">1、向环境排放的污染物的排放口必须规范化； </w:t>
      </w:r>
    </w:p>
    <w:p w14:paraId="02968513">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 xml:space="preserve">、将废气排放口作为规范化管理的重点； </w:t>
      </w:r>
    </w:p>
    <w:p w14:paraId="5A3D1BF1">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3</w:t>
      </w:r>
      <w:r>
        <w:rPr>
          <w:rFonts w:hint="default" w:ascii="Times New Roman" w:hAnsi="Times New Roman" w:eastAsia="宋体" w:cs="Times New Roman"/>
          <w:color w:val="auto"/>
          <w:kern w:val="0"/>
          <w:sz w:val="24"/>
          <w:szCs w:val="24"/>
          <w:highlight w:val="none"/>
          <w:lang w:val="en-US" w:eastAsia="zh-CN" w:bidi="ar"/>
        </w:rPr>
        <w:t>、排污口应便于采样与计量监测，便于日常现场监督检查</w:t>
      </w:r>
      <w:r>
        <w:rPr>
          <w:rFonts w:hint="eastAsia" w:ascii="Times New Roman" w:hAnsi="Times New Roman" w:eastAsia="宋体" w:cs="Times New Roman"/>
          <w:color w:val="auto"/>
          <w:kern w:val="0"/>
          <w:sz w:val="24"/>
          <w:szCs w:val="24"/>
          <w:highlight w:val="none"/>
          <w:lang w:val="en-US" w:eastAsia="zh-CN" w:bidi="ar"/>
        </w:rPr>
        <w:t>。</w:t>
      </w:r>
    </w:p>
    <w:p w14:paraId="053CADAE">
      <w:pPr>
        <w:pStyle w:val="5"/>
        <w:pageBreakBefore w:val="0"/>
        <w:kinsoku/>
        <w:wordWrap/>
        <w:overflowPunct/>
        <w:topLinePunct w:val="0"/>
        <w:autoSpaceDE/>
        <w:autoSpaceDN/>
        <w:bidi w:val="0"/>
        <w:adjustRightInd/>
        <w:snapToGrid w:val="0"/>
        <w:textAlignment w:val="auto"/>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排污口的技术要求</w:t>
      </w:r>
    </w:p>
    <w:p w14:paraId="0BCEDCA0">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1、排污口的设置必须合理确定，按照环监（1996）470号、DL/T414-2012、 HJ/T75-2007要求进行规范化管理。</w:t>
      </w:r>
    </w:p>
    <w:p w14:paraId="2C6FCBD4">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2、排污口采样点设置应按 DL/T414-2012 、HJ/T75-2007 要求，设置在污染物处理设施进、出口、总排口等处。</w:t>
      </w:r>
    </w:p>
    <w:p w14:paraId="6437405D">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3、</w:t>
      </w:r>
      <w:r>
        <w:rPr>
          <w:rFonts w:hint="default" w:ascii="Times New Roman" w:hAnsi="Times New Roman" w:eastAsia="宋体" w:cs="Times New Roman"/>
          <w:color w:val="auto"/>
          <w:kern w:val="0"/>
          <w:sz w:val="24"/>
          <w:szCs w:val="24"/>
          <w:highlight w:val="none"/>
          <w:lang w:val="en-US" w:eastAsia="zh-CN" w:bidi="ar"/>
        </w:rPr>
        <w:t>设置规范的</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便于测量流量</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流速的测流段。</w:t>
      </w:r>
    </w:p>
    <w:p w14:paraId="75BF5B73">
      <w:pPr>
        <w:pStyle w:val="5"/>
        <w:pageBreakBefore w:val="0"/>
        <w:kinsoku/>
        <w:wordWrap/>
        <w:overflowPunct/>
        <w:topLinePunct w:val="0"/>
        <w:autoSpaceDE/>
        <w:autoSpaceDN/>
        <w:bidi w:val="0"/>
        <w:adjustRightInd/>
        <w:snapToGrid w:val="0"/>
        <w:textAlignment w:val="auto"/>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排口立标管理</w:t>
      </w:r>
      <w:r>
        <w:rPr>
          <w:rFonts w:hint="eastAsia" w:cs="Times New Roman"/>
          <w:color w:val="auto"/>
          <w:highlight w:val="none"/>
          <w:lang w:val="en-US" w:eastAsia="zh-CN"/>
        </w:rPr>
        <w:t>要求</w:t>
      </w:r>
    </w:p>
    <w:p w14:paraId="47D5C871">
      <w:pPr>
        <w:pStyle w:val="18"/>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1、企业污染物排放口的标志，应按照《环境保护图形标志 排放口》（ 15562.1-1995 ）及《环境保护图形标志固体废物储存（处置）场》（15562.2-1995）的规定，设置环境保护图形标志牌。</w:t>
      </w:r>
    </w:p>
    <w:p w14:paraId="47DB8D2A">
      <w:pPr>
        <w:pStyle w:val="18"/>
        <w:pageBreakBefore w:val="0"/>
        <w:numPr>
          <w:ilvl w:val="0"/>
          <w:numId w:val="0"/>
        </w:numPr>
        <w:kinsoku/>
        <w:wordWrap/>
        <w:overflowPunct/>
        <w:topLinePunct w:val="0"/>
        <w:autoSpaceDE/>
        <w:autoSpaceDN/>
        <w:bidi w:val="0"/>
        <w:adjustRightInd/>
        <w:snapToGrid w:val="0"/>
        <w:ind w:firstLine="480" w:firstLineChars="200"/>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2、污染物排放口的环境保护图形标志牌应设置在靠近采样点的醒目处，标志牌设置高度为其上缘距地面约2m，排污口附近lm范围内有建筑物的，设平面式标志牌，无建筑物的设立式标志牌。</w:t>
      </w:r>
    </w:p>
    <w:p w14:paraId="47BE7D33">
      <w:pPr>
        <w:pageBreakBefore w:val="0"/>
        <w:kinsoku/>
        <w:wordWrap/>
        <w:overflowPunct/>
        <w:topLinePunct w:val="0"/>
        <w:autoSpaceDE/>
        <w:autoSpaceDN/>
        <w:bidi w:val="0"/>
        <w:adjustRightInd/>
        <w:snapToGrid w:val="0"/>
        <w:spacing w:line="360" w:lineRule="auto"/>
        <w:ind w:firstLine="0" w:firstLineChars="0"/>
        <w:jc w:val="center"/>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drawing>
          <wp:inline distT="0" distB="0" distL="114300" distR="114300">
            <wp:extent cx="5759450" cy="6562725"/>
            <wp:effectExtent l="0" t="0" r="12700" b="9525"/>
            <wp:docPr id="9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27"/>
                    <pic:cNvPicPr>
                      <a:picLocks noChangeAspect="1"/>
                    </pic:cNvPicPr>
                  </pic:nvPicPr>
                  <pic:blipFill>
                    <a:blip r:embed="rId58"/>
                    <a:stretch>
                      <a:fillRect/>
                    </a:stretch>
                  </pic:blipFill>
                  <pic:spPr>
                    <a:xfrm>
                      <a:off x="0" y="0"/>
                      <a:ext cx="5759450" cy="6562725"/>
                    </a:xfrm>
                    <a:prstGeom prst="rect">
                      <a:avLst/>
                    </a:prstGeom>
                    <a:noFill/>
                    <a:ln>
                      <a:noFill/>
                    </a:ln>
                  </pic:spPr>
                </pic:pic>
              </a:graphicData>
            </a:graphic>
          </wp:inline>
        </w:drawing>
      </w:r>
    </w:p>
    <w:p w14:paraId="6E0B9FCC">
      <w:pPr>
        <w:pStyle w:val="11"/>
        <w:pageBreakBefore w:val="0"/>
        <w:kinsoku/>
        <w:wordWrap/>
        <w:overflowPunct/>
        <w:topLinePunct w:val="0"/>
        <w:autoSpaceDE/>
        <w:autoSpaceDN/>
        <w:bidi w:val="0"/>
        <w:adjustRightInd/>
        <w:snapToGrid w:val="0"/>
        <w:spacing w:line="360" w:lineRule="auto"/>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图</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2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11.2</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SEQ 图 \* ARABIC \s 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1</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 xml:space="preserve">  危险废物种类标志</w:t>
      </w:r>
    </w:p>
    <w:p w14:paraId="2335383D">
      <w:pPr>
        <w:keepNext w:val="0"/>
        <w:keepLines w:val="0"/>
        <w:pageBreakBefore w:val="0"/>
        <w:widowControl/>
        <w:suppressLineNumbers w:val="0"/>
        <w:kinsoku/>
        <w:wordWrap/>
        <w:overflowPunct/>
        <w:topLinePunct w:val="0"/>
        <w:autoSpaceDE/>
        <w:autoSpaceDN/>
        <w:bidi w:val="0"/>
        <w:adjustRightInd/>
        <w:snapToGrid w:val="0"/>
        <w:spacing w:line="360" w:lineRule="auto"/>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标志牌的设置按照原国家环保总局部制定的《环境保护图形标志实施细则（试行）》（国环监[1996]463号）的规定，设置与排污口相应的图形标志牌，并保证标志牌明显。标志牌必须保持清晰、完整，当发现有损坏或颜色有变化，应及时修复或更换</w:t>
      </w:r>
      <w:r>
        <w:rPr>
          <w:rFonts w:hint="eastAsia" w:ascii="Times New Roman" w:hAnsi="Times New Roman" w:eastAsia="宋体" w:cs="Times New Roman"/>
          <w:color w:val="auto"/>
          <w:kern w:val="0"/>
          <w:sz w:val="24"/>
          <w:szCs w:val="24"/>
          <w:highlight w:val="none"/>
          <w:lang w:val="en-US" w:eastAsia="zh-CN" w:bidi="ar"/>
        </w:rPr>
        <w:t>。</w:t>
      </w:r>
    </w:p>
    <w:p w14:paraId="3D803136">
      <w:pPr>
        <w:pStyle w:val="5"/>
        <w:pageBreakBefore w:val="0"/>
        <w:kinsoku/>
        <w:wordWrap/>
        <w:overflowPunct/>
        <w:topLinePunct w:val="0"/>
        <w:autoSpaceDE/>
        <w:autoSpaceDN/>
        <w:bidi w:val="0"/>
        <w:adjustRightInd/>
        <w:snapToGrid w:val="0"/>
        <w:spacing w:line="360" w:lineRule="auto"/>
        <w:textAlignment w:val="auto"/>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 xml:space="preserve">排污口档案管理 </w:t>
      </w:r>
    </w:p>
    <w:p w14:paraId="72616B6D">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cs="Times New Roman"/>
          <w:color w:val="auto"/>
          <w:highlight w:val="none"/>
        </w:rPr>
      </w:pPr>
      <w:r>
        <w:rPr>
          <w:rFonts w:hint="eastAsia" w:ascii="Times New Roman" w:hAnsi="Times New Roman" w:eastAsia="宋体" w:cs="Times New Roman"/>
          <w:color w:val="auto"/>
          <w:kern w:val="0"/>
          <w:sz w:val="24"/>
          <w:szCs w:val="24"/>
          <w:highlight w:val="none"/>
          <w:lang w:val="en-US" w:eastAsia="zh-CN" w:bidi="ar"/>
        </w:rPr>
        <w:t>1、</w:t>
      </w:r>
      <w:r>
        <w:rPr>
          <w:rFonts w:hint="default" w:ascii="Times New Roman" w:hAnsi="Times New Roman" w:eastAsia="宋体" w:cs="Times New Roman"/>
          <w:color w:val="auto"/>
          <w:kern w:val="0"/>
          <w:sz w:val="24"/>
          <w:szCs w:val="24"/>
          <w:highlight w:val="none"/>
          <w:lang w:val="en-US" w:eastAsia="zh-CN" w:bidi="ar"/>
        </w:rPr>
        <w:t>要求使用</w:t>
      </w:r>
      <w:r>
        <w:rPr>
          <w:rFonts w:hint="eastAsia" w:ascii="Times New Roman" w:hAnsi="Times New Roman" w:eastAsia="宋体" w:cs="Times New Roman"/>
          <w:color w:val="auto"/>
          <w:kern w:val="0"/>
          <w:sz w:val="24"/>
          <w:szCs w:val="24"/>
          <w:highlight w:val="none"/>
          <w:lang w:val="en-US" w:eastAsia="zh-CN" w:bidi="ar"/>
        </w:rPr>
        <w:t>原</w:t>
      </w:r>
      <w:r>
        <w:rPr>
          <w:rFonts w:hint="default" w:ascii="Times New Roman" w:hAnsi="Times New Roman" w:eastAsia="宋体" w:cs="Times New Roman"/>
          <w:color w:val="auto"/>
          <w:kern w:val="0"/>
          <w:sz w:val="24"/>
          <w:szCs w:val="24"/>
          <w:highlight w:val="none"/>
          <w:lang w:val="en-US" w:eastAsia="zh-CN" w:bidi="ar"/>
        </w:rPr>
        <w:t xml:space="preserve">国家环境保护总局统一印制的《中华人民共和国规范化排污口标志登记证》，并按要求填写有关内容。 </w:t>
      </w:r>
    </w:p>
    <w:p w14:paraId="5EFA1BD6">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根据排污口管理档案内容要求，项目建成后，应将主要污染物的种类、数量、浓度、排放去向、达标情况及设施运行情况记录于档案。</w:t>
      </w:r>
    </w:p>
    <w:p w14:paraId="491A17C6">
      <w:pPr>
        <w:pStyle w:val="4"/>
        <w:keepNext/>
        <w:keepLines/>
        <w:pageBreakBefore w:val="0"/>
        <w:widowControl w:val="0"/>
        <w:kinsoku/>
        <w:wordWrap/>
        <w:overflowPunct/>
        <w:topLinePunct w:val="0"/>
        <w:autoSpaceDE/>
        <w:autoSpaceDN/>
        <w:bidi w:val="0"/>
        <w:adjustRightInd/>
        <w:snapToGrid w:val="0"/>
        <w:spacing w:before="93"/>
        <w:ind w:left="0" w:leftChars="0" w:firstLineChars="0"/>
        <w:textAlignment w:val="auto"/>
        <w:rPr>
          <w:rFonts w:hint="default" w:cs="Times New Roman"/>
          <w:color w:val="auto"/>
          <w:highlight w:val="none"/>
          <w:lang w:val="en-US" w:eastAsia="zh-CN"/>
        </w:rPr>
      </w:pPr>
      <w:r>
        <w:rPr>
          <w:rFonts w:hint="default" w:cs="Times New Roman"/>
          <w:color w:val="auto"/>
          <w:highlight w:val="none"/>
          <w:lang w:val="en-US" w:eastAsia="zh-CN"/>
        </w:rPr>
        <w:t>排污许可</w:t>
      </w:r>
      <w:r>
        <w:rPr>
          <w:rFonts w:hint="eastAsia" w:cs="Times New Roman"/>
          <w:color w:val="auto"/>
          <w:highlight w:val="none"/>
          <w:lang w:val="en-US" w:eastAsia="zh-CN"/>
        </w:rPr>
        <w:t>管理制度的衔接</w:t>
      </w:r>
    </w:p>
    <w:p w14:paraId="32ED7817">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1、</w:t>
      </w:r>
      <w:r>
        <w:rPr>
          <w:rFonts w:hint="default" w:ascii="Times New Roman" w:hAnsi="Times New Roman" w:eastAsia="宋体" w:cs="Times New Roman"/>
          <w:color w:val="auto"/>
          <w:kern w:val="0"/>
          <w:sz w:val="24"/>
          <w:szCs w:val="24"/>
          <w:highlight w:val="none"/>
          <w:lang w:val="en-US" w:eastAsia="zh-CN" w:bidi="ar"/>
        </w:rPr>
        <w:t>管理要求</w:t>
      </w:r>
    </w:p>
    <w:p w14:paraId="487D092D">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建立覆盖所有固定污染源的企业排放许可制度。全面推进排污许可，以改善环境质量、防范环境风险为目标，将污染物排放种类、浓度、总量、排放去向等纳入许可证管理范围，企业按排污许可证规定生产、排污。完善污染治理 责任体系，环境保护部门对照排污许可证要求对企业排污行为实施监管执法。2017年底前，完成重点行业及产能过剩行业企业许可证核发，建成全国排污许可管理信息平台。到2020 年，全国基本完成排污许可管理名录规定行业企业的许可证核发。</w:t>
      </w:r>
    </w:p>
    <w:p w14:paraId="49F8133C">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环境保护部根据污染物产生量、排放量和环境危害程度的不同，在排污许可分类管理名录中规定对不同行业或同一行业的不同类型排污单位实行排污许 可差异化管理。对污染物产生量和排放量较小、环境危害程度较低的排污单位 实行排污许可简化管理，简化管的内容包括申请材料、信息公开、自行监测、台账记录、执行报告的具体要求。</w:t>
      </w:r>
    </w:p>
    <w:p w14:paraId="60EBFB83">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本企业排污许可管理职责</w:t>
      </w:r>
    </w:p>
    <w:p w14:paraId="6C894E1E">
      <w:pPr>
        <w:keepNext w:val="0"/>
        <w:keepLines w:val="0"/>
        <w:pageBreakBefore w:val="0"/>
        <w:widowControl/>
        <w:suppressLineNumbers w:val="0"/>
        <w:kinsoku/>
        <w:wordWrap/>
        <w:overflowPunct/>
        <w:topLinePunct w:val="0"/>
        <w:autoSpaceDE/>
        <w:autoSpaceDN/>
        <w:bidi w:val="0"/>
        <w:adjustRightInd/>
        <w:snapToGrid w:val="0"/>
        <w:ind w:firstLine="480" w:firstLineChars="200"/>
        <w:jc w:val="left"/>
        <w:textAlignment w:val="auto"/>
        <w:rPr>
          <w:rFonts w:hint="eastAsia"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根据《固定污染源排污许可分类管理名录（2019 年版）》要求，确定本项目属于管理名录中需要实施重点管理的行业。根据管理名录要求，本企业需要按排污许可管理制度要求，在规定的时限内申领排污许可证</w:t>
      </w:r>
      <w:r>
        <w:rPr>
          <w:rFonts w:hint="eastAsia" w:ascii="Times New Roman" w:hAnsi="Times New Roman" w:eastAsia="宋体" w:cs="Times New Roman"/>
          <w:color w:val="auto"/>
          <w:kern w:val="0"/>
          <w:sz w:val="24"/>
          <w:szCs w:val="24"/>
          <w:highlight w:val="none"/>
          <w:lang w:val="en-US" w:eastAsia="zh-CN" w:bidi="ar"/>
        </w:rPr>
        <w:t>。</w:t>
      </w:r>
    </w:p>
    <w:p w14:paraId="6CF01918">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企业环境信息公开</w:t>
      </w:r>
    </w:p>
    <w:p w14:paraId="567655D3">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企业应在厂区周边显著位置设置显示屏对外公开污染源在线监测数据，接受公众监督。按照《关于进一步加强城市生活垃圾焚烧处理工作的意见》及《生活垃圾焚烧污染控制标准》（GB18485-2014）要求，公开内容应至少包括：对炉内燃烧温度、CO、含氧量等实施监测，实现烟气连续监测装置、炉内二噁英类的辅助判别监控装置等，在线监测结果应采用电子显示板进行公示（电子显示屏的设置应便于公众在厂界外观测）并与地方环境保护主管部门监控中心联网，公示内容应至少包括炉膛内焚烧温度、CO、含氧量等运行工况参数及烟气中烟尘（颗粒物）、SO</w:t>
      </w:r>
      <w:r>
        <w:rPr>
          <w:rFonts w:hint="default" w:ascii="Times New Roman" w:hAnsi="Times New Roman" w:eastAsia="宋体" w:cs="Times New Roman"/>
          <w:color w:val="auto"/>
          <w:kern w:val="0"/>
          <w:sz w:val="24"/>
          <w:szCs w:val="24"/>
          <w:highlight w:val="none"/>
          <w:vertAlign w:val="subscript"/>
          <w:lang w:val="en-US" w:eastAsia="zh-CN" w:bidi="ar"/>
        </w:rPr>
        <w:t>2</w:t>
      </w:r>
      <w:r>
        <w:rPr>
          <w:rFonts w:hint="default" w:ascii="Times New Roman" w:hAnsi="Times New Roman" w:eastAsia="宋体" w:cs="Times New Roman"/>
          <w:color w:val="auto"/>
          <w:kern w:val="0"/>
          <w:sz w:val="24"/>
          <w:szCs w:val="24"/>
          <w:highlight w:val="none"/>
          <w:lang w:val="en-US" w:eastAsia="zh-CN" w:bidi="ar"/>
        </w:rPr>
        <w:t>、NO</w:t>
      </w:r>
      <w:r>
        <w:rPr>
          <w:rFonts w:hint="default" w:ascii="Times New Roman" w:hAnsi="Times New Roman" w:eastAsia="宋体" w:cs="Times New Roman"/>
          <w:color w:val="auto"/>
          <w:kern w:val="0"/>
          <w:sz w:val="24"/>
          <w:szCs w:val="24"/>
          <w:highlight w:val="none"/>
          <w:vertAlign w:val="subscript"/>
          <w:lang w:val="en-US" w:eastAsia="zh-CN" w:bidi="ar"/>
        </w:rPr>
        <w:t>X</w:t>
      </w:r>
      <w:r>
        <w:rPr>
          <w:rFonts w:hint="default" w:ascii="Times New Roman" w:hAnsi="Times New Roman" w:eastAsia="宋体" w:cs="Times New Roman"/>
          <w:color w:val="auto"/>
          <w:kern w:val="0"/>
          <w:sz w:val="24"/>
          <w:szCs w:val="24"/>
          <w:highlight w:val="none"/>
          <w:lang w:val="en-US" w:eastAsia="zh-CN" w:bidi="ar"/>
        </w:rPr>
        <w:t>、CO、HCl 等污染因子排放浓度及达标情况。</w:t>
      </w:r>
    </w:p>
    <w:p w14:paraId="7B3669DC">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此外，企业还应做到以下要求：</w:t>
      </w:r>
    </w:p>
    <w:p w14:paraId="4072DE4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（1）按照《企业事业单位环境信息公开办法》（环保部令第 31号）、《关 于发布&lt;建设项目环境影响评价政府信息公开指南（试行）&gt; 的公告》及《环境 信息公开办法（试行）》的规定做好环境信息公开工作。</w:t>
      </w:r>
    </w:p>
    <w:p w14:paraId="6E5C10DF">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（2）对污染物排放状况及其对周边环境质量的影响开展自行监测，保存原 始监测记录，并公布监测结果。同时，建议企业按照《企业环境报告书编制导 则》（HJ617-2011）编制年度环境报告书，并向社会公布。</w:t>
      </w:r>
    </w:p>
    <w:p w14:paraId="3F066324">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（3）其他公示内容：</w:t>
      </w:r>
    </w:p>
    <w:p w14:paraId="1B20350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①企业名称、生产地址、法定代表人、联系方式、生产经营基本情况；</w:t>
      </w:r>
    </w:p>
    <w:p w14:paraId="274F69FB">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②主要污染物的名称、排放方式、排放浓度和总量、超标情况；</w:t>
      </w:r>
    </w:p>
    <w:p w14:paraId="489B8057">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③企业在生产过程中产生的固体废物的处理、处置、综合利用情况；</w:t>
      </w:r>
    </w:p>
    <w:p w14:paraId="5A8BE46B">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④企业环保设施的建设和运行情况；</w:t>
      </w:r>
    </w:p>
    <w:p w14:paraId="127F5D1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⑤环境污染事故应急预案；</w:t>
      </w:r>
    </w:p>
    <w:p w14:paraId="173B6484">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⑥企业自愿公开的其他环境信息。</w:t>
      </w:r>
    </w:p>
    <w:p w14:paraId="3E88B78D">
      <w:pPr>
        <w:pStyle w:val="3"/>
        <w:spacing w:before="156" w:after="156"/>
        <w:rPr>
          <w:rFonts w:hint="default" w:ascii="Times New Roman" w:hAnsi="Times New Roman" w:cs="Times New Roman"/>
          <w:color w:val="auto"/>
          <w:highlight w:val="none"/>
        </w:rPr>
      </w:pPr>
      <w:bookmarkStart w:id="203" w:name="_Toc19285"/>
      <w:bookmarkStart w:id="204" w:name="_Toc21154"/>
      <w:bookmarkStart w:id="205" w:name="_Toc18600"/>
      <w:r>
        <w:rPr>
          <w:rFonts w:hint="default" w:ascii="Times New Roman" w:hAnsi="Times New Roman" w:cs="Times New Roman"/>
          <w:color w:val="auto"/>
          <w:highlight w:val="none"/>
        </w:rPr>
        <w:t>环境监测</w:t>
      </w:r>
      <w:r>
        <w:rPr>
          <w:rFonts w:hint="default" w:ascii="Times New Roman" w:hAnsi="Times New Roman" w:cs="Times New Roman"/>
          <w:color w:val="auto"/>
          <w:highlight w:val="none"/>
          <w:lang w:val="en-US" w:eastAsia="zh-CN"/>
        </w:rPr>
        <w:t>计划</w:t>
      </w:r>
      <w:bookmarkEnd w:id="203"/>
      <w:bookmarkEnd w:id="204"/>
      <w:bookmarkEnd w:id="205"/>
    </w:p>
    <w:p w14:paraId="6CCA54D3">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环境监测目的</w:t>
      </w:r>
    </w:p>
    <w:p w14:paraId="5DDA304C">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环境监测是跟踪项目的实施效果和环境质量的动态变化、防止污染事故的发生的重要手段，实施环境监测，可以做到第一时间发现污染事故，防止污染事故的扩大。</w:t>
      </w:r>
    </w:p>
    <w:p w14:paraId="1DFB8B84">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监测计划</w:t>
      </w:r>
    </w:p>
    <w:p w14:paraId="60528514">
      <w:pPr>
        <w:pStyle w:val="5"/>
        <w:pageBreakBefore w:val="0"/>
        <w:kinsoku/>
        <w:wordWrap/>
        <w:overflowPunct/>
        <w:topLinePunct w:val="0"/>
        <w:autoSpaceDE/>
        <w:autoSpaceDN/>
        <w:bidi w:val="0"/>
        <w:adjustRightInd/>
        <w:snapToGrid w:val="0"/>
        <w:spacing w:line="360" w:lineRule="auto"/>
        <w:textAlignment w:val="auto"/>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污染源监测计划</w:t>
      </w:r>
      <w:r>
        <w:rPr>
          <w:rFonts w:hint="default" w:ascii="Times New Roman" w:hAnsi="Times New Roman" w:cs="Times New Roman"/>
          <w:color w:val="auto"/>
          <w:highlight w:val="none"/>
          <w:lang w:val="en-US" w:eastAsia="zh-CN"/>
        </w:rPr>
        <w:t xml:space="preserve"> </w:t>
      </w:r>
    </w:p>
    <w:p w14:paraId="24A576BE">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1、污染源监测</w:t>
      </w:r>
    </w:p>
    <w:p w14:paraId="0C037E6E">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建设单位应定期委托有资质的环境监测单位对污染源进行监测。根据《生活垃圾焚烧处理工程技术规范》（CJJ90-2009）的要求，焚烧厂应配备必要的设备和仪器，具体设备仪器的型号、规格将在初步设计中得到落实。依照《排污单位自行监测技术指南 总则》（HJ819-2017）</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《排污许可证申请与核发技术规范 生活垃圾焚烧》( HJ1039</w:t>
      </w:r>
      <w:r>
        <w:rPr>
          <w:rFonts w:hint="eastAsia" w:ascii="Times New Roman" w:hAnsi="Times New Roman" w:eastAsia="宋体" w:cs="Times New Roman"/>
          <w:color w:val="auto"/>
          <w:kern w:val="0"/>
          <w:sz w:val="24"/>
          <w:szCs w:val="24"/>
          <w:highlight w:val="none"/>
          <w:lang w:val="en-US" w:eastAsia="zh-CN" w:bidi="ar"/>
        </w:rPr>
        <w:t>-</w:t>
      </w:r>
      <w:r>
        <w:rPr>
          <w:rFonts w:hint="default" w:ascii="Times New Roman" w:hAnsi="Times New Roman" w:eastAsia="宋体" w:cs="Times New Roman"/>
          <w:color w:val="auto"/>
          <w:kern w:val="0"/>
          <w:sz w:val="24"/>
          <w:szCs w:val="24"/>
          <w:highlight w:val="none"/>
          <w:lang w:val="en-US" w:eastAsia="zh-CN" w:bidi="ar"/>
        </w:rPr>
        <w:t>2019)</w:t>
      </w:r>
      <w:r>
        <w:rPr>
          <w:rFonts w:hint="eastAsia" w:ascii="Times New Roman" w:hAnsi="Times New Roman" w:eastAsia="宋体" w:cs="Times New Roman"/>
          <w:color w:val="auto"/>
          <w:kern w:val="0"/>
          <w:sz w:val="24"/>
          <w:szCs w:val="24"/>
          <w:highlight w:val="none"/>
          <w:lang w:val="en-US" w:eastAsia="zh-CN" w:bidi="ar"/>
        </w:rPr>
        <w:t>和</w:t>
      </w:r>
      <w:r>
        <w:rPr>
          <w:rFonts w:hint="default" w:ascii="Times New Roman" w:hAnsi="Times New Roman" w:eastAsia="宋体" w:cs="Times New Roman"/>
          <w:color w:val="auto"/>
          <w:kern w:val="0"/>
          <w:sz w:val="24"/>
          <w:szCs w:val="24"/>
          <w:highlight w:val="none"/>
          <w:lang w:val="en-US" w:eastAsia="zh-CN" w:bidi="ar"/>
        </w:rPr>
        <w:t>《生活垃圾焚烧污染控制标准》（GB18485-2014）要求，制定运行期污染源监测计划见</w:t>
      </w:r>
      <w:r>
        <w:rPr>
          <w:rFonts w:hint="eastAsia" w:ascii="Times New Roman" w:hAnsi="Times New Roman" w:eastAsia="宋体" w:cs="Times New Roman"/>
          <w:color w:val="auto"/>
          <w:kern w:val="0"/>
          <w:sz w:val="24"/>
          <w:szCs w:val="24"/>
          <w:highlight w:val="none"/>
          <w:lang w:val="en-US" w:eastAsia="zh-CN" w:bidi="ar"/>
        </w:rPr>
        <w:t>下</w:t>
      </w:r>
      <w:r>
        <w:rPr>
          <w:rFonts w:hint="default" w:ascii="Times New Roman" w:hAnsi="Times New Roman" w:eastAsia="宋体" w:cs="Times New Roman"/>
          <w:color w:val="auto"/>
          <w:kern w:val="0"/>
          <w:sz w:val="24"/>
          <w:szCs w:val="24"/>
          <w:highlight w:val="none"/>
          <w:lang w:val="en-US" w:eastAsia="zh-CN" w:bidi="ar"/>
        </w:rPr>
        <w:t>表。</w:t>
      </w:r>
    </w:p>
    <w:p w14:paraId="1D5A5E7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监测方法参照执行国家有关技术标准和规范，确保监测质量。同时，公司应建立健全污染源监控和环境监测技术档案，接受地方和上级环境保护行政部门的指导、监督和检查。</w:t>
      </w:r>
    </w:p>
    <w:p w14:paraId="6D460193">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eastAsia" w:ascii="Times New Roman" w:hAnsi="Times New Roman" w:eastAsia="宋体" w:cs="Times New Roman"/>
          <w:color w:val="auto"/>
          <w:kern w:val="0"/>
          <w:sz w:val="24"/>
          <w:szCs w:val="24"/>
          <w:highlight w:val="none"/>
          <w:lang w:val="en-US" w:eastAsia="zh-CN" w:bidi="ar"/>
        </w:rPr>
        <w:t>2、在线监测</w:t>
      </w:r>
    </w:p>
    <w:p w14:paraId="25BF8032">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废气在线监测，应根据国家环境保护部颁发的《固定污染源烟气排放连续监测系统技术规范》的要求，固定污染源烟气 CEMS 应安装在能够可靠连续监测固定污染源烟气排放状况的有代表性的位置上；监测孔设置、监测采样方法可按照 《固定污染源排气中颗粒物测定与气态污染物采样方法》（GB/T16157-1996）；数据采集和控制按照《污染源在线自动监控（监测）系统数据传输标准》（HJ/T212-2005）执行。在线监测装置安装要求应按《污染源自动监控管理办法》等规定执行并定期进行校对。废气在线监测位置和监测因子见</w:t>
      </w:r>
      <w:r>
        <w:rPr>
          <w:rFonts w:hint="eastAsia" w:ascii="Times New Roman" w:hAnsi="Times New Roman" w:eastAsia="宋体" w:cs="Times New Roman"/>
          <w:color w:val="auto"/>
          <w:kern w:val="0"/>
          <w:sz w:val="24"/>
          <w:szCs w:val="24"/>
          <w:highlight w:val="none"/>
          <w:lang w:val="en-US" w:eastAsia="zh-CN" w:bidi="ar"/>
        </w:rPr>
        <w:t>下</w:t>
      </w:r>
      <w:r>
        <w:rPr>
          <w:rFonts w:hint="default" w:ascii="Times New Roman" w:hAnsi="Times New Roman" w:eastAsia="宋体" w:cs="Times New Roman"/>
          <w:color w:val="auto"/>
          <w:kern w:val="0"/>
          <w:sz w:val="24"/>
          <w:szCs w:val="24"/>
          <w:highlight w:val="none"/>
          <w:lang w:val="en-US" w:eastAsia="zh-CN" w:bidi="ar"/>
        </w:rPr>
        <w:t>表。</w:t>
      </w:r>
    </w:p>
    <w:p w14:paraId="6289E960">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在线监测结果应采用电子显示板进行公示并与当地环保行政主管部门和行业行政主管部门监控中心联网。</w:t>
      </w:r>
    </w:p>
    <w:p w14:paraId="3103CADD">
      <w:pPr>
        <w:keepNext w:val="0"/>
        <w:keepLines w:val="0"/>
        <w:widowControl/>
        <w:suppressLineNumbers w:val="0"/>
        <w:spacing w:line="240" w:lineRule="auto"/>
        <w:jc w:val="left"/>
        <w:rPr>
          <w:rFonts w:hint="default" w:ascii="Times New Roman" w:hAnsi="Times New Roman" w:eastAsia="宋体" w:cs="Times New Roman"/>
          <w:color w:val="auto"/>
          <w:kern w:val="0"/>
          <w:sz w:val="21"/>
          <w:szCs w:val="21"/>
          <w:highlight w:val="none"/>
          <w:lang w:val="en-US" w:eastAsia="zh-CN" w:bidi="ar"/>
        </w:rPr>
      </w:pPr>
    </w:p>
    <w:p w14:paraId="40B4664C">
      <w:pPr>
        <w:pStyle w:val="3"/>
        <w:spacing w:before="156" w:after="156"/>
        <w:rPr>
          <w:rFonts w:hint="default" w:ascii="Times New Roman" w:hAnsi="Times New Roman" w:cs="Times New Roman"/>
          <w:color w:val="auto"/>
          <w:highlight w:val="none"/>
        </w:rPr>
      </w:pPr>
      <w:bookmarkStart w:id="206" w:name="_Toc30768"/>
      <w:r>
        <w:rPr>
          <w:rFonts w:hint="eastAsia" w:ascii="Times New Roman" w:hAnsi="Times New Roman" w:cs="Times New Roman"/>
          <w:color w:val="auto"/>
          <w:highlight w:val="none"/>
          <w:lang w:val="en-US" w:eastAsia="zh-CN"/>
        </w:rPr>
        <w:t>竣工环保验收</w:t>
      </w:r>
      <w:bookmarkEnd w:id="206"/>
    </w:p>
    <w:p w14:paraId="48C50E3D">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根据《国务院关于修改&lt;建设项目环境保护管理条例&gt;的决定》（国务院令第682号）的相关内容，《建设项目环境保护管理条例》第十七条，修改为：编制环境影响报告书、环境影响报告表的建设项目竣工后，建设单位应当按照国务院环境保护行政主管部门规定的标准和程序，对配套建设的环境保护设施进行验收，编制验收报告。建设单位在环境保护设施验收过程中，应当如实查验、监测、记载建设项目环境保护设施的建设和调试情况，不得弄虚作假。除按照国家规定需要保密的情形外，建设单位应当依法向社会公开验收报告。</w:t>
      </w:r>
    </w:p>
    <w:p w14:paraId="5B2AF851">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竣工环保验收是对项目环保设施运行效果、污染物处理和综合利用、污染物排放、环境管理等方面的全面检查和测试。项目环境保护设施竣工验收主要程序和内容如下：</w:t>
      </w:r>
    </w:p>
    <w:p w14:paraId="68DB76BA">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1、项目竣工后，建设单位应当如实查验、监测、记载项目各项污染防治措施及环境风险防范措施的建设和调试情况，对照《污染影响类建设项目重大变动清单（试行）》分析项目是否发生重大变动，若出现重大变动，应重新报批项目环评文件。若未发生重大变动，则参照《建设项目竣工环境保护验收技术指南 污染影响类》（生态环境部公告 2018年第9号）自行组织编制验收监测报告。</w:t>
      </w:r>
    </w:p>
    <w:p w14:paraId="76C213D3">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2、项目自行验收监测报告编制完成后，建设单位应当根据验收报告结论，逐一检查是否存在《建设项目竣工环境保护验收暂行办法》（国环规环评[2017]4号）第八条所列验收不合格的情形，提出验收意见。存在问题的应当进行整改，整改完成后方可提出验收意见。</w:t>
      </w:r>
    </w:p>
    <w:p w14:paraId="471B1DB5">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3、项目自行验收监测报告编制完成且有问题需整改已整改完成后通过其网站或者其他便于公众知晓的方式按要求向社会公开建设项目配套建设的环境保护设施竣工日期、调试起止日期以及验收报告等有关信息，同时向所在地生态环境部门报送上述相关信息，并在验收报告公示期满后5个工作日内登陆全国建设项目竣工环境保护验收信息平台填报验收情况等相关信息。</w:t>
      </w:r>
    </w:p>
    <w:p w14:paraId="1526CA46">
      <w:pPr>
        <w:spacing w:line="240" w:lineRule="atLeast"/>
        <w:ind w:firstLine="0" w:firstLineChars="0"/>
        <w:jc w:val="center"/>
        <w:rPr>
          <w:rFonts w:hint="default" w:ascii="Times New Roman" w:hAnsi="Times New Roman" w:cs="Times New Roman"/>
          <w:b/>
          <w:color w:val="auto"/>
          <w:sz w:val="21"/>
          <w:highlight w:val="none"/>
          <w:lang w:val="en-US" w:eastAsia="zh-CN"/>
        </w:rPr>
      </w:pPr>
    </w:p>
    <w:p w14:paraId="05660CCA">
      <w:pPr>
        <w:pStyle w:val="14"/>
        <w:ind w:firstLine="480"/>
        <w:rPr>
          <w:rFonts w:hint="default" w:ascii="Times New Roman" w:hAnsi="Times New Roman" w:cs="Times New Roman"/>
          <w:color w:val="auto"/>
          <w:highlight w:val="none"/>
        </w:rPr>
      </w:pPr>
    </w:p>
    <w:p w14:paraId="08CFA55D">
      <w:pPr>
        <w:pStyle w:val="14"/>
        <w:ind w:firstLine="480"/>
        <w:rPr>
          <w:rFonts w:hint="default" w:ascii="Times New Roman" w:hAnsi="Times New Roman" w:cs="Times New Roman"/>
          <w:color w:val="auto"/>
          <w:highlight w:val="none"/>
        </w:rPr>
      </w:pPr>
    </w:p>
    <w:p w14:paraId="2C1102B7">
      <w:pPr>
        <w:pStyle w:val="14"/>
        <w:ind w:firstLine="480"/>
        <w:rPr>
          <w:rFonts w:hint="default" w:ascii="Times New Roman" w:hAnsi="Times New Roman" w:cs="Times New Roman"/>
          <w:color w:val="auto"/>
          <w:highlight w:val="none"/>
        </w:rPr>
      </w:pPr>
    </w:p>
    <w:p w14:paraId="77B9E538">
      <w:pPr>
        <w:pStyle w:val="14"/>
        <w:ind w:firstLine="480"/>
        <w:rPr>
          <w:rFonts w:hint="default" w:ascii="Times New Roman" w:hAnsi="Times New Roman" w:cs="Times New Roman"/>
          <w:color w:val="auto"/>
          <w:highlight w:val="none"/>
        </w:rPr>
        <w:sectPr>
          <w:headerReference r:id="rId37"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21168A1F">
      <w:pPr>
        <w:pStyle w:val="3"/>
        <w:spacing w:before="156" w:after="156"/>
        <w:rPr>
          <w:rFonts w:hint="default" w:ascii="Times New Roman" w:hAnsi="Times New Roman" w:cs="Times New Roman"/>
          <w:color w:val="auto"/>
          <w:highlight w:val="none"/>
          <w:lang w:val="en-US" w:eastAsia="zh-CN"/>
        </w:rPr>
      </w:pPr>
      <w:bookmarkStart w:id="207" w:name="_Toc4733"/>
      <w:bookmarkStart w:id="208" w:name="_Toc11128"/>
      <w:r>
        <w:rPr>
          <w:rFonts w:hint="default" w:ascii="Times New Roman" w:hAnsi="Times New Roman" w:cs="Times New Roman"/>
          <w:color w:val="auto"/>
          <w:highlight w:val="none"/>
          <w:lang w:val="en-US" w:eastAsia="zh-CN"/>
        </w:rPr>
        <w:t>小结</w:t>
      </w:r>
      <w:bookmarkEnd w:id="207"/>
      <w:bookmarkEnd w:id="208"/>
    </w:p>
    <w:p w14:paraId="2B54CE29">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本工程的建成将促进</w:t>
      </w:r>
      <w:r>
        <w:rPr>
          <w:rFonts w:hint="eastAsia" w:ascii="Times New Roman" w:hAnsi="Times New Roman" w:eastAsia="宋体" w:cs="Times New Roman"/>
          <w:color w:val="auto"/>
          <w:kern w:val="0"/>
          <w:sz w:val="24"/>
          <w:szCs w:val="24"/>
          <w:highlight w:val="none"/>
          <w:lang w:val="en-US" w:eastAsia="zh-CN" w:bidi="ar"/>
        </w:rPr>
        <w:t>剑阁</w:t>
      </w:r>
      <w:r>
        <w:rPr>
          <w:rFonts w:hint="default" w:ascii="Times New Roman" w:hAnsi="Times New Roman" w:eastAsia="宋体" w:cs="Times New Roman"/>
          <w:color w:val="auto"/>
          <w:kern w:val="0"/>
          <w:sz w:val="24"/>
          <w:szCs w:val="24"/>
          <w:highlight w:val="none"/>
          <w:lang w:val="en-US" w:eastAsia="zh-CN" w:bidi="ar"/>
        </w:rPr>
        <w:t>县的经济发展，项目在投入运行后会对周边环境造成一定程度的影响，为减轻本项目产生的环境影响，建设单位应切实做好环境管理与环境监测工作</w:t>
      </w:r>
      <w:r>
        <w:rPr>
          <w:rFonts w:hint="eastAsia" w:ascii="Times New Roman" w:hAnsi="Times New Roman" w:eastAsia="宋体" w:cs="Times New Roman"/>
          <w:color w:val="auto"/>
          <w:kern w:val="0"/>
          <w:sz w:val="24"/>
          <w:szCs w:val="24"/>
          <w:highlight w:val="none"/>
          <w:lang w:val="en-US" w:eastAsia="zh-CN" w:bidi="ar"/>
        </w:rPr>
        <w:t>。</w:t>
      </w:r>
    </w:p>
    <w:p w14:paraId="5A0FC1F6">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p>
    <w:p w14:paraId="6D02E47F">
      <w:pPr>
        <w:pStyle w:val="14"/>
        <w:ind w:firstLine="480"/>
        <w:rPr>
          <w:rFonts w:hint="default" w:ascii="Times New Roman" w:hAnsi="Times New Roman" w:cs="Times New Roman"/>
          <w:color w:val="auto"/>
          <w:highlight w:val="none"/>
        </w:rPr>
      </w:pPr>
    </w:p>
    <w:p w14:paraId="116FE57E">
      <w:pPr>
        <w:pStyle w:val="3"/>
        <w:numPr>
          <w:ilvl w:val="1"/>
          <w:numId w:val="0"/>
        </w:numPr>
        <w:spacing w:before="156" w:after="156"/>
        <w:ind w:leftChars="0"/>
        <w:outlineLvl w:val="9"/>
        <w:rPr>
          <w:rFonts w:hint="default" w:ascii="Times New Roman" w:hAnsi="Times New Roman" w:cs="Times New Roman"/>
          <w:color w:val="auto"/>
          <w:highlight w:val="none"/>
        </w:rPr>
        <w:sectPr>
          <w:headerReference r:id="rId38"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pPr>
    </w:p>
    <w:p w14:paraId="45314976">
      <w:pPr>
        <w:pStyle w:val="2"/>
        <w:spacing w:before="624" w:after="312"/>
        <w:rPr>
          <w:rFonts w:hint="default" w:ascii="Times New Roman" w:hAnsi="Times New Roman" w:cs="Times New Roman"/>
          <w:color w:val="auto"/>
          <w:highlight w:val="none"/>
        </w:rPr>
      </w:pPr>
      <w:r>
        <w:rPr>
          <w:rFonts w:hint="default" w:ascii="Times New Roman" w:hAnsi="Times New Roman" w:cs="Times New Roman"/>
          <w:color w:val="auto"/>
          <w:highlight w:val="none"/>
        </w:rPr>
        <w:t xml:space="preserve">  </w:t>
      </w:r>
      <w:bookmarkStart w:id="209" w:name="_Toc31477"/>
      <w:bookmarkStart w:id="210" w:name="_Toc7021"/>
      <w:bookmarkStart w:id="211" w:name="_Toc16005"/>
      <w:r>
        <w:rPr>
          <w:rFonts w:hint="default" w:ascii="Times New Roman" w:hAnsi="Times New Roman" w:cs="Times New Roman"/>
          <w:color w:val="auto"/>
          <w:highlight w:val="none"/>
        </w:rPr>
        <w:t>结论及建议</w:t>
      </w:r>
      <w:bookmarkEnd w:id="209"/>
      <w:bookmarkEnd w:id="210"/>
      <w:bookmarkEnd w:id="211"/>
    </w:p>
    <w:p w14:paraId="768D66F1">
      <w:pPr>
        <w:pStyle w:val="3"/>
        <w:spacing w:before="156" w:after="156"/>
        <w:rPr>
          <w:rFonts w:hint="default" w:ascii="Times New Roman" w:hAnsi="Times New Roman" w:cs="Times New Roman"/>
          <w:color w:val="auto"/>
          <w:highlight w:val="none"/>
        </w:rPr>
      </w:pPr>
      <w:bookmarkStart w:id="212" w:name="_Toc4335"/>
      <w:bookmarkStart w:id="213" w:name="_Toc5705"/>
      <w:bookmarkStart w:id="214" w:name="_Toc7559"/>
      <w:r>
        <w:rPr>
          <w:rFonts w:hint="default" w:ascii="Times New Roman" w:hAnsi="Times New Roman" w:cs="Times New Roman"/>
          <w:color w:val="auto"/>
          <w:highlight w:val="none"/>
        </w:rPr>
        <w:t>结论</w:t>
      </w:r>
      <w:bookmarkEnd w:id="212"/>
      <w:bookmarkEnd w:id="213"/>
      <w:bookmarkEnd w:id="214"/>
    </w:p>
    <w:p w14:paraId="529D68B2">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项目概况</w:t>
      </w:r>
    </w:p>
    <w:p w14:paraId="07EB9DE5">
      <w:pPr>
        <w:pStyle w:val="14"/>
        <w:keepNext w:val="0"/>
        <w:keepLines w:val="0"/>
        <w:pageBreakBefore w:val="0"/>
        <w:widowControl w:val="0"/>
        <w:kinsoku/>
        <w:wordWrap/>
        <w:overflowPunct/>
        <w:topLinePunct w:val="0"/>
        <w:autoSpaceDE/>
        <w:autoSpaceDN/>
        <w:bidi w:val="0"/>
        <w:snapToGrid w:val="0"/>
        <w:spacing w:line="360" w:lineRule="auto"/>
        <w:ind w:firstLine="482"/>
        <w:textAlignment w:val="auto"/>
        <w:rPr>
          <w:rFonts w:hint="default" w:ascii="Times New Roman" w:hAnsi="Times New Roman" w:cs="Times New Roman"/>
          <w:b/>
          <w:bCs/>
          <w:color w:val="auto"/>
          <w:highlight w:val="none"/>
          <w:lang w:val="en-US" w:eastAsia="zh-CN"/>
        </w:rPr>
      </w:pPr>
      <w:r>
        <w:rPr>
          <w:rFonts w:hint="default" w:ascii="Times New Roman" w:hAnsi="Times New Roman" w:eastAsia="宋体" w:cs="Times New Roman"/>
          <w:b w:val="0"/>
          <w:bCs w:val="0"/>
          <w:color w:val="auto"/>
          <w:kern w:val="0"/>
          <w:highlight w:val="none"/>
          <w:lang w:val="en-US" w:eastAsia="zh-CN"/>
        </w:rPr>
        <w:t>本项目位于</w:t>
      </w:r>
      <w:r>
        <w:rPr>
          <w:rFonts w:hint="default" w:ascii="Times New Roman" w:hAnsi="Times New Roman" w:cs="Times New Roman"/>
          <w:b w:val="0"/>
          <w:bCs w:val="0"/>
          <w:color w:val="auto"/>
          <w:sz w:val="24"/>
          <w:szCs w:val="24"/>
          <w:highlight w:val="none"/>
          <w:lang w:val="en-US" w:eastAsia="zh-CN"/>
        </w:rPr>
        <w:t>剑阁县普安镇剑坪村一组，为新建项目，</w:t>
      </w:r>
      <w:r>
        <w:rPr>
          <w:rFonts w:hint="default" w:ascii="Times New Roman" w:hAnsi="Times New Roman" w:cs="Times New Roman"/>
          <w:b w:val="0"/>
          <w:bCs w:val="0"/>
          <w:color w:val="auto"/>
          <w:highlight w:val="none"/>
          <w:lang w:val="en-US" w:eastAsia="zh-CN"/>
        </w:rPr>
        <w:t>占地面积</w:t>
      </w:r>
      <w:r>
        <w:rPr>
          <w:rFonts w:hint="default" w:ascii="Times New Roman" w:hAnsi="Times New Roman" w:cs="Times New Roman"/>
          <w:b w:val="0"/>
          <w:bCs/>
          <w:color w:val="auto"/>
          <w:highlight w:val="none"/>
          <w:lang w:val="en-US" w:eastAsia="zh-CN"/>
        </w:rPr>
        <w:t>9958.17</w:t>
      </w:r>
      <w:r>
        <w:rPr>
          <w:rFonts w:hint="default" w:ascii="Times New Roman" w:hAnsi="Times New Roman" w:cs="Times New Roman"/>
          <w:b w:val="0"/>
          <w:bCs w:val="0"/>
          <w:color w:val="auto"/>
          <w:highlight w:val="none"/>
          <w:lang w:val="en-US" w:eastAsia="zh-CN"/>
        </w:rPr>
        <w:t>m</w:t>
      </w:r>
      <w:r>
        <w:rPr>
          <w:rFonts w:hint="default" w:ascii="Times New Roman" w:hAnsi="Times New Roman" w:cs="Times New Roman"/>
          <w:b w:val="0"/>
          <w:bCs w:val="0"/>
          <w:color w:val="auto"/>
          <w:highlight w:val="none"/>
          <w:vertAlign w:val="superscript"/>
          <w:lang w:val="en-US" w:eastAsia="zh-CN"/>
        </w:rPr>
        <w:t>2</w:t>
      </w:r>
      <w:r>
        <w:rPr>
          <w:rFonts w:hint="default" w:ascii="Times New Roman" w:hAnsi="Times New Roman" w:eastAsia="宋体" w:cs="Times New Roman"/>
          <w:b w:val="0"/>
          <w:bCs w:val="0"/>
          <w:color w:val="auto"/>
          <w:kern w:val="0"/>
          <w:highlight w:val="none"/>
          <w:lang w:val="en-US" w:eastAsia="zh-CN"/>
        </w:rPr>
        <w:t>，</w:t>
      </w:r>
      <w:r>
        <w:rPr>
          <w:rFonts w:hint="default" w:ascii="Times New Roman" w:hAnsi="Times New Roman" w:cs="Times New Roman" w:eastAsiaTheme="minorEastAsia"/>
          <w:color w:val="auto"/>
          <w:sz w:val="24"/>
          <w:szCs w:val="24"/>
          <w:highlight w:val="none"/>
          <w:lang w:val="en-US" w:eastAsia="zh-CN"/>
        </w:rPr>
        <w:t>采用</w:t>
      </w:r>
      <w:r>
        <w:rPr>
          <w:rFonts w:hint="default" w:ascii="Times New Roman" w:hAnsi="Times New Roman" w:cs="Times New Roman" w:eastAsiaTheme="minorEastAsia"/>
          <w:color w:val="auto"/>
          <w:sz w:val="24"/>
          <w:szCs w:val="24"/>
          <w:highlight w:val="none"/>
          <w:lang w:eastAsia="zh-CN"/>
        </w:rPr>
        <w:t>绝氧热分解焚烧工艺</w:t>
      </w:r>
      <w:r>
        <w:rPr>
          <w:rFonts w:hint="eastAsia" w:ascii="Times New Roman" w:hAnsi="Times New Roman" w:cs="Times New Roman"/>
          <w:color w:val="auto"/>
          <w:sz w:val="24"/>
          <w:szCs w:val="24"/>
          <w:highlight w:val="none"/>
          <w:lang w:val="en-US" w:eastAsia="zh-CN"/>
        </w:rPr>
        <w:t>处理</w:t>
      </w:r>
      <w:r>
        <w:rPr>
          <w:rFonts w:hint="default" w:ascii="Times New Roman" w:hAnsi="Times New Roman" w:cs="Times New Roman" w:eastAsiaTheme="minorEastAsia"/>
          <w:color w:val="auto"/>
          <w:sz w:val="24"/>
          <w:szCs w:val="24"/>
          <w:highlight w:val="none"/>
          <w:lang w:val="en-US" w:eastAsia="zh-CN"/>
        </w:rPr>
        <w:t>剑阁县生活垃圾，处理规模为180t/d。</w:t>
      </w:r>
      <w:r>
        <w:rPr>
          <w:rFonts w:hint="default" w:ascii="Times New Roman" w:hAnsi="Times New Roman" w:eastAsia="宋体" w:cs="Times New Roman"/>
          <w:b w:val="0"/>
          <w:bCs w:val="0"/>
          <w:color w:val="auto"/>
          <w:kern w:val="0"/>
          <w:highlight w:val="none"/>
          <w:lang w:val="en-US" w:eastAsia="zh-CN"/>
        </w:rPr>
        <w:t>建设内容</w:t>
      </w:r>
      <w:r>
        <w:rPr>
          <w:rFonts w:hint="eastAsia" w:eastAsia="宋体" w:cs="Times New Roman"/>
          <w:b w:val="0"/>
          <w:bCs w:val="0"/>
          <w:color w:val="auto"/>
          <w:kern w:val="0"/>
          <w:highlight w:val="none"/>
          <w:lang w:val="en-US" w:eastAsia="zh-CN"/>
        </w:rPr>
        <w:t>包括</w:t>
      </w:r>
      <w:r>
        <w:rPr>
          <w:rFonts w:hint="default" w:ascii="Times New Roman" w:hAnsi="Times New Roman" w:cs="Times New Roman"/>
          <w:color w:val="auto"/>
          <w:highlight w:val="none"/>
          <w:lang w:val="en-US" w:eastAsia="zh-CN"/>
        </w:rPr>
        <w:t>新建垃圾预处理线、垃圾烘干系统、垃圾热分解焚烧系统、再生可燃气体净化系统、烟气净化处理系统、烟气实时在线监测系统、渗滤液处理系统、各条生产线的厂房及办公室、生活区、电力配电室、数字化控制室、炭基肥和碳棒生产系统和再生气发电系统。</w:t>
      </w:r>
      <w:r>
        <w:rPr>
          <w:rFonts w:hint="default" w:ascii="Times New Roman" w:hAnsi="Times New Roman" w:cs="Times New Roman"/>
          <w:b/>
          <w:bCs/>
          <w:color w:val="auto"/>
          <w:highlight w:val="none"/>
          <w:lang w:val="en-US" w:eastAsia="zh-CN"/>
        </w:rPr>
        <w:t>本项目租赁周边厂房作为办公室、生活区，炭基肥生产系统由建设单位单位后期建设，不在本报告评价范围中。</w:t>
      </w:r>
    </w:p>
    <w:p w14:paraId="7DD7DF38">
      <w:pPr>
        <w:pStyle w:val="14"/>
        <w:ind w:firstLine="482"/>
        <w:rPr>
          <w:rFonts w:hint="default" w:ascii="Times New Roman" w:hAnsi="Times New Roman" w:eastAsia="宋体" w:cs="Times New Roman"/>
          <w:color w:val="auto"/>
          <w:kern w:val="0"/>
          <w:highlight w:val="none"/>
          <w:lang w:val="en-US" w:eastAsia="zh-CN"/>
        </w:rPr>
      </w:pPr>
      <w:r>
        <w:rPr>
          <w:rFonts w:hint="default" w:ascii="Times New Roman" w:hAnsi="Times New Roman" w:eastAsia="宋体" w:cs="Times New Roman"/>
          <w:color w:val="auto"/>
          <w:kern w:val="0"/>
          <w:highlight w:val="none"/>
          <w:lang w:val="en-US" w:eastAsia="zh-CN"/>
        </w:rPr>
        <w:t>项目总投资</w:t>
      </w:r>
      <w:r>
        <w:rPr>
          <w:rFonts w:hint="eastAsia" w:eastAsia="宋体" w:cs="Times New Roman"/>
          <w:color w:val="auto"/>
          <w:kern w:val="0"/>
          <w:highlight w:val="none"/>
          <w:lang w:val="en-US" w:eastAsia="zh-CN"/>
        </w:rPr>
        <w:t>68</w:t>
      </w:r>
      <w:r>
        <w:rPr>
          <w:rFonts w:hint="default" w:ascii="Times New Roman" w:hAnsi="Times New Roman" w:eastAsia="宋体" w:cs="Times New Roman"/>
          <w:color w:val="auto"/>
          <w:kern w:val="0"/>
          <w:highlight w:val="none"/>
          <w:lang w:val="en-US" w:eastAsia="zh-CN"/>
        </w:rPr>
        <w:t>00万元，环保投资200万元，占总投资的1.79％。</w:t>
      </w:r>
    </w:p>
    <w:p w14:paraId="1C0C4500">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产业政策相符性</w:t>
      </w:r>
    </w:p>
    <w:p w14:paraId="0781BBB9">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根据《国民经济行业分类（GB/T4754-2017）》，本项目属于固体废物治理。根据国家发展和改革委员会令第 7号《产业结构调整指导目录（2024 年本）》，本项目属于鼓励类中的“第四十二、环境保护与资源节约综合利用”—“3、城镇垃圾、农村生活垃圾、城镇生活污水、农村生活污水、污泥及其他固体废弃物减量化、资源化、无害化处理和综合利用工程”。</w:t>
      </w:r>
    </w:p>
    <w:p w14:paraId="7EFEABC8">
      <w:pPr>
        <w:keepNext w:val="0"/>
        <w:keepLines w:val="0"/>
        <w:widowControl/>
        <w:suppressLineNumbers w:val="0"/>
        <w:ind w:firstLine="480" w:firstLineChars="200"/>
        <w:jc w:val="left"/>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highlight w:val="none"/>
          <w:lang w:val="en-US" w:eastAsia="zh-CN" w:bidi="ar"/>
        </w:rPr>
        <w:t>本项目已于2024年5月13日在剑阁县发展和改革局进行备案，备案号为：川投资备【2405-510823-04-01-995835】FGQB-0070号 。四川胜宏环保科技有限公司</w:t>
      </w:r>
      <w:r>
        <w:rPr>
          <w:rFonts w:hint="default" w:ascii="Times New Roman" w:hAnsi="Times New Roman" w:cs="Times New Roman"/>
          <w:color w:val="auto"/>
          <w:sz w:val="24"/>
          <w:highlight w:val="none"/>
          <w:lang w:val="en-US" w:eastAsia="zh-CN"/>
        </w:rPr>
        <w:t>与剑阁县综合行政执法局于2024年5月11日签订了《剑阁县城乡生活垃圾无害化处理设施建设项目投资建设及特许经营协议》，协议规定特许经营权范围为剑阁县境内全部生活垃圾的无害化处理权。</w:t>
      </w:r>
    </w:p>
    <w:p w14:paraId="4725658C">
      <w:pPr>
        <w:pStyle w:val="14"/>
        <w:ind w:firstLine="480"/>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因此，本项目建设符合国家产业政策的要求。</w:t>
      </w:r>
    </w:p>
    <w:p w14:paraId="36F54770">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规划选址</w:t>
      </w:r>
      <w:r>
        <w:rPr>
          <w:rFonts w:hint="default" w:ascii="Times New Roman" w:hAnsi="Times New Roman" w:cs="Times New Roman"/>
          <w:color w:val="auto"/>
          <w:highlight w:val="none"/>
        </w:rPr>
        <w:t>合理性</w:t>
      </w:r>
    </w:p>
    <w:p w14:paraId="157A4D4B">
      <w:pPr>
        <w:spacing w:line="360" w:lineRule="auto"/>
        <w:ind w:firstLine="480" w:firstLineChars="200"/>
        <w:rPr>
          <w:rFonts w:hint="default" w:ascii="Times New Roman" w:hAnsi="Times New Roman" w:eastAsia="宋体" w:cs="Times New Roman"/>
          <w:b w:val="0"/>
          <w:bCs w:val="0"/>
          <w:color w:val="auto"/>
          <w:sz w:val="24"/>
          <w:highlight w:val="none"/>
        </w:rPr>
      </w:pPr>
      <w:r>
        <w:rPr>
          <w:rFonts w:hint="default" w:ascii="Times New Roman" w:hAnsi="Times New Roman" w:eastAsia="宋体" w:cs="Times New Roman"/>
          <w:color w:val="auto"/>
          <w:kern w:val="0"/>
          <w:sz w:val="24"/>
          <w:szCs w:val="24"/>
          <w:highlight w:val="none"/>
          <w:lang w:val="en-US" w:eastAsia="zh-CN" w:bidi="ar"/>
        </w:rPr>
        <w:t>本项目位于剑阁县普安镇剑坪村一组，剑阁县普安镇垃圾填埋场</w:t>
      </w:r>
      <w:r>
        <w:rPr>
          <w:rFonts w:hint="eastAsia" w:ascii="Times New Roman" w:hAnsi="Times New Roman" w:eastAsia="宋体" w:cs="Times New Roman"/>
          <w:color w:val="auto"/>
          <w:kern w:val="0"/>
          <w:sz w:val="24"/>
          <w:szCs w:val="24"/>
          <w:highlight w:val="none"/>
          <w:lang w:val="en-US" w:eastAsia="zh-CN" w:bidi="ar"/>
        </w:rPr>
        <w:t>南</w:t>
      </w:r>
      <w:r>
        <w:rPr>
          <w:rFonts w:hint="default" w:ascii="Times New Roman" w:hAnsi="Times New Roman" w:eastAsia="宋体" w:cs="Times New Roman"/>
          <w:color w:val="auto"/>
          <w:kern w:val="0"/>
          <w:sz w:val="24"/>
          <w:szCs w:val="24"/>
          <w:highlight w:val="none"/>
          <w:lang w:val="en-US" w:eastAsia="zh-CN" w:bidi="ar"/>
        </w:rPr>
        <w:t>侧。根据</w:t>
      </w:r>
      <w:r>
        <w:rPr>
          <w:rFonts w:hint="default" w:ascii="Times New Roman" w:hAnsi="Times New Roman" w:cs="Times New Roman"/>
          <w:color w:val="auto"/>
          <w:kern w:val="0"/>
          <w:sz w:val="24"/>
          <w:szCs w:val="24"/>
          <w:highlight w:val="none"/>
          <w:lang w:val="en-US" w:eastAsia="zh-CN" w:bidi="ar"/>
        </w:rPr>
        <w:t>《剑阁县普安镇（含城北）控制性详细规划》及相关规范要求，剑阁县自然资源局对本项目出具了</w:t>
      </w:r>
      <w:r>
        <w:rPr>
          <w:rFonts w:hint="default" w:ascii="Times New Roman" w:hAnsi="Times New Roman" w:eastAsia="宋体" w:cs="Times New Roman"/>
          <w:color w:val="auto"/>
          <w:kern w:val="0"/>
          <w:sz w:val="24"/>
          <w:szCs w:val="24"/>
          <w:highlight w:val="none"/>
          <w:lang w:val="en-US" w:eastAsia="zh-CN" w:bidi="ar"/>
        </w:rPr>
        <w:t>《剑阁县规划设计条件通知书》（剑资源规字（2023）86号）和《普安镇原垃圾处理厂拟建用地红线图》（剑资源规字（2023）86号），明确拟建地块规划建</w:t>
      </w:r>
      <w:r>
        <w:rPr>
          <w:rFonts w:hint="default" w:ascii="Times New Roman" w:hAnsi="Times New Roman" w:eastAsia="宋体" w:cs="Times New Roman"/>
          <w:b w:val="0"/>
          <w:bCs w:val="0"/>
          <w:color w:val="auto"/>
          <w:kern w:val="0"/>
          <w:sz w:val="24"/>
          <w:szCs w:val="24"/>
          <w:highlight w:val="none"/>
          <w:lang w:val="en-US" w:eastAsia="zh-CN" w:bidi="ar"/>
        </w:rPr>
        <w:t>设用地9958.17平方米，用地性质为环卫用地。本项目用地已于2024年7月2日取得剑阁县自然资源局颁发的不动产权证，用途为公用设施用地，面积为9958.17m</w:t>
      </w:r>
      <w:r>
        <w:rPr>
          <w:rFonts w:hint="default" w:ascii="Times New Roman" w:hAnsi="Times New Roman" w:eastAsia="宋体" w:cs="Times New Roman"/>
          <w:b w:val="0"/>
          <w:bCs w:val="0"/>
          <w:color w:val="auto"/>
          <w:kern w:val="0"/>
          <w:sz w:val="24"/>
          <w:szCs w:val="24"/>
          <w:highlight w:val="none"/>
          <w:vertAlign w:val="superscript"/>
          <w:lang w:val="en-US" w:eastAsia="zh-CN" w:bidi="ar"/>
        </w:rPr>
        <w:t>2</w:t>
      </w:r>
      <w:r>
        <w:rPr>
          <w:rFonts w:hint="default" w:ascii="Times New Roman" w:hAnsi="Times New Roman" w:eastAsia="宋体" w:cs="Times New Roman"/>
          <w:b w:val="0"/>
          <w:bCs w:val="0"/>
          <w:color w:val="auto"/>
          <w:kern w:val="0"/>
          <w:sz w:val="24"/>
          <w:szCs w:val="24"/>
          <w:highlight w:val="none"/>
          <w:lang w:val="en-US" w:eastAsia="zh-CN" w:bidi="ar"/>
        </w:rPr>
        <w:t>。</w:t>
      </w:r>
      <w:r>
        <w:rPr>
          <w:rFonts w:hint="default" w:ascii="Times New Roman" w:hAnsi="Times New Roman" w:eastAsia="宋体" w:cs="Times New Roman"/>
          <w:b w:val="0"/>
          <w:bCs w:val="0"/>
          <w:color w:val="auto"/>
          <w:sz w:val="24"/>
          <w:highlight w:val="none"/>
          <w:lang w:val="en-US" w:eastAsia="zh-CN"/>
        </w:rPr>
        <w:t>本</w:t>
      </w:r>
      <w:r>
        <w:rPr>
          <w:rFonts w:hint="default" w:ascii="Times New Roman" w:hAnsi="Times New Roman" w:eastAsia="宋体" w:cs="Times New Roman"/>
          <w:b w:val="0"/>
          <w:bCs w:val="0"/>
          <w:color w:val="auto"/>
          <w:sz w:val="24"/>
          <w:highlight w:val="none"/>
        </w:rPr>
        <w:t>项目</w:t>
      </w:r>
      <w:r>
        <w:rPr>
          <w:rFonts w:hint="default" w:ascii="Times New Roman" w:hAnsi="Times New Roman" w:eastAsia="宋体" w:cs="Times New Roman"/>
          <w:b w:val="0"/>
          <w:bCs w:val="0"/>
          <w:color w:val="auto"/>
          <w:sz w:val="24"/>
          <w:highlight w:val="none"/>
          <w:lang w:val="en-US" w:eastAsia="zh-CN"/>
        </w:rPr>
        <w:t>建设</w:t>
      </w:r>
      <w:r>
        <w:rPr>
          <w:rFonts w:hint="default" w:ascii="Times New Roman" w:hAnsi="Times New Roman" w:eastAsia="宋体" w:cs="Times New Roman"/>
          <w:b w:val="0"/>
          <w:bCs w:val="0"/>
          <w:color w:val="auto"/>
          <w:sz w:val="24"/>
          <w:highlight w:val="none"/>
          <w:lang w:eastAsia="zh-CN"/>
        </w:rPr>
        <w:t>符合剑阁县普安镇相关规划</w:t>
      </w:r>
      <w:r>
        <w:rPr>
          <w:rFonts w:hint="default" w:ascii="Times New Roman" w:hAnsi="Times New Roman" w:eastAsia="宋体" w:cs="Times New Roman"/>
          <w:b w:val="0"/>
          <w:bCs w:val="0"/>
          <w:color w:val="auto"/>
          <w:sz w:val="24"/>
          <w:highlight w:val="none"/>
        </w:rPr>
        <w:t>。</w:t>
      </w:r>
    </w:p>
    <w:p w14:paraId="40286C55">
      <w:pPr>
        <w:keepNext w:val="0"/>
        <w:keepLines w:val="0"/>
        <w:widowControl/>
        <w:suppressLineNumbers w:val="0"/>
        <w:ind w:firstLine="480" w:firstLineChars="200"/>
        <w:jc w:val="left"/>
        <w:rPr>
          <w:rFonts w:hint="default" w:ascii="Times New Roman" w:hAnsi="Times New Roman" w:eastAsia="宋体" w:cs="Times New Roman"/>
          <w:color w:val="auto"/>
          <w:kern w:val="0"/>
          <w:sz w:val="24"/>
          <w:szCs w:val="24"/>
          <w:highlight w:val="none"/>
          <w:lang w:val="en-US" w:eastAsia="zh-CN" w:bidi="ar"/>
        </w:rPr>
      </w:pPr>
      <w:r>
        <w:rPr>
          <w:rFonts w:hint="default" w:ascii="Times New Roman" w:hAnsi="Times New Roman" w:eastAsia="宋体" w:cs="Times New Roman"/>
          <w:color w:val="auto"/>
          <w:kern w:val="0"/>
          <w:sz w:val="24"/>
          <w:szCs w:val="24"/>
          <w:highlight w:val="none"/>
          <w:lang w:val="en-US" w:eastAsia="zh-CN" w:bidi="ar"/>
        </w:rPr>
        <w:t>项目区交通便利，水、电供应均有保证，基本能够满足本项目生产及生活需要。项目用地符合《剑阁县普安镇（含城北）控制性详细规划》，项目选址不在生态红线范围内，满足广元市生态环境分区管控要求，卫生防护距离范围内无居民区、文教、医院、医药食品企业等敏感目标。因此，只要建设单位在严格按照环评提出的污染防治措施实施厂区生产管理的条件下，对环境影响较小。</w:t>
      </w:r>
    </w:p>
    <w:p w14:paraId="78D7B228">
      <w:pPr>
        <w:keepNext w:val="0"/>
        <w:keepLines w:val="0"/>
        <w:widowControl/>
        <w:suppressLineNumbers w:val="0"/>
        <w:ind w:firstLine="480" w:firstLineChars="200"/>
        <w:jc w:val="left"/>
        <w:rPr>
          <w:rFonts w:hint="default" w:ascii="Times New Roman" w:hAnsi="Times New Roman" w:cs="Times New Roman"/>
          <w:b/>
          <w:bCs/>
          <w:color w:val="auto"/>
          <w:highlight w:val="none"/>
        </w:rPr>
      </w:pPr>
      <w:r>
        <w:rPr>
          <w:rFonts w:hint="default" w:ascii="Times New Roman" w:hAnsi="Times New Roman" w:eastAsia="宋体" w:cs="Times New Roman"/>
          <w:b/>
          <w:bCs/>
          <w:color w:val="auto"/>
          <w:kern w:val="0"/>
          <w:sz w:val="24"/>
          <w:szCs w:val="24"/>
          <w:highlight w:val="none"/>
          <w:lang w:val="en-US" w:eastAsia="zh-CN" w:bidi="ar"/>
        </w:rPr>
        <w:t>综上，评价认为本项目建设符合当地规划，选址合理。</w:t>
      </w:r>
    </w:p>
    <w:p w14:paraId="5295E553">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环境质量现状</w:t>
      </w:r>
    </w:p>
    <w:p w14:paraId="5DA33890">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环境空气现状</w:t>
      </w:r>
    </w:p>
    <w:p w14:paraId="0B2F80C7">
      <w:pPr>
        <w:pStyle w:val="14"/>
        <w:ind w:firstLine="482"/>
        <w:rPr>
          <w:rFonts w:hint="default" w:ascii="Times New Roman" w:hAnsi="Times New Roman" w:cs="Times New Roman"/>
          <w:color w:val="auto"/>
          <w:highlight w:val="none"/>
        </w:rPr>
      </w:pPr>
      <w:r>
        <w:rPr>
          <w:rFonts w:hint="default" w:ascii="Times New Roman" w:hAnsi="Times New Roman" w:cs="Times New Roman"/>
          <w:b/>
          <w:color w:val="auto"/>
          <w:highlight w:val="none"/>
        </w:rPr>
        <w:t>区域达标性判定</w:t>
      </w:r>
      <w:r>
        <w:rPr>
          <w:rFonts w:hint="default" w:ascii="Times New Roman" w:hAnsi="Times New Roman" w:cs="Times New Roman"/>
          <w:color w:val="auto"/>
          <w:highlight w:val="none"/>
        </w:rPr>
        <w:t>：根据</w:t>
      </w:r>
      <w:r>
        <w:rPr>
          <w:rFonts w:hint="default" w:ascii="Times New Roman" w:hAnsi="Times New Roman" w:cs="Times New Roman"/>
          <w:color w:val="auto"/>
          <w:sz w:val="24"/>
          <w:szCs w:val="24"/>
          <w:highlight w:val="none"/>
          <w:lang w:eastAsia="zh-CN"/>
        </w:rPr>
        <w:t>剑阁生态环境局发布</w:t>
      </w:r>
      <w:r>
        <w:rPr>
          <w:rFonts w:hint="default" w:ascii="Times New Roman" w:hAnsi="Times New Roman" w:cs="Times New Roman"/>
          <w:color w:val="auto"/>
          <w:sz w:val="24"/>
          <w:szCs w:val="24"/>
          <w:highlight w:val="none"/>
        </w:rPr>
        <w:t>的《剑阁县202</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年生态环境质量报告》</w:t>
      </w:r>
      <w:r>
        <w:rPr>
          <w:rFonts w:hint="default" w:ascii="Times New Roman" w:hAnsi="Times New Roman" w:cs="Times New Roman"/>
          <w:color w:val="auto"/>
          <w:highlight w:val="none"/>
        </w:rPr>
        <w:t>，</w:t>
      </w:r>
      <w:r>
        <w:rPr>
          <w:rFonts w:hint="default" w:ascii="Times New Roman" w:hAnsi="Times New Roman" w:eastAsia="宋体" w:cs="Times New Roman"/>
          <w:color w:val="auto"/>
          <w:kern w:val="0"/>
          <w:sz w:val="24"/>
          <w:szCs w:val="24"/>
          <w:highlight w:val="none"/>
          <w:lang w:val="en-US" w:eastAsia="zh-CN" w:bidi="ar"/>
        </w:rPr>
        <w:t>项目所在区域 202</w:t>
      </w:r>
      <w:r>
        <w:rPr>
          <w:rFonts w:hint="eastAsia" w:eastAsia="宋体" w:cs="Times New Roman"/>
          <w:color w:val="auto"/>
          <w:kern w:val="0"/>
          <w:sz w:val="24"/>
          <w:szCs w:val="24"/>
          <w:highlight w:val="none"/>
          <w:lang w:val="en-US" w:eastAsia="zh-CN" w:bidi="ar"/>
        </w:rPr>
        <w:t>3</w:t>
      </w:r>
      <w:r>
        <w:rPr>
          <w:rFonts w:hint="default" w:ascii="Times New Roman" w:hAnsi="Times New Roman" w:eastAsia="宋体" w:cs="Times New Roman"/>
          <w:color w:val="auto"/>
          <w:kern w:val="0"/>
          <w:sz w:val="24"/>
          <w:szCs w:val="24"/>
          <w:highlight w:val="none"/>
          <w:lang w:val="en-US" w:eastAsia="zh-CN" w:bidi="ar"/>
        </w:rPr>
        <w:t>年SO</w:t>
      </w:r>
      <w:r>
        <w:rPr>
          <w:rFonts w:hint="default" w:ascii="Times New Roman" w:hAnsi="Times New Roman" w:eastAsia="宋体" w:cs="Times New Roman"/>
          <w:color w:val="auto"/>
          <w:kern w:val="0"/>
          <w:sz w:val="15"/>
          <w:szCs w:val="15"/>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、NO</w:t>
      </w:r>
      <w:r>
        <w:rPr>
          <w:rFonts w:hint="default" w:ascii="Times New Roman" w:hAnsi="Times New Roman" w:eastAsia="宋体" w:cs="Times New Roman"/>
          <w:color w:val="auto"/>
          <w:kern w:val="0"/>
          <w:sz w:val="15"/>
          <w:szCs w:val="15"/>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、PM</w:t>
      </w:r>
      <w:r>
        <w:rPr>
          <w:rFonts w:hint="default" w:ascii="Times New Roman" w:hAnsi="Times New Roman" w:eastAsia="宋体" w:cs="Times New Roman"/>
          <w:color w:val="auto"/>
          <w:kern w:val="0"/>
          <w:sz w:val="15"/>
          <w:szCs w:val="15"/>
          <w:highlight w:val="none"/>
          <w:lang w:val="en-US" w:eastAsia="zh-CN" w:bidi="ar"/>
        </w:rPr>
        <w:t>2.5</w:t>
      </w:r>
      <w:r>
        <w:rPr>
          <w:rFonts w:hint="default" w:ascii="Times New Roman" w:hAnsi="Times New Roman" w:eastAsia="宋体" w:cs="Times New Roman"/>
          <w:color w:val="auto"/>
          <w:kern w:val="0"/>
          <w:sz w:val="24"/>
          <w:szCs w:val="24"/>
          <w:highlight w:val="none"/>
          <w:lang w:val="en-US" w:eastAsia="zh-CN" w:bidi="ar"/>
        </w:rPr>
        <w:t>、PM</w:t>
      </w:r>
      <w:r>
        <w:rPr>
          <w:rFonts w:hint="default" w:ascii="Times New Roman" w:hAnsi="Times New Roman" w:eastAsia="宋体" w:cs="Times New Roman"/>
          <w:color w:val="auto"/>
          <w:kern w:val="0"/>
          <w:sz w:val="15"/>
          <w:szCs w:val="15"/>
          <w:highlight w:val="none"/>
          <w:lang w:val="en-US" w:eastAsia="zh-CN" w:bidi="ar"/>
        </w:rPr>
        <w:t xml:space="preserve">10 </w:t>
      </w:r>
      <w:r>
        <w:rPr>
          <w:rFonts w:hint="default" w:ascii="Times New Roman" w:hAnsi="Times New Roman" w:eastAsia="宋体" w:cs="Times New Roman"/>
          <w:color w:val="auto"/>
          <w:kern w:val="0"/>
          <w:sz w:val="24"/>
          <w:szCs w:val="24"/>
          <w:highlight w:val="none"/>
          <w:lang w:val="en-US" w:eastAsia="zh-CN" w:bidi="ar"/>
        </w:rPr>
        <w:t>年平均浓度，CO第95百分位</w:t>
      </w:r>
      <w:r>
        <w:rPr>
          <w:rFonts w:hint="eastAsia" w:eastAsia="宋体" w:cs="Times New Roman"/>
          <w:color w:val="auto"/>
          <w:kern w:val="0"/>
          <w:sz w:val="24"/>
          <w:szCs w:val="24"/>
          <w:highlight w:val="none"/>
          <w:lang w:val="en-US" w:eastAsia="zh-CN" w:bidi="ar"/>
        </w:rPr>
        <w:t>数日均</w:t>
      </w:r>
      <w:r>
        <w:rPr>
          <w:rFonts w:hint="default" w:ascii="Times New Roman" w:hAnsi="Times New Roman" w:eastAsia="宋体" w:cs="Times New Roman"/>
          <w:color w:val="auto"/>
          <w:kern w:val="0"/>
          <w:sz w:val="24"/>
          <w:szCs w:val="24"/>
          <w:highlight w:val="none"/>
          <w:lang w:val="en-US" w:eastAsia="zh-CN" w:bidi="ar"/>
        </w:rPr>
        <w:t>浓度、O</w:t>
      </w:r>
      <w:r>
        <w:rPr>
          <w:rFonts w:hint="default" w:ascii="Times New Roman" w:hAnsi="Times New Roman" w:eastAsia="宋体" w:cs="Times New Roman"/>
          <w:color w:val="auto"/>
          <w:kern w:val="0"/>
          <w:sz w:val="15"/>
          <w:szCs w:val="15"/>
          <w:highlight w:val="none"/>
          <w:lang w:val="en-US" w:eastAsia="zh-CN" w:bidi="ar"/>
        </w:rPr>
        <w:t xml:space="preserve">3 </w:t>
      </w:r>
      <w:r>
        <w:rPr>
          <w:rFonts w:hint="default" w:ascii="Times New Roman" w:hAnsi="Times New Roman" w:eastAsia="宋体" w:cs="Times New Roman"/>
          <w:color w:val="auto"/>
          <w:kern w:val="0"/>
          <w:sz w:val="24"/>
          <w:szCs w:val="24"/>
          <w:highlight w:val="none"/>
          <w:lang w:val="en-US" w:eastAsia="zh-CN" w:bidi="ar"/>
        </w:rPr>
        <w:t>第90百分位</w:t>
      </w:r>
      <w:r>
        <w:rPr>
          <w:rFonts w:hint="eastAsia" w:eastAsia="宋体" w:cs="Times New Roman"/>
          <w:color w:val="auto"/>
          <w:kern w:val="0"/>
          <w:sz w:val="24"/>
          <w:szCs w:val="24"/>
          <w:highlight w:val="none"/>
          <w:lang w:val="en-US" w:eastAsia="zh-CN" w:bidi="ar"/>
        </w:rPr>
        <w:t>数</w:t>
      </w:r>
      <w:r>
        <w:rPr>
          <w:rFonts w:hint="default" w:ascii="Times New Roman" w:hAnsi="Times New Roman" w:eastAsia="宋体" w:cs="Times New Roman"/>
          <w:color w:val="auto"/>
          <w:kern w:val="0"/>
          <w:sz w:val="24"/>
          <w:szCs w:val="24"/>
          <w:highlight w:val="none"/>
          <w:lang w:val="en-US" w:eastAsia="zh-CN" w:bidi="ar"/>
        </w:rPr>
        <w:t>日最大8</w:t>
      </w:r>
      <w:r>
        <w:rPr>
          <w:rFonts w:hint="eastAsia" w:eastAsia="宋体" w:cs="Times New Roman"/>
          <w:color w:val="auto"/>
          <w:kern w:val="0"/>
          <w:sz w:val="24"/>
          <w:szCs w:val="24"/>
          <w:highlight w:val="none"/>
          <w:lang w:val="en-US" w:eastAsia="zh-CN" w:bidi="ar"/>
        </w:rPr>
        <w:t>h值浓度均达到</w:t>
      </w:r>
      <w:r>
        <w:rPr>
          <w:rFonts w:hint="default" w:ascii="Times New Roman" w:hAnsi="Times New Roman" w:eastAsia="宋体" w:cs="Times New Roman"/>
          <w:color w:val="auto"/>
          <w:kern w:val="0"/>
          <w:sz w:val="24"/>
          <w:szCs w:val="24"/>
          <w:highlight w:val="none"/>
          <w:lang w:val="en-US" w:eastAsia="zh-CN" w:bidi="ar"/>
        </w:rPr>
        <w:t>《环境空气质量标准》（GB3095-2012）</w:t>
      </w:r>
      <w:r>
        <w:rPr>
          <w:rFonts w:hint="eastAsia" w:eastAsia="宋体" w:cs="Times New Roman"/>
          <w:color w:val="auto"/>
          <w:kern w:val="0"/>
          <w:sz w:val="24"/>
          <w:szCs w:val="24"/>
          <w:highlight w:val="none"/>
          <w:lang w:val="en-US" w:eastAsia="zh-CN" w:bidi="ar"/>
        </w:rPr>
        <w:t>相应的</w:t>
      </w:r>
      <w:r>
        <w:rPr>
          <w:rFonts w:hint="default" w:ascii="Times New Roman" w:hAnsi="Times New Roman" w:eastAsia="宋体" w:cs="Times New Roman"/>
          <w:color w:val="auto"/>
          <w:kern w:val="0"/>
          <w:sz w:val="24"/>
          <w:szCs w:val="24"/>
          <w:highlight w:val="none"/>
          <w:lang w:val="en-US" w:eastAsia="zh-CN" w:bidi="ar"/>
        </w:rPr>
        <w:t>二级标准。</w:t>
      </w:r>
      <w:r>
        <w:rPr>
          <w:rFonts w:hint="default" w:ascii="Times New Roman" w:hAnsi="Times New Roman" w:cs="Times New Roman"/>
          <w:color w:val="auto"/>
          <w:highlight w:val="none"/>
          <w:lang w:val="zh-CN"/>
        </w:rPr>
        <w:t>项目所在区域为达标区。</w:t>
      </w:r>
    </w:p>
    <w:p w14:paraId="5B375BF7">
      <w:pPr>
        <w:spacing w:line="360" w:lineRule="auto"/>
        <w:ind w:firstLine="480" w:firstLineChars="200"/>
        <w:rPr>
          <w:rFonts w:hint="default" w:ascii="Times New Roman" w:hAnsi="Times New Roman" w:cs="Times New Roman"/>
          <w:color w:val="auto"/>
          <w:sz w:val="24"/>
          <w:szCs w:val="24"/>
          <w:highlight w:val="none"/>
        </w:rPr>
      </w:pPr>
      <w:r>
        <w:rPr>
          <w:rFonts w:hint="eastAsia" w:ascii="Times New Roman" w:hAnsi="Times New Roman" w:cs="Times New Roman"/>
          <w:b/>
          <w:color w:val="auto"/>
          <w:sz w:val="24"/>
          <w:szCs w:val="24"/>
          <w:highlight w:val="none"/>
          <w:lang w:val="en-US" w:eastAsia="zh-CN"/>
        </w:rPr>
        <w:t>补充</w:t>
      </w:r>
      <w:r>
        <w:rPr>
          <w:rFonts w:hint="default" w:ascii="Times New Roman" w:hAnsi="Times New Roman" w:cs="Times New Roman"/>
          <w:b/>
          <w:color w:val="auto"/>
          <w:sz w:val="24"/>
          <w:szCs w:val="24"/>
          <w:highlight w:val="none"/>
        </w:rPr>
        <w:t>监测</w:t>
      </w:r>
      <w:r>
        <w:rPr>
          <w:rFonts w:hint="default" w:ascii="Times New Roman" w:hAnsi="Times New Roman" w:cs="Times New Roman"/>
          <w:color w:val="auto"/>
          <w:sz w:val="24"/>
          <w:szCs w:val="24"/>
          <w:highlight w:val="none"/>
        </w:rPr>
        <w:t>：</w:t>
      </w:r>
      <w:r>
        <w:rPr>
          <w:rFonts w:hint="default" w:ascii="Times New Roman" w:hAnsi="Times New Roman" w:cs="Times New Roman"/>
          <w:bCs/>
          <w:color w:val="auto"/>
          <w:sz w:val="24"/>
          <w:szCs w:val="24"/>
          <w:highlight w:val="none"/>
        </w:rPr>
        <w:t>项目所在区域</w:t>
      </w:r>
      <w:r>
        <w:rPr>
          <w:rFonts w:hint="default" w:ascii="Times New Roman" w:hAnsi="Times New Roman" w:eastAsia="宋体" w:cs="Times New Roman"/>
          <w:color w:val="auto"/>
          <w:kern w:val="0"/>
          <w:sz w:val="24"/>
          <w:szCs w:val="24"/>
          <w:highlight w:val="none"/>
          <w:lang w:val="en-US" w:eastAsia="zh-CN" w:bidi="ar"/>
        </w:rPr>
        <w:t>SO</w:t>
      </w:r>
      <w:r>
        <w:rPr>
          <w:rFonts w:hint="default" w:ascii="Times New Roman" w:hAnsi="Times New Roman" w:eastAsia="宋体" w:cs="Times New Roman"/>
          <w:color w:val="auto"/>
          <w:kern w:val="0"/>
          <w:sz w:val="16"/>
          <w:szCs w:val="16"/>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、NO</w:t>
      </w:r>
      <w:r>
        <w:rPr>
          <w:rFonts w:hint="default" w:ascii="Times New Roman" w:hAnsi="Times New Roman" w:eastAsia="宋体" w:cs="Times New Roman"/>
          <w:color w:val="auto"/>
          <w:kern w:val="0"/>
          <w:sz w:val="16"/>
          <w:szCs w:val="16"/>
          <w:highlight w:val="none"/>
          <w:lang w:val="en-US" w:eastAsia="zh-CN" w:bidi="ar"/>
        </w:rPr>
        <w:t>2</w:t>
      </w:r>
      <w:r>
        <w:rPr>
          <w:rFonts w:hint="default" w:ascii="Times New Roman" w:hAnsi="Times New Roman" w:eastAsia="宋体" w:cs="Times New Roman"/>
          <w:color w:val="auto"/>
          <w:kern w:val="0"/>
          <w:sz w:val="24"/>
          <w:szCs w:val="24"/>
          <w:highlight w:val="none"/>
          <w:lang w:val="en-US" w:eastAsia="zh-CN" w:bidi="ar"/>
        </w:rPr>
        <w:t>、PM</w:t>
      </w:r>
      <w:r>
        <w:rPr>
          <w:rFonts w:hint="default" w:ascii="Times New Roman" w:hAnsi="Times New Roman" w:eastAsia="宋体" w:cs="Times New Roman"/>
          <w:color w:val="auto"/>
          <w:kern w:val="0"/>
          <w:sz w:val="16"/>
          <w:szCs w:val="16"/>
          <w:highlight w:val="none"/>
          <w:lang w:val="en-US" w:eastAsia="zh-CN" w:bidi="ar"/>
        </w:rPr>
        <w:t>10</w:t>
      </w:r>
      <w:r>
        <w:rPr>
          <w:rFonts w:hint="default" w:ascii="Times New Roman" w:hAnsi="Times New Roman" w:eastAsia="宋体" w:cs="Times New Roman"/>
          <w:color w:val="auto"/>
          <w:kern w:val="0"/>
          <w:sz w:val="24"/>
          <w:szCs w:val="24"/>
          <w:highlight w:val="none"/>
          <w:lang w:val="en-US" w:eastAsia="zh-CN" w:bidi="ar"/>
        </w:rPr>
        <w:t>、PM</w:t>
      </w:r>
      <w:r>
        <w:rPr>
          <w:rFonts w:hint="default" w:ascii="Times New Roman" w:hAnsi="Times New Roman" w:eastAsia="宋体" w:cs="Times New Roman"/>
          <w:color w:val="auto"/>
          <w:kern w:val="0"/>
          <w:sz w:val="16"/>
          <w:szCs w:val="16"/>
          <w:highlight w:val="none"/>
          <w:lang w:val="en-US" w:eastAsia="zh-CN" w:bidi="ar"/>
        </w:rPr>
        <w:t>2.5</w:t>
      </w:r>
      <w:r>
        <w:rPr>
          <w:rFonts w:hint="default" w:ascii="Times New Roman" w:hAnsi="Times New Roman" w:eastAsia="宋体" w:cs="Times New Roman"/>
          <w:color w:val="auto"/>
          <w:kern w:val="0"/>
          <w:sz w:val="24"/>
          <w:szCs w:val="24"/>
          <w:highlight w:val="none"/>
          <w:lang w:val="en-US" w:eastAsia="zh-CN" w:bidi="ar"/>
        </w:rPr>
        <w:t>、CO、O</w:t>
      </w:r>
      <w:r>
        <w:rPr>
          <w:rFonts w:hint="default" w:ascii="Times New Roman" w:hAnsi="Times New Roman" w:eastAsia="宋体" w:cs="Times New Roman"/>
          <w:color w:val="auto"/>
          <w:kern w:val="0"/>
          <w:sz w:val="16"/>
          <w:szCs w:val="16"/>
          <w:highlight w:val="none"/>
          <w:lang w:val="en-US" w:eastAsia="zh-CN" w:bidi="ar"/>
        </w:rPr>
        <w:t xml:space="preserve">3 </w:t>
      </w:r>
      <w:r>
        <w:rPr>
          <w:rFonts w:hint="eastAsia" w:ascii="Times New Roman" w:hAnsi="Times New Roman" w:eastAsia="宋体" w:cs="Times New Roman"/>
          <w:color w:val="auto"/>
          <w:kern w:val="0"/>
          <w:sz w:val="24"/>
          <w:szCs w:val="24"/>
          <w:highlight w:val="none"/>
          <w:lang w:val="en-US" w:eastAsia="zh-CN" w:bidi="ar"/>
        </w:rPr>
        <w:t>、TSP、NOx、氟化物等指标在</w:t>
      </w:r>
      <w:r>
        <w:rPr>
          <w:rFonts w:hint="eastAsia" w:ascii="Times New Roman" w:hAnsi="Times New Roman" w:cs="Times New Roman"/>
          <w:bCs/>
          <w:color w:val="auto"/>
          <w:spacing w:val="-4"/>
          <w:sz w:val="24"/>
          <w:szCs w:val="24"/>
          <w:highlight w:val="none"/>
          <w:lang w:val="en-US" w:eastAsia="zh-CN"/>
        </w:rPr>
        <w:t>1#、2#监测点</w:t>
      </w:r>
      <w:r>
        <w:rPr>
          <w:rFonts w:hint="default" w:ascii="Times New Roman" w:hAnsi="Times New Roman" w:eastAsia="宋体" w:cs="Times New Roman"/>
          <w:color w:val="auto"/>
          <w:kern w:val="0"/>
          <w:sz w:val="24"/>
          <w:szCs w:val="24"/>
          <w:highlight w:val="none"/>
          <w:lang w:val="en-US" w:eastAsia="zh-CN" w:bidi="ar"/>
        </w:rPr>
        <w:t>均满足《环境空气质量标准》（GB3095-2012）</w:t>
      </w:r>
      <w:r>
        <w:rPr>
          <w:rFonts w:hint="eastAsia" w:ascii="Times New Roman" w:hAnsi="Times New Roman" w:eastAsia="宋体" w:cs="Times New Roman"/>
          <w:color w:val="auto"/>
          <w:kern w:val="0"/>
          <w:sz w:val="24"/>
          <w:szCs w:val="24"/>
          <w:highlight w:val="none"/>
          <w:lang w:val="en-US" w:eastAsia="zh-CN" w:bidi="ar"/>
        </w:rPr>
        <w:t>二级标准</w:t>
      </w:r>
      <w:r>
        <w:rPr>
          <w:rFonts w:hint="eastAsia" w:ascii="Times New Roman" w:hAnsi="Times New Roman" w:cs="Times New Roman"/>
          <w:bCs/>
          <w:color w:val="auto"/>
          <w:sz w:val="24"/>
          <w:szCs w:val="24"/>
          <w:highlight w:val="none"/>
          <w:lang w:eastAsia="zh-CN"/>
        </w:rPr>
        <w:t>，</w:t>
      </w:r>
      <w:r>
        <w:rPr>
          <w:rFonts w:hint="eastAsia" w:ascii="Times New Roman" w:hAnsi="Times New Roman" w:cs="Times New Roman"/>
          <w:bCs/>
          <w:color w:val="auto"/>
          <w:spacing w:val="-4"/>
          <w:sz w:val="24"/>
          <w:szCs w:val="24"/>
          <w:highlight w:val="none"/>
          <w:lang w:val="en-US" w:eastAsia="zh-CN"/>
        </w:rPr>
        <w:t>3#监测点满足</w:t>
      </w:r>
      <w:r>
        <w:rPr>
          <w:rFonts w:hint="default" w:ascii="Times New Roman" w:hAnsi="Times New Roman" w:eastAsia="宋体" w:cs="Times New Roman"/>
          <w:color w:val="auto"/>
          <w:kern w:val="0"/>
          <w:sz w:val="24"/>
          <w:szCs w:val="24"/>
          <w:highlight w:val="none"/>
          <w:lang w:val="en-US" w:eastAsia="zh-CN" w:bidi="ar"/>
        </w:rPr>
        <w:t>《环境空气质量标准》（GB3095-2012）一级标准；</w:t>
      </w:r>
      <w:r>
        <w:rPr>
          <w:rFonts w:hint="default" w:ascii="Times New Roman" w:hAnsi="Times New Roman" w:cs="Times New Roman"/>
          <w:color w:val="auto"/>
          <w:sz w:val="24"/>
          <w:szCs w:val="24"/>
          <w:highlight w:val="none"/>
          <w:lang w:bidi="ar"/>
        </w:rPr>
        <w:t>H</w:t>
      </w:r>
      <w:r>
        <w:rPr>
          <w:rFonts w:hint="default" w:ascii="Times New Roman" w:hAnsi="Times New Roman" w:cs="Times New Roman"/>
          <w:color w:val="auto"/>
          <w:sz w:val="24"/>
          <w:szCs w:val="24"/>
          <w:highlight w:val="none"/>
          <w:vertAlign w:val="subscript"/>
          <w:lang w:bidi="ar"/>
        </w:rPr>
        <w:t>2</w:t>
      </w:r>
      <w:r>
        <w:rPr>
          <w:rFonts w:hint="default" w:ascii="Times New Roman" w:hAnsi="Times New Roman" w:cs="Times New Roman"/>
          <w:color w:val="auto"/>
          <w:sz w:val="24"/>
          <w:szCs w:val="24"/>
          <w:highlight w:val="none"/>
          <w:lang w:bidi="ar"/>
        </w:rPr>
        <w:t>S、HCl、NH</w:t>
      </w:r>
      <w:r>
        <w:rPr>
          <w:rFonts w:hint="default" w:ascii="Times New Roman" w:hAnsi="Times New Roman" w:cs="Times New Roman"/>
          <w:color w:val="auto"/>
          <w:sz w:val="24"/>
          <w:szCs w:val="24"/>
          <w:highlight w:val="none"/>
          <w:vertAlign w:val="subscript"/>
          <w:lang w:bidi="ar"/>
        </w:rPr>
        <w:t>3</w:t>
      </w:r>
      <w:r>
        <w:rPr>
          <w:rFonts w:hint="default" w:ascii="Times New Roman" w:hAnsi="Times New Roman" w:cs="Times New Roman"/>
          <w:color w:val="auto"/>
          <w:sz w:val="24"/>
          <w:szCs w:val="24"/>
          <w:highlight w:val="none"/>
          <w:lang w:bidi="ar"/>
        </w:rPr>
        <w:t>、</w:t>
      </w:r>
      <w:r>
        <w:rPr>
          <w:rFonts w:hint="default" w:ascii="Times New Roman" w:hAnsi="Times New Roman" w:cs="Times New Roman"/>
          <w:color w:val="auto"/>
          <w:sz w:val="24"/>
          <w:szCs w:val="24"/>
          <w:highlight w:val="none"/>
          <w:lang w:val="en-US" w:eastAsia="zh-CN" w:bidi="ar"/>
        </w:rPr>
        <w:t>Mn及其化合物</w:t>
      </w:r>
      <w:r>
        <w:rPr>
          <w:rFonts w:hint="default" w:ascii="Times New Roman" w:hAnsi="Times New Roman" w:cs="Times New Roman"/>
          <w:color w:val="auto"/>
          <w:sz w:val="24"/>
          <w:szCs w:val="24"/>
          <w:highlight w:val="none"/>
          <w:lang w:eastAsia="zh-CN"/>
        </w:rPr>
        <w:t>满足</w:t>
      </w:r>
      <w:r>
        <w:rPr>
          <w:rFonts w:hint="default" w:ascii="Times New Roman" w:hAnsi="Times New Roman" w:cs="Times New Roman"/>
          <w:color w:val="auto"/>
          <w:sz w:val="24"/>
          <w:szCs w:val="24"/>
          <w:highlight w:val="none"/>
        </w:rPr>
        <w:t>《环境影响评价技术导则 大气环境》（HJ2.2-2018）中“附录D.1 其他污染物空气质量浓度参考限值”有关标准要求</w:t>
      </w:r>
      <w:r>
        <w:rPr>
          <w:rFonts w:hint="default" w:ascii="Times New Roman" w:hAnsi="Times New Roman" w:cs="Times New Roman"/>
          <w:color w:val="auto"/>
          <w:sz w:val="24"/>
          <w:szCs w:val="24"/>
          <w:highlight w:val="none"/>
          <w:lang w:eastAsia="zh-CN"/>
        </w:rPr>
        <w:t>；非甲烷总烃</w:t>
      </w:r>
      <w:r>
        <w:rPr>
          <w:rFonts w:hint="default" w:ascii="Times New Roman" w:hAnsi="Times New Roman" w:cs="Times New Roman"/>
          <w:bCs/>
          <w:color w:val="auto"/>
          <w:sz w:val="24"/>
          <w:szCs w:val="24"/>
          <w:highlight w:val="none"/>
          <w:lang w:eastAsia="zh-CN"/>
        </w:rPr>
        <w:t>满足</w:t>
      </w:r>
      <w:r>
        <w:rPr>
          <w:rFonts w:hint="default" w:ascii="Times New Roman" w:hAnsi="Times New Roman" w:cs="Times New Roman"/>
          <w:bCs/>
          <w:color w:val="auto"/>
          <w:sz w:val="24"/>
          <w:szCs w:val="24"/>
          <w:highlight w:val="none"/>
          <w:lang w:val="en-US" w:eastAsia="zh-CN"/>
        </w:rPr>
        <w:t>《大气污染物综合排放标准详解》中相关要求</w:t>
      </w:r>
      <w:r>
        <w:rPr>
          <w:rFonts w:hint="eastAsia" w:ascii="Times New Roman" w:hAnsi="Times New Roman" w:cs="Times New Roman"/>
          <w:bCs/>
          <w:color w:val="auto"/>
          <w:sz w:val="24"/>
          <w:szCs w:val="24"/>
          <w:highlight w:val="none"/>
          <w:lang w:val="en-US" w:eastAsia="zh-CN"/>
        </w:rPr>
        <w:t>；二噁英的日均值符合</w:t>
      </w:r>
      <w:r>
        <w:rPr>
          <w:rFonts w:hint="default" w:ascii="Times New Roman" w:hAnsi="Times New Roman" w:cs="Times New Roman"/>
          <w:color w:val="auto"/>
          <w:sz w:val="24"/>
          <w:szCs w:val="24"/>
          <w:highlight w:val="none"/>
          <w:lang w:bidi="ar"/>
        </w:rPr>
        <w:t>环发[2008]82 号文中规定（“二噁英参照日本年均浓度标准”3倍计”）</w:t>
      </w:r>
      <w:r>
        <w:rPr>
          <w:rFonts w:hint="default" w:ascii="Times New Roman" w:hAnsi="Times New Roman" w:cs="Times New Roman"/>
          <w:color w:val="auto"/>
          <w:sz w:val="24"/>
          <w:szCs w:val="24"/>
          <w:highlight w:val="none"/>
        </w:rPr>
        <w:t>。</w:t>
      </w:r>
    </w:p>
    <w:p w14:paraId="78D29A22">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地表水环境现状</w:t>
      </w:r>
    </w:p>
    <w:p w14:paraId="58739D26">
      <w:pPr>
        <w:pStyle w:val="14"/>
        <w:ind w:firstLine="482"/>
        <w:rPr>
          <w:rFonts w:hint="default" w:ascii="Times New Roman" w:hAnsi="Times New Roman" w:cs="Times New Roman"/>
          <w:color w:val="auto"/>
          <w:sz w:val="24"/>
          <w:highlight w:val="none"/>
          <w:lang w:val="en-US" w:eastAsia="zh-CN"/>
        </w:rPr>
      </w:pPr>
      <w:r>
        <w:rPr>
          <w:rFonts w:hint="eastAsia" w:ascii="Times New Roman" w:hAnsi="Times New Roman" w:cs="Times New Roman"/>
          <w:color w:val="auto"/>
          <w:sz w:val="24"/>
          <w:highlight w:val="none"/>
          <w:lang w:val="en-US" w:eastAsia="zh-CN"/>
        </w:rPr>
        <w:t>闻溪河各</w:t>
      </w:r>
      <w:r>
        <w:rPr>
          <w:rFonts w:hint="default" w:ascii="Times New Roman" w:hAnsi="Times New Roman" w:cs="Times New Roman"/>
          <w:color w:val="auto"/>
          <w:sz w:val="24"/>
          <w:highlight w:val="none"/>
          <w:lang w:val="en-US" w:eastAsia="zh-CN"/>
        </w:rPr>
        <w:t>监测断面监测指标均满足《地表水环境质量标准》（GB3838-2002）中Ⅲ类水域标准要求。</w:t>
      </w:r>
    </w:p>
    <w:p w14:paraId="6B7584B0">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地下水环境现状</w:t>
      </w:r>
    </w:p>
    <w:p w14:paraId="31C77305">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sz w:val="24"/>
          <w:szCs w:val="24"/>
          <w:highlight w:val="none"/>
          <w:lang w:val="en-US" w:eastAsia="zh-CN"/>
        </w:rPr>
        <w:t>各监测点位监测指标均满足</w:t>
      </w:r>
      <w:r>
        <w:rPr>
          <w:rFonts w:hint="default" w:ascii="Times New Roman" w:hAnsi="Times New Roman" w:cs="Times New Roman"/>
          <w:color w:val="auto"/>
          <w:sz w:val="24"/>
          <w:szCs w:val="24"/>
          <w:highlight w:val="none"/>
        </w:rPr>
        <w:t>《地下水质量标准》（GB/T14848-2017）III类标准</w:t>
      </w:r>
      <w:r>
        <w:rPr>
          <w:rFonts w:hint="eastAsia" w:cs="Times New Roman"/>
          <w:color w:val="auto"/>
          <w:sz w:val="24"/>
          <w:szCs w:val="24"/>
          <w:highlight w:val="none"/>
          <w:lang w:val="en-US" w:eastAsia="zh-CN"/>
        </w:rPr>
        <w:t>要求</w:t>
      </w:r>
      <w:r>
        <w:rPr>
          <w:rFonts w:hint="default" w:ascii="Times New Roman" w:hAnsi="Times New Roman" w:cs="Times New Roman"/>
          <w:color w:val="auto"/>
          <w:highlight w:val="none"/>
        </w:rPr>
        <w:t>。</w:t>
      </w:r>
    </w:p>
    <w:p w14:paraId="402A134D">
      <w:pPr>
        <w:pStyle w:val="5"/>
        <w:rPr>
          <w:rFonts w:hint="default" w:ascii="Times New Roman" w:hAnsi="Times New Roman" w:cs="Times New Roman"/>
          <w:color w:val="auto"/>
          <w:highlight w:val="none"/>
        </w:rPr>
      </w:pPr>
      <w:r>
        <w:rPr>
          <w:rFonts w:hint="default" w:ascii="Times New Roman" w:hAnsi="Times New Roman" w:cs="Times New Roman"/>
          <w:color w:val="auto"/>
          <w:highlight w:val="none"/>
        </w:rPr>
        <w:t>声环境现状</w:t>
      </w:r>
    </w:p>
    <w:p w14:paraId="4EE2FE02">
      <w:pPr>
        <w:pStyle w:val="14"/>
        <w:ind w:firstLine="480"/>
        <w:rPr>
          <w:rFonts w:hint="default" w:ascii="Times New Roman" w:hAnsi="Times New Roman" w:cs="Times New Roman"/>
          <w:color w:val="auto"/>
          <w:highlight w:val="none"/>
        </w:rPr>
      </w:pPr>
      <w:r>
        <w:rPr>
          <w:rFonts w:hint="default" w:ascii="Times New Roman" w:hAnsi="Times New Roman" w:cs="Times New Roman"/>
          <w:color w:val="auto"/>
          <w:sz w:val="24"/>
          <w:highlight w:val="none"/>
          <w:lang w:val="en-US" w:eastAsia="zh-CN"/>
        </w:rPr>
        <w:t>各监测点</w:t>
      </w:r>
      <w:r>
        <w:rPr>
          <w:rFonts w:hint="default" w:ascii="Times New Roman" w:hAnsi="Times New Roman" w:cs="Times New Roman"/>
          <w:color w:val="auto"/>
          <w:sz w:val="24"/>
          <w:szCs w:val="24"/>
          <w:highlight w:val="none"/>
        </w:rPr>
        <w:t>昼</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夜噪声均达到《声环境质量标准》（GB3096-2008）2类标准要求，项目所在地声环境质量状况良好</w:t>
      </w:r>
      <w:r>
        <w:rPr>
          <w:rFonts w:hint="default" w:ascii="Times New Roman" w:hAnsi="Times New Roman" w:cs="Times New Roman"/>
          <w:color w:val="auto"/>
          <w:highlight w:val="none"/>
        </w:rPr>
        <w:t>。</w:t>
      </w:r>
    </w:p>
    <w:p w14:paraId="34175204">
      <w:pPr>
        <w:pStyle w:val="5"/>
        <w:rPr>
          <w:rFonts w:hint="default" w:ascii="Times New Roman" w:hAnsi="Times New Roman" w:cs="Times New Roman"/>
          <w:color w:val="auto"/>
          <w:highlight w:val="none"/>
        </w:rPr>
      </w:pPr>
      <w:r>
        <w:rPr>
          <w:rFonts w:hint="eastAsia" w:ascii="Times New Roman" w:hAnsi="Times New Roman" w:cs="Times New Roman"/>
          <w:color w:val="auto"/>
          <w:highlight w:val="none"/>
          <w:lang w:val="en-US" w:eastAsia="zh-CN"/>
        </w:rPr>
        <w:t>土壤环境</w:t>
      </w:r>
      <w:r>
        <w:rPr>
          <w:rFonts w:hint="default" w:ascii="Times New Roman" w:hAnsi="Times New Roman" w:cs="Times New Roman"/>
          <w:color w:val="auto"/>
          <w:highlight w:val="none"/>
        </w:rPr>
        <w:t>现状</w:t>
      </w:r>
    </w:p>
    <w:p w14:paraId="49C2E788">
      <w:pPr>
        <w:pStyle w:val="14"/>
        <w:ind w:firstLine="480"/>
        <w:rPr>
          <w:rFonts w:hint="default" w:ascii="Times New Roman" w:hAnsi="Times New Roman" w:cs="Times New Roman"/>
          <w:color w:val="auto"/>
          <w:highlight w:val="none"/>
        </w:rPr>
      </w:pPr>
      <w:r>
        <w:rPr>
          <w:rFonts w:hint="eastAsia" w:ascii="Times New Roman" w:hAnsi="Times New Roman" w:cs="Times New Roman"/>
          <w:color w:val="auto"/>
          <w:sz w:val="24"/>
          <w:highlight w:val="none"/>
          <w:lang w:val="en-US" w:eastAsia="zh-CN"/>
        </w:rPr>
        <w:t>厂界内</w:t>
      </w:r>
      <w:r>
        <w:rPr>
          <w:rFonts w:hint="default" w:ascii="Times New Roman" w:hAnsi="Times New Roman" w:cs="Times New Roman"/>
          <w:color w:val="auto"/>
          <w:sz w:val="24"/>
          <w:highlight w:val="none"/>
          <w:lang w:val="en-US" w:eastAsia="zh-CN"/>
        </w:rPr>
        <w:t>土壤各监测指标满足《土壤环境质量  建设用地土壤污染风险管控标准（试行）》（GB36600-2018）和《四川省建设用地土壤污染风险管控标准》（DB51/2978-2023）第二类用地筛选值标准、</w:t>
      </w:r>
      <w:r>
        <w:rPr>
          <w:rFonts w:hint="eastAsia" w:ascii="Times New Roman" w:hAnsi="Times New Roman" w:cs="Times New Roman"/>
          <w:color w:val="auto"/>
          <w:sz w:val="24"/>
          <w:highlight w:val="none"/>
          <w:lang w:val="en-US" w:eastAsia="zh-CN"/>
        </w:rPr>
        <w:t>厂界外土壤</w:t>
      </w:r>
      <w:r>
        <w:rPr>
          <w:rFonts w:hint="default" w:ascii="Times New Roman" w:hAnsi="Times New Roman" w:cs="Times New Roman"/>
          <w:color w:val="auto"/>
          <w:sz w:val="24"/>
          <w:highlight w:val="none"/>
          <w:lang w:val="en-US" w:eastAsia="zh-CN"/>
        </w:rPr>
        <w:t>满足《土壤环境质量 农用地土壤污染风险管控标准（试行）》（GB15618-2018），土壤环境质量良好</w:t>
      </w:r>
      <w:r>
        <w:rPr>
          <w:rFonts w:hint="default" w:ascii="Times New Roman" w:hAnsi="Times New Roman" w:cs="Times New Roman"/>
          <w:color w:val="auto"/>
          <w:highlight w:val="none"/>
        </w:rPr>
        <w:t>。</w:t>
      </w:r>
    </w:p>
    <w:p w14:paraId="63656AEB">
      <w:pPr>
        <w:pStyle w:val="4"/>
        <w:keepNext/>
        <w:keepLines/>
        <w:pageBreakBefore w:val="0"/>
        <w:widowControl w:val="0"/>
        <w:kinsoku/>
        <w:wordWrap/>
        <w:overflowPunct/>
        <w:topLinePunct w:val="0"/>
        <w:autoSpaceDE/>
        <w:autoSpaceDN/>
        <w:bidi w:val="0"/>
        <w:adjustRightInd/>
        <w:snapToGrid/>
        <w:spacing w:before="93"/>
        <w:ind w:left="0" w:leftChars="0" w:firstLineChars="0"/>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环评结论</w:t>
      </w:r>
    </w:p>
    <w:p w14:paraId="7C83BB24">
      <w:pPr>
        <w:keepNext w:val="0"/>
        <w:keepLines w:val="0"/>
        <w:widowControl/>
        <w:suppressLineNumbers w:val="0"/>
        <w:ind w:firstLine="480" w:firstLineChars="200"/>
        <w:jc w:val="left"/>
        <w:rPr>
          <w:rFonts w:hint="default" w:ascii="Times New Roman" w:hAnsi="Times New Roman" w:cs="Times New Roman"/>
          <w:b/>
          <w:bCs/>
          <w:color w:val="auto"/>
          <w:highlight w:val="none"/>
        </w:rPr>
      </w:pPr>
      <w:r>
        <w:rPr>
          <w:rFonts w:hint="default" w:ascii="Times New Roman" w:hAnsi="Times New Roman" w:eastAsia="宋体" w:cs="Times New Roman"/>
          <w:b/>
          <w:bCs/>
          <w:color w:val="auto"/>
          <w:kern w:val="0"/>
          <w:sz w:val="24"/>
          <w:szCs w:val="24"/>
          <w:highlight w:val="none"/>
          <w:lang w:val="en-US" w:eastAsia="zh-CN" w:bidi="ar"/>
        </w:rPr>
        <w:t xml:space="preserve">本项目符合国家当前产业政策；选址符合当地总体规划要求，选址可行；具有明显的经济效益和环保效益；施工期污染物经采取相应措施后，对周围环境的影响可有效降低；营运期在确保污染治理设施正常运行的前提下，污染物能够做到达标排放，对周围环境影响较小。综上所述，建设单位认真落实环境影响报告书及工程设计所提出的各项污染防治措施、环境风险防范措施的前提下，从生态环境角度而言，项目在拟选址进行建设是可行的。 </w:t>
      </w:r>
    </w:p>
    <w:p w14:paraId="665F1F58">
      <w:pPr>
        <w:pStyle w:val="14"/>
        <w:numPr>
          <w:ilvl w:val="0"/>
          <w:numId w:val="0"/>
        </w:numPr>
        <w:ind w:leftChars="200"/>
        <w:rPr>
          <w:rFonts w:hint="default" w:ascii="Times New Roman" w:hAnsi="Times New Roman" w:cs="Times New Roman"/>
          <w:color w:val="auto"/>
          <w:highlight w:val="none"/>
        </w:rPr>
      </w:pPr>
    </w:p>
    <w:sectPr>
      <w:headerReference r:id="rId39"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0" w:num="1"/>
      <w:docGrid w:type="linesAndChar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Microsoft JhengHei Light">
    <w:panose1 w:val="020B0304030504040204"/>
    <w:charset w:val="88"/>
    <w:family w:val="swiss"/>
    <w:pitch w:val="default"/>
    <w:sig w:usb0="800002A7" w:usb1="28CF4400" w:usb2="00000016" w:usb3="00000000" w:csb0="00100009" w:csb1="00000000"/>
  </w:font>
  <w:font w:name="Constantia">
    <w:panose1 w:val="02030602050306030303"/>
    <w:charset w:val="00"/>
    <w:family w:val="roman"/>
    <w:pitch w:val="default"/>
    <w:sig w:usb0="A00002EF" w:usb1="4000204B"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TimesNewRoman">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经典叠圆体简">
    <w:altName w:val="宋体"/>
    <w:panose1 w:val="00000000000000000000"/>
    <w:charset w:val="86"/>
    <w:family w:val="modern"/>
    <w:pitch w:val="default"/>
    <w:sig w:usb0="00000000" w:usb1="00000000" w:usb2="0000001E" w:usb3="00000000" w:csb0="00040000" w:csb1="00000000"/>
  </w:font>
  <w:font w:name="隶书">
    <w:panose1 w:val="0201050906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宋">
    <w:altName w:val="宋体"/>
    <w:panose1 w:val="00000000000000000000"/>
    <w:charset w:val="00"/>
    <w:family w:val="auto"/>
    <w:pitch w:val="default"/>
    <w:sig w:usb0="00000000" w:usb1="00000000" w:usb2="00000000" w:usb3="00000000" w:csb0="00000000" w:csb1="00000000"/>
  </w:font>
  <w:font w:name="TimesNewRomanPSMT">
    <w:altName w:val="Times New Roman"/>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Helvetica">
    <w:panose1 w:val="020B0504020202030204"/>
    <w:charset w:val="00"/>
    <w:family w:val="roman"/>
    <w:pitch w:val="default"/>
    <w:sig w:usb0="00000007" w:usb1="00000000" w:usb2="00000000" w:usb3="00000000" w:csb0="00000093" w:csb1="00000000"/>
  </w:font>
  <w:font w:name="宋体_x0001_婠...">
    <w:altName w:val="宋体"/>
    <w:panose1 w:val="00000000000000000000"/>
    <w:charset w:val="86"/>
    <w:family w:val="roma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231810">
    <w:pPr>
      <w:pStyle w:val="21"/>
      <w:ind w:firstLine="36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ADE92C">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2FADE92C">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44F3A">
    <w:pPr>
      <w:pStyle w:val="2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DD8D0">
    <w:pPr>
      <w:pStyle w:val="21"/>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CD68F">
    <w:pPr>
      <w:pStyle w:val="21"/>
      <w:jc w:val="center"/>
      <w:rPr>
        <w:rFonts w:ascii="Times New Roman" w:hAnsi="Times New Roman" w:cs="Times New Roman"/>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0415EF">
                          <w:pPr>
                            <w:pStyle w:val="21"/>
                            <w:jc w:val="center"/>
                          </w:pPr>
                          <w:r>
                            <w:rPr>
                              <w:rFonts w:ascii="Times New Roman" w:hAnsi="Times New Roman" w:cs="Times New Roman"/>
                            </w:rPr>
                            <w:fldChar w:fldCharType="begin"/>
                          </w:r>
                          <w:r>
                            <w:rPr>
                              <w:rFonts w:ascii="Times New Roman" w:hAnsi="Times New Roman" w:cs="Times New Roman"/>
                            </w:rPr>
                            <w:instrText xml:space="preserve">PAGE   \* MERGEFORMAT</w:instrText>
                          </w:r>
                          <w:r>
                            <w:rPr>
                              <w:rFonts w:ascii="Times New Roman" w:hAnsi="Times New Roman" w:cs="Times New Roman"/>
                            </w:rPr>
                            <w:fldChar w:fldCharType="separate"/>
                          </w:r>
                          <w:r>
                            <w:rPr>
                              <w:rFonts w:ascii="Times New Roman" w:hAnsi="Times New Roman" w:cs="Times New Roman"/>
                              <w:lang w:val="zh-CN"/>
                            </w:rPr>
                            <w:t>V</w:t>
                          </w:r>
                          <w:r>
                            <w:rPr>
                              <w:rFonts w:ascii="Times New Roman" w:hAnsi="Times New Roman" w:cs="Times New Roma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E1eNAs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sTV40CwCAABXBAAADgAAAAAAAAABACAAAAAfAQAAZHJzL2Uyb0RvYy54bWxQSwUGAAAAAAYA&#10;BgBZAQAAvQUAAAAA&#10;">
              <v:fill on="f" focussize="0,0"/>
              <v:stroke on="f" weight="0.5pt"/>
              <v:imagedata o:title=""/>
              <o:lock v:ext="edit" aspectratio="f"/>
              <v:textbox inset="0mm,0mm,0mm,0mm" style="mso-fit-shape-to-text:t;">
                <w:txbxContent>
                  <w:p w14:paraId="070415EF">
                    <w:pPr>
                      <w:pStyle w:val="21"/>
                      <w:jc w:val="center"/>
                    </w:pPr>
                    <w:r>
                      <w:rPr>
                        <w:rFonts w:ascii="Times New Roman" w:hAnsi="Times New Roman" w:cs="Times New Roman"/>
                      </w:rPr>
                      <w:fldChar w:fldCharType="begin"/>
                    </w:r>
                    <w:r>
                      <w:rPr>
                        <w:rFonts w:ascii="Times New Roman" w:hAnsi="Times New Roman" w:cs="Times New Roman"/>
                      </w:rPr>
                      <w:instrText xml:space="preserve">PAGE   \* MERGEFORMAT</w:instrText>
                    </w:r>
                    <w:r>
                      <w:rPr>
                        <w:rFonts w:ascii="Times New Roman" w:hAnsi="Times New Roman" w:cs="Times New Roman"/>
                      </w:rPr>
                      <w:fldChar w:fldCharType="separate"/>
                    </w:r>
                    <w:r>
                      <w:rPr>
                        <w:rFonts w:ascii="Times New Roman" w:hAnsi="Times New Roman" w:cs="Times New Roman"/>
                        <w:lang w:val="zh-CN"/>
                      </w:rPr>
                      <w:t>V</w:t>
                    </w:r>
                    <w:r>
                      <w:rPr>
                        <w:rFonts w:ascii="Times New Roman" w:hAnsi="Times New Roman" w:cs="Times New Roma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18635">
    <w:pPr>
      <w:pStyle w:val="21"/>
      <w:jc w:val="center"/>
      <w:rPr>
        <w:rFonts w:ascii="Times New Roman" w:hAnsi="Times New Roman" w:cs="Times New Roma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C86686">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14:paraId="57C86686">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55910">
    <w:pPr>
      <w:pStyle w:val="14"/>
      <w:kinsoku w:val="0"/>
      <w:overflowPunct w:val="0"/>
      <w:spacing w:before="0" w:beforeLines="0" w:afterLines="0" w:line="14" w:lineRule="auto"/>
      <w:ind w:left="0"/>
      <w:rPr>
        <w:rFonts w:hint="default"/>
        <w:sz w:val="18"/>
        <w:szCs w:val="24"/>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7" name="文本框 1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D67C7C">
                          <w:pPr>
                            <w:pStyle w:val="21"/>
                            <w:bidi w:val="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yRFo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CskRaNAIAAGUEAAAOAAAAAAAAAAEAIAAAAB8BAABkcnMvZTJvRG9jLnhtbFBL&#10;BQYAAAAABgAGAFkBAADFBQAAAAA=&#10;">
              <v:fill on="f" focussize="0,0"/>
              <v:stroke on="f" weight="0.5pt"/>
              <v:imagedata o:title=""/>
              <o:lock v:ext="edit" aspectratio="f"/>
              <v:textbox inset="0mm,0mm,0mm,0mm" style="mso-fit-shape-to-text:t;">
                <w:txbxContent>
                  <w:p w14:paraId="5AD67C7C">
                    <w:pPr>
                      <w:pStyle w:val="21"/>
                      <w:bidi w:val="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9FA9DA">
    <w:pPr>
      <w:spacing w:after="49" w:line="88" w:lineRule="exact"/>
      <w:ind w:firstLine="31"/>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90CFDF">
                          <w:pPr>
                            <w:pStyle w:val="21"/>
                          </w:pPr>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6B90CFDF">
                    <w:pPr>
                      <w:pStyle w:val="21"/>
                    </w:pPr>
                    <w:r>
                      <w:fldChar w:fldCharType="begin"/>
                    </w:r>
                    <w:r>
                      <w:instrText xml:space="preserve"> PAGE  \* MERGEFORMAT </w:instrText>
                    </w:r>
                    <w:r>
                      <w:fldChar w:fldCharType="separate"/>
                    </w:r>
                    <w:r>
                      <w:t>74</w:t>
                    </w:r>
                    <w:r>
                      <w:fldChar w:fldCharType="end"/>
                    </w:r>
                  </w:p>
                </w:txbxContent>
              </v:textbox>
            </v:shape>
          </w:pict>
        </mc:Fallback>
      </mc:AlternateContent>
    </w:r>
  </w:p>
  <w:p w14:paraId="57FADED4">
    <w:pPr>
      <w:spacing w:line="192" w:lineRule="auto"/>
      <w:ind w:left="73"/>
      <w:rPr>
        <w:rFonts w:ascii="Calibri" w:hAnsi="Calibri" w:eastAsia="Calibri" w:cs="Calibri"/>
        <w:sz w:val="18"/>
        <w:szCs w:val="18"/>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57336">
    <w:pPr>
      <w:spacing w:line="187" w:lineRule="auto"/>
      <w:rPr>
        <w:rFonts w:ascii="Calibri" w:hAnsi="Calibri" w:eastAsia="Calibri" w:cs="Calibri"/>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35A085">
                          <w:pPr>
                            <w:pStyle w:val="21"/>
                          </w:pPr>
                          <w:r>
                            <w:fldChar w:fldCharType="begin"/>
                          </w:r>
                          <w:r>
                            <w:instrText xml:space="preserve"> PAGE  \* MERGEFORMAT </w:instrText>
                          </w:r>
                          <w:r>
                            <w:fldChar w:fldCharType="separate"/>
                          </w:r>
                          <w:r>
                            <w:t>243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6135A085">
                    <w:pPr>
                      <w:pStyle w:val="21"/>
                    </w:pPr>
                    <w:r>
                      <w:fldChar w:fldCharType="begin"/>
                    </w:r>
                    <w:r>
                      <w:instrText xml:space="preserve"> PAGE  \* MERGEFORMAT </w:instrText>
                    </w:r>
                    <w:r>
                      <w:fldChar w:fldCharType="separate"/>
                    </w:r>
                    <w:r>
                      <w:t>243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C14A5">
    <w:pPr>
      <w:spacing w:line="187" w:lineRule="auto"/>
      <w:ind w:left="42"/>
      <w:rPr>
        <w:rFonts w:ascii="Calibri" w:hAnsi="Calibri" w:eastAsia="Calibri" w:cs="Calibri"/>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9D833E">
                          <w:pPr>
                            <w:pStyle w:val="21"/>
                          </w:pPr>
                          <w:r>
                            <w:fldChar w:fldCharType="begin"/>
                          </w:r>
                          <w:r>
                            <w:instrText xml:space="preserve"> PAGE  \* MERGEFORMAT </w:instrText>
                          </w:r>
                          <w:r>
                            <w:fldChar w:fldCharType="separate"/>
                          </w:r>
                          <w:r>
                            <w:t>290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29D833E">
                    <w:pPr>
                      <w:pStyle w:val="21"/>
                    </w:pPr>
                    <w:r>
                      <w:fldChar w:fldCharType="begin"/>
                    </w:r>
                    <w:r>
                      <w:instrText xml:space="preserve"> PAGE  \* MERGEFORMAT </w:instrText>
                    </w:r>
                    <w:r>
                      <w:fldChar w:fldCharType="separate"/>
                    </w:r>
                    <w:r>
                      <w:t>290</w:t>
                    </w:r>
                    <w:r>
                      <w:fldChar w:fldCharType="end"/>
                    </w:r>
                  </w:p>
                </w:txbxContent>
              </v:textbox>
            </v:shape>
          </w:pict>
        </mc:Fallback>
      </mc:AlternateContent>
    </w:r>
    <w:r>
      <w:rPr>
        <w:rFonts w:ascii="华文楷体" w:hAnsi="华文楷体" w:eastAsia="华文楷体" w:cs="华文楷体"/>
        <w:sz w:val="18"/>
        <w:szCs w:val="18"/>
      </w:rPr>
      <w:t xml:space="preserve">           </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E9A78">
    <w:pPr>
      <w:spacing w:line="187" w:lineRule="auto"/>
      <w:ind w:left="42"/>
      <w:rPr>
        <w:rFonts w:ascii="Calibri" w:hAnsi="Calibri" w:eastAsia="Calibri" w:cs="Calibri"/>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3F3349">
                          <w:pPr>
                            <w:pStyle w:val="21"/>
                          </w:pPr>
                          <w:r>
                            <w:fldChar w:fldCharType="begin"/>
                          </w:r>
                          <w:r>
                            <w:instrText xml:space="preserve"> PAGE  \* MERGEFORMAT </w:instrText>
                          </w:r>
                          <w:r>
                            <w:fldChar w:fldCharType="separate"/>
                          </w:r>
                          <w:r>
                            <w:t>317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153F3349">
                    <w:pPr>
                      <w:pStyle w:val="21"/>
                    </w:pPr>
                    <w:r>
                      <w:fldChar w:fldCharType="begin"/>
                    </w:r>
                    <w:r>
                      <w:instrText xml:space="preserve"> PAGE  \* MERGEFORMAT </w:instrText>
                    </w:r>
                    <w:r>
                      <w:fldChar w:fldCharType="separate"/>
                    </w:r>
                    <w:r>
                      <w:t>317</w:t>
                    </w:r>
                    <w:r>
                      <w:fldChar w:fldCharType="end"/>
                    </w:r>
                  </w:p>
                </w:txbxContent>
              </v:textbox>
            </v:shape>
          </w:pict>
        </mc:Fallback>
      </mc:AlternateContent>
    </w:r>
    <w:r>
      <w:rPr>
        <w:rFonts w:ascii="华文楷体" w:hAnsi="华文楷体" w:eastAsia="华文楷体" w:cs="华文楷体"/>
        <w:sz w:val="18"/>
        <w:szCs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3AD82F">
    <w:pPr>
      <w:pStyle w:val="22"/>
      <w:pBdr>
        <w:bottom w:val="none" w:color="auto" w:sz="0" w:space="0"/>
      </w:pBdr>
      <w:ind w:firstLine="360"/>
      <w:rPr>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201095">
    <w:pPr>
      <w:pStyle w:val="2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8BE4A">
    <w:pPr>
      <w:pStyle w:val="22"/>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03C7B">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hint="eastAsia" w:ascii="Times New Roman" w:hAnsi="Times New Roman" w:eastAsia="宋体" w:cs="Times New Roman"/>
        <w:kern w:val="0"/>
        <w:lang w:val="en-US" w:eastAsia="zh-C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目录</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9523C">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概述</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AD4F44">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hint="eastAsia" w:ascii="Times New Roman" w:hAnsi="Times New Roman" w:eastAsia="宋体" w:cs="Times New Roman"/>
        <w:kern w:val="0"/>
        <w:lang w:val="en-US" w:eastAsia="zh-C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总则</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9DB09">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hint="eastAsia" w:ascii="Times New Roman" w:hAnsi="Times New Roman" w:eastAsia="宋体" w:cs="Times New Roman"/>
        <w:kern w:val="0"/>
        <w:lang w:val="en-US" w:eastAsia="zh-C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第二章 总则</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4C0CDD">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hint="eastAsia" w:ascii="Times New Roman" w:hAnsi="Times New Roman" w:eastAsia="宋体" w:cs="Times New Roman"/>
        <w:kern w:val="0"/>
        <w:lang w:val="en-US" w:eastAsia="zh-C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第二章 总则</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1A25A">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hint="eastAsia" w:ascii="Times New Roman" w:hAnsi="Times New Roman" w:eastAsia="宋体" w:cs="Times New Roman"/>
        <w:kern w:val="0"/>
        <w:lang w:val="en-US" w:eastAsia="zh-C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第二章 总则</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194C4">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建设项目工程分析</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503F9">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建设项目工程分析</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31E49">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建设项目工程分析</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F1CEF">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环境现状调查与评价</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826A0">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第五章 环境现状调查与评价</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EA0EA">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第四章 环境现状调查与评价</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553C">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环境影响预测与评价</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28E2E">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第七章 营运期环境影响分析</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5DA9F">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hint="eastAsia" w:ascii="Times New Roman" w:hAnsi="Times New Roman" w:eastAsia="宋体" w:cs="Times New Roman"/>
        <w:kern w:val="0"/>
        <w:lang w:val="en-US" w:eastAsia="zh-C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营运期环境影响分析</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D5DBA">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hint="eastAsia" w:ascii="Times New Roman" w:hAnsi="Times New Roman" w:eastAsia="宋体" w:cs="Times New Roman"/>
        <w:kern w:val="0"/>
        <w:lang w:val="en-US" w:eastAsia="zh-C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生态影响预测与评价</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7E135">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运营期环境保护措施及其可行性论证</w: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2B07C">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环境风险分析</w: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396CD">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环境影响经济损益分析</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E2CBE">
    <w:pPr>
      <w:pStyle w:val="22"/>
      <w:pBdr>
        <w:bottom w:val="thickThinMediumGap" w:color="auto" w:sz="18" w:space="1"/>
      </w:pBdr>
      <w:spacing w:line="240" w:lineRule="auto"/>
      <w:jc w:val="both"/>
      <w:rPr>
        <w:rFonts w:hint="default" w:ascii="Times New Roman" w:hAnsi="Times New Roman" w:eastAsia="宋体" w:cs="Times New Roman"/>
        <w:lang w:val="en-US"/>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环境管理与环境监测计划</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77A4A1">
    <w:pPr>
      <w:pStyle w:val="22"/>
      <w:pBdr>
        <w:bottom w:val="thickThinMediumGap" w:color="auto" w:sz="18" w:space="1"/>
      </w:pBdr>
      <w:spacing w:line="240" w:lineRule="auto"/>
      <w:jc w:val="both"/>
      <w:rPr>
        <w:rFonts w:hint="default" w:ascii="Times New Roman" w:hAnsi="Times New Roman" w:eastAsia="宋体" w:cs="Times New Roman"/>
        <w:lang w:val="en-US"/>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环境管理与环境监测计划</w: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FC620B">
    <w:pPr>
      <w:pStyle w:val="22"/>
      <w:pBdr>
        <w:bottom w:val="thickThinMediumGap" w:color="auto" w:sz="18" w:space="1"/>
      </w:pBdr>
      <w:spacing w:line="240" w:lineRule="auto"/>
      <w:jc w:val="both"/>
      <w:rPr>
        <w:rFonts w:ascii="Times New Roman" w:hAnsi="Times New Roman" w:eastAsia="宋体" w:cs="Times New Roman"/>
      </w:rPr>
    </w:pPr>
    <w:r>
      <w:rPr>
        <w:rFonts w:hint="eastAsia" w:ascii="Times New Roman" w:hAnsi="Times New Roman" w:eastAsia="宋体" w:cs="Times New Roman"/>
        <w:kern w:val="0"/>
        <w:lang w:eastAsia="zh-CN"/>
      </w:rPr>
      <w:t>剑阁县城乡生活垃圾无害化处理设施建设项目</w:t>
    </w:r>
    <w:r>
      <w:rPr>
        <w:rFonts w:ascii="Times New Roman" w:hAnsi="Times New Roman" w:eastAsia="宋体" w:cs="Times New Roman"/>
      </w:rPr>
      <w:t xml:space="preserve">  </w:t>
    </w:r>
    <w:r>
      <w:rPr>
        <w:rFonts w:hint="eastAsia" w:ascii="Times New Roman" w:hAnsi="Times New Roman" w:eastAsia="宋体" w:cs="Times New Roman"/>
      </w:rPr>
      <w:t xml:space="preserve">  </w:t>
    </w:r>
    <w:r>
      <w:rPr>
        <w:rFonts w:hint="eastAsia" w:ascii="Times New Roman" w:hAnsi="Times New Roman" w:eastAsia="宋体" w:cs="Times New Roman"/>
        <w:lang w:val="en-US" w:eastAsia="zh-CN"/>
      </w:rPr>
      <w:t xml:space="preserve">        </w:t>
    </w:r>
    <w:r>
      <w:rPr>
        <w:rFonts w:hint="eastAsia" w:ascii="Times New Roman" w:hAnsi="Times New Roman" w:eastAsia="宋体" w:cs="Times New Roman"/>
      </w:rPr>
      <w:t xml:space="preserve">     </w:t>
    </w:r>
    <w:r>
      <w:rPr>
        <w:rFonts w:ascii="Times New Roman" w:hAnsi="Times New Roman" w:eastAsia="宋体" w:cs="Times New Roman"/>
      </w:rPr>
      <w:t xml:space="preserve">   </w:t>
    </w:r>
    <w:r>
      <w:rPr>
        <w:rFonts w:hint="eastAsia" w:ascii="Times New Roman" w:hAnsi="Times New Roman" w:eastAsia="宋体" w:cs="Times New Roman"/>
        <w:lang w:val="en-US" w:eastAsia="zh-CN"/>
      </w:rPr>
      <w:t xml:space="preserve">                              结论与建议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EF677B"/>
    <w:multiLevelType w:val="singleLevel"/>
    <w:tmpl w:val="95EF677B"/>
    <w:lvl w:ilvl="0" w:tentative="0">
      <w:start w:val="1"/>
      <w:numFmt w:val="decimal"/>
      <w:suff w:val="nothing"/>
      <w:lvlText w:val="（%1）"/>
      <w:lvlJc w:val="left"/>
    </w:lvl>
  </w:abstractNum>
  <w:abstractNum w:abstractNumId="1">
    <w:nsid w:val="9669D3C7"/>
    <w:multiLevelType w:val="singleLevel"/>
    <w:tmpl w:val="9669D3C7"/>
    <w:lvl w:ilvl="0" w:tentative="0">
      <w:start w:val="1"/>
      <w:numFmt w:val="decimal"/>
      <w:suff w:val="nothing"/>
      <w:lvlText w:val="（%1）"/>
      <w:lvlJc w:val="left"/>
    </w:lvl>
  </w:abstractNum>
  <w:abstractNum w:abstractNumId="2">
    <w:nsid w:val="A4650EC9"/>
    <w:multiLevelType w:val="singleLevel"/>
    <w:tmpl w:val="A4650EC9"/>
    <w:lvl w:ilvl="0" w:tentative="0">
      <w:start w:val="1"/>
      <w:numFmt w:val="decimal"/>
      <w:suff w:val="nothing"/>
      <w:lvlText w:val="（%1）"/>
      <w:lvlJc w:val="left"/>
    </w:lvl>
  </w:abstractNum>
  <w:abstractNum w:abstractNumId="3">
    <w:nsid w:val="B05E2D7B"/>
    <w:multiLevelType w:val="multilevel"/>
    <w:tmpl w:val="B05E2D7B"/>
    <w:lvl w:ilvl="0" w:tentative="0">
      <w:start w:val="1"/>
      <w:numFmt w:val="chineseCountingThousand"/>
      <w:suff w:val="nothing"/>
      <w:lvlText w:val="第%1章"/>
      <w:lvlJc w:val="left"/>
      <w:pPr>
        <w:ind w:left="2127" w:firstLine="0"/>
      </w:pPr>
      <w:rPr>
        <w:rFonts w:hint="eastAsia"/>
      </w:rPr>
    </w:lvl>
    <w:lvl w:ilvl="1" w:tentative="0">
      <w:start w:val="1"/>
      <w:numFmt w:val="decimal"/>
      <w:isLgl/>
      <w:suff w:val="nothing"/>
      <w:lvlText w:val="%1.%2"/>
      <w:lvlJc w:val="left"/>
      <w:pPr>
        <w:ind w:left="0" w:firstLine="0"/>
      </w:pPr>
      <w:rPr>
        <w:rFonts w:hint="eastAsia"/>
      </w:rPr>
    </w:lvl>
    <w:lvl w:ilvl="2" w:tentative="0">
      <w:start w:val="1"/>
      <w:numFmt w:val="decimal"/>
      <w:isLgl/>
      <w:suff w:val="nothing"/>
      <w:lvlText w:val="%1.%2.%3"/>
      <w:lvlJc w:val="left"/>
      <w:pPr>
        <w:ind w:left="0" w:firstLine="0"/>
      </w:pPr>
      <w:rPr>
        <w:rFonts w:hint="eastAsia"/>
      </w:rPr>
    </w:lvl>
    <w:lvl w:ilvl="3" w:tentative="0">
      <w:start w:val="1"/>
      <w:numFmt w:val="decimal"/>
      <w:isLgl/>
      <w:suff w:val="nothing"/>
      <w:lvlText w:val="%1.%2.%3.%4"/>
      <w:lvlJc w:val="left"/>
      <w:pPr>
        <w:ind w:left="0" w:firstLine="0"/>
      </w:pPr>
      <w:rPr>
        <w:rFonts w:hint="eastAsia"/>
      </w:rPr>
    </w:lvl>
    <w:lvl w:ilvl="4" w:tentative="0">
      <w:start w:val="1"/>
      <w:numFmt w:val="decimal"/>
      <w:pStyle w:val="6"/>
      <w:isLgl/>
      <w:suff w:val="nothing"/>
      <w:lvlText w:val="%1.%2.%3.%4.%5"/>
      <w:lvlJc w:val="left"/>
      <w:pPr>
        <w:ind w:left="0" w:firstLine="0"/>
      </w:pPr>
      <w:rPr>
        <w:rFonts w:hint="eastAsia"/>
      </w:rPr>
    </w:lvl>
    <w:lvl w:ilvl="5" w:tentative="0">
      <w:start w:val="1"/>
      <w:numFmt w:val="decimal"/>
      <w:lvlText w:val="%1.%2.%3.%4.%5.%6"/>
      <w:lvlJc w:val="left"/>
      <w:pPr>
        <w:ind w:left="3260" w:hanging="1135"/>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CCF6A806"/>
    <w:multiLevelType w:val="singleLevel"/>
    <w:tmpl w:val="CCF6A806"/>
    <w:lvl w:ilvl="0" w:tentative="0">
      <w:start w:val="1"/>
      <w:numFmt w:val="decimal"/>
      <w:suff w:val="nothing"/>
      <w:lvlText w:val="%1、"/>
      <w:lvlJc w:val="left"/>
    </w:lvl>
  </w:abstractNum>
  <w:abstractNum w:abstractNumId="5">
    <w:nsid w:val="D08DFA9E"/>
    <w:multiLevelType w:val="singleLevel"/>
    <w:tmpl w:val="D08DFA9E"/>
    <w:lvl w:ilvl="0" w:tentative="0">
      <w:start w:val="1"/>
      <w:numFmt w:val="bullet"/>
      <w:lvlText w:val=""/>
      <w:lvlJc w:val="left"/>
      <w:pPr>
        <w:ind w:left="420" w:hanging="420"/>
      </w:pPr>
      <w:rPr>
        <w:rFonts w:hint="default" w:ascii="Wingdings" w:hAnsi="Wingdings"/>
      </w:rPr>
    </w:lvl>
  </w:abstractNum>
  <w:abstractNum w:abstractNumId="6">
    <w:nsid w:val="E3CEF5E7"/>
    <w:multiLevelType w:val="singleLevel"/>
    <w:tmpl w:val="E3CEF5E7"/>
    <w:lvl w:ilvl="0" w:tentative="0">
      <w:start w:val="1"/>
      <w:numFmt w:val="bullet"/>
      <w:pStyle w:val="17"/>
      <w:lvlText w:val=""/>
      <w:lvlJc w:val="left"/>
      <w:pPr>
        <w:tabs>
          <w:tab w:val="left" w:pos="2040"/>
        </w:tabs>
        <w:ind w:left="2040" w:hanging="360"/>
      </w:pPr>
      <w:rPr>
        <w:rFonts w:hint="default" w:ascii="Wingdings" w:hAnsi="Wingdings"/>
      </w:rPr>
    </w:lvl>
  </w:abstractNum>
  <w:abstractNum w:abstractNumId="7">
    <w:nsid w:val="01222A33"/>
    <w:multiLevelType w:val="multilevel"/>
    <w:tmpl w:val="01222A33"/>
    <w:lvl w:ilvl="0" w:tentative="0">
      <w:start w:val="1"/>
      <w:numFmt w:val="chineseCountingThousand"/>
      <w:pStyle w:val="2"/>
      <w:suff w:val="nothing"/>
      <w:lvlText w:val="第%1章"/>
      <w:lvlJc w:val="left"/>
      <w:pPr>
        <w:ind w:left="2127" w:firstLine="0"/>
      </w:pPr>
      <w:rPr>
        <w:rFonts w:hint="eastAsia"/>
      </w:rPr>
    </w:lvl>
    <w:lvl w:ilvl="1" w:tentative="0">
      <w:start w:val="1"/>
      <w:numFmt w:val="decimal"/>
      <w:pStyle w:val="3"/>
      <w:isLgl/>
      <w:suff w:val="nothing"/>
      <w:lvlText w:val="%1.%2"/>
      <w:lvlJc w:val="left"/>
      <w:pPr>
        <w:ind w:left="0" w:firstLine="0"/>
      </w:pPr>
      <w:rPr>
        <w:rFonts w:hint="eastAsia"/>
      </w:rPr>
    </w:lvl>
    <w:lvl w:ilvl="2" w:tentative="0">
      <w:start w:val="1"/>
      <w:numFmt w:val="decimal"/>
      <w:pStyle w:val="4"/>
      <w:isLgl/>
      <w:suff w:val="nothing"/>
      <w:lvlText w:val="%1.%2.%3"/>
      <w:lvlJc w:val="left"/>
      <w:pPr>
        <w:ind w:left="420" w:firstLine="0"/>
      </w:pPr>
      <w:rPr>
        <w:rFonts w:hint="eastAsia"/>
      </w:rPr>
    </w:lvl>
    <w:lvl w:ilvl="3" w:tentative="0">
      <w:start w:val="1"/>
      <w:numFmt w:val="decimal"/>
      <w:pStyle w:val="5"/>
      <w:isLgl/>
      <w:suff w:val="nothing"/>
      <w:lvlText w:val="%1.%2.%3.%4"/>
      <w:lvlJc w:val="left"/>
      <w:pPr>
        <w:ind w:left="0" w:firstLine="0"/>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8">
    <w:nsid w:val="08350A56"/>
    <w:multiLevelType w:val="singleLevel"/>
    <w:tmpl w:val="08350A56"/>
    <w:lvl w:ilvl="0" w:tentative="0">
      <w:start w:val="1"/>
      <w:numFmt w:val="decimal"/>
      <w:suff w:val="nothing"/>
      <w:lvlText w:val="（%1）"/>
      <w:lvlJc w:val="left"/>
    </w:lvl>
  </w:abstractNum>
  <w:abstractNum w:abstractNumId="9">
    <w:nsid w:val="17D933E8"/>
    <w:multiLevelType w:val="singleLevel"/>
    <w:tmpl w:val="17D933E8"/>
    <w:lvl w:ilvl="0" w:tentative="0">
      <w:start w:val="1"/>
      <w:numFmt w:val="decimal"/>
      <w:suff w:val="nothing"/>
      <w:lvlText w:val="%1、"/>
      <w:lvlJc w:val="left"/>
    </w:lvl>
  </w:abstractNum>
  <w:abstractNum w:abstractNumId="10">
    <w:nsid w:val="1CC56DC9"/>
    <w:multiLevelType w:val="singleLevel"/>
    <w:tmpl w:val="1CC56DC9"/>
    <w:lvl w:ilvl="0" w:tentative="0">
      <w:start w:val="1"/>
      <w:numFmt w:val="decimal"/>
      <w:suff w:val="nothing"/>
      <w:lvlText w:val="（%1）"/>
      <w:lvlJc w:val="left"/>
    </w:lvl>
  </w:abstractNum>
  <w:abstractNum w:abstractNumId="11">
    <w:nsid w:val="282B3095"/>
    <w:multiLevelType w:val="singleLevel"/>
    <w:tmpl w:val="282B3095"/>
    <w:lvl w:ilvl="0" w:tentative="0">
      <w:start w:val="1"/>
      <w:numFmt w:val="decimal"/>
      <w:suff w:val="nothing"/>
      <w:lvlText w:val="%1、"/>
      <w:lvlJc w:val="left"/>
    </w:lvl>
  </w:abstractNum>
  <w:abstractNum w:abstractNumId="12">
    <w:nsid w:val="2DB7B299"/>
    <w:multiLevelType w:val="singleLevel"/>
    <w:tmpl w:val="2DB7B299"/>
    <w:lvl w:ilvl="0" w:tentative="0">
      <w:start w:val="1"/>
      <w:numFmt w:val="decimal"/>
      <w:suff w:val="nothing"/>
      <w:lvlText w:val="（%1）"/>
      <w:lvlJc w:val="left"/>
    </w:lvl>
  </w:abstractNum>
  <w:abstractNum w:abstractNumId="13">
    <w:nsid w:val="2F2A1560"/>
    <w:multiLevelType w:val="multilevel"/>
    <w:tmpl w:val="2F2A1560"/>
    <w:lvl w:ilvl="0" w:tentative="0">
      <w:start w:val="1"/>
      <w:numFmt w:val="decimal"/>
      <w:pStyle w:val="80"/>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4">
    <w:nsid w:val="43D0481D"/>
    <w:multiLevelType w:val="multilevel"/>
    <w:tmpl w:val="43D0481D"/>
    <w:lvl w:ilvl="0" w:tentative="0">
      <w:start w:val="1"/>
      <w:numFmt w:val="decimal"/>
      <w:suff w:val="space"/>
      <w:lvlText w:val="第%1章"/>
      <w:lvlJc w:val="left"/>
      <w:pPr>
        <w:ind w:left="0" w:firstLine="0"/>
      </w:pPr>
      <w:rPr>
        <w:rFonts w:hint="default" w:ascii="Times New Roman" w:hAnsi="Times New Roman" w:eastAsia="黑体"/>
        <w:sz w:val="44"/>
      </w:rPr>
    </w:lvl>
    <w:lvl w:ilvl="1" w:tentative="0">
      <w:start w:val="1"/>
      <w:numFmt w:val="decimal"/>
      <w:suff w:val="space"/>
      <w:lvlText w:val="%1.%2"/>
      <w:lvlJc w:val="left"/>
      <w:pPr>
        <w:ind w:left="0" w:firstLine="0"/>
      </w:pPr>
      <w:rPr>
        <w:rFonts w:hint="eastAsia"/>
      </w:rPr>
    </w:lvl>
    <w:lvl w:ilvl="2" w:tentative="0">
      <w:start w:val="1"/>
      <w:numFmt w:val="decimal"/>
      <w:suff w:val="space"/>
      <w:lvlText w:val="%1.%2.%3"/>
      <w:lvlJc w:val="left"/>
      <w:pPr>
        <w:ind w:left="0" w:firstLine="0"/>
      </w:pPr>
      <w:rPr>
        <w:rFonts w:hint="eastAsia"/>
      </w:rPr>
    </w:lvl>
    <w:lvl w:ilvl="3" w:tentative="0">
      <w:start w:val="1"/>
      <w:numFmt w:val="decimal"/>
      <w:suff w:val="space"/>
      <w:lvlText w:val="%1.%2.%3.%4"/>
      <w:lvlJc w:val="left"/>
      <w:pPr>
        <w:ind w:left="710" w:firstLine="0"/>
      </w:pPr>
      <w:rPr>
        <w:rFonts w:hint="eastAsia"/>
      </w:rPr>
    </w:lvl>
    <w:lvl w:ilvl="4" w:tentative="0">
      <w:start w:val="1"/>
      <w:numFmt w:val="decimal"/>
      <w:lvlRestart w:val="1"/>
      <w:suff w:val="space"/>
      <w:lvlText w:val="表%1-%5"/>
      <w:lvlJc w:val="left"/>
      <w:pPr>
        <w:ind w:left="0" w:firstLine="0"/>
      </w:pPr>
      <w:rPr>
        <w:rFonts w:hint="eastAsia" w:ascii="黑体" w:hAnsi="黑体" w:eastAsia="黑体"/>
        <w:sz w:val="24"/>
      </w:rPr>
    </w:lvl>
    <w:lvl w:ilvl="5" w:tentative="0">
      <w:start w:val="1"/>
      <w:numFmt w:val="decimal"/>
      <w:lvlRestart w:val="1"/>
      <w:suff w:val="space"/>
      <w:lvlText w:val="图%1-%6"/>
      <w:lvlJc w:val="left"/>
      <w:pPr>
        <w:ind w:left="2411" w:firstLine="0"/>
      </w:pPr>
      <w:rPr>
        <w:rFonts w:hint="eastAsia" w:ascii="黑体" w:hAnsi="黑体" w:eastAsia="黑体"/>
        <w:sz w:val="24"/>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15">
    <w:nsid w:val="4FA8886E"/>
    <w:multiLevelType w:val="singleLevel"/>
    <w:tmpl w:val="4FA8886E"/>
    <w:lvl w:ilvl="0" w:tentative="0">
      <w:start w:val="13"/>
      <w:numFmt w:val="decimal"/>
      <w:suff w:val="nothing"/>
      <w:lvlText w:val="%1、"/>
      <w:lvlJc w:val="left"/>
    </w:lvl>
  </w:abstractNum>
  <w:abstractNum w:abstractNumId="16">
    <w:nsid w:val="56F6EA16"/>
    <w:multiLevelType w:val="singleLevel"/>
    <w:tmpl w:val="56F6EA16"/>
    <w:lvl w:ilvl="0" w:tentative="0">
      <w:start w:val="1"/>
      <w:numFmt w:val="decimal"/>
      <w:suff w:val="nothing"/>
      <w:lvlText w:val="%1、"/>
      <w:lvlJc w:val="left"/>
    </w:lvl>
  </w:abstractNum>
  <w:abstractNum w:abstractNumId="17">
    <w:nsid w:val="77F32F2F"/>
    <w:multiLevelType w:val="singleLevel"/>
    <w:tmpl w:val="77F32F2F"/>
    <w:lvl w:ilvl="0" w:tentative="0">
      <w:start w:val="3"/>
      <w:numFmt w:val="decimal"/>
      <w:suff w:val="nothing"/>
      <w:lvlText w:val="（%1）"/>
      <w:lvlJc w:val="left"/>
    </w:lvl>
  </w:abstractNum>
  <w:num w:numId="1">
    <w:abstractNumId w:val="7"/>
  </w:num>
  <w:num w:numId="2">
    <w:abstractNumId w:val="3"/>
  </w:num>
  <w:num w:numId="3">
    <w:abstractNumId w:val="6"/>
  </w:num>
  <w:num w:numId="4">
    <w:abstractNumId w:val="13"/>
  </w:num>
  <w:num w:numId="5">
    <w:abstractNumId w:val="14"/>
    <w:lvlOverride w:ilvl="1">
      <w:lvl w:ilvl="1" w:tentative="1">
        <w:start w:val="1"/>
        <w:numFmt w:val="decimal"/>
        <w:pStyle w:val="144"/>
        <w:suff w:val="space"/>
        <w:lvlText w:val="%1.%2"/>
        <w:lvlJc w:val="left"/>
        <w:pPr>
          <w:ind w:left="0" w:firstLine="0"/>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Override>
    <w:lvlOverride w:ilvl="2">
      <w:lvl w:ilvl="2" w:tentative="1">
        <w:start w:val="1"/>
        <w:numFmt w:val="decimal"/>
        <w:suff w:val="space"/>
        <w:lvlText w:val="%1.%2.%3"/>
        <w:lvlJc w:val="left"/>
        <w:pPr>
          <w:ind w:left="0" w:firstLine="0"/>
        </w:pPr>
      </w:lvl>
    </w:lvlOverride>
    <w:lvlOverride w:ilvl="3">
      <w:lvl w:ilvl="3" w:tentative="1">
        <w:start w:val="1"/>
        <w:numFmt w:val="decimal"/>
        <w:suff w:val="space"/>
        <w:lvlText w:val="%1.%2.%3.%4"/>
        <w:lvlJc w:val="left"/>
        <w:pPr>
          <w:ind w:left="710" w:firstLine="0"/>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Override>
    <w:lvlOverride w:ilvl="4">
      <w:lvl w:ilvl="4" w:tentative="1">
        <w:start w:val="1"/>
        <w:numFmt w:val="decimal"/>
        <w:lvlRestart w:val="1"/>
        <w:suff w:val="space"/>
        <w:lvlText w:val="表%1-%5"/>
        <w:lvlJc w:val="left"/>
        <w:pPr>
          <w:ind w:left="0" w:firstLine="0"/>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Override>
    <w:lvlOverride w:ilvl="5">
      <w:lvl w:ilvl="5" w:tentative="1">
        <w:start w:val="1"/>
        <w:numFmt w:val="decimal"/>
        <w:lvlRestart w:val="1"/>
        <w:suff w:val="space"/>
        <w:lvlText w:val="图%1-%6"/>
        <w:lvlJc w:val="left"/>
        <w:pPr>
          <w:ind w:left="0" w:firstLine="0"/>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Override>
  </w:num>
  <w:num w:numId="6">
    <w:abstractNumId w:val="10"/>
  </w:num>
  <w:num w:numId="7">
    <w:abstractNumId w:val="15"/>
  </w:num>
  <w:num w:numId="8">
    <w:abstractNumId w:val="11"/>
  </w:num>
  <w:num w:numId="9">
    <w:abstractNumId w:val="5"/>
  </w:num>
  <w:num w:numId="10">
    <w:abstractNumId w:val="9"/>
  </w:num>
  <w:num w:numId="11">
    <w:abstractNumId w:val="17"/>
  </w:num>
  <w:num w:numId="12">
    <w:abstractNumId w:val="16"/>
  </w:num>
  <w:num w:numId="13">
    <w:abstractNumId w:val="0"/>
  </w:num>
  <w:num w:numId="14">
    <w:abstractNumId w:val="4"/>
  </w:num>
  <w:num w:numId="15">
    <w:abstractNumId w:val="8"/>
  </w:num>
  <w:num w:numId="16">
    <w:abstractNumId w:val="2"/>
  </w:num>
  <w:num w:numId="17">
    <w:abstractNumId w:val="1"/>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doNotDisplayPageBoundaries w:val="1"/>
  <w:displayBackgroundShape w:val="1"/>
  <w:bordersDoNotSurroundHeader w:val="0"/>
  <w:bordersDoNotSurroundFooter w:val="0"/>
  <w:hideSpellingErrors/>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I0OTUwNWRjN2UwNTc5M2Q3ZjRmZWUxYWZjZDBjNWQifQ=="/>
  </w:docVars>
  <w:rsids>
    <w:rsidRoot w:val="00172A27"/>
    <w:rsid w:val="00003682"/>
    <w:rsid w:val="000054B9"/>
    <w:rsid w:val="00005EB8"/>
    <w:rsid w:val="0001268F"/>
    <w:rsid w:val="0001279C"/>
    <w:rsid w:val="00012ADF"/>
    <w:rsid w:val="000173B7"/>
    <w:rsid w:val="00017E87"/>
    <w:rsid w:val="000204A6"/>
    <w:rsid w:val="00023CFE"/>
    <w:rsid w:val="00023F8B"/>
    <w:rsid w:val="000243C2"/>
    <w:rsid w:val="00030681"/>
    <w:rsid w:val="00036569"/>
    <w:rsid w:val="00040254"/>
    <w:rsid w:val="00041B56"/>
    <w:rsid w:val="00042FA1"/>
    <w:rsid w:val="00044315"/>
    <w:rsid w:val="00044633"/>
    <w:rsid w:val="00045627"/>
    <w:rsid w:val="000511AE"/>
    <w:rsid w:val="000557F7"/>
    <w:rsid w:val="000569D7"/>
    <w:rsid w:val="00057D11"/>
    <w:rsid w:val="00060E77"/>
    <w:rsid w:val="000611C0"/>
    <w:rsid w:val="00064947"/>
    <w:rsid w:val="000655B2"/>
    <w:rsid w:val="00065FBC"/>
    <w:rsid w:val="00067A61"/>
    <w:rsid w:val="00071228"/>
    <w:rsid w:val="000712E9"/>
    <w:rsid w:val="000761F7"/>
    <w:rsid w:val="000766A5"/>
    <w:rsid w:val="00083C20"/>
    <w:rsid w:val="00085A74"/>
    <w:rsid w:val="00085A8E"/>
    <w:rsid w:val="000866D9"/>
    <w:rsid w:val="00086B5C"/>
    <w:rsid w:val="00087730"/>
    <w:rsid w:val="00090E55"/>
    <w:rsid w:val="0009388E"/>
    <w:rsid w:val="00094025"/>
    <w:rsid w:val="000969D2"/>
    <w:rsid w:val="00097348"/>
    <w:rsid w:val="000A1C9D"/>
    <w:rsid w:val="000A5EE0"/>
    <w:rsid w:val="000B0237"/>
    <w:rsid w:val="000B1294"/>
    <w:rsid w:val="000B1DAE"/>
    <w:rsid w:val="000B1F29"/>
    <w:rsid w:val="000B21A4"/>
    <w:rsid w:val="000B3737"/>
    <w:rsid w:val="000B4334"/>
    <w:rsid w:val="000B6281"/>
    <w:rsid w:val="000B783E"/>
    <w:rsid w:val="000C199A"/>
    <w:rsid w:val="000C2A0A"/>
    <w:rsid w:val="000C3636"/>
    <w:rsid w:val="000C3829"/>
    <w:rsid w:val="000C3840"/>
    <w:rsid w:val="000C66E2"/>
    <w:rsid w:val="000C7D22"/>
    <w:rsid w:val="000D1335"/>
    <w:rsid w:val="000D18B5"/>
    <w:rsid w:val="000D1C85"/>
    <w:rsid w:val="000D1E52"/>
    <w:rsid w:val="000D1EFC"/>
    <w:rsid w:val="000D3D73"/>
    <w:rsid w:val="000D5F80"/>
    <w:rsid w:val="000D6914"/>
    <w:rsid w:val="000D76FF"/>
    <w:rsid w:val="000E08C4"/>
    <w:rsid w:val="000E10D6"/>
    <w:rsid w:val="000E2692"/>
    <w:rsid w:val="000E2B0C"/>
    <w:rsid w:val="000E4787"/>
    <w:rsid w:val="000E6912"/>
    <w:rsid w:val="000F18ED"/>
    <w:rsid w:val="000F3896"/>
    <w:rsid w:val="000F3C00"/>
    <w:rsid w:val="000F5464"/>
    <w:rsid w:val="000F5B19"/>
    <w:rsid w:val="00100ACB"/>
    <w:rsid w:val="00105C81"/>
    <w:rsid w:val="0010764A"/>
    <w:rsid w:val="001129C4"/>
    <w:rsid w:val="00115EC0"/>
    <w:rsid w:val="00120F84"/>
    <w:rsid w:val="0012203F"/>
    <w:rsid w:val="001234ED"/>
    <w:rsid w:val="00125F05"/>
    <w:rsid w:val="00127FE4"/>
    <w:rsid w:val="001305EC"/>
    <w:rsid w:val="00131727"/>
    <w:rsid w:val="0013262A"/>
    <w:rsid w:val="00133F77"/>
    <w:rsid w:val="0013605E"/>
    <w:rsid w:val="001372C1"/>
    <w:rsid w:val="00137670"/>
    <w:rsid w:val="00137D84"/>
    <w:rsid w:val="00143B97"/>
    <w:rsid w:val="00147348"/>
    <w:rsid w:val="00150EAD"/>
    <w:rsid w:val="0015481E"/>
    <w:rsid w:val="00164041"/>
    <w:rsid w:val="00165F06"/>
    <w:rsid w:val="00170667"/>
    <w:rsid w:val="00183610"/>
    <w:rsid w:val="00185049"/>
    <w:rsid w:val="00187B9E"/>
    <w:rsid w:val="00190540"/>
    <w:rsid w:val="001952D7"/>
    <w:rsid w:val="00196D15"/>
    <w:rsid w:val="001A1310"/>
    <w:rsid w:val="001A14FD"/>
    <w:rsid w:val="001A2514"/>
    <w:rsid w:val="001A39E6"/>
    <w:rsid w:val="001A706C"/>
    <w:rsid w:val="001B0072"/>
    <w:rsid w:val="001B0B79"/>
    <w:rsid w:val="001B659A"/>
    <w:rsid w:val="001C26F5"/>
    <w:rsid w:val="001D072C"/>
    <w:rsid w:val="001D084F"/>
    <w:rsid w:val="001D1A0A"/>
    <w:rsid w:val="001D6E6D"/>
    <w:rsid w:val="001D6F63"/>
    <w:rsid w:val="001E1E62"/>
    <w:rsid w:val="001E5CC7"/>
    <w:rsid w:val="001E76CC"/>
    <w:rsid w:val="001F1041"/>
    <w:rsid w:val="001F629E"/>
    <w:rsid w:val="0020106C"/>
    <w:rsid w:val="0020188D"/>
    <w:rsid w:val="00206FD6"/>
    <w:rsid w:val="00207471"/>
    <w:rsid w:val="002079CD"/>
    <w:rsid w:val="00210290"/>
    <w:rsid w:val="002122C0"/>
    <w:rsid w:val="002125A4"/>
    <w:rsid w:val="00221E05"/>
    <w:rsid w:val="002255DB"/>
    <w:rsid w:val="002265D6"/>
    <w:rsid w:val="00226E86"/>
    <w:rsid w:val="00230E6C"/>
    <w:rsid w:val="0023548A"/>
    <w:rsid w:val="002361FB"/>
    <w:rsid w:val="002546C9"/>
    <w:rsid w:val="00260552"/>
    <w:rsid w:val="00263DBD"/>
    <w:rsid w:val="00264276"/>
    <w:rsid w:val="002648F3"/>
    <w:rsid w:val="002652CB"/>
    <w:rsid w:val="00273FF7"/>
    <w:rsid w:val="00276818"/>
    <w:rsid w:val="00277450"/>
    <w:rsid w:val="00282523"/>
    <w:rsid w:val="0028692C"/>
    <w:rsid w:val="00290734"/>
    <w:rsid w:val="00291A94"/>
    <w:rsid w:val="00295F9C"/>
    <w:rsid w:val="002A2AC0"/>
    <w:rsid w:val="002A4F60"/>
    <w:rsid w:val="002A5177"/>
    <w:rsid w:val="002B2687"/>
    <w:rsid w:val="002B6A55"/>
    <w:rsid w:val="002C59C3"/>
    <w:rsid w:val="002D120C"/>
    <w:rsid w:val="002D2E1F"/>
    <w:rsid w:val="002D37F8"/>
    <w:rsid w:val="002D4515"/>
    <w:rsid w:val="002D547B"/>
    <w:rsid w:val="002D6477"/>
    <w:rsid w:val="002D7216"/>
    <w:rsid w:val="002E259C"/>
    <w:rsid w:val="002E29B7"/>
    <w:rsid w:val="002E371E"/>
    <w:rsid w:val="002E45BF"/>
    <w:rsid w:val="002E5685"/>
    <w:rsid w:val="002F459F"/>
    <w:rsid w:val="002F6BBA"/>
    <w:rsid w:val="002F738B"/>
    <w:rsid w:val="0030012D"/>
    <w:rsid w:val="00300DDD"/>
    <w:rsid w:val="0030215F"/>
    <w:rsid w:val="00304EB1"/>
    <w:rsid w:val="00305D10"/>
    <w:rsid w:val="00310023"/>
    <w:rsid w:val="00320E70"/>
    <w:rsid w:val="00321948"/>
    <w:rsid w:val="003229A5"/>
    <w:rsid w:val="00324F59"/>
    <w:rsid w:val="003256C0"/>
    <w:rsid w:val="003267A9"/>
    <w:rsid w:val="0033036F"/>
    <w:rsid w:val="00331EBA"/>
    <w:rsid w:val="003347BE"/>
    <w:rsid w:val="00337C86"/>
    <w:rsid w:val="003402DC"/>
    <w:rsid w:val="00345E11"/>
    <w:rsid w:val="00351C15"/>
    <w:rsid w:val="003520FB"/>
    <w:rsid w:val="00352854"/>
    <w:rsid w:val="0035332B"/>
    <w:rsid w:val="003552FC"/>
    <w:rsid w:val="00360681"/>
    <w:rsid w:val="00361F76"/>
    <w:rsid w:val="00362D8B"/>
    <w:rsid w:val="00374B7E"/>
    <w:rsid w:val="00377076"/>
    <w:rsid w:val="00377365"/>
    <w:rsid w:val="00384E22"/>
    <w:rsid w:val="00385D71"/>
    <w:rsid w:val="00387CBE"/>
    <w:rsid w:val="00393612"/>
    <w:rsid w:val="00393FA1"/>
    <w:rsid w:val="00394505"/>
    <w:rsid w:val="00395376"/>
    <w:rsid w:val="00397DA5"/>
    <w:rsid w:val="003A6F10"/>
    <w:rsid w:val="003A7378"/>
    <w:rsid w:val="003B02B6"/>
    <w:rsid w:val="003B27EC"/>
    <w:rsid w:val="003B3BD7"/>
    <w:rsid w:val="003B777B"/>
    <w:rsid w:val="003B787C"/>
    <w:rsid w:val="003C0FCB"/>
    <w:rsid w:val="003C2232"/>
    <w:rsid w:val="003C6C31"/>
    <w:rsid w:val="003C719E"/>
    <w:rsid w:val="003D0293"/>
    <w:rsid w:val="003D1398"/>
    <w:rsid w:val="003E1C46"/>
    <w:rsid w:val="003E27E8"/>
    <w:rsid w:val="003E35DB"/>
    <w:rsid w:val="003E751B"/>
    <w:rsid w:val="003E7877"/>
    <w:rsid w:val="003F2CF9"/>
    <w:rsid w:val="003F3B87"/>
    <w:rsid w:val="003F3C0E"/>
    <w:rsid w:val="003F510C"/>
    <w:rsid w:val="004046AF"/>
    <w:rsid w:val="00410814"/>
    <w:rsid w:val="00412B2A"/>
    <w:rsid w:val="004148D8"/>
    <w:rsid w:val="004151EB"/>
    <w:rsid w:val="004160EF"/>
    <w:rsid w:val="004201F6"/>
    <w:rsid w:val="00421FDB"/>
    <w:rsid w:val="004248F1"/>
    <w:rsid w:val="00430DF5"/>
    <w:rsid w:val="004335E7"/>
    <w:rsid w:val="004344FD"/>
    <w:rsid w:val="00436DF3"/>
    <w:rsid w:val="00437039"/>
    <w:rsid w:val="0044282B"/>
    <w:rsid w:val="0044412A"/>
    <w:rsid w:val="00445561"/>
    <w:rsid w:val="00445897"/>
    <w:rsid w:val="00447775"/>
    <w:rsid w:val="004501EF"/>
    <w:rsid w:val="00450C0F"/>
    <w:rsid w:val="00451CAC"/>
    <w:rsid w:val="00453752"/>
    <w:rsid w:val="00453F3D"/>
    <w:rsid w:val="00457692"/>
    <w:rsid w:val="004616A6"/>
    <w:rsid w:val="00462742"/>
    <w:rsid w:val="00462F09"/>
    <w:rsid w:val="004630C8"/>
    <w:rsid w:val="00465A04"/>
    <w:rsid w:val="00466735"/>
    <w:rsid w:val="00467863"/>
    <w:rsid w:val="00470960"/>
    <w:rsid w:val="00471429"/>
    <w:rsid w:val="00476AD2"/>
    <w:rsid w:val="004805CD"/>
    <w:rsid w:val="00482C98"/>
    <w:rsid w:val="0049154A"/>
    <w:rsid w:val="00492A6C"/>
    <w:rsid w:val="004961E3"/>
    <w:rsid w:val="00496DA9"/>
    <w:rsid w:val="00496DEE"/>
    <w:rsid w:val="00497536"/>
    <w:rsid w:val="004975B8"/>
    <w:rsid w:val="00497E11"/>
    <w:rsid w:val="004A3EAF"/>
    <w:rsid w:val="004A5668"/>
    <w:rsid w:val="004B008E"/>
    <w:rsid w:val="004B0A47"/>
    <w:rsid w:val="004B0D73"/>
    <w:rsid w:val="004B14A3"/>
    <w:rsid w:val="004B30F6"/>
    <w:rsid w:val="004B4C85"/>
    <w:rsid w:val="004C2724"/>
    <w:rsid w:val="004C7D13"/>
    <w:rsid w:val="004D0321"/>
    <w:rsid w:val="004E46DC"/>
    <w:rsid w:val="004E6A96"/>
    <w:rsid w:val="004E7B92"/>
    <w:rsid w:val="0050079F"/>
    <w:rsid w:val="005019E2"/>
    <w:rsid w:val="00502A69"/>
    <w:rsid w:val="00504401"/>
    <w:rsid w:val="00505D43"/>
    <w:rsid w:val="00515C44"/>
    <w:rsid w:val="005161F9"/>
    <w:rsid w:val="00520C82"/>
    <w:rsid w:val="005227F0"/>
    <w:rsid w:val="005228FF"/>
    <w:rsid w:val="005262A9"/>
    <w:rsid w:val="0052631C"/>
    <w:rsid w:val="00533664"/>
    <w:rsid w:val="00541601"/>
    <w:rsid w:val="005445A8"/>
    <w:rsid w:val="00544ED3"/>
    <w:rsid w:val="00546494"/>
    <w:rsid w:val="005472EC"/>
    <w:rsid w:val="00561AB3"/>
    <w:rsid w:val="00562032"/>
    <w:rsid w:val="00562348"/>
    <w:rsid w:val="00564E93"/>
    <w:rsid w:val="005701E6"/>
    <w:rsid w:val="00573372"/>
    <w:rsid w:val="00576683"/>
    <w:rsid w:val="00576AFD"/>
    <w:rsid w:val="0057769D"/>
    <w:rsid w:val="005816E2"/>
    <w:rsid w:val="00583919"/>
    <w:rsid w:val="00586EE1"/>
    <w:rsid w:val="00590E36"/>
    <w:rsid w:val="00593B19"/>
    <w:rsid w:val="005946AC"/>
    <w:rsid w:val="00595329"/>
    <w:rsid w:val="005968BB"/>
    <w:rsid w:val="00596D1A"/>
    <w:rsid w:val="00597774"/>
    <w:rsid w:val="005A1E95"/>
    <w:rsid w:val="005A5D3C"/>
    <w:rsid w:val="005A64CA"/>
    <w:rsid w:val="005B4000"/>
    <w:rsid w:val="005B43FB"/>
    <w:rsid w:val="005C0B84"/>
    <w:rsid w:val="005C2ECF"/>
    <w:rsid w:val="005C39C9"/>
    <w:rsid w:val="005D20E7"/>
    <w:rsid w:val="005D385B"/>
    <w:rsid w:val="005D4040"/>
    <w:rsid w:val="005D4CCF"/>
    <w:rsid w:val="005E1066"/>
    <w:rsid w:val="005E5F9B"/>
    <w:rsid w:val="005E76BF"/>
    <w:rsid w:val="005E79D4"/>
    <w:rsid w:val="005F437C"/>
    <w:rsid w:val="005F7148"/>
    <w:rsid w:val="005F7B8B"/>
    <w:rsid w:val="00607F1C"/>
    <w:rsid w:val="0061206A"/>
    <w:rsid w:val="0061693F"/>
    <w:rsid w:val="00617A15"/>
    <w:rsid w:val="006241D6"/>
    <w:rsid w:val="0062519D"/>
    <w:rsid w:val="00625FC5"/>
    <w:rsid w:val="00630768"/>
    <w:rsid w:val="006316C4"/>
    <w:rsid w:val="00633198"/>
    <w:rsid w:val="00635F84"/>
    <w:rsid w:val="0063760E"/>
    <w:rsid w:val="00637D5F"/>
    <w:rsid w:val="00642970"/>
    <w:rsid w:val="00643EDF"/>
    <w:rsid w:val="0064587E"/>
    <w:rsid w:val="0064773A"/>
    <w:rsid w:val="00650087"/>
    <w:rsid w:val="00650965"/>
    <w:rsid w:val="00653996"/>
    <w:rsid w:val="00653E63"/>
    <w:rsid w:val="00656D81"/>
    <w:rsid w:val="006576CC"/>
    <w:rsid w:val="00664E4B"/>
    <w:rsid w:val="0067056D"/>
    <w:rsid w:val="00670D01"/>
    <w:rsid w:val="00671018"/>
    <w:rsid w:val="00674CF5"/>
    <w:rsid w:val="00681C13"/>
    <w:rsid w:val="00681D65"/>
    <w:rsid w:val="00681FF3"/>
    <w:rsid w:val="00690834"/>
    <w:rsid w:val="00694946"/>
    <w:rsid w:val="00697A7D"/>
    <w:rsid w:val="006A0446"/>
    <w:rsid w:val="006A42B0"/>
    <w:rsid w:val="006A53C0"/>
    <w:rsid w:val="006A5AC5"/>
    <w:rsid w:val="006A7E88"/>
    <w:rsid w:val="006B5BF3"/>
    <w:rsid w:val="006B7C2A"/>
    <w:rsid w:val="006C2A59"/>
    <w:rsid w:val="006C2CAD"/>
    <w:rsid w:val="006C53DE"/>
    <w:rsid w:val="006C6F6D"/>
    <w:rsid w:val="006C784C"/>
    <w:rsid w:val="006C7B0C"/>
    <w:rsid w:val="006D1BCB"/>
    <w:rsid w:val="006D3C87"/>
    <w:rsid w:val="006D523E"/>
    <w:rsid w:val="006E0C3A"/>
    <w:rsid w:val="006E4777"/>
    <w:rsid w:val="006E4FD3"/>
    <w:rsid w:val="006E77F9"/>
    <w:rsid w:val="006F12D3"/>
    <w:rsid w:val="006F398A"/>
    <w:rsid w:val="006F4B9E"/>
    <w:rsid w:val="006F770C"/>
    <w:rsid w:val="006F7E0A"/>
    <w:rsid w:val="007000C5"/>
    <w:rsid w:val="00701CBF"/>
    <w:rsid w:val="007031AE"/>
    <w:rsid w:val="0070463C"/>
    <w:rsid w:val="00706302"/>
    <w:rsid w:val="00706F18"/>
    <w:rsid w:val="0071054E"/>
    <w:rsid w:val="007115A8"/>
    <w:rsid w:val="007118A9"/>
    <w:rsid w:val="00713B06"/>
    <w:rsid w:val="007163DA"/>
    <w:rsid w:val="00716B0A"/>
    <w:rsid w:val="00720456"/>
    <w:rsid w:val="00723010"/>
    <w:rsid w:val="00726F87"/>
    <w:rsid w:val="00737C36"/>
    <w:rsid w:val="00741227"/>
    <w:rsid w:val="007417C9"/>
    <w:rsid w:val="00741834"/>
    <w:rsid w:val="00744148"/>
    <w:rsid w:val="00744810"/>
    <w:rsid w:val="00745491"/>
    <w:rsid w:val="007470FA"/>
    <w:rsid w:val="00750EB3"/>
    <w:rsid w:val="00755B04"/>
    <w:rsid w:val="007616D2"/>
    <w:rsid w:val="00761B7B"/>
    <w:rsid w:val="00762A29"/>
    <w:rsid w:val="00764FA5"/>
    <w:rsid w:val="00766F6A"/>
    <w:rsid w:val="00772121"/>
    <w:rsid w:val="007756C4"/>
    <w:rsid w:val="00777BC4"/>
    <w:rsid w:val="00792105"/>
    <w:rsid w:val="0079529E"/>
    <w:rsid w:val="007960F9"/>
    <w:rsid w:val="00796579"/>
    <w:rsid w:val="007965D7"/>
    <w:rsid w:val="00797D6F"/>
    <w:rsid w:val="007B3DCB"/>
    <w:rsid w:val="007C3B8F"/>
    <w:rsid w:val="007C78AB"/>
    <w:rsid w:val="007C7FB0"/>
    <w:rsid w:val="007D4F47"/>
    <w:rsid w:val="007D761F"/>
    <w:rsid w:val="007D78BE"/>
    <w:rsid w:val="007D79A5"/>
    <w:rsid w:val="007E32A9"/>
    <w:rsid w:val="007E49BC"/>
    <w:rsid w:val="007E6FA9"/>
    <w:rsid w:val="007E7257"/>
    <w:rsid w:val="007F2089"/>
    <w:rsid w:val="007F2097"/>
    <w:rsid w:val="00801B40"/>
    <w:rsid w:val="00804B1A"/>
    <w:rsid w:val="00804DF3"/>
    <w:rsid w:val="008064CC"/>
    <w:rsid w:val="008067B8"/>
    <w:rsid w:val="00811334"/>
    <w:rsid w:val="00813725"/>
    <w:rsid w:val="00815C9F"/>
    <w:rsid w:val="00817716"/>
    <w:rsid w:val="00820265"/>
    <w:rsid w:val="00822B56"/>
    <w:rsid w:val="00826DCC"/>
    <w:rsid w:val="00830005"/>
    <w:rsid w:val="008310AA"/>
    <w:rsid w:val="00831BE4"/>
    <w:rsid w:val="0083378A"/>
    <w:rsid w:val="008362DC"/>
    <w:rsid w:val="00837BD9"/>
    <w:rsid w:val="008434E1"/>
    <w:rsid w:val="0084392C"/>
    <w:rsid w:val="00843AF1"/>
    <w:rsid w:val="00843EA4"/>
    <w:rsid w:val="00845F44"/>
    <w:rsid w:val="00851E8A"/>
    <w:rsid w:val="00854FAA"/>
    <w:rsid w:val="00855677"/>
    <w:rsid w:val="00860C7B"/>
    <w:rsid w:val="00860EC0"/>
    <w:rsid w:val="0086302A"/>
    <w:rsid w:val="008655AF"/>
    <w:rsid w:val="00865606"/>
    <w:rsid w:val="008663CB"/>
    <w:rsid w:val="008834BB"/>
    <w:rsid w:val="008857A1"/>
    <w:rsid w:val="00891B4D"/>
    <w:rsid w:val="00891BF3"/>
    <w:rsid w:val="008941F6"/>
    <w:rsid w:val="00894658"/>
    <w:rsid w:val="008A04BE"/>
    <w:rsid w:val="008A0B0A"/>
    <w:rsid w:val="008A17C5"/>
    <w:rsid w:val="008A22C7"/>
    <w:rsid w:val="008A2F62"/>
    <w:rsid w:val="008A6765"/>
    <w:rsid w:val="008A7554"/>
    <w:rsid w:val="008B0FD8"/>
    <w:rsid w:val="008B15DB"/>
    <w:rsid w:val="008B31DE"/>
    <w:rsid w:val="008C006A"/>
    <w:rsid w:val="008C1174"/>
    <w:rsid w:val="008C2227"/>
    <w:rsid w:val="008C34A3"/>
    <w:rsid w:val="008D0E87"/>
    <w:rsid w:val="008D35D8"/>
    <w:rsid w:val="008D56AC"/>
    <w:rsid w:val="008D7AC5"/>
    <w:rsid w:val="008E32E7"/>
    <w:rsid w:val="008E7B54"/>
    <w:rsid w:val="008F09B5"/>
    <w:rsid w:val="008F1945"/>
    <w:rsid w:val="008F3172"/>
    <w:rsid w:val="008F3BDE"/>
    <w:rsid w:val="008F577A"/>
    <w:rsid w:val="00905BC2"/>
    <w:rsid w:val="00906DB4"/>
    <w:rsid w:val="009105CF"/>
    <w:rsid w:val="00910690"/>
    <w:rsid w:val="0091140E"/>
    <w:rsid w:val="0091149C"/>
    <w:rsid w:val="00911D9B"/>
    <w:rsid w:val="00912FD1"/>
    <w:rsid w:val="00914729"/>
    <w:rsid w:val="00914E21"/>
    <w:rsid w:val="00916FB8"/>
    <w:rsid w:val="009235E8"/>
    <w:rsid w:val="00923C4D"/>
    <w:rsid w:val="009250D8"/>
    <w:rsid w:val="00925F89"/>
    <w:rsid w:val="00931820"/>
    <w:rsid w:val="009324C1"/>
    <w:rsid w:val="009357E7"/>
    <w:rsid w:val="009373D9"/>
    <w:rsid w:val="0094502F"/>
    <w:rsid w:val="00947466"/>
    <w:rsid w:val="009517B6"/>
    <w:rsid w:val="00951841"/>
    <w:rsid w:val="0095246B"/>
    <w:rsid w:val="00952A23"/>
    <w:rsid w:val="00953753"/>
    <w:rsid w:val="00955CAB"/>
    <w:rsid w:val="00960248"/>
    <w:rsid w:val="00960E92"/>
    <w:rsid w:val="009638D1"/>
    <w:rsid w:val="00964EBA"/>
    <w:rsid w:val="009700B5"/>
    <w:rsid w:val="00970FDB"/>
    <w:rsid w:val="00972A9E"/>
    <w:rsid w:val="00972C97"/>
    <w:rsid w:val="0097671E"/>
    <w:rsid w:val="00977543"/>
    <w:rsid w:val="00977B14"/>
    <w:rsid w:val="00977B35"/>
    <w:rsid w:val="00977CE0"/>
    <w:rsid w:val="0098388D"/>
    <w:rsid w:val="00992BEA"/>
    <w:rsid w:val="009A1C99"/>
    <w:rsid w:val="009A7113"/>
    <w:rsid w:val="009B1379"/>
    <w:rsid w:val="009B1EA1"/>
    <w:rsid w:val="009B2DFA"/>
    <w:rsid w:val="009C76E6"/>
    <w:rsid w:val="009D18DF"/>
    <w:rsid w:val="009D3CDE"/>
    <w:rsid w:val="009D5948"/>
    <w:rsid w:val="009E1E66"/>
    <w:rsid w:val="009E2CB6"/>
    <w:rsid w:val="009E63F3"/>
    <w:rsid w:val="009E776B"/>
    <w:rsid w:val="009E7807"/>
    <w:rsid w:val="009F06C4"/>
    <w:rsid w:val="009F0D48"/>
    <w:rsid w:val="009F1203"/>
    <w:rsid w:val="009F3E92"/>
    <w:rsid w:val="009F3F08"/>
    <w:rsid w:val="009F6106"/>
    <w:rsid w:val="009F7B64"/>
    <w:rsid w:val="00A005B6"/>
    <w:rsid w:val="00A015BD"/>
    <w:rsid w:val="00A038EA"/>
    <w:rsid w:val="00A05875"/>
    <w:rsid w:val="00A14075"/>
    <w:rsid w:val="00A15317"/>
    <w:rsid w:val="00A224F0"/>
    <w:rsid w:val="00A23FA1"/>
    <w:rsid w:val="00A24E8E"/>
    <w:rsid w:val="00A2653F"/>
    <w:rsid w:val="00A32F2E"/>
    <w:rsid w:val="00A40377"/>
    <w:rsid w:val="00A44D3F"/>
    <w:rsid w:val="00A50D0F"/>
    <w:rsid w:val="00A53409"/>
    <w:rsid w:val="00A54A4A"/>
    <w:rsid w:val="00A5713E"/>
    <w:rsid w:val="00A57F52"/>
    <w:rsid w:val="00A61C19"/>
    <w:rsid w:val="00A6206C"/>
    <w:rsid w:val="00A6365C"/>
    <w:rsid w:val="00A65B1E"/>
    <w:rsid w:val="00A72BB8"/>
    <w:rsid w:val="00A74632"/>
    <w:rsid w:val="00A75172"/>
    <w:rsid w:val="00A75A93"/>
    <w:rsid w:val="00A76CAE"/>
    <w:rsid w:val="00A77714"/>
    <w:rsid w:val="00A8190C"/>
    <w:rsid w:val="00A91A10"/>
    <w:rsid w:val="00A96B45"/>
    <w:rsid w:val="00AA02A8"/>
    <w:rsid w:val="00AA5A4A"/>
    <w:rsid w:val="00AA5D27"/>
    <w:rsid w:val="00AB7C21"/>
    <w:rsid w:val="00AC0C1F"/>
    <w:rsid w:val="00AC0C45"/>
    <w:rsid w:val="00AC2156"/>
    <w:rsid w:val="00AC4828"/>
    <w:rsid w:val="00AD39C9"/>
    <w:rsid w:val="00AE2806"/>
    <w:rsid w:val="00AE3A22"/>
    <w:rsid w:val="00AE7E92"/>
    <w:rsid w:val="00AF4554"/>
    <w:rsid w:val="00AF5136"/>
    <w:rsid w:val="00AF781A"/>
    <w:rsid w:val="00AF7A07"/>
    <w:rsid w:val="00B00A85"/>
    <w:rsid w:val="00B01B19"/>
    <w:rsid w:val="00B02ADA"/>
    <w:rsid w:val="00B03106"/>
    <w:rsid w:val="00B03815"/>
    <w:rsid w:val="00B03E37"/>
    <w:rsid w:val="00B075F1"/>
    <w:rsid w:val="00B13153"/>
    <w:rsid w:val="00B1382B"/>
    <w:rsid w:val="00B14270"/>
    <w:rsid w:val="00B16819"/>
    <w:rsid w:val="00B2494E"/>
    <w:rsid w:val="00B2603D"/>
    <w:rsid w:val="00B30E1E"/>
    <w:rsid w:val="00B31B81"/>
    <w:rsid w:val="00B34FA1"/>
    <w:rsid w:val="00B46A8A"/>
    <w:rsid w:val="00B47181"/>
    <w:rsid w:val="00B50B51"/>
    <w:rsid w:val="00B51DA2"/>
    <w:rsid w:val="00B539D4"/>
    <w:rsid w:val="00B53EE8"/>
    <w:rsid w:val="00B54A99"/>
    <w:rsid w:val="00B54AC1"/>
    <w:rsid w:val="00B635BC"/>
    <w:rsid w:val="00B6423E"/>
    <w:rsid w:val="00B64EB1"/>
    <w:rsid w:val="00B6555A"/>
    <w:rsid w:val="00B704C0"/>
    <w:rsid w:val="00B71262"/>
    <w:rsid w:val="00B72FC1"/>
    <w:rsid w:val="00B75ABB"/>
    <w:rsid w:val="00B9015F"/>
    <w:rsid w:val="00B9209C"/>
    <w:rsid w:val="00B95148"/>
    <w:rsid w:val="00B9553C"/>
    <w:rsid w:val="00B9774B"/>
    <w:rsid w:val="00BA3FA6"/>
    <w:rsid w:val="00BA6227"/>
    <w:rsid w:val="00BA7401"/>
    <w:rsid w:val="00BA7B57"/>
    <w:rsid w:val="00BB239E"/>
    <w:rsid w:val="00BB3473"/>
    <w:rsid w:val="00BB47DE"/>
    <w:rsid w:val="00BB4A71"/>
    <w:rsid w:val="00BB5A64"/>
    <w:rsid w:val="00BB642A"/>
    <w:rsid w:val="00BB6F57"/>
    <w:rsid w:val="00BC08B8"/>
    <w:rsid w:val="00BC2D4A"/>
    <w:rsid w:val="00BC3D16"/>
    <w:rsid w:val="00BC459A"/>
    <w:rsid w:val="00BC4A03"/>
    <w:rsid w:val="00BC676B"/>
    <w:rsid w:val="00BC71D3"/>
    <w:rsid w:val="00BD11F2"/>
    <w:rsid w:val="00BD4DAE"/>
    <w:rsid w:val="00BE67FB"/>
    <w:rsid w:val="00BF1D81"/>
    <w:rsid w:val="00C01C24"/>
    <w:rsid w:val="00C01FFF"/>
    <w:rsid w:val="00C03C37"/>
    <w:rsid w:val="00C10430"/>
    <w:rsid w:val="00C13B36"/>
    <w:rsid w:val="00C14B91"/>
    <w:rsid w:val="00C26294"/>
    <w:rsid w:val="00C2673D"/>
    <w:rsid w:val="00C26FCF"/>
    <w:rsid w:val="00C27624"/>
    <w:rsid w:val="00C36CAB"/>
    <w:rsid w:val="00C3700A"/>
    <w:rsid w:val="00C40B0B"/>
    <w:rsid w:val="00C44485"/>
    <w:rsid w:val="00C44F1A"/>
    <w:rsid w:val="00C47E9E"/>
    <w:rsid w:val="00C50761"/>
    <w:rsid w:val="00C52F46"/>
    <w:rsid w:val="00C52FA2"/>
    <w:rsid w:val="00C54AE7"/>
    <w:rsid w:val="00C55B1F"/>
    <w:rsid w:val="00C5786D"/>
    <w:rsid w:val="00C628C4"/>
    <w:rsid w:val="00C638C1"/>
    <w:rsid w:val="00C646AD"/>
    <w:rsid w:val="00C6480F"/>
    <w:rsid w:val="00C64FF9"/>
    <w:rsid w:val="00C65148"/>
    <w:rsid w:val="00C65C80"/>
    <w:rsid w:val="00C70381"/>
    <w:rsid w:val="00C723A6"/>
    <w:rsid w:val="00C8219A"/>
    <w:rsid w:val="00C8290B"/>
    <w:rsid w:val="00C84320"/>
    <w:rsid w:val="00C873B7"/>
    <w:rsid w:val="00C92E58"/>
    <w:rsid w:val="00C938DA"/>
    <w:rsid w:val="00C955BD"/>
    <w:rsid w:val="00CA3355"/>
    <w:rsid w:val="00CA3427"/>
    <w:rsid w:val="00CB1B16"/>
    <w:rsid w:val="00CB2328"/>
    <w:rsid w:val="00CB3DCA"/>
    <w:rsid w:val="00CB528B"/>
    <w:rsid w:val="00CC4600"/>
    <w:rsid w:val="00CC5314"/>
    <w:rsid w:val="00CC630E"/>
    <w:rsid w:val="00CC63AC"/>
    <w:rsid w:val="00CC6FA8"/>
    <w:rsid w:val="00CC7C9E"/>
    <w:rsid w:val="00CD2545"/>
    <w:rsid w:val="00CD682F"/>
    <w:rsid w:val="00CE12EF"/>
    <w:rsid w:val="00CE1BD6"/>
    <w:rsid w:val="00CE3231"/>
    <w:rsid w:val="00CE6BEE"/>
    <w:rsid w:val="00CE7B3B"/>
    <w:rsid w:val="00CF44F0"/>
    <w:rsid w:val="00D01A6D"/>
    <w:rsid w:val="00D03CC9"/>
    <w:rsid w:val="00D06A68"/>
    <w:rsid w:val="00D1008C"/>
    <w:rsid w:val="00D151F7"/>
    <w:rsid w:val="00D1523D"/>
    <w:rsid w:val="00D16086"/>
    <w:rsid w:val="00D2136C"/>
    <w:rsid w:val="00D22923"/>
    <w:rsid w:val="00D255B2"/>
    <w:rsid w:val="00D264D0"/>
    <w:rsid w:val="00D30013"/>
    <w:rsid w:val="00D32724"/>
    <w:rsid w:val="00D32E71"/>
    <w:rsid w:val="00D32E80"/>
    <w:rsid w:val="00D35003"/>
    <w:rsid w:val="00D42ADB"/>
    <w:rsid w:val="00D42D21"/>
    <w:rsid w:val="00D444CB"/>
    <w:rsid w:val="00D465A6"/>
    <w:rsid w:val="00D50712"/>
    <w:rsid w:val="00D5147E"/>
    <w:rsid w:val="00D5195C"/>
    <w:rsid w:val="00D51CC1"/>
    <w:rsid w:val="00D60720"/>
    <w:rsid w:val="00D61B42"/>
    <w:rsid w:val="00D624FB"/>
    <w:rsid w:val="00D64EAE"/>
    <w:rsid w:val="00D65505"/>
    <w:rsid w:val="00D675E8"/>
    <w:rsid w:val="00D73780"/>
    <w:rsid w:val="00D73E36"/>
    <w:rsid w:val="00D745A9"/>
    <w:rsid w:val="00D75014"/>
    <w:rsid w:val="00D755C6"/>
    <w:rsid w:val="00D80810"/>
    <w:rsid w:val="00D810BD"/>
    <w:rsid w:val="00D81E4E"/>
    <w:rsid w:val="00D835F0"/>
    <w:rsid w:val="00D83F61"/>
    <w:rsid w:val="00D85069"/>
    <w:rsid w:val="00D938FF"/>
    <w:rsid w:val="00D94031"/>
    <w:rsid w:val="00D948F8"/>
    <w:rsid w:val="00DA3EA5"/>
    <w:rsid w:val="00DB2B8C"/>
    <w:rsid w:val="00DB2EF5"/>
    <w:rsid w:val="00DB3303"/>
    <w:rsid w:val="00DB3674"/>
    <w:rsid w:val="00DC01F8"/>
    <w:rsid w:val="00DC1CD8"/>
    <w:rsid w:val="00DC1CDF"/>
    <w:rsid w:val="00DC4F54"/>
    <w:rsid w:val="00DD45EF"/>
    <w:rsid w:val="00DD5586"/>
    <w:rsid w:val="00DE3556"/>
    <w:rsid w:val="00DE3A81"/>
    <w:rsid w:val="00DE7D22"/>
    <w:rsid w:val="00DF0F0A"/>
    <w:rsid w:val="00DF2B2B"/>
    <w:rsid w:val="00E01EC6"/>
    <w:rsid w:val="00E040E7"/>
    <w:rsid w:val="00E04900"/>
    <w:rsid w:val="00E05087"/>
    <w:rsid w:val="00E10BD8"/>
    <w:rsid w:val="00E15B86"/>
    <w:rsid w:val="00E16DDE"/>
    <w:rsid w:val="00E170A8"/>
    <w:rsid w:val="00E2243C"/>
    <w:rsid w:val="00E24BC6"/>
    <w:rsid w:val="00E30FAC"/>
    <w:rsid w:val="00E314E7"/>
    <w:rsid w:val="00E323AC"/>
    <w:rsid w:val="00E32D5A"/>
    <w:rsid w:val="00E338EF"/>
    <w:rsid w:val="00E36A62"/>
    <w:rsid w:val="00E37171"/>
    <w:rsid w:val="00E3784F"/>
    <w:rsid w:val="00E43448"/>
    <w:rsid w:val="00E43F59"/>
    <w:rsid w:val="00E456C6"/>
    <w:rsid w:val="00E469F3"/>
    <w:rsid w:val="00E47F77"/>
    <w:rsid w:val="00E51A1F"/>
    <w:rsid w:val="00E56E88"/>
    <w:rsid w:val="00E631FA"/>
    <w:rsid w:val="00E6321B"/>
    <w:rsid w:val="00E632E0"/>
    <w:rsid w:val="00E64FA1"/>
    <w:rsid w:val="00E65E46"/>
    <w:rsid w:val="00E660E3"/>
    <w:rsid w:val="00E740CB"/>
    <w:rsid w:val="00E77105"/>
    <w:rsid w:val="00E82CEE"/>
    <w:rsid w:val="00E8446C"/>
    <w:rsid w:val="00E85973"/>
    <w:rsid w:val="00E90269"/>
    <w:rsid w:val="00E90F60"/>
    <w:rsid w:val="00E923D9"/>
    <w:rsid w:val="00E92A1C"/>
    <w:rsid w:val="00EA17CB"/>
    <w:rsid w:val="00EA237E"/>
    <w:rsid w:val="00EA29C4"/>
    <w:rsid w:val="00EA5DBD"/>
    <w:rsid w:val="00EB588F"/>
    <w:rsid w:val="00EB6736"/>
    <w:rsid w:val="00EB7E83"/>
    <w:rsid w:val="00EC207F"/>
    <w:rsid w:val="00EC2B90"/>
    <w:rsid w:val="00ED0921"/>
    <w:rsid w:val="00ED2CB6"/>
    <w:rsid w:val="00ED45C8"/>
    <w:rsid w:val="00ED68AB"/>
    <w:rsid w:val="00ED71D0"/>
    <w:rsid w:val="00EE0275"/>
    <w:rsid w:val="00EE57E3"/>
    <w:rsid w:val="00EF4A9F"/>
    <w:rsid w:val="00EF4C95"/>
    <w:rsid w:val="00EF5725"/>
    <w:rsid w:val="00F109EB"/>
    <w:rsid w:val="00F139EA"/>
    <w:rsid w:val="00F177D0"/>
    <w:rsid w:val="00F24182"/>
    <w:rsid w:val="00F25364"/>
    <w:rsid w:val="00F316E7"/>
    <w:rsid w:val="00F323B7"/>
    <w:rsid w:val="00F3302D"/>
    <w:rsid w:val="00F4440C"/>
    <w:rsid w:val="00F44ECD"/>
    <w:rsid w:val="00F458CC"/>
    <w:rsid w:val="00F51924"/>
    <w:rsid w:val="00F53D59"/>
    <w:rsid w:val="00F607D9"/>
    <w:rsid w:val="00F61A8B"/>
    <w:rsid w:val="00F65C23"/>
    <w:rsid w:val="00F66BBB"/>
    <w:rsid w:val="00F71A8A"/>
    <w:rsid w:val="00F74B8C"/>
    <w:rsid w:val="00F771EE"/>
    <w:rsid w:val="00F8365B"/>
    <w:rsid w:val="00F847EC"/>
    <w:rsid w:val="00F91AF4"/>
    <w:rsid w:val="00F96B08"/>
    <w:rsid w:val="00FB24FC"/>
    <w:rsid w:val="00FB61D1"/>
    <w:rsid w:val="00FB6609"/>
    <w:rsid w:val="00FC06A7"/>
    <w:rsid w:val="00FC194E"/>
    <w:rsid w:val="00FC27AD"/>
    <w:rsid w:val="00FC39D3"/>
    <w:rsid w:val="00FC4206"/>
    <w:rsid w:val="00FD1FF4"/>
    <w:rsid w:val="00FD4C0A"/>
    <w:rsid w:val="00FD745F"/>
    <w:rsid w:val="00FD7953"/>
    <w:rsid w:val="00FE0C4B"/>
    <w:rsid w:val="00FE210D"/>
    <w:rsid w:val="00FE2884"/>
    <w:rsid w:val="00FE48E9"/>
    <w:rsid w:val="00FE5F8C"/>
    <w:rsid w:val="00FE774D"/>
    <w:rsid w:val="00FF1E6D"/>
    <w:rsid w:val="00FF46F4"/>
    <w:rsid w:val="00FF527E"/>
    <w:rsid w:val="01057F2A"/>
    <w:rsid w:val="010613AE"/>
    <w:rsid w:val="010D5792"/>
    <w:rsid w:val="010F3B4F"/>
    <w:rsid w:val="01111D9D"/>
    <w:rsid w:val="01157897"/>
    <w:rsid w:val="011768A6"/>
    <w:rsid w:val="01176EA7"/>
    <w:rsid w:val="01177872"/>
    <w:rsid w:val="0122720B"/>
    <w:rsid w:val="0127533C"/>
    <w:rsid w:val="01281CC4"/>
    <w:rsid w:val="01294FDE"/>
    <w:rsid w:val="012F2438"/>
    <w:rsid w:val="01301B94"/>
    <w:rsid w:val="01302A23"/>
    <w:rsid w:val="01314808"/>
    <w:rsid w:val="01323CE1"/>
    <w:rsid w:val="013571B7"/>
    <w:rsid w:val="01392BCF"/>
    <w:rsid w:val="01396E1E"/>
    <w:rsid w:val="013975DA"/>
    <w:rsid w:val="013C2BBE"/>
    <w:rsid w:val="01466FA4"/>
    <w:rsid w:val="01470E5E"/>
    <w:rsid w:val="01545A05"/>
    <w:rsid w:val="015E6884"/>
    <w:rsid w:val="015F2C95"/>
    <w:rsid w:val="016145D7"/>
    <w:rsid w:val="0163054A"/>
    <w:rsid w:val="01632988"/>
    <w:rsid w:val="01633E9B"/>
    <w:rsid w:val="01694529"/>
    <w:rsid w:val="01695955"/>
    <w:rsid w:val="01730582"/>
    <w:rsid w:val="0173530F"/>
    <w:rsid w:val="01757D24"/>
    <w:rsid w:val="017B1F5F"/>
    <w:rsid w:val="017E2971"/>
    <w:rsid w:val="017F2554"/>
    <w:rsid w:val="018067FB"/>
    <w:rsid w:val="01871E1D"/>
    <w:rsid w:val="0187402D"/>
    <w:rsid w:val="018D0F17"/>
    <w:rsid w:val="018E16A7"/>
    <w:rsid w:val="019127B6"/>
    <w:rsid w:val="019B5C44"/>
    <w:rsid w:val="01A305B3"/>
    <w:rsid w:val="01A655AC"/>
    <w:rsid w:val="01A7779D"/>
    <w:rsid w:val="01A84B1E"/>
    <w:rsid w:val="01A86874"/>
    <w:rsid w:val="01A9628B"/>
    <w:rsid w:val="01AC6167"/>
    <w:rsid w:val="01AD1052"/>
    <w:rsid w:val="01AD5116"/>
    <w:rsid w:val="01B12E58"/>
    <w:rsid w:val="01B34FC9"/>
    <w:rsid w:val="01BF1958"/>
    <w:rsid w:val="01C50852"/>
    <w:rsid w:val="01C86B9A"/>
    <w:rsid w:val="01CC5EE4"/>
    <w:rsid w:val="01E05643"/>
    <w:rsid w:val="01E13418"/>
    <w:rsid w:val="01E230C7"/>
    <w:rsid w:val="01E274B5"/>
    <w:rsid w:val="01E4322D"/>
    <w:rsid w:val="01E8238A"/>
    <w:rsid w:val="01E90844"/>
    <w:rsid w:val="01E92C75"/>
    <w:rsid w:val="01EA04ED"/>
    <w:rsid w:val="01EA25D4"/>
    <w:rsid w:val="01EB1E5F"/>
    <w:rsid w:val="01EB66EA"/>
    <w:rsid w:val="01ED4BA8"/>
    <w:rsid w:val="01EF3594"/>
    <w:rsid w:val="01F11213"/>
    <w:rsid w:val="01F64D0F"/>
    <w:rsid w:val="01FA4117"/>
    <w:rsid w:val="01FB0577"/>
    <w:rsid w:val="01FB0CE7"/>
    <w:rsid w:val="01FB40D3"/>
    <w:rsid w:val="01FD42EF"/>
    <w:rsid w:val="01FE4E23"/>
    <w:rsid w:val="02057B50"/>
    <w:rsid w:val="020B14B6"/>
    <w:rsid w:val="020B49C5"/>
    <w:rsid w:val="020D5832"/>
    <w:rsid w:val="020E27B7"/>
    <w:rsid w:val="0214526F"/>
    <w:rsid w:val="021C6F3B"/>
    <w:rsid w:val="021F68FB"/>
    <w:rsid w:val="02217FDE"/>
    <w:rsid w:val="02232535"/>
    <w:rsid w:val="022500FE"/>
    <w:rsid w:val="022B36C9"/>
    <w:rsid w:val="0235429C"/>
    <w:rsid w:val="0236591B"/>
    <w:rsid w:val="023D526D"/>
    <w:rsid w:val="023D7171"/>
    <w:rsid w:val="023F66B6"/>
    <w:rsid w:val="02450489"/>
    <w:rsid w:val="024A0BB7"/>
    <w:rsid w:val="024B1AE1"/>
    <w:rsid w:val="0250562F"/>
    <w:rsid w:val="02545FE2"/>
    <w:rsid w:val="02565359"/>
    <w:rsid w:val="025C1016"/>
    <w:rsid w:val="025E5689"/>
    <w:rsid w:val="02623B18"/>
    <w:rsid w:val="026B598F"/>
    <w:rsid w:val="02721E6A"/>
    <w:rsid w:val="027810F7"/>
    <w:rsid w:val="027E47DC"/>
    <w:rsid w:val="02816CCE"/>
    <w:rsid w:val="02827355"/>
    <w:rsid w:val="02837101"/>
    <w:rsid w:val="02847D22"/>
    <w:rsid w:val="0285127B"/>
    <w:rsid w:val="02855D34"/>
    <w:rsid w:val="028A7AD6"/>
    <w:rsid w:val="028D50B9"/>
    <w:rsid w:val="02900CBF"/>
    <w:rsid w:val="029622DD"/>
    <w:rsid w:val="029E31C9"/>
    <w:rsid w:val="029F643A"/>
    <w:rsid w:val="02A64834"/>
    <w:rsid w:val="02A670E3"/>
    <w:rsid w:val="02A81DCF"/>
    <w:rsid w:val="02A912FA"/>
    <w:rsid w:val="02AA1CC4"/>
    <w:rsid w:val="02B125ED"/>
    <w:rsid w:val="02B20C36"/>
    <w:rsid w:val="02B6691C"/>
    <w:rsid w:val="02B956A0"/>
    <w:rsid w:val="02BF4930"/>
    <w:rsid w:val="02C10C41"/>
    <w:rsid w:val="02C16528"/>
    <w:rsid w:val="02C451B9"/>
    <w:rsid w:val="02C62933"/>
    <w:rsid w:val="02C92423"/>
    <w:rsid w:val="02CB3F51"/>
    <w:rsid w:val="02CE6653"/>
    <w:rsid w:val="02D53028"/>
    <w:rsid w:val="02D908B8"/>
    <w:rsid w:val="02D96EA0"/>
    <w:rsid w:val="02DA63DE"/>
    <w:rsid w:val="02DD0B78"/>
    <w:rsid w:val="02DF00FE"/>
    <w:rsid w:val="02ED7EC0"/>
    <w:rsid w:val="02EE5121"/>
    <w:rsid w:val="02F2197A"/>
    <w:rsid w:val="02FA25DD"/>
    <w:rsid w:val="02FC4AE0"/>
    <w:rsid w:val="03031491"/>
    <w:rsid w:val="03052DA4"/>
    <w:rsid w:val="03084CFA"/>
    <w:rsid w:val="030A1733"/>
    <w:rsid w:val="030C1BB3"/>
    <w:rsid w:val="03135004"/>
    <w:rsid w:val="0315293E"/>
    <w:rsid w:val="03154DA1"/>
    <w:rsid w:val="031A0493"/>
    <w:rsid w:val="031C07A5"/>
    <w:rsid w:val="031C19D8"/>
    <w:rsid w:val="031E2AEA"/>
    <w:rsid w:val="031E6485"/>
    <w:rsid w:val="031F3187"/>
    <w:rsid w:val="032D0AE6"/>
    <w:rsid w:val="032D0B48"/>
    <w:rsid w:val="033033A1"/>
    <w:rsid w:val="033334C1"/>
    <w:rsid w:val="03350302"/>
    <w:rsid w:val="0341425B"/>
    <w:rsid w:val="034C5A92"/>
    <w:rsid w:val="03550D02"/>
    <w:rsid w:val="03585BB8"/>
    <w:rsid w:val="03615469"/>
    <w:rsid w:val="03623DFE"/>
    <w:rsid w:val="03675EC4"/>
    <w:rsid w:val="036B21BB"/>
    <w:rsid w:val="036C0FA2"/>
    <w:rsid w:val="036D1000"/>
    <w:rsid w:val="03716606"/>
    <w:rsid w:val="037464C0"/>
    <w:rsid w:val="03792C39"/>
    <w:rsid w:val="037D6643"/>
    <w:rsid w:val="03800574"/>
    <w:rsid w:val="03812CD6"/>
    <w:rsid w:val="03852B0C"/>
    <w:rsid w:val="03881F30"/>
    <w:rsid w:val="038C575E"/>
    <w:rsid w:val="03927359"/>
    <w:rsid w:val="03990047"/>
    <w:rsid w:val="039F2BE8"/>
    <w:rsid w:val="03A42A90"/>
    <w:rsid w:val="03A86C42"/>
    <w:rsid w:val="03A94B9C"/>
    <w:rsid w:val="03AD10E5"/>
    <w:rsid w:val="03AD6E1A"/>
    <w:rsid w:val="03AD7099"/>
    <w:rsid w:val="03B41D7B"/>
    <w:rsid w:val="03B60BF9"/>
    <w:rsid w:val="03B6586B"/>
    <w:rsid w:val="03B939BC"/>
    <w:rsid w:val="03BE360A"/>
    <w:rsid w:val="03C343BD"/>
    <w:rsid w:val="03C86B87"/>
    <w:rsid w:val="03CD5E9D"/>
    <w:rsid w:val="03D162F9"/>
    <w:rsid w:val="03D96696"/>
    <w:rsid w:val="03D977B2"/>
    <w:rsid w:val="03DB0227"/>
    <w:rsid w:val="03DD0AE7"/>
    <w:rsid w:val="03DD6FCF"/>
    <w:rsid w:val="03DE268B"/>
    <w:rsid w:val="03E00E3D"/>
    <w:rsid w:val="03E272F9"/>
    <w:rsid w:val="03E51658"/>
    <w:rsid w:val="03E85489"/>
    <w:rsid w:val="03EC4E37"/>
    <w:rsid w:val="03EE377B"/>
    <w:rsid w:val="03FB0058"/>
    <w:rsid w:val="03FB315B"/>
    <w:rsid w:val="03FD1F70"/>
    <w:rsid w:val="03FF32AB"/>
    <w:rsid w:val="04004400"/>
    <w:rsid w:val="04096EF8"/>
    <w:rsid w:val="040A034A"/>
    <w:rsid w:val="040C3FE5"/>
    <w:rsid w:val="04105525"/>
    <w:rsid w:val="04124462"/>
    <w:rsid w:val="0412764C"/>
    <w:rsid w:val="04141A78"/>
    <w:rsid w:val="04163446"/>
    <w:rsid w:val="041D0DA5"/>
    <w:rsid w:val="041F17DE"/>
    <w:rsid w:val="042259EA"/>
    <w:rsid w:val="04273F03"/>
    <w:rsid w:val="042911EC"/>
    <w:rsid w:val="042C46C0"/>
    <w:rsid w:val="04335DA6"/>
    <w:rsid w:val="04351B1E"/>
    <w:rsid w:val="043A38FE"/>
    <w:rsid w:val="043F0BEF"/>
    <w:rsid w:val="04402E54"/>
    <w:rsid w:val="04414095"/>
    <w:rsid w:val="044657B4"/>
    <w:rsid w:val="044A6E51"/>
    <w:rsid w:val="044B2794"/>
    <w:rsid w:val="044D49EE"/>
    <w:rsid w:val="0451106C"/>
    <w:rsid w:val="045745E9"/>
    <w:rsid w:val="04591DC9"/>
    <w:rsid w:val="045941AD"/>
    <w:rsid w:val="045D35E6"/>
    <w:rsid w:val="0462424D"/>
    <w:rsid w:val="046B5540"/>
    <w:rsid w:val="046C12B8"/>
    <w:rsid w:val="04722C28"/>
    <w:rsid w:val="04754611"/>
    <w:rsid w:val="047547E6"/>
    <w:rsid w:val="04784101"/>
    <w:rsid w:val="04791D39"/>
    <w:rsid w:val="047B14FB"/>
    <w:rsid w:val="047C63EB"/>
    <w:rsid w:val="047F03BD"/>
    <w:rsid w:val="04820ADC"/>
    <w:rsid w:val="04833057"/>
    <w:rsid w:val="048750B9"/>
    <w:rsid w:val="04893D2D"/>
    <w:rsid w:val="048A1FD9"/>
    <w:rsid w:val="048D5DB9"/>
    <w:rsid w:val="048D7A8E"/>
    <w:rsid w:val="048F0CC4"/>
    <w:rsid w:val="049400CD"/>
    <w:rsid w:val="049E57F6"/>
    <w:rsid w:val="04A039C2"/>
    <w:rsid w:val="04A67F18"/>
    <w:rsid w:val="04AA002B"/>
    <w:rsid w:val="04B02D94"/>
    <w:rsid w:val="04B11637"/>
    <w:rsid w:val="04B67E37"/>
    <w:rsid w:val="04B94BB8"/>
    <w:rsid w:val="04BB56D6"/>
    <w:rsid w:val="04BC4BEF"/>
    <w:rsid w:val="04BE049C"/>
    <w:rsid w:val="04C17856"/>
    <w:rsid w:val="04C66907"/>
    <w:rsid w:val="04C863A6"/>
    <w:rsid w:val="04CC3851"/>
    <w:rsid w:val="04CD4588"/>
    <w:rsid w:val="04CF21A5"/>
    <w:rsid w:val="04D44776"/>
    <w:rsid w:val="04D93373"/>
    <w:rsid w:val="04DC0FC9"/>
    <w:rsid w:val="04E759E9"/>
    <w:rsid w:val="04E90A17"/>
    <w:rsid w:val="04EE2BBA"/>
    <w:rsid w:val="04EF7B7B"/>
    <w:rsid w:val="04F327D9"/>
    <w:rsid w:val="04FF3733"/>
    <w:rsid w:val="05015EA4"/>
    <w:rsid w:val="0505297F"/>
    <w:rsid w:val="050B74B8"/>
    <w:rsid w:val="050E411D"/>
    <w:rsid w:val="05112AA0"/>
    <w:rsid w:val="05133B45"/>
    <w:rsid w:val="0516073D"/>
    <w:rsid w:val="05166C4D"/>
    <w:rsid w:val="051742FE"/>
    <w:rsid w:val="051775AF"/>
    <w:rsid w:val="051A0D14"/>
    <w:rsid w:val="051B3A21"/>
    <w:rsid w:val="052413EA"/>
    <w:rsid w:val="0526590B"/>
    <w:rsid w:val="05282300"/>
    <w:rsid w:val="052F2A11"/>
    <w:rsid w:val="052F2DF0"/>
    <w:rsid w:val="05383505"/>
    <w:rsid w:val="053C128A"/>
    <w:rsid w:val="053D5991"/>
    <w:rsid w:val="05414449"/>
    <w:rsid w:val="05423A9E"/>
    <w:rsid w:val="054931CA"/>
    <w:rsid w:val="054D2E98"/>
    <w:rsid w:val="05551D4C"/>
    <w:rsid w:val="055C30DB"/>
    <w:rsid w:val="055C54E1"/>
    <w:rsid w:val="055C64B4"/>
    <w:rsid w:val="055E7DEA"/>
    <w:rsid w:val="055F18A1"/>
    <w:rsid w:val="05614532"/>
    <w:rsid w:val="0563618C"/>
    <w:rsid w:val="05662C7B"/>
    <w:rsid w:val="056B16EE"/>
    <w:rsid w:val="056C6757"/>
    <w:rsid w:val="056C7B49"/>
    <w:rsid w:val="05775478"/>
    <w:rsid w:val="05777F14"/>
    <w:rsid w:val="057B07DF"/>
    <w:rsid w:val="057B3BEB"/>
    <w:rsid w:val="05885318"/>
    <w:rsid w:val="058B3B49"/>
    <w:rsid w:val="058C311A"/>
    <w:rsid w:val="05982D0F"/>
    <w:rsid w:val="05991F64"/>
    <w:rsid w:val="05A625A8"/>
    <w:rsid w:val="05A66BD0"/>
    <w:rsid w:val="05AB7BBE"/>
    <w:rsid w:val="05AD264D"/>
    <w:rsid w:val="05B05A51"/>
    <w:rsid w:val="05B41575"/>
    <w:rsid w:val="05BC001D"/>
    <w:rsid w:val="05BD0AFB"/>
    <w:rsid w:val="05C32B43"/>
    <w:rsid w:val="05C3315A"/>
    <w:rsid w:val="05C33975"/>
    <w:rsid w:val="05CB678B"/>
    <w:rsid w:val="05D272CF"/>
    <w:rsid w:val="05D30CF1"/>
    <w:rsid w:val="05D44013"/>
    <w:rsid w:val="05DB3FDB"/>
    <w:rsid w:val="05DE4457"/>
    <w:rsid w:val="05E9719A"/>
    <w:rsid w:val="05ED3D2F"/>
    <w:rsid w:val="05EF30EC"/>
    <w:rsid w:val="05F55D33"/>
    <w:rsid w:val="05F6352F"/>
    <w:rsid w:val="05F87A69"/>
    <w:rsid w:val="05F95924"/>
    <w:rsid w:val="05FC241C"/>
    <w:rsid w:val="05FE4871"/>
    <w:rsid w:val="060519C4"/>
    <w:rsid w:val="061134A7"/>
    <w:rsid w:val="06115836"/>
    <w:rsid w:val="06166522"/>
    <w:rsid w:val="061678B1"/>
    <w:rsid w:val="061D286A"/>
    <w:rsid w:val="062D05D7"/>
    <w:rsid w:val="062F07EF"/>
    <w:rsid w:val="06304A2A"/>
    <w:rsid w:val="06304C93"/>
    <w:rsid w:val="06371B49"/>
    <w:rsid w:val="06381481"/>
    <w:rsid w:val="063A2626"/>
    <w:rsid w:val="06436049"/>
    <w:rsid w:val="06466D24"/>
    <w:rsid w:val="064A0940"/>
    <w:rsid w:val="064A7E15"/>
    <w:rsid w:val="06585F98"/>
    <w:rsid w:val="06596EA3"/>
    <w:rsid w:val="065A101E"/>
    <w:rsid w:val="06643CB5"/>
    <w:rsid w:val="066466EB"/>
    <w:rsid w:val="0669142D"/>
    <w:rsid w:val="06714D4C"/>
    <w:rsid w:val="0676641E"/>
    <w:rsid w:val="067668D3"/>
    <w:rsid w:val="067A7CBC"/>
    <w:rsid w:val="067E6148"/>
    <w:rsid w:val="06873DFF"/>
    <w:rsid w:val="068B67B9"/>
    <w:rsid w:val="069706D3"/>
    <w:rsid w:val="06976AC0"/>
    <w:rsid w:val="069851C7"/>
    <w:rsid w:val="0699205F"/>
    <w:rsid w:val="069D39AB"/>
    <w:rsid w:val="06A65256"/>
    <w:rsid w:val="06AA36DC"/>
    <w:rsid w:val="06AE05B5"/>
    <w:rsid w:val="06AE5BB8"/>
    <w:rsid w:val="06AF70AF"/>
    <w:rsid w:val="06B238FA"/>
    <w:rsid w:val="06B447B4"/>
    <w:rsid w:val="06BD229F"/>
    <w:rsid w:val="06BD46F6"/>
    <w:rsid w:val="06BE7EED"/>
    <w:rsid w:val="06C01D91"/>
    <w:rsid w:val="06C05907"/>
    <w:rsid w:val="06C264BE"/>
    <w:rsid w:val="06C56366"/>
    <w:rsid w:val="06C618DB"/>
    <w:rsid w:val="06CB3501"/>
    <w:rsid w:val="06CF7C57"/>
    <w:rsid w:val="06D13635"/>
    <w:rsid w:val="06D2791F"/>
    <w:rsid w:val="06DC138F"/>
    <w:rsid w:val="06E72E78"/>
    <w:rsid w:val="06EA7CF5"/>
    <w:rsid w:val="06EE06AA"/>
    <w:rsid w:val="06F45206"/>
    <w:rsid w:val="06F579D6"/>
    <w:rsid w:val="06FA2F89"/>
    <w:rsid w:val="06FD22CC"/>
    <w:rsid w:val="06FF3322"/>
    <w:rsid w:val="06FF6A72"/>
    <w:rsid w:val="07013F3A"/>
    <w:rsid w:val="070823C3"/>
    <w:rsid w:val="070A2FBC"/>
    <w:rsid w:val="070A6325"/>
    <w:rsid w:val="071023CF"/>
    <w:rsid w:val="071966BB"/>
    <w:rsid w:val="072145DC"/>
    <w:rsid w:val="0721772D"/>
    <w:rsid w:val="07280805"/>
    <w:rsid w:val="072A2F95"/>
    <w:rsid w:val="07351E35"/>
    <w:rsid w:val="07393611"/>
    <w:rsid w:val="073B154F"/>
    <w:rsid w:val="073C7668"/>
    <w:rsid w:val="073E702B"/>
    <w:rsid w:val="074D53D1"/>
    <w:rsid w:val="074D6B8E"/>
    <w:rsid w:val="074F6B6E"/>
    <w:rsid w:val="07536B19"/>
    <w:rsid w:val="075466F7"/>
    <w:rsid w:val="075558DF"/>
    <w:rsid w:val="075D429D"/>
    <w:rsid w:val="075F62A1"/>
    <w:rsid w:val="07646B75"/>
    <w:rsid w:val="07655518"/>
    <w:rsid w:val="076D7FCA"/>
    <w:rsid w:val="076E302D"/>
    <w:rsid w:val="076F51BD"/>
    <w:rsid w:val="076F6FBB"/>
    <w:rsid w:val="07754928"/>
    <w:rsid w:val="077C73B5"/>
    <w:rsid w:val="07840AF4"/>
    <w:rsid w:val="078D1C8E"/>
    <w:rsid w:val="078F7797"/>
    <w:rsid w:val="079202F7"/>
    <w:rsid w:val="07AB6B59"/>
    <w:rsid w:val="07AE4C12"/>
    <w:rsid w:val="07B90C75"/>
    <w:rsid w:val="07BA6E2C"/>
    <w:rsid w:val="07BB358A"/>
    <w:rsid w:val="07BB67DE"/>
    <w:rsid w:val="07BF1A82"/>
    <w:rsid w:val="07C531B9"/>
    <w:rsid w:val="07CC09EB"/>
    <w:rsid w:val="07D01F26"/>
    <w:rsid w:val="07D06F9A"/>
    <w:rsid w:val="07D11891"/>
    <w:rsid w:val="07D62AD7"/>
    <w:rsid w:val="07DB0C2F"/>
    <w:rsid w:val="07DD01E1"/>
    <w:rsid w:val="07DD1EBF"/>
    <w:rsid w:val="07E07FF3"/>
    <w:rsid w:val="07EC1AE1"/>
    <w:rsid w:val="07F01492"/>
    <w:rsid w:val="07F26B0C"/>
    <w:rsid w:val="07F535F9"/>
    <w:rsid w:val="07F57D52"/>
    <w:rsid w:val="07F87E0B"/>
    <w:rsid w:val="07FE4253"/>
    <w:rsid w:val="07FF3EE7"/>
    <w:rsid w:val="0800161B"/>
    <w:rsid w:val="0805678E"/>
    <w:rsid w:val="080666D7"/>
    <w:rsid w:val="080E26C1"/>
    <w:rsid w:val="080F23C6"/>
    <w:rsid w:val="081549A6"/>
    <w:rsid w:val="08157571"/>
    <w:rsid w:val="082425D6"/>
    <w:rsid w:val="08265B83"/>
    <w:rsid w:val="082A058E"/>
    <w:rsid w:val="082C023D"/>
    <w:rsid w:val="08367AFD"/>
    <w:rsid w:val="08391F57"/>
    <w:rsid w:val="083E464A"/>
    <w:rsid w:val="083F27D4"/>
    <w:rsid w:val="08470CC8"/>
    <w:rsid w:val="08517143"/>
    <w:rsid w:val="085879AA"/>
    <w:rsid w:val="085B1116"/>
    <w:rsid w:val="085E52C8"/>
    <w:rsid w:val="085F2374"/>
    <w:rsid w:val="08600C97"/>
    <w:rsid w:val="08614E76"/>
    <w:rsid w:val="08616D50"/>
    <w:rsid w:val="08625CBB"/>
    <w:rsid w:val="08634780"/>
    <w:rsid w:val="08686EAF"/>
    <w:rsid w:val="086E1673"/>
    <w:rsid w:val="08722901"/>
    <w:rsid w:val="08732502"/>
    <w:rsid w:val="0884149B"/>
    <w:rsid w:val="088458B6"/>
    <w:rsid w:val="08854775"/>
    <w:rsid w:val="0887156F"/>
    <w:rsid w:val="088B336B"/>
    <w:rsid w:val="088B4D4C"/>
    <w:rsid w:val="088C097C"/>
    <w:rsid w:val="089025C9"/>
    <w:rsid w:val="08906316"/>
    <w:rsid w:val="089A2898"/>
    <w:rsid w:val="089C1A16"/>
    <w:rsid w:val="089D7180"/>
    <w:rsid w:val="089E4343"/>
    <w:rsid w:val="08A54895"/>
    <w:rsid w:val="08A6646A"/>
    <w:rsid w:val="08AA1EE1"/>
    <w:rsid w:val="08AC1E74"/>
    <w:rsid w:val="08AD23CD"/>
    <w:rsid w:val="08B3090F"/>
    <w:rsid w:val="08B40E6D"/>
    <w:rsid w:val="08B82D1E"/>
    <w:rsid w:val="08BB376F"/>
    <w:rsid w:val="08C006CB"/>
    <w:rsid w:val="08C2594B"/>
    <w:rsid w:val="08C32BD2"/>
    <w:rsid w:val="08C806CF"/>
    <w:rsid w:val="08C83B73"/>
    <w:rsid w:val="08C87847"/>
    <w:rsid w:val="08C91A97"/>
    <w:rsid w:val="08CF1E1C"/>
    <w:rsid w:val="08D21E73"/>
    <w:rsid w:val="08D91E20"/>
    <w:rsid w:val="08DB6A0C"/>
    <w:rsid w:val="08DC4C5E"/>
    <w:rsid w:val="08DC7D12"/>
    <w:rsid w:val="08E069E3"/>
    <w:rsid w:val="08E13768"/>
    <w:rsid w:val="08E43B13"/>
    <w:rsid w:val="08E73603"/>
    <w:rsid w:val="08EA1C9D"/>
    <w:rsid w:val="08EA7EEC"/>
    <w:rsid w:val="08EB18BF"/>
    <w:rsid w:val="08EC2F08"/>
    <w:rsid w:val="08F1144B"/>
    <w:rsid w:val="08F2340D"/>
    <w:rsid w:val="08F24482"/>
    <w:rsid w:val="08F33F8A"/>
    <w:rsid w:val="08F55D20"/>
    <w:rsid w:val="09002454"/>
    <w:rsid w:val="09004A8E"/>
    <w:rsid w:val="09067F2D"/>
    <w:rsid w:val="090A33D4"/>
    <w:rsid w:val="090C469B"/>
    <w:rsid w:val="09111189"/>
    <w:rsid w:val="091B5818"/>
    <w:rsid w:val="091E36E1"/>
    <w:rsid w:val="091F0FEF"/>
    <w:rsid w:val="092044CE"/>
    <w:rsid w:val="0928351F"/>
    <w:rsid w:val="09287180"/>
    <w:rsid w:val="09290401"/>
    <w:rsid w:val="092C0131"/>
    <w:rsid w:val="092C4BCE"/>
    <w:rsid w:val="09315ADA"/>
    <w:rsid w:val="09336E0C"/>
    <w:rsid w:val="09370C40"/>
    <w:rsid w:val="093A3733"/>
    <w:rsid w:val="093B39AC"/>
    <w:rsid w:val="093D2830"/>
    <w:rsid w:val="093E420F"/>
    <w:rsid w:val="09420839"/>
    <w:rsid w:val="09451ADF"/>
    <w:rsid w:val="0946133C"/>
    <w:rsid w:val="09495B18"/>
    <w:rsid w:val="094E6076"/>
    <w:rsid w:val="094F39CB"/>
    <w:rsid w:val="095659EE"/>
    <w:rsid w:val="095B0728"/>
    <w:rsid w:val="096133B5"/>
    <w:rsid w:val="09684283"/>
    <w:rsid w:val="09693EC2"/>
    <w:rsid w:val="09694018"/>
    <w:rsid w:val="0969610A"/>
    <w:rsid w:val="096C5DD7"/>
    <w:rsid w:val="096C6106"/>
    <w:rsid w:val="096D097B"/>
    <w:rsid w:val="09712CC7"/>
    <w:rsid w:val="097314FE"/>
    <w:rsid w:val="09767EE3"/>
    <w:rsid w:val="09797D71"/>
    <w:rsid w:val="097C23A3"/>
    <w:rsid w:val="097E0982"/>
    <w:rsid w:val="09801E07"/>
    <w:rsid w:val="09803EFD"/>
    <w:rsid w:val="09893593"/>
    <w:rsid w:val="098F0098"/>
    <w:rsid w:val="098F1CD1"/>
    <w:rsid w:val="099054DD"/>
    <w:rsid w:val="099059BB"/>
    <w:rsid w:val="09916EB4"/>
    <w:rsid w:val="09941A13"/>
    <w:rsid w:val="09954128"/>
    <w:rsid w:val="09A03EDE"/>
    <w:rsid w:val="09A3577C"/>
    <w:rsid w:val="09A3679E"/>
    <w:rsid w:val="09AB24EE"/>
    <w:rsid w:val="09B039F5"/>
    <w:rsid w:val="09B317C4"/>
    <w:rsid w:val="09B743F2"/>
    <w:rsid w:val="09B96AC7"/>
    <w:rsid w:val="09BD529E"/>
    <w:rsid w:val="09C06FF9"/>
    <w:rsid w:val="09C419EE"/>
    <w:rsid w:val="09C45FF9"/>
    <w:rsid w:val="09CB7468"/>
    <w:rsid w:val="09CC75E8"/>
    <w:rsid w:val="09CF47C3"/>
    <w:rsid w:val="09D01A9D"/>
    <w:rsid w:val="09D16488"/>
    <w:rsid w:val="09D678FF"/>
    <w:rsid w:val="09D70526"/>
    <w:rsid w:val="09DA659A"/>
    <w:rsid w:val="09DC39D6"/>
    <w:rsid w:val="09F07868"/>
    <w:rsid w:val="09F359CD"/>
    <w:rsid w:val="0A00361B"/>
    <w:rsid w:val="0A0B3F34"/>
    <w:rsid w:val="0A120D1B"/>
    <w:rsid w:val="0A283ED3"/>
    <w:rsid w:val="0A2857C9"/>
    <w:rsid w:val="0A2B10F2"/>
    <w:rsid w:val="0A2D3577"/>
    <w:rsid w:val="0A38376D"/>
    <w:rsid w:val="0A3D6E41"/>
    <w:rsid w:val="0A462827"/>
    <w:rsid w:val="0A4630A2"/>
    <w:rsid w:val="0A463209"/>
    <w:rsid w:val="0A481E7F"/>
    <w:rsid w:val="0A4B4308"/>
    <w:rsid w:val="0A520144"/>
    <w:rsid w:val="0A522CFE"/>
    <w:rsid w:val="0A60541B"/>
    <w:rsid w:val="0A6115B2"/>
    <w:rsid w:val="0A614A80"/>
    <w:rsid w:val="0A660D58"/>
    <w:rsid w:val="0A687F54"/>
    <w:rsid w:val="0A711008"/>
    <w:rsid w:val="0A73010D"/>
    <w:rsid w:val="0A734010"/>
    <w:rsid w:val="0A7465F8"/>
    <w:rsid w:val="0A7636E6"/>
    <w:rsid w:val="0A7B45A4"/>
    <w:rsid w:val="0A7D75FE"/>
    <w:rsid w:val="0A7E0CEC"/>
    <w:rsid w:val="0A841EF4"/>
    <w:rsid w:val="0A8A7DF4"/>
    <w:rsid w:val="0A93759F"/>
    <w:rsid w:val="0A954D4D"/>
    <w:rsid w:val="0AA10AE2"/>
    <w:rsid w:val="0AA14C71"/>
    <w:rsid w:val="0AA44C54"/>
    <w:rsid w:val="0AA74DF8"/>
    <w:rsid w:val="0AAC378B"/>
    <w:rsid w:val="0AAD10C7"/>
    <w:rsid w:val="0AAE707E"/>
    <w:rsid w:val="0AAF18A3"/>
    <w:rsid w:val="0AB45767"/>
    <w:rsid w:val="0AB614DF"/>
    <w:rsid w:val="0AB9464D"/>
    <w:rsid w:val="0ABA0FCF"/>
    <w:rsid w:val="0ABE47D1"/>
    <w:rsid w:val="0AC3323D"/>
    <w:rsid w:val="0AD32091"/>
    <w:rsid w:val="0AD916EE"/>
    <w:rsid w:val="0ADB2CF4"/>
    <w:rsid w:val="0ADB7A9F"/>
    <w:rsid w:val="0ADF75C7"/>
    <w:rsid w:val="0AE24082"/>
    <w:rsid w:val="0AED075D"/>
    <w:rsid w:val="0AF1192F"/>
    <w:rsid w:val="0AFA4F61"/>
    <w:rsid w:val="0AFC763E"/>
    <w:rsid w:val="0AFD2C6A"/>
    <w:rsid w:val="0B04049C"/>
    <w:rsid w:val="0B071D3B"/>
    <w:rsid w:val="0B097169"/>
    <w:rsid w:val="0B0B35D9"/>
    <w:rsid w:val="0B0E131B"/>
    <w:rsid w:val="0B0F07B3"/>
    <w:rsid w:val="0B0F3348"/>
    <w:rsid w:val="0B183F48"/>
    <w:rsid w:val="0B190834"/>
    <w:rsid w:val="0B1C3A38"/>
    <w:rsid w:val="0B212DFC"/>
    <w:rsid w:val="0B26725C"/>
    <w:rsid w:val="0B2818C5"/>
    <w:rsid w:val="0B2E3C1B"/>
    <w:rsid w:val="0B2F146B"/>
    <w:rsid w:val="0B34673A"/>
    <w:rsid w:val="0B350547"/>
    <w:rsid w:val="0B370EB0"/>
    <w:rsid w:val="0B494B20"/>
    <w:rsid w:val="0B533D35"/>
    <w:rsid w:val="0B5539B8"/>
    <w:rsid w:val="0B58340D"/>
    <w:rsid w:val="0B5A5C12"/>
    <w:rsid w:val="0B5A5F79"/>
    <w:rsid w:val="0B61286E"/>
    <w:rsid w:val="0B633415"/>
    <w:rsid w:val="0B682F44"/>
    <w:rsid w:val="0B6D3F50"/>
    <w:rsid w:val="0B6D6210"/>
    <w:rsid w:val="0B737C0C"/>
    <w:rsid w:val="0B7E3184"/>
    <w:rsid w:val="0B7F6074"/>
    <w:rsid w:val="0B847E85"/>
    <w:rsid w:val="0B855199"/>
    <w:rsid w:val="0B884C29"/>
    <w:rsid w:val="0B8B766A"/>
    <w:rsid w:val="0B8C15FE"/>
    <w:rsid w:val="0B8E2C07"/>
    <w:rsid w:val="0B901D30"/>
    <w:rsid w:val="0B9E269F"/>
    <w:rsid w:val="0B9F01C5"/>
    <w:rsid w:val="0BA7032A"/>
    <w:rsid w:val="0BA85046"/>
    <w:rsid w:val="0BAD3CD0"/>
    <w:rsid w:val="0BAE0408"/>
    <w:rsid w:val="0BAF37D3"/>
    <w:rsid w:val="0BAF684E"/>
    <w:rsid w:val="0BB2614A"/>
    <w:rsid w:val="0BBA0474"/>
    <w:rsid w:val="0BBA6DAD"/>
    <w:rsid w:val="0BBC50B8"/>
    <w:rsid w:val="0BCE4606"/>
    <w:rsid w:val="0BCF0FE6"/>
    <w:rsid w:val="0BD21A3D"/>
    <w:rsid w:val="0BD33A23"/>
    <w:rsid w:val="0BDD3AE4"/>
    <w:rsid w:val="0BE26A3E"/>
    <w:rsid w:val="0BE4049B"/>
    <w:rsid w:val="0BE56560"/>
    <w:rsid w:val="0BEC083A"/>
    <w:rsid w:val="0BEF22A1"/>
    <w:rsid w:val="0BF10FF9"/>
    <w:rsid w:val="0BFA58DB"/>
    <w:rsid w:val="0C011AE6"/>
    <w:rsid w:val="0C03096F"/>
    <w:rsid w:val="0C041315"/>
    <w:rsid w:val="0C0530FD"/>
    <w:rsid w:val="0C087501"/>
    <w:rsid w:val="0C0A7F0E"/>
    <w:rsid w:val="0C0B0A96"/>
    <w:rsid w:val="0C142961"/>
    <w:rsid w:val="0C242C23"/>
    <w:rsid w:val="0C2564F2"/>
    <w:rsid w:val="0C2A700E"/>
    <w:rsid w:val="0C3152C1"/>
    <w:rsid w:val="0C350043"/>
    <w:rsid w:val="0C371869"/>
    <w:rsid w:val="0C3F5BB7"/>
    <w:rsid w:val="0C404E71"/>
    <w:rsid w:val="0C4636CB"/>
    <w:rsid w:val="0C46453E"/>
    <w:rsid w:val="0C48260B"/>
    <w:rsid w:val="0C4C6C68"/>
    <w:rsid w:val="0C4E0D4E"/>
    <w:rsid w:val="0C4F03B9"/>
    <w:rsid w:val="0C4F5747"/>
    <w:rsid w:val="0C514C17"/>
    <w:rsid w:val="0C524790"/>
    <w:rsid w:val="0C5578A6"/>
    <w:rsid w:val="0C561958"/>
    <w:rsid w:val="0C5D60B6"/>
    <w:rsid w:val="0C632FA1"/>
    <w:rsid w:val="0C653F5B"/>
    <w:rsid w:val="0C662A91"/>
    <w:rsid w:val="0C6869AE"/>
    <w:rsid w:val="0C6A2581"/>
    <w:rsid w:val="0C6C62F9"/>
    <w:rsid w:val="0C7159C7"/>
    <w:rsid w:val="0C743400"/>
    <w:rsid w:val="0C7B29E0"/>
    <w:rsid w:val="0C7D0B37"/>
    <w:rsid w:val="0C843854"/>
    <w:rsid w:val="0C8A3722"/>
    <w:rsid w:val="0C8A4278"/>
    <w:rsid w:val="0C9C7583"/>
    <w:rsid w:val="0CA70F3B"/>
    <w:rsid w:val="0CA90A65"/>
    <w:rsid w:val="0CAC2B9A"/>
    <w:rsid w:val="0CAC6900"/>
    <w:rsid w:val="0CBA3D2F"/>
    <w:rsid w:val="0CBC4882"/>
    <w:rsid w:val="0CBD3BC2"/>
    <w:rsid w:val="0CBF62B9"/>
    <w:rsid w:val="0CC3191C"/>
    <w:rsid w:val="0CC8361A"/>
    <w:rsid w:val="0CC9189D"/>
    <w:rsid w:val="0CC93DC8"/>
    <w:rsid w:val="0CCC0C33"/>
    <w:rsid w:val="0CDA3F06"/>
    <w:rsid w:val="0CDB522D"/>
    <w:rsid w:val="0CDB677D"/>
    <w:rsid w:val="0CDE6ACB"/>
    <w:rsid w:val="0CE146C4"/>
    <w:rsid w:val="0CE41051"/>
    <w:rsid w:val="0CE55524"/>
    <w:rsid w:val="0CE638C7"/>
    <w:rsid w:val="0CF2583E"/>
    <w:rsid w:val="0CF32F46"/>
    <w:rsid w:val="0CF530DC"/>
    <w:rsid w:val="0CFA34D7"/>
    <w:rsid w:val="0CFB58CF"/>
    <w:rsid w:val="0D0529F3"/>
    <w:rsid w:val="0D110C4F"/>
    <w:rsid w:val="0D125488"/>
    <w:rsid w:val="0D153941"/>
    <w:rsid w:val="0D182792"/>
    <w:rsid w:val="0D200E92"/>
    <w:rsid w:val="0D210ED6"/>
    <w:rsid w:val="0D2226A7"/>
    <w:rsid w:val="0D2D13CE"/>
    <w:rsid w:val="0D2E35AF"/>
    <w:rsid w:val="0D306F5A"/>
    <w:rsid w:val="0D315751"/>
    <w:rsid w:val="0D38267F"/>
    <w:rsid w:val="0D3D1AB9"/>
    <w:rsid w:val="0D3D1C49"/>
    <w:rsid w:val="0D3D5F97"/>
    <w:rsid w:val="0D3F2E3B"/>
    <w:rsid w:val="0D424593"/>
    <w:rsid w:val="0D4C7ED9"/>
    <w:rsid w:val="0D4D073C"/>
    <w:rsid w:val="0D4D7C32"/>
    <w:rsid w:val="0D5448F1"/>
    <w:rsid w:val="0D575853"/>
    <w:rsid w:val="0D5F5469"/>
    <w:rsid w:val="0D5F5E98"/>
    <w:rsid w:val="0D61401A"/>
    <w:rsid w:val="0D6414E2"/>
    <w:rsid w:val="0D6474CD"/>
    <w:rsid w:val="0D6508F3"/>
    <w:rsid w:val="0D67554D"/>
    <w:rsid w:val="0D6F018D"/>
    <w:rsid w:val="0D721D75"/>
    <w:rsid w:val="0D732931"/>
    <w:rsid w:val="0D74395F"/>
    <w:rsid w:val="0D744651"/>
    <w:rsid w:val="0D784D42"/>
    <w:rsid w:val="0D79544A"/>
    <w:rsid w:val="0D7A2C98"/>
    <w:rsid w:val="0D7A43E9"/>
    <w:rsid w:val="0D7D62E4"/>
    <w:rsid w:val="0D7E6588"/>
    <w:rsid w:val="0D84645D"/>
    <w:rsid w:val="0D8A0E20"/>
    <w:rsid w:val="0D8A733F"/>
    <w:rsid w:val="0D8B6547"/>
    <w:rsid w:val="0D92614A"/>
    <w:rsid w:val="0D933098"/>
    <w:rsid w:val="0D9B5C52"/>
    <w:rsid w:val="0DA336F3"/>
    <w:rsid w:val="0DA60FA7"/>
    <w:rsid w:val="0DA63A8D"/>
    <w:rsid w:val="0DA65E7A"/>
    <w:rsid w:val="0DAA3302"/>
    <w:rsid w:val="0DB51EB2"/>
    <w:rsid w:val="0DB57F17"/>
    <w:rsid w:val="0DB717F6"/>
    <w:rsid w:val="0DB80093"/>
    <w:rsid w:val="0DC0696C"/>
    <w:rsid w:val="0DC45E43"/>
    <w:rsid w:val="0DC6606E"/>
    <w:rsid w:val="0DC74F36"/>
    <w:rsid w:val="0DCD2DC7"/>
    <w:rsid w:val="0DCF60DD"/>
    <w:rsid w:val="0DD03E48"/>
    <w:rsid w:val="0DD61DF5"/>
    <w:rsid w:val="0DD759F4"/>
    <w:rsid w:val="0DDB6AEA"/>
    <w:rsid w:val="0DE16F6A"/>
    <w:rsid w:val="0DE17057"/>
    <w:rsid w:val="0DF81AA3"/>
    <w:rsid w:val="0E005229"/>
    <w:rsid w:val="0E0C75C3"/>
    <w:rsid w:val="0E0D2B52"/>
    <w:rsid w:val="0E142C07"/>
    <w:rsid w:val="0E153132"/>
    <w:rsid w:val="0E181FCB"/>
    <w:rsid w:val="0E1841A3"/>
    <w:rsid w:val="0E1D17FA"/>
    <w:rsid w:val="0E215F2D"/>
    <w:rsid w:val="0E2263E4"/>
    <w:rsid w:val="0E234058"/>
    <w:rsid w:val="0E242803"/>
    <w:rsid w:val="0E2C4C6D"/>
    <w:rsid w:val="0E31755E"/>
    <w:rsid w:val="0E320E7D"/>
    <w:rsid w:val="0E357D97"/>
    <w:rsid w:val="0E39220B"/>
    <w:rsid w:val="0E3D6F97"/>
    <w:rsid w:val="0E3E731D"/>
    <w:rsid w:val="0E40510D"/>
    <w:rsid w:val="0E4534DB"/>
    <w:rsid w:val="0E4806A0"/>
    <w:rsid w:val="0E5712F8"/>
    <w:rsid w:val="0E572FD9"/>
    <w:rsid w:val="0E5928AD"/>
    <w:rsid w:val="0E5B26A4"/>
    <w:rsid w:val="0E5F06F5"/>
    <w:rsid w:val="0E5F2243"/>
    <w:rsid w:val="0E603C3C"/>
    <w:rsid w:val="0E656064"/>
    <w:rsid w:val="0E6D562A"/>
    <w:rsid w:val="0E7072E7"/>
    <w:rsid w:val="0E707544"/>
    <w:rsid w:val="0E735658"/>
    <w:rsid w:val="0E77244B"/>
    <w:rsid w:val="0E773D56"/>
    <w:rsid w:val="0E7B0A75"/>
    <w:rsid w:val="0E821EE2"/>
    <w:rsid w:val="0E8A3A79"/>
    <w:rsid w:val="0E8D6F37"/>
    <w:rsid w:val="0E8F39AE"/>
    <w:rsid w:val="0E905E91"/>
    <w:rsid w:val="0E907A5A"/>
    <w:rsid w:val="0E92754E"/>
    <w:rsid w:val="0E9E4DEB"/>
    <w:rsid w:val="0EA00F27"/>
    <w:rsid w:val="0EA37FCC"/>
    <w:rsid w:val="0EA544CF"/>
    <w:rsid w:val="0EA96BD2"/>
    <w:rsid w:val="0EAA4EB7"/>
    <w:rsid w:val="0EAA780F"/>
    <w:rsid w:val="0EAC616F"/>
    <w:rsid w:val="0EAD6DCB"/>
    <w:rsid w:val="0EB012EB"/>
    <w:rsid w:val="0EB0521F"/>
    <w:rsid w:val="0EB35073"/>
    <w:rsid w:val="0EBB70C4"/>
    <w:rsid w:val="0ECA58F5"/>
    <w:rsid w:val="0ECC449B"/>
    <w:rsid w:val="0ECD2710"/>
    <w:rsid w:val="0ED00E73"/>
    <w:rsid w:val="0ED47CAE"/>
    <w:rsid w:val="0EE212F8"/>
    <w:rsid w:val="0EE26D46"/>
    <w:rsid w:val="0EE83C31"/>
    <w:rsid w:val="0EEA2E30"/>
    <w:rsid w:val="0EEB5186"/>
    <w:rsid w:val="0EF3469D"/>
    <w:rsid w:val="0EF54864"/>
    <w:rsid w:val="0F0375E6"/>
    <w:rsid w:val="0F092971"/>
    <w:rsid w:val="0F101AE8"/>
    <w:rsid w:val="0F130337"/>
    <w:rsid w:val="0F153EEF"/>
    <w:rsid w:val="0F1765DC"/>
    <w:rsid w:val="0F1C667F"/>
    <w:rsid w:val="0F246CCC"/>
    <w:rsid w:val="0F2B320C"/>
    <w:rsid w:val="0F301E21"/>
    <w:rsid w:val="0F33132B"/>
    <w:rsid w:val="0F3911B4"/>
    <w:rsid w:val="0F397152"/>
    <w:rsid w:val="0F3C7675"/>
    <w:rsid w:val="0F405924"/>
    <w:rsid w:val="0F481839"/>
    <w:rsid w:val="0F4C0AB6"/>
    <w:rsid w:val="0F4D0256"/>
    <w:rsid w:val="0F4D695A"/>
    <w:rsid w:val="0F4E07D7"/>
    <w:rsid w:val="0F5705B5"/>
    <w:rsid w:val="0F594E1C"/>
    <w:rsid w:val="0F59642D"/>
    <w:rsid w:val="0F5B2655"/>
    <w:rsid w:val="0F5C7C9E"/>
    <w:rsid w:val="0F5D258B"/>
    <w:rsid w:val="0F5D461F"/>
    <w:rsid w:val="0F5E433F"/>
    <w:rsid w:val="0F5F3EF3"/>
    <w:rsid w:val="0F601A19"/>
    <w:rsid w:val="0F631A51"/>
    <w:rsid w:val="0F67724C"/>
    <w:rsid w:val="0F6B38E7"/>
    <w:rsid w:val="0F6C4679"/>
    <w:rsid w:val="0F7344DB"/>
    <w:rsid w:val="0F76123D"/>
    <w:rsid w:val="0F79279D"/>
    <w:rsid w:val="0F7C4DF4"/>
    <w:rsid w:val="0F7D6AE4"/>
    <w:rsid w:val="0F7F78CD"/>
    <w:rsid w:val="0F821D2A"/>
    <w:rsid w:val="0F86213B"/>
    <w:rsid w:val="0F86228B"/>
    <w:rsid w:val="0F8A1C06"/>
    <w:rsid w:val="0F8A6A96"/>
    <w:rsid w:val="0F8B0C1F"/>
    <w:rsid w:val="0F9B2565"/>
    <w:rsid w:val="0F9C6BAC"/>
    <w:rsid w:val="0F9D7384"/>
    <w:rsid w:val="0FB07977"/>
    <w:rsid w:val="0FB12014"/>
    <w:rsid w:val="0FB56D0D"/>
    <w:rsid w:val="0FBD7855"/>
    <w:rsid w:val="0FCA5299"/>
    <w:rsid w:val="0FD0094D"/>
    <w:rsid w:val="0FD13DFA"/>
    <w:rsid w:val="0FD33E65"/>
    <w:rsid w:val="0FD412D7"/>
    <w:rsid w:val="0FD541B5"/>
    <w:rsid w:val="0FD66412"/>
    <w:rsid w:val="0FDA7A1E"/>
    <w:rsid w:val="0FDC047D"/>
    <w:rsid w:val="0FDF219A"/>
    <w:rsid w:val="0FDF3C40"/>
    <w:rsid w:val="0FE200C5"/>
    <w:rsid w:val="0FE30865"/>
    <w:rsid w:val="0FE42FE4"/>
    <w:rsid w:val="0FF07F35"/>
    <w:rsid w:val="0FF64197"/>
    <w:rsid w:val="10046BCC"/>
    <w:rsid w:val="1009341D"/>
    <w:rsid w:val="100D194E"/>
    <w:rsid w:val="100E12EB"/>
    <w:rsid w:val="10100615"/>
    <w:rsid w:val="10122644"/>
    <w:rsid w:val="10132E2C"/>
    <w:rsid w:val="10156752"/>
    <w:rsid w:val="101733C1"/>
    <w:rsid w:val="101F1E23"/>
    <w:rsid w:val="10223267"/>
    <w:rsid w:val="102B4BAB"/>
    <w:rsid w:val="102E53C3"/>
    <w:rsid w:val="10316B0C"/>
    <w:rsid w:val="10321B70"/>
    <w:rsid w:val="10367934"/>
    <w:rsid w:val="1039468E"/>
    <w:rsid w:val="10415DD5"/>
    <w:rsid w:val="10417BE0"/>
    <w:rsid w:val="104356F0"/>
    <w:rsid w:val="104A4BA3"/>
    <w:rsid w:val="104C6198"/>
    <w:rsid w:val="105356D3"/>
    <w:rsid w:val="1054769C"/>
    <w:rsid w:val="105A4322"/>
    <w:rsid w:val="105E3D6A"/>
    <w:rsid w:val="105F3ED6"/>
    <w:rsid w:val="1063047D"/>
    <w:rsid w:val="10655461"/>
    <w:rsid w:val="1067224D"/>
    <w:rsid w:val="10686DD7"/>
    <w:rsid w:val="1069219C"/>
    <w:rsid w:val="106B44DB"/>
    <w:rsid w:val="106E54F8"/>
    <w:rsid w:val="10702130"/>
    <w:rsid w:val="10707C63"/>
    <w:rsid w:val="10757B5E"/>
    <w:rsid w:val="10771DF8"/>
    <w:rsid w:val="10775240"/>
    <w:rsid w:val="10795489"/>
    <w:rsid w:val="10861954"/>
    <w:rsid w:val="10865069"/>
    <w:rsid w:val="1088173F"/>
    <w:rsid w:val="10893A1F"/>
    <w:rsid w:val="108F4E95"/>
    <w:rsid w:val="10911D45"/>
    <w:rsid w:val="10914A8C"/>
    <w:rsid w:val="109202F8"/>
    <w:rsid w:val="10964894"/>
    <w:rsid w:val="109718BE"/>
    <w:rsid w:val="109E4376"/>
    <w:rsid w:val="10A1752C"/>
    <w:rsid w:val="10A35867"/>
    <w:rsid w:val="10A45BF9"/>
    <w:rsid w:val="10A515C1"/>
    <w:rsid w:val="10A52C06"/>
    <w:rsid w:val="10A86948"/>
    <w:rsid w:val="10B041CB"/>
    <w:rsid w:val="10BB2BAA"/>
    <w:rsid w:val="10BE0CCE"/>
    <w:rsid w:val="10BF3C1B"/>
    <w:rsid w:val="10C34956"/>
    <w:rsid w:val="10C91A39"/>
    <w:rsid w:val="10CB351F"/>
    <w:rsid w:val="10CD552B"/>
    <w:rsid w:val="10D10FA4"/>
    <w:rsid w:val="10D227FB"/>
    <w:rsid w:val="10D26947"/>
    <w:rsid w:val="10D525AD"/>
    <w:rsid w:val="10DB323B"/>
    <w:rsid w:val="10E072B6"/>
    <w:rsid w:val="10E175DA"/>
    <w:rsid w:val="10F209D7"/>
    <w:rsid w:val="10F67410"/>
    <w:rsid w:val="10F9427F"/>
    <w:rsid w:val="10F945B7"/>
    <w:rsid w:val="10FA2E8C"/>
    <w:rsid w:val="10FC4F74"/>
    <w:rsid w:val="10FE14EA"/>
    <w:rsid w:val="110051B1"/>
    <w:rsid w:val="11060399"/>
    <w:rsid w:val="11081501"/>
    <w:rsid w:val="11090F2A"/>
    <w:rsid w:val="110F7B9B"/>
    <w:rsid w:val="11110182"/>
    <w:rsid w:val="11162CD7"/>
    <w:rsid w:val="11182257"/>
    <w:rsid w:val="111C08B9"/>
    <w:rsid w:val="111F3046"/>
    <w:rsid w:val="112538ED"/>
    <w:rsid w:val="112A7E6B"/>
    <w:rsid w:val="112C4EB0"/>
    <w:rsid w:val="112E0B09"/>
    <w:rsid w:val="11304812"/>
    <w:rsid w:val="113257B6"/>
    <w:rsid w:val="11335ABC"/>
    <w:rsid w:val="113678A7"/>
    <w:rsid w:val="113E4F3E"/>
    <w:rsid w:val="113F0654"/>
    <w:rsid w:val="11405FA6"/>
    <w:rsid w:val="1142587A"/>
    <w:rsid w:val="1145469F"/>
    <w:rsid w:val="11470D78"/>
    <w:rsid w:val="11487D05"/>
    <w:rsid w:val="11522310"/>
    <w:rsid w:val="1152437A"/>
    <w:rsid w:val="11533A80"/>
    <w:rsid w:val="11542197"/>
    <w:rsid w:val="11591A8F"/>
    <w:rsid w:val="11592BC4"/>
    <w:rsid w:val="115952E0"/>
    <w:rsid w:val="115973DB"/>
    <w:rsid w:val="115F6740"/>
    <w:rsid w:val="11621A79"/>
    <w:rsid w:val="11665AA1"/>
    <w:rsid w:val="11675444"/>
    <w:rsid w:val="11682D49"/>
    <w:rsid w:val="116E11C2"/>
    <w:rsid w:val="116E2B13"/>
    <w:rsid w:val="116F23E8"/>
    <w:rsid w:val="11701997"/>
    <w:rsid w:val="117901BD"/>
    <w:rsid w:val="117A030F"/>
    <w:rsid w:val="117C2CAF"/>
    <w:rsid w:val="118E0AC0"/>
    <w:rsid w:val="118F0D3C"/>
    <w:rsid w:val="119A7465"/>
    <w:rsid w:val="119D6F55"/>
    <w:rsid w:val="11A02871"/>
    <w:rsid w:val="11A46071"/>
    <w:rsid w:val="11AC5821"/>
    <w:rsid w:val="11AD16F5"/>
    <w:rsid w:val="11AD71AA"/>
    <w:rsid w:val="11AD754C"/>
    <w:rsid w:val="11BF3ECF"/>
    <w:rsid w:val="11C055BF"/>
    <w:rsid w:val="11C736B4"/>
    <w:rsid w:val="11CA258A"/>
    <w:rsid w:val="11CA6B53"/>
    <w:rsid w:val="11CB1D14"/>
    <w:rsid w:val="11CC04F9"/>
    <w:rsid w:val="11CF0A67"/>
    <w:rsid w:val="11CF613A"/>
    <w:rsid w:val="11D21C22"/>
    <w:rsid w:val="11DC260A"/>
    <w:rsid w:val="11DD55A3"/>
    <w:rsid w:val="11F12A65"/>
    <w:rsid w:val="11F74348"/>
    <w:rsid w:val="11FB613E"/>
    <w:rsid w:val="11FF59EF"/>
    <w:rsid w:val="12020FE2"/>
    <w:rsid w:val="12022042"/>
    <w:rsid w:val="12043746"/>
    <w:rsid w:val="120455E0"/>
    <w:rsid w:val="12064AFA"/>
    <w:rsid w:val="1209047D"/>
    <w:rsid w:val="120915A9"/>
    <w:rsid w:val="120E0A30"/>
    <w:rsid w:val="12127153"/>
    <w:rsid w:val="12137217"/>
    <w:rsid w:val="121A0B1F"/>
    <w:rsid w:val="121C14D2"/>
    <w:rsid w:val="121F5BBC"/>
    <w:rsid w:val="122136E2"/>
    <w:rsid w:val="12253EF0"/>
    <w:rsid w:val="12347B99"/>
    <w:rsid w:val="12392EEE"/>
    <w:rsid w:val="123F1DBA"/>
    <w:rsid w:val="123F735D"/>
    <w:rsid w:val="1243466D"/>
    <w:rsid w:val="12463148"/>
    <w:rsid w:val="124E7A27"/>
    <w:rsid w:val="12540589"/>
    <w:rsid w:val="125569D2"/>
    <w:rsid w:val="125603E8"/>
    <w:rsid w:val="12563B31"/>
    <w:rsid w:val="125956F1"/>
    <w:rsid w:val="12745F08"/>
    <w:rsid w:val="127F5D16"/>
    <w:rsid w:val="128033D7"/>
    <w:rsid w:val="12861485"/>
    <w:rsid w:val="128708E0"/>
    <w:rsid w:val="12881DBA"/>
    <w:rsid w:val="128B14A3"/>
    <w:rsid w:val="128D3253"/>
    <w:rsid w:val="128F2D41"/>
    <w:rsid w:val="128F42B3"/>
    <w:rsid w:val="129B2707"/>
    <w:rsid w:val="129B5A3D"/>
    <w:rsid w:val="129C0FBA"/>
    <w:rsid w:val="129D5A0F"/>
    <w:rsid w:val="129E4D32"/>
    <w:rsid w:val="12A2143F"/>
    <w:rsid w:val="12A311EE"/>
    <w:rsid w:val="12A5440A"/>
    <w:rsid w:val="12A70FC5"/>
    <w:rsid w:val="12A93EA4"/>
    <w:rsid w:val="12AA21B9"/>
    <w:rsid w:val="12B15EBF"/>
    <w:rsid w:val="12B31832"/>
    <w:rsid w:val="12B7742B"/>
    <w:rsid w:val="12B77A68"/>
    <w:rsid w:val="12B92386"/>
    <w:rsid w:val="12BB3B36"/>
    <w:rsid w:val="12BD72EC"/>
    <w:rsid w:val="12BE3627"/>
    <w:rsid w:val="12C03696"/>
    <w:rsid w:val="12C119C2"/>
    <w:rsid w:val="12C37B64"/>
    <w:rsid w:val="12DC1B10"/>
    <w:rsid w:val="12E50757"/>
    <w:rsid w:val="12EB04B2"/>
    <w:rsid w:val="12EF558E"/>
    <w:rsid w:val="12F8205D"/>
    <w:rsid w:val="12FD028C"/>
    <w:rsid w:val="12FD619D"/>
    <w:rsid w:val="12FE0C6F"/>
    <w:rsid w:val="12FE2AD0"/>
    <w:rsid w:val="130351FC"/>
    <w:rsid w:val="131274CE"/>
    <w:rsid w:val="131845C6"/>
    <w:rsid w:val="131C53C6"/>
    <w:rsid w:val="131E2317"/>
    <w:rsid w:val="13202F33"/>
    <w:rsid w:val="13203217"/>
    <w:rsid w:val="13222443"/>
    <w:rsid w:val="1323348A"/>
    <w:rsid w:val="132A2423"/>
    <w:rsid w:val="13324823"/>
    <w:rsid w:val="13347780"/>
    <w:rsid w:val="13366CF7"/>
    <w:rsid w:val="133752AE"/>
    <w:rsid w:val="133B09C5"/>
    <w:rsid w:val="133E014E"/>
    <w:rsid w:val="13432435"/>
    <w:rsid w:val="13471174"/>
    <w:rsid w:val="134753CA"/>
    <w:rsid w:val="13516249"/>
    <w:rsid w:val="13544721"/>
    <w:rsid w:val="135C076E"/>
    <w:rsid w:val="136166A6"/>
    <w:rsid w:val="13631AD8"/>
    <w:rsid w:val="136A019E"/>
    <w:rsid w:val="136A0D99"/>
    <w:rsid w:val="136A2E67"/>
    <w:rsid w:val="136B0CFE"/>
    <w:rsid w:val="13704D59"/>
    <w:rsid w:val="137453B5"/>
    <w:rsid w:val="1374602D"/>
    <w:rsid w:val="137727F7"/>
    <w:rsid w:val="13786DAA"/>
    <w:rsid w:val="137938C6"/>
    <w:rsid w:val="13796071"/>
    <w:rsid w:val="137D5290"/>
    <w:rsid w:val="137E4BF0"/>
    <w:rsid w:val="13826402"/>
    <w:rsid w:val="13833235"/>
    <w:rsid w:val="13891B5E"/>
    <w:rsid w:val="138A5FE6"/>
    <w:rsid w:val="138C54D3"/>
    <w:rsid w:val="138D43BC"/>
    <w:rsid w:val="138F54AC"/>
    <w:rsid w:val="13932636"/>
    <w:rsid w:val="139B233C"/>
    <w:rsid w:val="13A51D42"/>
    <w:rsid w:val="13A520F1"/>
    <w:rsid w:val="13A64615"/>
    <w:rsid w:val="13B1089B"/>
    <w:rsid w:val="13B91AC1"/>
    <w:rsid w:val="13B91E6B"/>
    <w:rsid w:val="13C017B0"/>
    <w:rsid w:val="13C01A67"/>
    <w:rsid w:val="13C07CB5"/>
    <w:rsid w:val="13C46A1B"/>
    <w:rsid w:val="13C85D2F"/>
    <w:rsid w:val="13C8762E"/>
    <w:rsid w:val="13CA13E4"/>
    <w:rsid w:val="13CA1E10"/>
    <w:rsid w:val="13CF13D8"/>
    <w:rsid w:val="13D01963"/>
    <w:rsid w:val="13D1738A"/>
    <w:rsid w:val="13E21F3D"/>
    <w:rsid w:val="13E42C19"/>
    <w:rsid w:val="13E65FC2"/>
    <w:rsid w:val="13EB21F9"/>
    <w:rsid w:val="13EB66AD"/>
    <w:rsid w:val="13EC47FF"/>
    <w:rsid w:val="13F015BE"/>
    <w:rsid w:val="13F33F1A"/>
    <w:rsid w:val="13F51C0C"/>
    <w:rsid w:val="13FB4F42"/>
    <w:rsid w:val="14010C47"/>
    <w:rsid w:val="14012A2A"/>
    <w:rsid w:val="140208D4"/>
    <w:rsid w:val="14066DA1"/>
    <w:rsid w:val="14100BC6"/>
    <w:rsid w:val="141253EA"/>
    <w:rsid w:val="14162CFF"/>
    <w:rsid w:val="141A0861"/>
    <w:rsid w:val="14215216"/>
    <w:rsid w:val="14261483"/>
    <w:rsid w:val="14377584"/>
    <w:rsid w:val="143929DD"/>
    <w:rsid w:val="14396A7F"/>
    <w:rsid w:val="143B34DC"/>
    <w:rsid w:val="143E4639"/>
    <w:rsid w:val="14427ADE"/>
    <w:rsid w:val="14445DAD"/>
    <w:rsid w:val="14527981"/>
    <w:rsid w:val="14576F04"/>
    <w:rsid w:val="14580EAB"/>
    <w:rsid w:val="1465273E"/>
    <w:rsid w:val="14657772"/>
    <w:rsid w:val="146752C6"/>
    <w:rsid w:val="146B00E9"/>
    <w:rsid w:val="147100C9"/>
    <w:rsid w:val="147D37E2"/>
    <w:rsid w:val="148157EB"/>
    <w:rsid w:val="148278AB"/>
    <w:rsid w:val="148443FC"/>
    <w:rsid w:val="14863CD0"/>
    <w:rsid w:val="14887A48"/>
    <w:rsid w:val="14891DA1"/>
    <w:rsid w:val="148A5234"/>
    <w:rsid w:val="148B578A"/>
    <w:rsid w:val="148F3496"/>
    <w:rsid w:val="149226FA"/>
    <w:rsid w:val="149E117D"/>
    <w:rsid w:val="14A15D7F"/>
    <w:rsid w:val="14A2475D"/>
    <w:rsid w:val="14AB256A"/>
    <w:rsid w:val="14AD0410"/>
    <w:rsid w:val="14AD08F7"/>
    <w:rsid w:val="14AD51F5"/>
    <w:rsid w:val="14AD74AF"/>
    <w:rsid w:val="14B01E2A"/>
    <w:rsid w:val="14B06F9F"/>
    <w:rsid w:val="14B720DC"/>
    <w:rsid w:val="14BF2598"/>
    <w:rsid w:val="14C5099F"/>
    <w:rsid w:val="14C741BE"/>
    <w:rsid w:val="14C9576B"/>
    <w:rsid w:val="14CE7962"/>
    <w:rsid w:val="14D34F56"/>
    <w:rsid w:val="14D93CA3"/>
    <w:rsid w:val="14D97D7A"/>
    <w:rsid w:val="14E824F5"/>
    <w:rsid w:val="14F055ED"/>
    <w:rsid w:val="14F072B7"/>
    <w:rsid w:val="14FB5362"/>
    <w:rsid w:val="14FE107E"/>
    <w:rsid w:val="15045FA0"/>
    <w:rsid w:val="150A478B"/>
    <w:rsid w:val="15125092"/>
    <w:rsid w:val="15147E5D"/>
    <w:rsid w:val="15165053"/>
    <w:rsid w:val="151829DD"/>
    <w:rsid w:val="15185324"/>
    <w:rsid w:val="15206C91"/>
    <w:rsid w:val="15270444"/>
    <w:rsid w:val="152B36E3"/>
    <w:rsid w:val="152F78ED"/>
    <w:rsid w:val="153656F6"/>
    <w:rsid w:val="1544397C"/>
    <w:rsid w:val="154A456C"/>
    <w:rsid w:val="154B17EF"/>
    <w:rsid w:val="15511780"/>
    <w:rsid w:val="15545F0E"/>
    <w:rsid w:val="15553DBC"/>
    <w:rsid w:val="15574013"/>
    <w:rsid w:val="155913E5"/>
    <w:rsid w:val="155A5A16"/>
    <w:rsid w:val="155D031A"/>
    <w:rsid w:val="155D7420"/>
    <w:rsid w:val="155F0EE8"/>
    <w:rsid w:val="15646BE9"/>
    <w:rsid w:val="15661E0A"/>
    <w:rsid w:val="156D3134"/>
    <w:rsid w:val="156D51BA"/>
    <w:rsid w:val="15732B73"/>
    <w:rsid w:val="15753E92"/>
    <w:rsid w:val="15755E7A"/>
    <w:rsid w:val="15777E46"/>
    <w:rsid w:val="157955E3"/>
    <w:rsid w:val="158315D5"/>
    <w:rsid w:val="1585196B"/>
    <w:rsid w:val="15856EB3"/>
    <w:rsid w:val="158B6F01"/>
    <w:rsid w:val="158C30D1"/>
    <w:rsid w:val="159202E7"/>
    <w:rsid w:val="15922D0A"/>
    <w:rsid w:val="1594066F"/>
    <w:rsid w:val="159E5049"/>
    <w:rsid w:val="159F66BE"/>
    <w:rsid w:val="15A0401B"/>
    <w:rsid w:val="15A468E4"/>
    <w:rsid w:val="15A812E7"/>
    <w:rsid w:val="15A93654"/>
    <w:rsid w:val="15B30AF5"/>
    <w:rsid w:val="15B8435D"/>
    <w:rsid w:val="15C1542F"/>
    <w:rsid w:val="15C30134"/>
    <w:rsid w:val="15C4758D"/>
    <w:rsid w:val="15C56AC1"/>
    <w:rsid w:val="15C70A44"/>
    <w:rsid w:val="15CA5A18"/>
    <w:rsid w:val="15D134EC"/>
    <w:rsid w:val="15D417E2"/>
    <w:rsid w:val="15D55BEC"/>
    <w:rsid w:val="15D61D89"/>
    <w:rsid w:val="15DD3D01"/>
    <w:rsid w:val="15DD56A0"/>
    <w:rsid w:val="15E44712"/>
    <w:rsid w:val="15E44A33"/>
    <w:rsid w:val="15EA028F"/>
    <w:rsid w:val="15EF58A5"/>
    <w:rsid w:val="15F1270C"/>
    <w:rsid w:val="15F177FF"/>
    <w:rsid w:val="15F505AF"/>
    <w:rsid w:val="16060CB0"/>
    <w:rsid w:val="160B6B83"/>
    <w:rsid w:val="16180D48"/>
    <w:rsid w:val="161D760D"/>
    <w:rsid w:val="161F7B09"/>
    <w:rsid w:val="1620050A"/>
    <w:rsid w:val="16290A59"/>
    <w:rsid w:val="162F6F96"/>
    <w:rsid w:val="16310275"/>
    <w:rsid w:val="16314110"/>
    <w:rsid w:val="1632753E"/>
    <w:rsid w:val="163C4F8E"/>
    <w:rsid w:val="163F682C"/>
    <w:rsid w:val="164658E0"/>
    <w:rsid w:val="164763BA"/>
    <w:rsid w:val="16532A33"/>
    <w:rsid w:val="16541257"/>
    <w:rsid w:val="16542378"/>
    <w:rsid w:val="165554A2"/>
    <w:rsid w:val="165627FA"/>
    <w:rsid w:val="165A5414"/>
    <w:rsid w:val="165B2F3A"/>
    <w:rsid w:val="165C5A2F"/>
    <w:rsid w:val="165D73F9"/>
    <w:rsid w:val="165F5DCC"/>
    <w:rsid w:val="16634DA6"/>
    <w:rsid w:val="16646293"/>
    <w:rsid w:val="16686322"/>
    <w:rsid w:val="166D111E"/>
    <w:rsid w:val="166F245A"/>
    <w:rsid w:val="166F3C6B"/>
    <w:rsid w:val="16702FFB"/>
    <w:rsid w:val="167069E6"/>
    <w:rsid w:val="16710B83"/>
    <w:rsid w:val="16753E15"/>
    <w:rsid w:val="16787FDF"/>
    <w:rsid w:val="167A5E39"/>
    <w:rsid w:val="167A7865"/>
    <w:rsid w:val="167B0536"/>
    <w:rsid w:val="167B47F2"/>
    <w:rsid w:val="167E016E"/>
    <w:rsid w:val="167E1878"/>
    <w:rsid w:val="16814C83"/>
    <w:rsid w:val="16892C5C"/>
    <w:rsid w:val="168D7A75"/>
    <w:rsid w:val="168E4C48"/>
    <w:rsid w:val="168F1580"/>
    <w:rsid w:val="16910ADD"/>
    <w:rsid w:val="16930FB4"/>
    <w:rsid w:val="16931D8F"/>
    <w:rsid w:val="16966983"/>
    <w:rsid w:val="169678BD"/>
    <w:rsid w:val="169E17A5"/>
    <w:rsid w:val="16A23540"/>
    <w:rsid w:val="16A4298C"/>
    <w:rsid w:val="16AD3796"/>
    <w:rsid w:val="16B122C8"/>
    <w:rsid w:val="16B9038D"/>
    <w:rsid w:val="16BB4DAD"/>
    <w:rsid w:val="16C13555"/>
    <w:rsid w:val="16CC763F"/>
    <w:rsid w:val="16CD22C9"/>
    <w:rsid w:val="16CD263B"/>
    <w:rsid w:val="16CD6ADE"/>
    <w:rsid w:val="16D04DB6"/>
    <w:rsid w:val="16D520C7"/>
    <w:rsid w:val="16DC407B"/>
    <w:rsid w:val="16E55624"/>
    <w:rsid w:val="16E80C72"/>
    <w:rsid w:val="16E936BE"/>
    <w:rsid w:val="16F03743"/>
    <w:rsid w:val="16F054C4"/>
    <w:rsid w:val="16F8255B"/>
    <w:rsid w:val="16F864EB"/>
    <w:rsid w:val="16FA2753"/>
    <w:rsid w:val="16FB3749"/>
    <w:rsid w:val="17012CAE"/>
    <w:rsid w:val="17042F6E"/>
    <w:rsid w:val="170B32A3"/>
    <w:rsid w:val="17127FF5"/>
    <w:rsid w:val="17136105"/>
    <w:rsid w:val="171D1730"/>
    <w:rsid w:val="171F1D5C"/>
    <w:rsid w:val="17260229"/>
    <w:rsid w:val="172A6071"/>
    <w:rsid w:val="172F2B6F"/>
    <w:rsid w:val="17300C84"/>
    <w:rsid w:val="173573F3"/>
    <w:rsid w:val="173A2ECB"/>
    <w:rsid w:val="173C6014"/>
    <w:rsid w:val="173E7335"/>
    <w:rsid w:val="173F3C96"/>
    <w:rsid w:val="17416998"/>
    <w:rsid w:val="17473215"/>
    <w:rsid w:val="174814CB"/>
    <w:rsid w:val="174F7F02"/>
    <w:rsid w:val="17530257"/>
    <w:rsid w:val="175724F3"/>
    <w:rsid w:val="175C5E1C"/>
    <w:rsid w:val="176127D3"/>
    <w:rsid w:val="176142FE"/>
    <w:rsid w:val="176465B2"/>
    <w:rsid w:val="176522C3"/>
    <w:rsid w:val="17721B5A"/>
    <w:rsid w:val="17732C32"/>
    <w:rsid w:val="177659D0"/>
    <w:rsid w:val="17780248"/>
    <w:rsid w:val="17795CF8"/>
    <w:rsid w:val="177B4B5F"/>
    <w:rsid w:val="177D33DA"/>
    <w:rsid w:val="177F291A"/>
    <w:rsid w:val="17827409"/>
    <w:rsid w:val="178440D3"/>
    <w:rsid w:val="179B31F3"/>
    <w:rsid w:val="179B7E1E"/>
    <w:rsid w:val="179D15A2"/>
    <w:rsid w:val="17A15FEC"/>
    <w:rsid w:val="17A3476C"/>
    <w:rsid w:val="17A613DA"/>
    <w:rsid w:val="17A94E4C"/>
    <w:rsid w:val="17B82A03"/>
    <w:rsid w:val="17BA6177"/>
    <w:rsid w:val="17BE0889"/>
    <w:rsid w:val="17BF3183"/>
    <w:rsid w:val="17C31393"/>
    <w:rsid w:val="17C76AD9"/>
    <w:rsid w:val="17C83AC0"/>
    <w:rsid w:val="17C918CC"/>
    <w:rsid w:val="17CB25A2"/>
    <w:rsid w:val="17CC6612"/>
    <w:rsid w:val="17E20DF5"/>
    <w:rsid w:val="17E94D8E"/>
    <w:rsid w:val="17EC4792"/>
    <w:rsid w:val="17ED6284"/>
    <w:rsid w:val="17F3464E"/>
    <w:rsid w:val="17F521C7"/>
    <w:rsid w:val="17F717AB"/>
    <w:rsid w:val="18025D64"/>
    <w:rsid w:val="18030C95"/>
    <w:rsid w:val="18064B75"/>
    <w:rsid w:val="18096901"/>
    <w:rsid w:val="180B0D0A"/>
    <w:rsid w:val="180C4927"/>
    <w:rsid w:val="180E4708"/>
    <w:rsid w:val="180E47F9"/>
    <w:rsid w:val="181451A4"/>
    <w:rsid w:val="18156A94"/>
    <w:rsid w:val="1816180F"/>
    <w:rsid w:val="18167DE3"/>
    <w:rsid w:val="18190F30"/>
    <w:rsid w:val="181B06B9"/>
    <w:rsid w:val="181E2472"/>
    <w:rsid w:val="181F6915"/>
    <w:rsid w:val="18205602"/>
    <w:rsid w:val="1820714C"/>
    <w:rsid w:val="18237C0B"/>
    <w:rsid w:val="1833366D"/>
    <w:rsid w:val="183737F4"/>
    <w:rsid w:val="18385C6F"/>
    <w:rsid w:val="183B0CF4"/>
    <w:rsid w:val="18451BD4"/>
    <w:rsid w:val="1845790C"/>
    <w:rsid w:val="184964BB"/>
    <w:rsid w:val="184A4D0E"/>
    <w:rsid w:val="184D7A48"/>
    <w:rsid w:val="184F00CF"/>
    <w:rsid w:val="18546318"/>
    <w:rsid w:val="185522BE"/>
    <w:rsid w:val="18561C0B"/>
    <w:rsid w:val="185B3E40"/>
    <w:rsid w:val="185E386C"/>
    <w:rsid w:val="18654558"/>
    <w:rsid w:val="18693FFA"/>
    <w:rsid w:val="186A4CF2"/>
    <w:rsid w:val="186E33F9"/>
    <w:rsid w:val="18721280"/>
    <w:rsid w:val="18730A0F"/>
    <w:rsid w:val="187C5427"/>
    <w:rsid w:val="187C78C4"/>
    <w:rsid w:val="187F5606"/>
    <w:rsid w:val="18833C53"/>
    <w:rsid w:val="188415AE"/>
    <w:rsid w:val="188862EF"/>
    <w:rsid w:val="18893DE3"/>
    <w:rsid w:val="188A1ED3"/>
    <w:rsid w:val="188D7B0A"/>
    <w:rsid w:val="189935B0"/>
    <w:rsid w:val="189B6D1A"/>
    <w:rsid w:val="189D05CF"/>
    <w:rsid w:val="18A4506D"/>
    <w:rsid w:val="18A91E90"/>
    <w:rsid w:val="18A96501"/>
    <w:rsid w:val="18AA2951"/>
    <w:rsid w:val="18AE7BE0"/>
    <w:rsid w:val="18C53663"/>
    <w:rsid w:val="18C82B80"/>
    <w:rsid w:val="18C84215"/>
    <w:rsid w:val="18CB00F0"/>
    <w:rsid w:val="18CC4F9E"/>
    <w:rsid w:val="18CD177B"/>
    <w:rsid w:val="18CE20EA"/>
    <w:rsid w:val="18CF62D0"/>
    <w:rsid w:val="18D54962"/>
    <w:rsid w:val="18DE5C71"/>
    <w:rsid w:val="18E15979"/>
    <w:rsid w:val="18E25174"/>
    <w:rsid w:val="18E7648E"/>
    <w:rsid w:val="18F23AEE"/>
    <w:rsid w:val="18F37803"/>
    <w:rsid w:val="18F84792"/>
    <w:rsid w:val="18FA4C8D"/>
    <w:rsid w:val="18FC1304"/>
    <w:rsid w:val="18FC3879"/>
    <w:rsid w:val="19007E87"/>
    <w:rsid w:val="19046FBD"/>
    <w:rsid w:val="191044B0"/>
    <w:rsid w:val="19130FAA"/>
    <w:rsid w:val="1914709A"/>
    <w:rsid w:val="19154641"/>
    <w:rsid w:val="19184F0C"/>
    <w:rsid w:val="19192EB3"/>
    <w:rsid w:val="191D264D"/>
    <w:rsid w:val="191F46F3"/>
    <w:rsid w:val="19206EA9"/>
    <w:rsid w:val="19221378"/>
    <w:rsid w:val="19222E18"/>
    <w:rsid w:val="19277736"/>
    <w:rsid w:val="1931422E"/>
    <w:rsid w:val="19323BC3"/>
    <w:rsid w:val="19454DD5"/>
    <w:rsid w:val="19460953"/>
    <w:rsid w:val="1952561A"/>
    <w:rsid w:val="195425EF"/>
    <w:rsid w:val="19553A4D"/>
    <w:rsid w:val="195A572B"/>
    <w:rsid w:val="19624038"/>
    <w:rsid w:val="196547FC"/>
    <w:rsid w:val="196D36F2"/>
    <w:rsid w:val="196E7DEF"/>
    <w:rsid w:val="19702B41"/>
    <w:rsid w:val="19725A23"/>
    <w:rsid w:val="19762565"/>
    <w:rsid w:val="197722DB"/>
    <w:rsid w:val="197902A7"/>
    <w:rsid w:val="197A4F9C"/>
    <w:rsid w:val="197C6E0F"/>
    <w:rsid w:val="19856C4C"/>
    <w:rsid w:val="1986528D"/>
    <w:rsid w:val="198715BC"/>
    <w:rsid w:val="198C7FDB"/>
    <w:rsid w:val="198D543D"/>
    <w:rsid w:val="19903608"/>
    <w:rsid w:val="19920CE7"/>
    <w:rsid w:val="19975C00"/>
    <w:rsid w:val="199861FA"/>
    <w:rsid w:val="19A02D8C"/>
    <w:rsid w:val="19A318EC"/>
    <w:rsid w:val="19A33353"/>
    <w:rsid w:val="19A93072"/>
    <w:rsid w:val="19AC63CF"/>
    <w:rsid w:val="19B00285"/>
    <w:rsid w:val="19B27315"/>
    <w:rsid w:val="19B746AD"/>
    <w:rsid w:val="19BC4A0D"/>
    <w:rsid w:val="19BE7E6F"/>
    <w:rsid w:val="19C442D7"/>
    <w:rsid w:val="19CC487B"/>
    <w:rsid w:val="19D2526F"/>
    <w:rsid w:val="19D56F58"/>
    <w:rsid w:val="19D771A0"/>
    <w:rsid w:val="19D927D2"/>
    <w:rsid w:val="19DA4302"/>
    <w:rsid w:val="19E35721"/>
    <w:rsid w:val="19EA0A0D"/>
    <w:rsid w:val="19EC0C9C"/>
    <w:rsid w:val="19ED2EEC"/>
    <w:rsid w:val="19F875DA"/>
    <w:rsid w:val="19F937FC"/>
    <w:rsid w:val="1A057D8D"/>
    <w:rsid w:val="1A0744DC"/>
    <w:rsid w:val="1A0B5AC9"/>
    <w:rsid w:val="1A0C3DFC"/>
    <w:rsid w:val="1A135A18"/>
    <w:rsid w:val="1A16461B"/>
    <w:rsid w:val="1A165AF6"/>
    <w:rsid w:val="1A1772C6"/>
    <w:rsid w:val="1A1A307C"/>
    <w:rsid w:val="1A240482"/>
    <w:rsid w:val="1A295C3E"/>
    <w:rsid w:val="1A2C2804"/>
    <w:rsid w:val="1A30408B"/>
    <w:rsid w:val="1A312930"/>
    <w:rsid w:val="1A314B09"/>
    <w:rsid w:val="1A351E51"/>
    <w:rsid w:val="1A370190"/>
    <w:rsid w:val="1A3A4B2F"/>
    <w:rsid w:val="1A3B33AD"/>
    <w:rsid w:val="1A3B555D"/>
    <w:rsid w:val="1A3C1CF7"/>
    <w:rsid w:val="1A3C25B1"/>
    <w:rsid w:val="1A403E58"/>
    <w:rsid w:val="1A48163C"/>
    <w:rsid w:val="1A493A4E"/>
    <w:rsid w:val="1A4E5290"/>
    <w:rsid w:val="1A4F06E8"/>
    <w:rsid w:val="1A534654"/>
    <w:rsid w:val="1A53771B"/>
    <w:rsid w:val="1A5937E5"/>
    <w:rsid w:val="1A5A4511"/>
    <w:rsid w:val="1A5E6C67"/>
    <w:rsid w:val="1A630526"/>
    <w:rsid w:val="1A696317"/>
    <w:rsid w:val="1A725228"/>
    <w:rsid w:val="1A764C77"/>
    <w:rsid w:val="1A7A4A13"/>
    <w:rsid w:val="1A7D7923"/>
    <w:rsid w:val="1A8245FB"/>
    <w:rsid w:val="1A824F3A"/>
    <w:rsid w:val="1A8269ED"/>
    <w:rsid w:val="1A84036F"/>
    <w:rsid w:val="1A88094B"/>
    <w:rsid w:val="1A887365"/>
    <w:rsid w:val="1A893640"/>
    <w:rsid w:val="1A8E1B30"/>
    <w:rsid w:val="1A922C6C"/>
    <w:rsid w:val="1A952EBF"/>
    <w:rsid w:val="1A960B48"/>
    <w:rsid w:val="1A970E73"/>
    <w:rsid w:val="1A991DC1"/>
    <w:rsid w:val="1A9F2F01"/>
    <w:rsid w:val="1AA475A6"/>
    <w:rsid w:val="1AA6091A"/>
    <w:rsid w:val="1AAC5768"/>
    <w:rsid w:val="1AAD740A"/>
    <w:rsid w:val="1AB0077C"/>
    <w:rsid w:val="1AB23FAA"/>
    <w:rsid w:val="1AB80814"/>
    <w:rsid w:val="1ABB687F"/>
    <w:rsid w:val="1ABD13B2"/>
    <w:rsid w:val="1ABE12E9"/>
    <w:rsid w:val="1AC47300"/>
    <w:rsid w:val="1AC55669"/>
    <w:rsid w:val="1AD16E01"/>
    <w:rsid w:val="1AD25EC1"/>
    <w:rsid w:val="1AD37243"/>
    <w:rsid w:val="1AD5196B"/>
    <w:rsid w:val="1AD65B9A"/>
    <w:rsid w:val="1ADC110F"/>
    <w:rsid w:val="1ADF56B8"/>
    <w:rsid w:val="1AE42E8C"/>
    <w:rsid w:val="1AEC36CD"/>
    <w:rsid w:val="1AFC4774"/>
    <w:rsid w:val="1B012302"/>
    <w:rsid w:val="1B0353F5"/>
    <w:rsid w:val="1B080547"/>
    <w:rsid w:val="1B093968"/>
    <w:rsid w:val="1B097409"/>
    <w:rsid w:val="1B132036"/>
    <w:rsid w:val="1B1A3B98"/>
    <w:rsid w:val="1B1A403B"/>
    <w:rsid w:val="1B1C0EEA"/>
    <w:rsid w:val="1B222279"/>
    <w:rsid w:val="1B245FF1"/>
    <w:rsid w:val="1B252A98"/>
    <w:rsid w:val="1B26620D"/>
    <w:rsid w:val="1B2C1796"/>
    <w:rsid w:val="1B2E3C72"/>
    <w:rsid w:val="1B3146D8"/>
    <w:rsid w:val="1B371729"/>
    <w:rsid w:val="1B382B11"/>
    <w:rsid w:val="1B394C14"/>
    <w:rsid w:val="1B395F40"/>
    <w:rsid w:val="1B3B0A53"/>
    <w:rsid w:val="1B4A16C1"/>
    <w:rsid w:val="1B516236"/>
    <w:rsid w:val="1B583D8E"/>
    <w:rsid w:val="1B593EEC"/>
    <w:rsid w:val="1B5B5384"/>
    <w:rsid w:val="1B5E0712"/>
    <w:rsid w:val="1B5F4F06"/>
    <w:rsid w:val="1B64553B"/>
    <w:rsid w:val="1B68089E"/>
    <w:rsid w:val="1B692F38"/>
    <w:rsid w:val="1B69384C"/>
    <w:rsid w:val="1B6F3710"/>
    <w:rsid w:val="1B701236"/>
    <w:rsid w:val="1B730ED9"/>
    <w:rsid w:val="1B74415F"/>
    <w:rsid w:val="1B791D74"/>
    <w:rsid w:val="1B7C7BDB"/>
    <w:rsid w:val="1B7D27C6"/>
    <w:rsid w:val="1B8735AF"/>
    <w:rsid w:val="1B8753E3"/>
    <w:rsid w:val="1B8A2272"/>
    <w:rsid w:val="1B900FA9"/>
    <w:rsid w:val="1B970EB9"/>
    <w:rsid w:val="1B9725FA"/>
    <w:rsid w:val="1B9D164F"/>
    <w:rsid w:val="1B9E5DA3"/>
    <w:rsid w:val="1BA055E2"/>
    <w:rsid w:val="1BA45A19"/>
    <w:rsid w:val="1BA64C58"/>
    <w:rsid w:val="1BA8285E"/>
    <w:rsid w:val="1BAD378E"/>
    <w:rsid w:val="1BAE05FC"/>
    <w:rsid w:val="1BB41E78"/>
    <w:rsid w:val="1BB57A99"/>
    <w:rsid w:val="1BB679FF"/>
    <w:rsid w:val="1BB77149"/>
    <w:rsid w:val="1BB83309"/>
    <w:rsid w:val="1BBB6EB5"/>
    <w:rsid w:val="1BC02EDA"/>
    <w:rsid w:val="1BC03F6C"/>
    <w:rsid w:val="1BC56134"/>
    <w:rsid w:val="1BC61844"/>
    <w:rsid w:val="1BC641AC"/>
    <w:rsid w:val="1BCF50F1"/>
    <w:rsid w:val="1BD210B6"/>
    <w:rsid w:val="1BD91324"/>
    <w:rsid w:val="1BDF7D21"/>
    <w:rsid w:val="1BE837F5"/>
    <w:rsid w:val="1BEA6B7F"/>
    <w:rsid w:val="1BED5BDD"/>
    <w:rsid w:val="1BEE6357"/>
    <w:rsid w:val="1BF50AEF"/>
    <w:rsid w:val="1BF7395A"/>
    <w:rsid w:val="1BF93374"/>
    <w:rsid w:val="1BF93576"/>
    <w:rsid w:val="1BF9747E"/>
    <w:rsid w:val="1BFD21C4"/>
    <w:rsid w:val="1BFD51C0"/>
    <w:rsid w:val="1C02481C"/>
    <w:rsid w:val="1C04041B"/>
    <w:rsid w:val="1C044D20"/>
    <w:rsid w:val="1C067808"/>
    <w:rsid w:val="1C09619E"/>
    <w:rsid w:val="1C0D7781"/>
    <w:rsid w:val="1C0E5047"/>
    <w:rsid w:val="1C177F96"/>
    <w:rsid w:val="1C1A5FB6"/>
    <w:rsid w:val="1C1B3898"/>
    <w:rsid w:val="1C214C8A"/>
    <w:rsid w:val="1C242823"/>
    <w:rsid w:val="1C246C7A"/>
    <w:rsid w:val="1C250273"/>
    <w:rsid w:val="1C284D79"/>
    <w:rsid w:val="1C2A6492"/>
    <w:rsid w:val="1C2D75C0"/>
    <w:rsid w:val="1C2E3525"/>
    <w:rsid w:val="1C324BE1"/>
    <w:rsid w:val="1C44694B"/>
    <w:rsid w:val="1C471F7E"/>
    <w:rsid w:val="1C4811F0"/>
    <w:rsid w:val="1C4A5F2B"/>
    <w:rsid w:val="1C4F7E8A"/>
    <w:rsid w:val="1C550B58"/>
    <w:rsid w:val="1C554711"/>
    <w:rsid w:val="1C573B5B"/>
    <w:rsid w:val="1C5D1682"/>
    <w:rsid w:val="1C5E5E0B"/>
    <w:rsid w:val="1C607CD9"/>
    <w:rsid w:val="1C6427C7"/>
    <w:rsid w:val="1C693D01"/>
    <w:rsid w:val="1C737230"/>
    <w:rsid w:val="1C78266B"/>
    <w:rsid w:val="1C784846"/>
    <w:rsid w:val="1C7C32A1"/>
    <w:rsid w:val="1C7F7983"/>
    <w:rsid w:val="1C8D3FE0"/>
    <w:rsid w:val="1C8F33F5"/>
    <w:rsid w:val="1C8F7D63"/>
    <w:rsid w:val="1C9778C8"/>
    <w:rsid w:val="1CA70ABE"/>
    <w:rsid w:val="1CA91319"/>
    <w:rsid w:val="1CAB69CA"/>
    <w:rsid w:val="1CAC31A1"/>
    <w:rsid w:val="1CB05D8E"/>
    <w:rsid w:val="1CB305FC"/>
    <w:rsid w:val="1CB610B6"/>
    <w:rsid w:val="1CBD17DC"/>
    <w:rsid w:val="1CBE2664"/>
    <w:rsid w:val="1CC01D49"/>
    <w:rsid w:val="1CC13943"/>
    <w:rsid w:val="1CC30B48"/>
    <w:rsid w:val="1CC37C68"/>
    <w:rsid w:val="1CC42985"/>
    <w:rsid w:val="1CC45681"/>
    <w:rsid w:val="1CC932F4"/>
    <w:rsid w:val="1CCB706C"/>
    <w:rsid w:val="1CCE0A82"/>
    <w:rsid w:val="1CCF4107"/>
    <w:rsid w:val="1CD06430"/>
    <w:rsid w:val="1CD1424B"/>
    <w:rsid w:val="1CD42321"/>
    <w:rsid w:val="1CE064D1"/>
    <w:rsid w:val="1CE5229B"/>
    <w:rsid w:val="1CE819CC"/>
    <w:rsid w:val="1CE979B8"/>
    <w:rsid w:val="1CEC6C0C"/>
    <w:rsid w:val="1CED146E"/>
    <w:rsid w:val="1CFA34AD"/>
    <w:rsid w:val="1D1213D8"/>
    <w:rsid w:val="1D15129E"/>
    <w:rsid w:val="1D1572E1"/>
    <w:rsid w:val="1D170BA1"/>
    <w:rsid w:val="1D181F30"/>
    <w:rsid w:val="1D187DD7"/>
    <w:rsid w:val="1D196987"/>
    <w:rsid w:val="1D28348F"/>
    <w:rsid w:val="1D286B3E"/>
    <w:rsid w:val="1D32236C"/>
    <w:rsid w:val="1D387C31"/>
    <w:rsid w:val="1D3A5FA0"/>
    <w:rsid w:val="1D3F3C95"/>
    <w:rsid w:val="1D3F5364"/>
    <w:rsid w:val="1D4A4435"/>
    <w:rsid w:val="1D4F1A4B"/>
    <w:rsid w:val="1D5431EC"/>
    <w:rsid w:val="1D544CCF"/>
    <w:rsid w:val="1D545AA6"/>
    <w:rsid w:val="1D5836FA"/>
    <w:rsid w:val="1D591A70"/>
    <w:rsid w:val="1D593CB0"/>
    <w:rsid w:val="1D5B1478"/>
    <w:rsid w:val="1D5F77B4"/>
    <w:rsid w:val="1D644DCB"/>
    <w:rsid w:val="1D68281F"/>
    <w:rsid w:val="1D6848BB"/>
    <w:rsid w:val="1D6A1C32"/>
    <w:rsid w:val="1D711F7C"/>
    <w:rsid w:val="1D7141FA"/>
    <w:rsid w:val="1D726758"/>
    <w:rsid w:val="1D737FD8"/>
    <w:rsid w:val="1D7F10D0"/>
    <w:rsid w:val="1D847DC4"/>
    <w:rsid w:val="1D860887"/>
    <w:rsid w:val="1D8619C4"/>
    <w:rsid w:val="1D8E7991"/>
    <w:rsid w:val="1DA645A4"/>
    <w:rsid w:val="1DA87C2F"/>
    <w:rsid w:val="1DA9028F"/>
    <w:rsid w:val="1DAA5AD5"/>
    <w:rsid w:val="1DB4529F"/>
    <w:rsid w:val="1DC13FCB"/>
    <w:rsid w:val="1DC7757D"/>
    <w:rsid w:val="1DCE4E23"/>
    <w:rsid w:val="1DD230B6"/>
    <w:rsid w:val="1DD5661A"/>
    <w:rsid w:val="1DD6792B"/>
    <w:rsid w:val="1DDD77CC"/>
    <w:rsid w:val="1DE20CFA"/>
    <w:rsid w:val="1DE3438D"/>
    <w:rsid w:val="1DE36DAB"/>
    <w:rsid w:val="1DE74FE6"/>
    <w:rsid w:val="1DED1CC8"/>
    <w:rsid w:val="1DEF0E85"/>
    <w:rsid w:val="1DF834F2"/>
    <w:rsid w:val="1DF92FB2"/>
    <w:rsid w:val="1DFA030F"/>
    <w:rsid w:val="1DFA6292"/>
    <w:rsid w:val="1DFE6553"/>
    <w:rsid w:val="1E004AF3"/>
    <w:rsid w:val="1E024717"/>
    <w:rsid w:val="1E05035C"/>
    <w:rsid w:val="1E061B57"/>
    <w:rsid w:val="1E067C30"/>
    <w:rsid w:val="1E0C734F"/>
    <w:rsid w:val="1E123715"/>
    <w:rsid w:val="1E1248B0"/>
    <w:rsid w:val="1E13619C"/>
    <w:rsid w:val="1E15494F"/>
    <w:rsid w:val="1E1A44FE"/>
    <w:rsid w:val="1E1B5826"/>
    <w:rsid w:val="1E260835"/>
    <w:rsid w:val="1E293957"/>
    <w:rsid w:val="1E294BA4"/>
    <w:rsid w:val="1E2C58E8"/>
    <w:rsid w:val="1E2D1888"/>
    <w:rsid w:val="1E3003A9"/>
    <w:rsid w:val="1E333BE1"/>
    <w:rsid w:val="1E345309"/>
    <w:rsid w:val="1E366767"/>
    <w:rsid w:val="1E372311"/>
    <w:rsid w:val="1E3A36E0"/>
    <w:rsid w:val="1E3E73CA"/>
    <w:rsid w:val="1E42619A"/>
    <w:rsid w:val="1E4569AA"/>
    <w:rsid w:val="1E4744D0"/>
    <w:rsid w:val="1E52313F"/>
    <w:rsid w:val="1E560D01"/>
    <w:rsid w:val="1E5D6E09"/>
    <w:rsid w:val="1E5E18DA"/>
    <w:rsid w:val="1E652BA8"/>
    <w:rsid w:val="1E65704C"/>
    <w:rsid w:val="1E674025"/>
    <w:rsid w:val="1E6C2189"/>
    <w:rsid w:val="1E6E5F01"/>
    <w:rsid w:val="1E6F6BD7"/>
    <w:rsid w:val="1E731769"/>
    <w:rsid w:val="1E743572"/>
    <w:rsid w:val="1E77319C"/>
    <w:rsid w:val="1E786D7F"/>
    <w:rsid w:val="1E8012DA"/>
    <w:rsid w:val="1E802C45"/>
    <w:rsid w:val="1E82375A"/>
    <w:rsid w:val="1E860555"/>
    <w:rsid w:val="1E913D73"/>
    <w:rsid w:val="1E926232"/>
    <w:rsid w:val="1E956EC3"/>
    <w:rsid w:val="1E9A63EA"/>
    <w:rsid w:val="1EA41A09"/>
    <w:rsid w:val="1EA442D4"/>
    <w:rsid w:val="1EAB10AB"/>
    <w:rsid w:val="1EAD725D"/>
    <w:rsid w:val="1EAF0FCE"/>
    <w:rsid w:val="1EB027EA"/>
    <w:rsid w:val="1EB8717C"/>
    <w:rsid w:val="1EB91DFF"/>
    <w:rsid w:val="1EBD3C9F"/>
    <w:rsid w:val="1EC458EC"/>
    <w:rsid w:val="1EC83703"/>
    <w:rsid w:val="1EC91AE8"/>
    <w:rsid w:val="1ECB2B80"/>
    <w:rsid w:val="1ECB6CB7"/>
    <w:rsid w:val="1EDB7B14"/>
    <w:rsid w:val="1EDD1DF9"/>
    <w:rsid w:val="1EE73F05"/>
    <w:rsid w:val="1EEA17DA"/>
    <w:rsid w:val="1EEB1FCC"/>
    <w:rsid w:val="1EF13407"/>
    <w:rsid w:val="1EF1360F"/>
    <w:rsid w:val="1EF4368A"/>
    <w:rsid w:val="1EF56993"/>
    <w:rsid w:val="1EF77909"/>
    <w:rsid w:val="1EFB09FF"/>
    <w:rsid w:val="1EFF72FD"/>
    <w:rsid w:val="1F071E4E"/>
    <w:rsid w:val="1F081D2F"/>
    <w:rsid w:val="1F0831F3"/>
    <w:rsid w:val="1F095C2A"/>
    <w:rsid w:val="1F116A36"/>
    <w:rsid w:val="1F12613F"/>
    <w:rsid w:val="1F130856"/>
    <w:rsid w:val="1F134319"/>
    <w:rsid w:val="1F134CFA"/>
    <w:rsid w:val="1F1545CE"/>
    <w:rsid w:val="1F1921E7"/>
    <w:rsid w:val="1F1A6D08"/>
    <w:rsid w:val="1F1B076B"/>
    <w:rsid w:val="1F1B770B"/>
    <w:rsid w:val="1F1C5740"/>
    <w:rsid w:val="1F2A564E"/>
    <w:rsid w:val="1F2B5BB9"/>
    <w:rsid w:val="1F2B7CAE"/>
    <w:rsid w:val="1F302C14"/>
    <w:rsid w:val="1F317ABA"/>
    <w:rsid w:val="1F3233D2"/>
    <w:rsid w:val="1F377647"/>
    <w:rsid w:val="1F387A52"/>
    <w:rsid w:val="1F3C5451"/>
    <w:rsid w:val="1F3D056A"/>
    <w:rsid w:val="1F3D2069"/>
    <w:rsid w:val="1F405E4B"/>
    <w:rsid w:val="1F451E79"/>
    <w:rsid w:val="1F4B1E9E"/>
    <w:rsid w:val="1F4B6242"/>
    <w:rsid w:val="1F533349"/>
    <w:rsid w:val="1F5544D4"/>
    <w:rsid w:val="1F59136D"/>
    <w:rsid w:val="1F5D0658"/>
    <w:rsid w:val="1F5E2E29"/>
    <w:rsid w:val="1F644BB7"/>
    <w:rsid w:val="1F647B75"/>
    <w:rsid w:val="1F65294C"/>
    <w:rsid w:val="1F6D2A93"/>
    <w:rsid w:val="1F6F0182"/>
    <w:rsid w:val="1F7218A6"/>
    <w:rsid w:val="1F731B7E"/>
    <w:rsid w:val="1F746F56"/>
    <w:rsid w:val="1F752A2D"/>
    <w:rsid w:val="1F81149E"/>
    <w:rsid w:val="1F817866"/>
    <w:rsid w:val="1F823850"/>
    <w:rsid w:val="1F8359DC"/>
    <w:rsid w:val="1F843502"/>
    <w:rsid w:val="1F8555CD"/>
    <w:rsid w:val="1F856665"/>
    <w:rsid w:val="1F8B225B"/>
    <w:rsid w:val="1F8F4381"/>
    <w:rsid w:val="1F92181A"/>
    <w:rsid w:val="1F954675"/>
    <w:rsid w:val="1F966197"/>
    <w:rsid w:val="1F9951FF"/>
    <w:rsid w:val="1F9E78C5"/>
    <w:rsid w:val="1F9F20EA"/>
    <w:rsid w:val="1FA76125"/>
    <w:rsid w:val="1FA9756A"/>
    <w:rsid w:val="1FAD4C9D"/>
    <w:rsid w:val="1FAE4192"/>
    <w:rsid w:val="1FAF26BA"/>
    <w:rsid w:val="1FB060A5"/>
    <w:rsid w:val="1FB1133C"/>
    <w:rsid w:val="1FB43DE7"/>
    <w:rsid w:val="1FB75686"/>
    <w:rsid w:val="1FB92A97"/>
    <w:rsid w:val="1FC24AF8"/>
    <w:rsid w:val="1FC45060"/>
    <w:rsid w:val="1FCE4CEA"/>
    <w:rsid w:val="1FD73412"/>
    <w:rsid w:val="1FD75D28"/>
    <w:rsid w:val="1FD77AD6"/>
    <w:rsid w:val="1FDC333E"/>
    <w:rsid w:val="1FDE70B6"/>
    <w:rsid w:val="1FE12D13"/>
    <w:rsid w:val="1FE74021"/>
    <w:rsid w:val="1FEB1FA4"/>
    <w:rsid w:val="1FF24910"/>
    <w:rsid w:val="1FF4215D"/>
    <w:rsid w:val="1FF76342"/>
    <w:rsid w:val="1FF93EF0"/>
    <w:rsid w:val="1FFF1BDD"/>
    <w:rsid w:val="20027121"/>
    <w:rsid w:val="20076231"/>
    <w:rsid w:val="200A01B8"/>
    <w:rsid w:val="200A3A07"/>
    <w:rsid w:val="20106AF9"/>
    <w:rsid w:val="20124477"/>
    <w:rsid w:val="201A6A67"/>
    <w:rsid w:val="202327E2"/>
    <w:rsid w:val="20242840"/>
    <w:rsid w:val="20244C7B"/>
    <w:rsid w:val="202F4400"/>
    <w:rsid w:val="2032346A"/>
    <w:rsid w:val="20366AE2"/>
    <w:rsid w:val="20370800"/>
    <w:rsid w:val="203B5A90"/>
    <w:rsid w:val="203F0539"/>
    <w:rsid w:val="20447FB9"/>
    <w:rsid w:val="204666C3"/>
    <w:rsid w:val="20474210"/>
    <w:rsid w:val="204979A7"/>
    <w:rsid w:val="204A0433"/>
    <w:rsid w:val="204B0236"/>
    <w:rsid w:val="204C14F0"/>
    <w:rsid w:val="204F7CDD"/>
    <w:rsid w:val="20505AC4"/>
    <w:rsid w:val="2051236B"/>
    <w:rsid w:val="20520F6C"/>
    <w:rsid w:val="205256F3"/>
    <w:rsid w:val="205854B5"/>
    <w:rsid w:val="20590745"/>
    <w:rsid w:val="205B4263"/>
    <w:rsid w:val="206057D5"/>
    <w:rsid w:val="2063580D"/>
    <w:rsid w:val="206479F1"/>
    <w:rsid w:val="20674D20"/>
    <w:rsid w:val="20690CFF"/>
    <w:rsid w:val="206D681D"/>
    <w:rsid w:val="20743577"/>
    <w:rsid w:val="20847C5E"/>
    <w:rsid w:val="20867056"/>
    <w:rsid w:val="2088359B"/>
    <w:rsid w:val="20905BAA"/>
    <w:rsid w:val="20911779"/>
    <w:rsid w:val="2092228B"/>
    <w:rsid w:val="20956E1D"/>
    <w:rsid w:val="2095729A"/>
    <w:rsid w:val="209D2ACD"/>
    <w:rsid w:val="209D6FAB"/>
    <w:rsid w:val="209D7F65"/>
    <w:rsid w:val="209E132E"/>
    <w:rsid w:val="20A10249"/>
    <w:rsid w:val="20A1469C"/>
    <w:rsid w:val="20A46B01"/>
    <w:rsid w:val="20A976C4"/>
    <w:rsid w:val="20AE465B"/>
    <w:rsid w:val="20B21A1F"/>
    <w:rsid w:val="20B83463"/>
    <w:rsid w:val="20C172C6"/>
    <w:rsid w:val="20C803CB"/>
    <w:rsid w:val="20CE3A78"/>
    <w:rsid w:val="20D109C9"/>
    <w:rsid w:val="20D61B3B"/>
    <w:rsid w:val="20D84F63"/>
    <w:rsid w:val="20D958D5"/>
    <w:rsid w:val="20E12BAC"/>
    <w:rsid w:val="20E2183F"/>
    <w:rsid w:val="20E3340F"/>
    <w:rsid w:val="20E73D48"/>
    <w:rsid w:val="20EA3FE5"/>
    <w:rsid w:val="20EB2C19"/>
    <w:rsid w:val="20EC135F"/>
    <w:rsid w:val="20F01524"/>
    <w:rsid w:val="20F04AF0"/>
    <w:rsid w:val="20F639E2"/>
    <w:rsid w:val="20FE11CE"/>
    <w:rsid w:val="2104727B"/>
    <w:rsid w:val="210A7A37"/>
    <w:rsid w:val="210B2E0C"/>
    <w:rsid w:val="2117534C"/>
    <w:rsid w:val="211B3FD8"/>
    <w:rsid w:val="211E14A4"/>
    <w:rsid w:val="2122656E"/>
    <w:rsid w:val="212E00DE"/>
    <w:rsid w:val="213202D2"/>
    <w:rsid w:val="213571BD"/>
    <w:rsid w:val="213B6DFC"/>
    <w:rsid w:val="213B6F79"/>
    <w:rsid w:val="21417E74"/>
    <w:rsid w:val="2142581C"/>
    <w:rsid w:val="214E201A"/>
    <w:rsid w:val="214F751D"/>
    <w:rsid w:val="2152369B"/>
    <w:rsid w:val="215313DE"/>
    <w:rsid w:val="21576E38"/>
    <w:rsid w:val="21580361"/>
    <w:rsid w:val="21586F4B"/>
    <w:rsid w:val="215A1B02"/>
    <w:rsid w:val="215C3782"/>
    <w:rsid w:val="216B3F96"/>
    <w:rsid w:val="2171059C"/>
    <w:rsid w:val="21740406"/>
    <w:rsid w:val="217820ED"/>
    <w:rsid w:val="217E5803"/>
    <w:rsid w:val="21820550"/>
    <w:rsid w:val="21826BC1"/>
    <w:rsid w:val="21890942"/>
    <w:rsid w:val="218C4D5C"/>
    <w:rsid w:val="219435D9"/>
    <w:rsid w:val="219627A6"/>
    <w:rsid w:val="219648E1"/>
    <w:rsid w:val="21965694"/>
    <w:rsid w:val="219B1438"/>
    <w:rsid w:val="219B7996"/>
    <w:rsid w:val="219D08AB"/>
    <w:rsid w:val="21A851A2"/>
    <w:rsid w:val="21AB4D3E"/>
    <w:rsid w:val="21AF37D9"/>
    <w:rsid w:val="21AF4ED5"/>
    <w:rsid w:val="21BE1E51"/>
    <w:rsid w:val="21BE5E1D"/>
    <w:rsid w:val="21C10DAD"/>
    <w:rsid w:val="21C26300"/>
    <w:rsid w:val="21C62B12"/>
    <w:rsid w:val="21CB3813"/>
    <w:rsid w:val="21CE4D53"/>
    <w:rsid w:val="21D56D10"/>
    <w:rsid w:val="21D641E7"/>
    <w:rsid w:val="21DA1AFF"/>
    <w:rsid w:val="21DF0EC4"/>
    <w:rsid w:val="21E23CC8"/>
    <w:rsid w:val="21E33AA4"/>
    <w:rsid w:val="21E44561"/>
    <w:rsid w:val="21E67011"/>
    <w:rsid w:val="21F726B1"/>
    <w:rsid w:val="21FA0358"/>
    <w:rsid w:val="21FF77DC"/>
    <w:rsid w:val="220202F0"/>
    <w:rsid w:val="22067DA2"/>
    <w:rsid w:val="22094CFD"/>
    <w:rsid w:val="22126BE0"/>
    <w:rsid w:val="22145B96"/>
    <w:rsid w:val="22163760"/>
    <w:rsid w:val="22235254"/>
    <w:rsid w:val="22244B28"/>
    <w:rsid w:val="22284619"/>
    <w:rsid w:val="222B546C"/>
    <w:rsid w:val="223236E9"/>
    <w:rsid w:val="223B259E"/>
    <w:rsid w:val="224014D9"/>
    <w:rsid w:val="22422DDD"/>
    <w:rsid w:val="224262C1"/>
    <w:rsid w:val="22453160"/>
    <w:rsid w:val="2245378C"/>
    <w:rsid w:val="2245532A"/>
    <w:rsid w:val="2249678A"/>
    <w:rsid w:val="224A458F"/>
    <w:rsid w:val="22505457"/>
    <w:rsid w:val="22534124"/>
    <w:rsid w:val="2259068B"/>
    <w:rsid w:val="22590D27"/>
    <w:rsid w:val="226109DB"/>
    <w:rsid w:val="2267340B"/>
    <w:rsid w:val="227360EF"/>
    <w:rsid w:val="228036EA"/>
    <w:rsid w:val="2282673D"/>
    <w:rsid w:val="2285388E"/>
    <w:rsid w:val="22861DA0"/>
    <w:rsid w:val="229674CC"/>
    <w:rsid w:val="229A113F"/>
    <w:rsid w:val="229D78AA"/>
    <w:rsid w:val="22A06FB8"/>
    <w:rsid w:val="22A46E79"/>
    <w:rsid w:val="22A80F21"/>
    <w:rsid w:val="22A8747A"/>
    <w:rsid w:val="22AA51F5"/>
    <w:rsid w:val="22B13A28"/>
    <w:rsid w:val="22B64481"/>
    <w:rsid w:val="22B660C8"/>
    <w:rsid w:val="22B805BC"/>
    <w:rsid w:val="22B84F0B"/>
    <w:rsid w:val="22BC6220"/>
    <w:rsid w:val="22C24A6D"/>
    <w:rsid w:val="22C314AE"/>
    <w:rsid w:val="22C438A4"/>
    <w:rsid w:val="22C57790"/>
    <w:rsid w:val="22D10AC4"/>
    <w:rsid w:val="22D31F49"/>
    <w:rsid w:val="22D42FDF"/>
    <w:rsid w:val="22D447A0"/>
    <w:rsid w:val="22DD18A7"/>
    <w:rsid w:val="22DD37A9"/>
    <w:rsid w:val="22DD7C2B"/>
    <w:rsid w:val="22DF3B97"/>
    <w:rsid w:val="22E07ADF"/>
    <w:rsid w:val="22E17DDB"/>
    <w:rsid w:val="22E272BB"/>
    <w:rsid w:val="22E605A2"/>
    <w:rsid w:val="22EF2BEA"/>
    <w:rsid w:val="22EF4CEA"/>
    <w:rsid w:val="22F022D0"/>
    <w:rsid w:val="22F41DD4"/>
    <w:rsid w:val="22F457DE"/>
    <w:rsid w:val="22F62969"/>
    <w:rsid w:val="22F7419C"/>
    <w:rsid w:val="22FA00C9"/>
    <w:rsid w:val="22FA427F"/>
    <w:rsid w:val="22FD3603"/>
    <w:rsid w:val="23026380"/>
    <w:rsid w:val="2305255D"/>
    <w:rsid w:val="23052BAC"/>
    <w:rsid w:val="230B6414"/>
    <w:rsid w:val="231059A8"/>
    <w:rsid w:val="2313352A"/>
    <w:rsid w:val="23152658"/>
    <w:rsid w:val="231A6E32"/>
    <w:rsid w:val="23222EF3"/>
    <w:rsid w:val="232E66D0"/>
    <w:rsid w:val="23315706"/>
    <w:rsid w:val="233C481F"/>
    <w:rsid w:val="23426A01"/>
    <w:rsid w:val="23497CD6"/>
    <w:rsid w:val="234C427E"/>
    <w:rsid w:val="234C7A8F"/>
    <w:rsid w:val="234E4553"/>
    <w:rsid w:val="235002CB"/>
    <w:rsid w:val="235F050E"/>
    <w:rsid w:val="23610BD2"/>
    <w:rsid w:val="23615763"/>
    <w:rsid w:val="23680BEC"/>
    <w:rsid w:val="23681644"/>
    <w:rsid w:val="236B79F8"/>
    <w:rsid w:val="236E45B9"/>
    <w:rsid w:val="236E6016"/>
    <w:rsid w:val="236F381F"/>
    <w:rsid w:val="23702C2B"/>
    <w:rsid w:val="23713D9D"/>
    <w:rsid w:val="2375280B"/>
    <w:rsid w:val="23764452"/>
    <w:rsid w:val="2376551A"/>
    <w:rsid w:val="237815D0"/>
    <w:rsid w:val="239301B8"/>
    <w:rsid w:val="239857CE"/>
    <w:rsid w:val="23A01B41"/>
    <w:rsid w:val="23A55DE7"/>
    <w:rsid w:val="23A62224"/>
    <w:rsid w:val="23A755B0"/>
    <w:rsid w:val="23AD6770"/>
    <w:rsid w:val="23B02B18"/>
    <w:rsid w:val="23B77057"/>
    <w:rsid w:val="23C252EA"/>
    <w:rsid w:val="23C51036"/>
    <w:rsid w:val="23CF67C3"/>
    <w:rsid w:val="23D22A8E"/>
    <w:rsid w:val="23D41D37"/>
    <w:rsid w:val="23D512D4"/>
    <w:rsid w:val="23D80EB4"/>
    <w:rsid w:val="23DA1BB8"/>
    <w:rsid w:val="23DB112D"/>
    <w:rsid w:val="23E835E9"/>
    <w:rsid w:val="23E956C0"/>
    <w:rsid w:val="23E96D08"/>
    <w:rsid w:val="23F4793E"/>
    <w:rsid w:val="23F5677C"/>
    <w:rsid w:val="23F64439"/>
    <w:rsid w:val="23FA0237"/>
    <w:rsid w:val="23FA471C"/>
    <w:rsid w:val="23FC3FAF"/>
    <w:rsid w:val="23FF2F1A"/>
    <w:rsid w:val="23FF7D7A"/>
    <w:rsid w:val="240370EB"/>
    <w:rsid w:val="24087E60"/>
    <w:rsid w:val="24090F6E"/>
    <w:rsid w:val="240972E4"/>
    <w:rsid w:val="240B018C"/>
    <w:rsid w:val="240B37FC"/>
    <w:rsid w:val="24120A4C"/>
    <w:rsid w:val="241478A5"/>
    <w:rsid w:val="24166F78"/>
    <w:rsid w:val="241D68BC"/>
    <w:rsid w:val="242252FC"/>
    <w:rsid w:val="242341FB"/>
    <w:rsid w:val="242B0EBE"/>
    <w:rsid w:val="242E1C8E"/>
    <w:rsid w:val="24314D12"/>
    <w:rsid w:val="24374FE7"/>
    <w:rsid w:val="243909C4"/>
    <w:rsid w:val="24486048"/>
    <w:rsid w:val="245E67A0"/>
    <w:rsid w:val="246010AC"/>
    <w:rsid w:val="246549B1"/>
    <w:rsid w:val="24661088"/>
    <w:rsid w:val="246C6C93"/>
    <w:rsid w:val="246F2715"/>
    <w:rsid w:val="247068A4"/>
    <w:rsid w:val="247104F9"/>
    <w:rsid w:val="24845E54"/>
    <w:rsid w:val="248503FE"/>
    <w:rsid w:val="2487016F"/>
    <w:rsid w:val="248A4597"/>
    <w:rsid w:val="248B0E8F"/>
    <w:rsid w:val="248F670A"/>
    <w:rsid w:val="2492046F"/>
    <w:rsid w:val="249A1ECD"/>
    <w:rsid w:val="249A2E79"/>
    <w:rsid w:val="24A45453"/>
    <w:rsid w:val="24AB08BE"/>
    <w:rsid w:val="24B06E7F"/>
    <w:rsid w:val="24B9516D"/>
    <w:rsid w:val="24BC3417"/>
    <w:rsid w:val="24CD1692"/>
    <w:rsid w:val="24CF2996"/>
    <w:rsid w:val="24D171E9"/>
    <w:rsid w:val="24D44FF6"/>
    <w:rsid w:val="24D47047"/>
    <w:rsid w:val="24DC39D2"/>
    <w:rsid w:val="24DD6518"/>
    <w:rsid w:val="24E64DE1"/>
    <w:rsid w:val="24E8008F"/>
    <w:rsid w:val="24EF011A"/>
    <w:rsid w:val="24EF11AE"/>
    <w:rsid w:val="24F133E8"/>
    <w:rsid w:val="24F34767"/>
    <w:rsid w:val="24F367F0"/>
    <w:rsid w:val="24F44C86"/>
    <w:rsid w:val="24F607D2"/>
    <w:rsid w:val="24FC3036"/>
    <w:rsid w:val="24FE53D1"/>
    <w:rsid w:val="25085D9B"/>
    <w:rsid w:val="250D1ECF"/>
    <w:rsid w:val="251351C1"/>
    <w:rsid w:val="25184893"/>
    <w:rsid w:val="251A293E"/>
    <w:rsid w:val="251C2644"/>
    <w:rsid w:val="251F6B6A"/>
    <w:rsid w:val="25201F1F"/>
    <w:rsid w:val="25203519"/>
    <w:rsid w:val="25292B82"/>
    <w:rsid w:val="252D43DB"/>
    <w:rsid w:val="25300FA9"/>
    <w:rsid w:val="25331030"/>
    <w:rsid w:val="2535570A"/>
    <w:rsid w:val="253D487F"/>
    <w:rsid w:val="253E4BFC"/>
    <w:rsid w:val="25401C79"/>
    <w:rsid w:val="25415356"/>
    <w:rsid w:val="254271F2"/>
    <w:rsid w:val="25445C0D"/>
    <w:rsid w:val="25466767"/>
    <w:rsid w:val="254C76BE"/>
    <w:rsid w:val="254E632A"/>
    <w:rsid w:val="255045B2"/>
    <w:rsid w:val="25523983"/>
    <w:rsid w:val="25571290"/>
    <w:rsid w:val="255A147E"/>
    <w:rsid w:val="255C4399"/>
    <w:rsid w:val="255C7D3E"/>
    <w:rsid w:val="255E74F1"/>
    <w:rsid w:val="256E0DCB"/>
    <w:rsid w:val="257F4131"/>
    <w:rsid w:val="25826736"/>
    <w:rsid w:val="258C4EBE"/>
    <w:rsid w:val="258C5C53"/>
    <w:rsid w:val="25916979"/>
    <w:rsid w:val="259707DE"/>
    <w:rsid w:val="25981AB5"/>
    <w:rsid w:val="259941EC"/>
    <w:rsid w:val="259A582D"/>
    <w:rsid w:val="259A67B9"/>
    <w:rsid w:val="259D26F0"/>
    <w:rsid w:val="259D3F81"/>
    <w:rsid w:val="259D4552"/>
    <w:rsid w:val="25A16FF3"/>
    <w:rsid w:val="25A64D89"/>
    <w:rsid w:val="25AD6371"/>
    <w:rsid w:val="25AE12D9"/>
    <w:rsid w:val="25B063B5"/>
    <w:rsid w:val="25B8184D"/>
    <w:rsid w:val="25BA12F9"/>
    <w:rsid w:val="25BC1FB6"/>
    <w:rsid w:val="25BC39F6"/>
    <w:rsid w:val="25BC446A"/>
    <w:rsid w:val="25BE71F0"/>
    <w:rsid w:val="25C32FD6"/>
    <w:rsid w:val="25C64773"/>
    <w:rsid w:val="25C74750"/>
    <w:rsid w:val="25CC011A"/>
    <w:rsid w:val="25D0124F"/>
    <w:rsid w:val="25D7082F"/>
    <w:rsid w:val="25DA20CE"/>
    <w:rsid w:val="25DC5ECF"/>
    <w:rsid w:val="25DE13D4"/>
    <w:rsid w:val="25E11410"/>
    <w:rsid w:val="25E4548B"/>
    <w:rsid w:val="25E52B48"/>
    <w:rsid w:val="25E90563"/>
    <w:rsid w:val="25EE025C"/>
    <w:rsid w:val="25EF1885"/>
    <w:rsid w:val="25F34F3E"/>
    <w:rsid w:val="25F4285C"/>
    <w:rsid w:val="25F45039"/>
    <w:rsid w:val="25F96FA1"/>
    <w:rsid w:val="25FA58CD"/>
    <w:rsid w:val="25FA5AAC"/>
    <w:rsid w:val="25FF708D"/>
    <w:rsid w:val="2604714B"/>
    <w:rsid w:val="2609085E"/>
    <w:rsid w:val="260B04D9"/>
    <w:rsid w:val="260E7073"/>
    <w:rsid w:val="26110DEC"/>
    <w:rsid w:val="261F0C76"/>
    <w:rsid w:val="26242BBF"/>
    <w:rsid w:val="26323CB8"/>
    <w:rsid w:val="26344C35"/>
    <w:rsid w:val="263458AB"/>
    <w:rsid w:val="263A2F43"/>
    <w:rsid w:val="263C7E15"/>
    <w:rsid w:val="263E278B"/>
    <w:rsid w:val="26461511"/>
    <w:rsid w:val="264B281B"/>
    <w:rsid w:val="264E2DCD"/>
    <w:rsid w:val="265826B6"/>
    <w:rsid w:val="265E685B"/>
    <w:rsid w:val="2664210D"/>
    <w:rsid w:val="26685307"/>
    <w:rsid w:val="266F74F6"/>
    <w:rsid w:val="26702D32"/>
    <w:rsid w:val="26715C0E"/>
    <w:rsid w:val="26745C84"/>
    <w:rsid w:val="26746A86"/>
    <w:rsid w:val="26751454"/>
    <w:rsid w:val="267717F0"/>
    <w:rsid w:val="267C6B2D"/>
    <w:rsid w:val="267D3EEC"/>
    <w:rsid w:val="268042C5"/>
    <w:rsid w:val="26827959"/>
    <w:rsid w:val="26832765"/>
    <w:rsid w:val="26867B60"/>
    <w:rsid w:val="26882CC4"/>
    <w:rsid w:val="269009DE"/>
    <w:rsid w:val="26932118"/>
    <w:rsid w:val="2693247C"/>
    <w:rsid w:val="26944EA5"/>
    <w:rsid w:val="269C1533"/>
    <w:rsid w:val="269D12FF"/>
    <w:rsid w:val="26A31392"/>
    <w:rsid w:val="26A5000C"/>
    <w:rsid w:val="26A534F1"/>
    <w:rsid w:val="26A906CF"/>
    <w:rsid w:val="26AB1812"/>
    <w:rsid w:val="26AB2593"/>
    <w:rsid w:val="26B136CF"/>
    <w:rsid w:val="26B50445"/>
    <w:rsid w:val="26B77B32"/>
    <w:rsid w:val="26B90E9B"/>
    <w:rsid w:val="26BC3E3C"/>
    <w:rsid w:val="26BE72FA"/>
    <w:rsid w:val="26BF65BE"/>
    <w:rsid w:val="26C95963"/>
    <w:rsid w:val="26CF4E28"/>
    <w:rsid w:val="26D13715"/>
    <w:rsid w:val="26D27249"/>
    <w:rsid w:val="26D70F77"/>
    <w:rsid w:val="26DB7483"/>
    <w:rsid w:val="26DC3F1B"/>
    <w:rsid w:val="26DD1753"/>
    <w:rsid w:val="26E50D2A"/>
    <w:rsid w:val="26E750B2"/>
    <w:rsid w:val="26E82460"/>
    <w:rsid w:val="26E87FEB"/>
    <w:rsid w:val="26E97B58"/>
    <w:rsid w:val="26F00942"/>
    <w:rsid w:val="26F35BD2"/>
    <w:rsid w:val="26FE0374"/>
    <w:rsid w:val="26FE11F7"/>
    <w:rsid w:val="270218DC"/>
    <w:rsid w:val="270221B1"/>
    <w:rsid w:val="27076EF2"/>
    <w:rsid w:val="270A5903"/>
    <w:rsid w:val="2710014F"/>
    <w:rsid w:val="271A39E0"/>
    <w:rsid w:val="271E7CDE"/>
    <w:rsid w:val="272A7AB3"/>
    <w:rsid w:val="272C0F22"/>
    <w:rsid w:val="272C5140"/>
    <w:rsid w:val="2730666E"/>
    <w:rsid w:val="273B46B4"/>
    <w:rsid w:val="273B4DEE"/>
    <w:rsid w:val="273D7BBA"/>
    <w:rsid w:val="274D3294"/>
    <w:rsid w:val="274F308F"/>
    <w:rsid w:val="275854E1"/>
    <w:rsid w:val="27625C85"/>
    <w:rsid w:val="2764194F"/>
    <w:rsid w:val="27644345"/>
    <w:rsid w:val="276626CA"/>
    <w:rsid w:val="27673E35"/>
    <w:rsid w:val="2768780C"/>
    <w:rsid w:val="27697C54"/>
    <w:rsid w:val="276A6C3B"/>
    <w:rsid w:val="27791096"/>
    <w:rsid w:val="278542BB"/>
    <w:rsid w:val="278620EF"/>
    <w:rsid w:val="278C193D"/>
    <w:rsid w:val="278E0BF1"/>
    <w:rsid w:val="2793306E"/>
    <w:rsid w:val="279452CE"/>
    <w:rsid w:val="2794787E"/>
    <w:rsid w:val="27963FD2"/>
    <w:rsid w:val="279F537D"/>
    <w:rsid w:val="27AA05DD"/>
    <w:rsid w:val="27AE27A5"/>
    <w:rsid w:val="27AE4CDD"/>
    <w:rsid w:val="27B0758A"/>
    <w:rsid w:val="27B35E52"/>
    <w:rsid w:val="27BB1A8B"/>
    <w:rsid w:val="27C6665D"/>
    <w:rsid w:val="27C7060A"/>
    <w:rsid w:val="27C70E9A"/>
    <w:rsid w:val="27CA3605"/>
    <w:rsid w:val="27DA0696"/>
    <w:rsid w:val="27DE60E7"/>
    <w:rsid w:val="27E6038A"/>
    <w:rsid w:val="27E92A9C"/>
    <w:rsid w:val="27ED19C1"/>
    <w:rsid w:val="27F05BD9"/>
    <w:rsid w:val="27F25DF9"/>
    <w:rsid w:val="27F424FA"/>
    <w:rsid w:val="2801198E"/>
    <w:rsid w:val="28027BAF"/>
    <w:rsid w:val="28113C07"/>
    <w:rsid w:val="2816041A"/>
    <w:rsid w:val="28196F3D"/>
    <w:rsid w:val="281F61F6"/>
    <w:rsid w:val="28295C53"/>
    <w:rsid w:val="28307B88"/>
    <w:rsid w:val="2831018A"/>
    <w:rsid w:val="28333D17"/>
    <w:rsid w:val="28357A8F"/>
    <w:rsid w:val="283A3529"/>
    <w:rsid w:val="283B10C6"/>
    <w:rsid w:val="283F0026"/>
    <w:rsid w:val="28485A15"/>
    <w:rsid w:val="28523542"/>
    <w:rsid w:val="2859693B"/>
    <w:rsid w:val="285A32CE"/>
    <w:rsid w:val="285C5ABE"/>
    <w:rsid w:val="285E5068"/>
    <w:rsid w:val="286239B6"/>
    <w:rsid w:val="286B5D5D"/>
    <w:rsid w:val="287A4F1F"/>
    <w:rsid w:val="287A5EAE"/>
    <w:rsid w:val="28833FF4"/>
    <w:rsid w:val="28836A4D"/>
    <w:rsid w:val="28885E11"/>
    <w:rsid w:val="2889233F"/>
    <w:rsid w:val="28893264"/>
    <w:rsid w:val="289066E0"/>
    <w:rsid w:val="289912D6"/>
    <w:rsid w:val="289A5B44"/>
    <w:rsid w:val="289B0E70"/>
    <w:rsid w:val="289C4061"/>
    <w:rsid w:val="289D1501"/>
    <w:rsid w:val="28A32C4B"/>
    <w:rsid w:val="28A4279B"/>
    <w:rsid w:val="28AB5150"/>
    <w:rsid w:val="28AC22B5"/>
    <w:rsid w:val="28AD1D1C"/>
    <w:rsid w:val="28AD5878"/>
    <w:rsid w:val="28B00846"/>
    <w:rsid w:val="28B427E9"/>
    <w:rsid w:val="28B430AA"/>
    <w:rsid w:val="28B53ABC"/>
    <w:rsid w:val="28B75CFC"/>
    <w:rsid w:val="28B916C9"/>
    <w:rsid w:val="28BC7518"/>
    <w:rsid w:val="28C86CDA"/>
    <w:rsid w:val="28CD7CC8"/>
    <w:rsid w:val="28D23177"/>
    <w:rsid w:val="28D241AE"/>
    <w:rsid w:val="28D443DD"/>
    <w:rsid w:val="28D82564"/>
    <w:rsid w:val="28DB0637"/>
    <w:rsid w:val="28DD67A9"/>
    <w:rsid w:val="28DF2969"/>
    <w:rsid w:val="28E53263"/>
    <w:rsid w:val="28EA4D92"/>
    <w:rsid w:val="28EA6ACC"/>
    <w:rsid w:val="28EB24A4"/>
    <w:rsid w:val="28ED3EC6"/>
    <w:rsid w:val="28EE2D15"/>
    <w:rsid w:val="28EF131C"/>
    <w:rsid w:val="28F434A6"/>
    <w:rsid w:val="28FD0187"/>
    <w:rsid w:val="28FE761C"/>
    <w:rsid w:val="2900016D"/>
    <w:rsid w:val="2903412B"/>
    <w:rsid w:val="29036D68"/>
    <w:rsid w:val="29044006"/>
    <w:rsid w:val="290A61DC"/>
    <w:rsid w:val="290B0003"/>
    <w:rsid w:val="290B3DB6"/>
    <w:rsid w:val="290B6B23"/>
    <w:rsid w:val="290D5B86"/>
    <w:rsid w:val="292F0982"/>
    <w:rsid w:val="29326492"/>
    <w:rsid w:val="293A3114"/>
    <w:rsid w:val="293F518B"/>
    <w:rsid w:val="294066EC"/>
    <w:rsid w:val="294202A1"/>
    <w:rsid w:val="29491A44"/>
    <w:rsid w:val="294D28AB"/>
    <w:rsid w:val="29516F27"/>
    <w:rsid w:val="29530409"/>
    <w:rsid w:val="29532AF7"/>
    <w:rsid w:val="295403E9"/>
    <w:rsid w:val="295779D7"/>
    <w:rsid w:val="295A0FA5"/>
    <w:rsid w:val="295D54F0"/>
    <w:rsid w:val="29622B06"/>
    <w:rsid w:val="29695C42"/>
    <w:rsid w:val="296B1C1E"/>
    <w:rsid w:val="29735F38"/>
    <w:rsid w:val="297840D8"/>
    <w:rsid w:val="297E32C7"/>
    <w:rsid w:val="297E32DA"/>
    <w:rsid w:val="2980406B"/>
    <w:rsid w:val="29837CF7"/>
    <w:rsid w:val="298962E5"/>
    <w:rsid w:val="298F5BE1"/>
    <w:rsid w:val="29907923"/>
    <w:rsid w:val="299131AF"/>
    <w:rsid w:val="29937456"/>
    <w:rsid w:val="29956A7A"/>
    <w:rsid w:val="29A0030E"/>
    <w:rsid w:val="29A541C7"/>
    <w:rsid w:val="29A91466"/>
    <w:rsid w:val="29A924E3"/>
    <w:rsid w:val="29AC7233"/>
    <w:rsid w:val="29B066B4"/>
    <w:rsid w:val="29B1672C"/>
    <w:rsid w:val="29B570DA"/>
    <w:rsid w:val="29B94425"/>
    <w:rsid w:val="29BB2216"/>
    <w:rsid w:val="29BE0971"/>
    <w:rsid w:val="29C1586F"/>
    <w:rsid w:val="29C2546F"/>
    <w:rsid w:val="29C25CE3"/>
    <w:rsid w:val="29C26B70"/>
    <w:rsid w:val="29C32EEB"/>
    <w:rsid w:val="29C356F5"/>
    <w:rsid w:val="29C52793"/>
    <w:rsid w:val="29C60960"/>
    <w:rsid w:val="29C834B1"/>
    <w:rsid w:val="29D0097F"/>
    <w:rsid w:val="29D30A87"/>
    <w:rsid w:val="29D80D8D"/>
    <w:rsid w:val="29E3147F"/>
    <w:rsid w:val="29F3375E"/>
    <w:rsid w:val="29F72294"/>
    <w:rsid w:val="29FE65E1"/>
    <w:rsid w:val="2A015DD7"/>
    <w:rsid w:val="2A067A95"/>
    <w:rsid w:val="2A0865D6"/>
    <w:rsid w:val="2A0C3E3D"/>
    <w:rsid w:val="2A0C5B1B"/>
    <w:rsid w:val="2A0D7BCD"/>
    <w:rsid w:val="2A104D68"/>
    <w:rsid w:val="2A1831C5"/>
    <w:rsid w:val="2A1A0A1C"/>
    <w:rsid w:val="2A1A7A11"/>
    <w:rsid w:val="2A29699B"/>
    <w:rsid w:val="2A2B114A"/>
    <w:rsid w:val="2A350005"/>
    <w:rsid w:val="2A365C3A"/>
    <w:rsid w:val="2A3C1E31"/>
    <w:rsid w:val="2A4020FD"/>
    <w:rsid w:val="2A461AE0"/>
    <w:rsid w:val="2A48258A"/>
    <w:rsid w:val="2A4B18C9"/>
    <w:rsid w:val="2A4D32A5"/>
    <w:rsid w:val="2A4F104B"/>
    <w:rsid w:val="2A500BB0"/>
    <w:rsid w:val="2A505EDF"/>
    <w:rsid w:val="2A522562"/>
    <w:rsid w:val="2A554419"/>
    <w:rsid w:val="2A567CC3"/>
    <w:rsid w:val="2A5E0751"/>
    <w:rsid w:val="2A5E49EF"/>
    <w:rsid w:val="2A5E575E"/>
    <w:rsid w:val="2A635EC6"/>
    <w:rsid w:val="2A6C2E82"/>
    <w:rsid w:val="2A6E46D4"/>
    <w:rsid w:val="2A6E7289"/>
    <w:rsid w:val="2A73489F"/>
    <w:rsid w:val="2A76621B"/>
    <w:rsid w:val="2A7720BD"/>
    <w:rsid w:val="2A7D4250"/>
    <w:rsid w:val="2A8054E4"/>
    <w:rsid w:val="2A81520E"/>
    <w:rsid w:val="2A830F86"/>
    <w:rsid w:val="2A832D34"/>
    <w:rsid w:val="2A865445"/>
    <w:rsid w:val="2A8D0E58"/>
    <w:rsid w:val="2A8D477E"/>
    <w:rsid w:val="2A8F792B"/>
    <w:rsid w:val="2A947943"/>
    <w:rsid w:val="2A976B24"/>
    <w:rsid w:val="2A985407"/>
    <w:rsid w:val="2A9C44B7"/>
    <w:rsid w:val="2A9F1FA3"/>
    <w:rsid w:val="2AA107B7"/>
    <w:rsid w:val="2AA35184"/>
    <w:rsid w:val="2AAC3C25"/>
    <w:rsid w:val="2AAD4788"/>
    <w:rsid w:val="2AAE4046"/>
    <w:rsid w:val="2AB15876"/>
    <w:rsid w:val="2AB76642"/>
    <w:rsid w:val="2AB962AC"/>
    <w:rsid w:val="2AB97208"/>
    <w:rsid w:val="2ABD41E8"/>
    <w:rsid w:val="2ACA2711"/>
    <w:rsid w:val="2ACA659A"/>
    <w:rsid w:val="2ACA764F"/>
    <w:rsid w:val="2AD16B46"/>
    <w:rsid w:val="2AD50C2C"/>
    <w:rsid w:val="2AE40249"/>
    <w:rsid w:val="2AE76EEC"/>
    <w:rsid w:val="2AEB52C0"/>
    <w:rsid w:val="2AF70903"/>
    <w:rsid w:val="2AFC069C"/>
    <w:rsid w:val="2AFE7FA7"/>
    <w:rsid w:val="2B002A15"/>
    <w:rsid w:val="2B004385"/>
    <w:rsid w:val="2B082E53"/>
    <w:rsid w:val="2B0B1774"/>
    <w:rsid w:val="2B0F487F"/>
    <w:rsid w:val="2B116592"/>
    <w:rsid w:val="2B120295"/>
    <w:rsid w:val="2B12230A"/>
    <w:rsid w:val="2B1627CB"/>
    <w:rsid w:val="2B177E17"/>
    <w:rsid w:val="2B1D2053"/>
    <w:rsid w:val="2B203DFC"/>
    <w:rsid w:val="2B231E21"/>
    <w:rsid w:val="2B241F56"/>
    <w:rsid w:val="2B345DDC"/>
    <w:rsid w:val="2B373B1E"/>
    <w:rsid w:val="2B393244"/>
    <w:rsid w:val="2B4273B5"/>
    <w:rsid w:val="2B430715"/>
    <w:rsid w:val="2B462847"/>
    <w:rsid w:val="2B473E90"/>
    <w:rsid w:val="2B487ADA"/>
    <w:rsid w:val="2B512E32"/>
    <w:rsid w:val="2B572837"/>
    <w:rsid w:val="2B5808C6"/>
    <w:rsid w:val="2B585432"/>
    <w:rsid w:val="2B593A95"/>
    <w:rsid w:val="2B5B6257"/>
    <w:rsid w:val="2B623A73"/>
    <w:rsid w:val="2B637460"/>
    <w:rsid w:val="2B6450C2"/>
    <w:rsid w:val="2B683FBF"/>
    <w:rsid w:val="2B736D8C"/>
    <w:rsid w:val="2B7A695A"/>
    <w:rsid w:val="2B7B4E66"/>
    <w:rsid w:val="2B7F3476"/>
    <w:rsid w:val="2B8444BD"/>
    <w:rsid w:val="2B8723B0"/>
    <w:rsid w:val="2B885F9A"/>
    <w:rsid w:val="2B8B1BAD"/>
    <w:rsid w:val="2B95492F"/>
    <w:rsid w:val="2B9F7A01"/>
    <w:rsid w:val="2BA07906"/>
    <w:rsid w:val="2BA2368E"/>
    <w:rsid w:val="2BA2543C"/>
    <w:rsid w:val="2BA3754A"/>
    <w:rsid w:val="2BA76DF0"/>
    <w:rsid w:val="2BA91373"/>
    <w:rsid w:val="2BAA0794"/>
    <w:rsid w:val="2BAA6779"/>
    <w:rsid w:val="2BAC7653"/>
    <w:rsid w:val="2BAD582C"/>
    <w:rsid w:val="2BB707CC"/>
    <w:rsid w:val="2BBC5EDD"/>
    <w:rsid w:val="2BBD1D28"/>
    <w:rsid w:val="2BC13ED3"/>
    <w:rsid w:val="2BC40A8D"/>
    <w:rsid w:val="2BCA3B33"/>
    <w:rsid w:val="2BCF1FA9"/>
    <w:rsid w:val="2BD55811"/>
    <w:rsid w:val="2BD66E93"/>
    <w:rsid w:val="2BDE155E"/>
    <w:rsid w:val="2BE40E23"/>
    <w:rsid w:val="2BE70CE0"/>
    <w:rsid w:val="2BE92378"/>
    <w:rsid w:val="2BE93560"/>
    <w:rsid w:val="2BEC3387"/>
    <w:rsid w:val="2BF33EE9"/>
    <w:rsid w:val="2BFA71CB"/>
    <w:rsid w:val="2BFF2D35"/>
    <w:rsid w:val="2C016D11"/>
    <w:rsid w:val="2C026205"/>
    <w:rsid w:val="2C027C88"/>
    <w:rsid w:val="2C0672CF"/>
    <w:rsid w:val="2C073F2C"/>
    <w:rsid w:val="2C0772FB"/>
    <w:rsid w:val="2C086C8C"/>
    <w:rsid w:val="2C0B5FFB"/>
    <w:rsid w:val="2C155F7D"/>
    <w:rsid w:val="2C173123"/>
    <w:rsid w:val="2C1E5E6E"/>
    <w:rsid w:val="2C344F4B"/>
    <w:rsid w:val="2C395AD1"/>
    <w:rsid w:val="2C40409B"/>
    <w:rsid w:val="2C435555"/>
    <w:rsid w:val="2C446D4D"/>
    <w:rsid w:val="2C471B3F"/>
    <w:rsid w:val="2C4E6EE1"/>
    <w:rsid w:val="2C545BC7"/>
    <w:rsid w:val="2C567FD4"/>
    <w:rsid w:val="2C594CCB"/>
    <w:rsid w:val="2C5C7463"/>
    <w:rsid w:val="2C5E2E5D"/>
    <w:rsid w:val="2C6127E0"/>
    <w:rsid w:val="2C6A5C3F"/>
    <w:rsid w:val="2C6F60FE"/>
    <w:rsid w:val="2C752697"/>
    <w:rsid w:val="2C7530C8"/>
    <w:rsid w:val="2C755D0D"/>
    <w:rsid w:val="2C7F3B38"/>
    <w:rsid w:val="2C8142B0"/>
    <w:rsid w:val="2C845E50"/>
    <w:rsid w:val="2C891FA3"/>
    <w:rsid w:val="2C8E761D"/>
    <w:rsid w:val="2C8F3C74"/>
    <w:rsid w:val="2C901738"/>
    <w:rsid w:val="2C937E38"/>
    <w:rsid w:val="2C9805ED"/>
    <w:rsid w:val="2C98749B"/>
    <w:rsid w:val="2CA451E4"/>
    <w:rsid w:val="2CA5041C"/>
    <w:rsid w:val="2CA82396"/>
    <w:rsid w:val="2CAA504F"/>
    <w:rsid w:val="2CAC416A"/>
    <w:rsid w:val="2CB37DF4"/>
    <w:rsid w:val="2CBD7366"/>
    <w:rsid w:val="2CC30F89"/>
    <w:rsid w:val="2CC64E7D"/>
    <w:rsid w:val="2CD149F0"/>
    <w:rsid w:val="2CD31625"/>
    <w:rsid w:val="2CD53058"/>
    <w:rsid w:val="2CDF3CC5"/>
    <w:rsid w:val="2CE07D41"/>
    <w:rsid w:val="2CE1616A"/>
    <w:rsid w:val="2CE36141"/>
    <w:rsid w:val="2CE45871"/>
    <w:rsid w:val="2CE815D8"/>
    <w:rsid w:val="2CE850D0"/>
    <w:rsid w:val="2CEA163E"/>
    <w:rsid w:val="2CEB1DDF"/>
    <w:rsid w:val="2CF00915"/>
    <w:rsid w:val="2CF55915"/>
    <w:rsid w:val="2CF82403"/>
    <w:rsid w:val="2CFF6AD8"/>
    <w:rsid w:val="2D074ADC"/>
    <w:rsid w:val="2D0A14EA"/>
    <w:rsid w:val="2D157370"/>
    <w:rsid w:val="2D157E8F"/>
    <w:rsid w:val="2D161017"/>
    <w:rsid w:val="2D1E0AF2"/>
    <w:rsid w:val="2D1F3094"/>
    <w:rsid w:val="2D25728C"/>
    <w:rsid w:val="2D265BF9"/>
    <w:rsid w:val="2D294698"/>
    <w:rsid w:val="2D297497"/>
    <w:rsid w:val="2D2A6D1E"/>
    <w:rsid w:val="2D2B1461"/>
    <w:rsid w:val="2D2D6A0B"/>
    <w:rsid w:val="2D3344B1"/>
    <w:rsid w:val="2D37400A"/>
    <w:rsid w:val="2D3A0D79"/>
    <w:rsid w:val="2D3F21C8"/>
    <w:rsid w:val="2D4576FE"/>
    <w:rsid w:val="2D485EAC"/>
    <w:rsid w:val="2D4C2ADF"/>
    <w:rsid w:val="2D5653E5"/>
    <w:rsid w:val="2D5A6216"/>
    <w:rsid w:val="2D5F6C93"/>
    <w:rsid w:val="2D674E69"/>
    <w:rsid w:val="2D675D83"/>
    <w:rsid w:val="2D6F1252"/>
    <w:rsid w:val="2D7735C1"/>
    <w:rsid w:val="2D797D5C"/>
    <w:rsid w:val="2D860E5E"/>
    <w:rsid w:val="2D861890"/>
    <w:rsid w:val="2D8A60D3"/>
    <w:rsid w:val="2D9457A1"/>
    <w:rsid w:val="2D973E6D"/>
    <w:rsid w:val="2DA51213"/>
    <w:rsid w:val="2DB17BB8"/>
    <w:rsid w:val="2DB72CF5"/>
    <w:rsid w:val="2DBA372D"/>
    <w:rsid w:val="2DBD014C"/>
    <w:rsid w:val="2DBD67E4"/>
    <w:rsid w:val="2DC563E8"/>
    <w:rsid w:val="2DC622F7"/>
    <w:rsid w:val="2DC86721"/>
    <w:rsid w:val="2DCC0989"/>
    <w:rsid w:val="2DCC289A"/>
    <w:rsid w:val="2DD271B4"/>
    <w:rsid w:val="2DD312FD"/>
    <w:rsid w:val="2DD709D7"/>
    <w:rsid w:val="2DDB4371"/>
    <w:rsid w:val="2DE24215"/>
    <w:rsid w:val="2DE366ED"/>
    <w:rsid w:val="2DE84992"/>
    <w:rsid w:val="2DE91033"/>
    <w:rsid w:val="2DEF248E"/>
    <w:rsid w:val="2DF456CB"/>
    <w:rsid w:val="2DFF0254"/>
    <w:rsid w:val="2E0232BC"/>
    <w:rsid w:val="2E0A3F5C"/>
    <w:rsid w:val="2E0C4C6D"/>
    <w:rsid w:val="2E0F24B0"/>
    <w:rsid w:val="2E1275C8"/>
    <w:rsid w:val="2E132A5E"/>
    <w:rsid w:val="2E137E2D"/>
    <w:rsid w:val="2E1C39FD"/>
    <w:rsid w:val="2E1F65F6"/>
    <w:rsid w:val="2E281E8E"/>
    <w:rsid w:val="2E2B1457"/>
    <w:rsid w:val="2E2B2B01"/>
    <w:rsid w:val="2E2C7D0C"/>
    <w:rsid w:val="2E2D6C56"/>
    <w:rsid w:val="2E332804"/>
    <w:rsid w:val="2E33681F"/>
    <w:rsid w:val="2E3523D3"/>
    <w:rsid w:val="2E3B558A"/>
    <w:rsid w:val="2E3B56D4"/>
    <w:rsid w:val="2E3B770C"/>
    <w:rsid w:val="2E3D19FC"/>
    <w:rsid w:val="2E3F6F72"/>
    <w:rsid w:val="2E426A62"/>
    <w:rsid w:val="2E4C5B33"/>
    <w:rsid w:val="2E4E3647"/>
    <w:rsid w:val="2E516CA5"/>
    <w:rsid w:val="2E5215C6"/>
    <w:rsid w:val="2E590035"/>
    <w:rsid w:val="2E831B8A"/>
    <w:rsid w:val="2E8324DB"/>
    <w:rsid w:val="2E8B37D4"/>
    <w:rsid w:val="2E8C49C2"/>
    <w:rsid w:val="2E9736ED"/>
    <w:rsid w:val="2E9B174E"/>
    <w:rsid w:val="2E9C0A6B"/>
    <w:rsid w:val="2EA31082"/>
    <w:rsid w:val="2EA55542"/>
    <w:rsid w:val="2EAA4F56"/>
    <w:rsid w:val="2EAC037F"/>
    <w:rsid w:val="2EAC25AC"/>
    <w:rsid w:val="2EB85077"/>
    <w:rsid w:val="2EBC05C2"/>
    <w:rsid w:val="2EBE459F"/>
    <w:rsid w:val="2EC31D39"/>
    <w:rsid w:val="2EC6048E"/>
    <w:rsid w:val="2ED664D4"/>
    <w:rsid w:val="2ED81174"/>
    <w:rsid w:val="2ED93D2D"/>
    <w:rsid w:val="2EE41B72"/>
    <w:rsid w:val="2EE62257"/>
    <w:rsid w:val="2EEC02A8"/>
    <w:rsid w:val="2EEF6C10"/>
    <w:rsid w:val="2EF36A6A"/>
    <w:rsid w:val="2EF8050F"/>
    <w:rsid w:val="2EF824B7"/>
    <w:rsid w:val="2EF93F05"/>
    <w:rsid w:val="2F04047F"/>
    <w:rsid w:val="2F0C6232"/>
    <w:rsid w:val="2F1321AD"/>
    <w:rsid w:val="2F13781F"/>
    <w:rsid w:val="2F153205"/>
    <w:rsid w:val="2F155F25"/>
    <w:rsid w:val="2F156C98"/>
    <w:rsid w:val="2F1853EA"/>
    <w:rsid w:val="2F1A44FF"/>
    <w:rsid w:val="2F27469D"/>
    <w:rsid w:val="2F274765"/>
    <w:rsid w:val="2F2D1E2B"/>
    <w:rsid w:val="2F3220F8"/>
    <w:rsid w:val="2F387C10"/>
    <w:rsid w:val="2F3F11F4"/>
    <w:rsid w:val="2F3F146C"/>
    <w:rsid w:val="2F474EE1"/>
    <w:rsid w:val="2F482654"/>
    <w:rsid w:val="2F5051AF"/>
    <w:rsid w:val="2F567286"/>
    <w:rsid w:val="2F5710DB"/>
    <w:rsid w:val="2F5750D2"/>
    <w:rsid w:val="2F5812F5"/>
    <w:rsid w:val="2F590507"/>
    <w:rsid w:val="2F5A09B5"/>
    <w:rsid w:val="2F5B0392"/>
    <w:rsid w:val="2F5D05B3"/>
    <w:rsid w:val="2F624A98"/>
    <w:rsid w:val="2F6F32EF"/>
    <w:rsid w:val="2F700587"/>
    <w:rsid w:val="2F7215C9"/>
    <w:rsid w:val="2F930B05"/>
    <w:rsid w:val="2F982C3F"/>
    <w:rsid w:val="2F98323F"/>
    <w:rsid w:val="2F9B4F5A"/>
    <w:rsid w:val="2FA035F4"/>
    <w:rsid w:val="2FA135C7"/>
    <w:rsid w:val="2FA51ADD"/>
    <w:rsid w:val="2FAC4ADB"/>
    <w:rsid w:val="2FAF2532"/>
    <w:rsid w:val="2FB469AF"/>
    <w:rsid w:val="2FBB2F70"/>
    <w:rsid w:val="2FC01779"/>
    <w:rsid w:val="2FC34AC7"/>
    <w:rsid w:val="2FC54AC6"/>
    <w:rsid w:val="2FC7522A"/>
    <w:rsid w:val="2FC77FD2"/>
    <w:rsid w:val="2FCB0054"/>
    <w:rsid w:val="2FCD34C3"/>
    <w:rsid w:val="2FD81838"/>
    <w:rsid w:val="2FD8481C"/>
    <w:rsid w:val="2FE157BA"/>
    <w:rsid w:val="2FE72DB7"/>
    <w:rsid w:val="2FED29FE"/>
    <w:rsid w:val="2FF41FDE"/>
    <w:rsid w:val="2FFE6BA9"/>
    <w:rsid w:val="2FFF10AF"/>
    <w:rsid w:val="2FFF5096"/>
    <w:rsid w:val="30027682"/>
    <w:rsid w:val="30067BFF"/>
    <w:rsid w:val="300C557A"/>
    <w:rsid w:val="300E12F2"/>
    <w:rsid w:val="30105AA9"/>
    <w:rsid w:val="30115DB3"/>
    <w:rsid w:val="301241C3"/>
    <w:rsid w:val="30133697"/>
    <w:rsid w:val="30155871"/>
    <w:rsid w:val="301B0DD9"/>
    <w:rsid w:val="302C188A"/>
    <w:rsid w:val="302E5624"/>
    <w:rsid w:val="302F73A6"/>
    <w:rsid w:val="30335927"/>
    <w:rsid w:val="3034687E"/>
    <w:rsid w:val="30406FD1"/>
    <w:rsid w:val="304435BC"/>
    <w:rsid w:val="30443B5C"/>
    <w:rsid w:val="30465505"/>
    <w:rsid w:val="304A7045"/>
    <w:rsid w:val="304E451E"/>
    <w:rsid w:val="30534F57"/>
    <w:rsid w:val="30562252"/>
    <w:rsid w:val="30582948"/>
    <w:rsid w:val="305B02AF"/>
    <w:rsid w:val="305C354A"/>
    <w:rsid w:val="305D7B83"/>
    <w:rsid w:val="30644423"/>
    <w:rsid w:val="30655EC2"/>
    <w:rsid w:val="30676CD3"/>
    <w:rsid w:val="30701013"/>
    <w:rsid w:val="307042AC"/>
    <w:rsid w:val="307373A7"/>
    <w:rsid w:val="307E4E7F"/>
    <w:rsid w:val="30833CC4"/>
    <w:rsid w:val="3084008B"/>
    <w:rsid w:val="308415B4"/>
    <w:rsid w:val="30842429"/>
    <w:rsid w:val="308570DA"/>
    <w:rsid w:val="3086272D"/>
    <w:rsid w:val="308723F2"/>
    <w:rsid w:val="30885B36"/>
    <w:rsid w:val="308C0777"/>
    <w:rsid w:val="308C1B90"/>
    <w:rsid w:val="308F6222"/>
    <w:rsid w:val="30927D6A"/>
    <w:rsid w:val="309B06AC"/>
    <w:rsid w:val="309E07FF"/>
    <w:rsid w:val="30A06D35"/>
    <w:rsid w:val="30AE11A0"/>
    <w:rsid w:val="30BC6FA0"/>
    <w:rsid w:val="30CA6E49"/>
    <w:rsid w:val="30CD2096"/>
    <w:rsid w:val="30D33117"/>
    <w:rsid w:val="30D4179D"/>
    <w:rsid w:val="30D45DE3"/>
    <w:rsid w:val="30D91378"/>
    <w:rsid w:val="30DA11D4"/>
    <w:rsid w:val="30DD3346"/>
    <w:rsid w:val="30E270E4"/>
    <w:rsid w:val="30E54890"/>
    <w:rsid w:val="30E63BE0"/>
    <w:rsid w:val="30ED39A7"/>
    <w:rsid w:val="30FA20C4"/>
    <w:rsid w:val="30FD2607"/>
    <w:rsid w:val="310111FD"/>
    <w:rsid w:val="310B04D7"/>
    <w:rsid w:val="310B6793"/>
    <w:rsid w:val="310B682E"/>
    <w:rsid w:val="310C1156"/>
    <w:rsid w:val="310C5E46"/>
    <w:rsid w:val="31102515"/>
    <w:rsid w:val="3115150A"/>
    <w:rsid w:val="31152BCA"/>
    <w:rsid w:val="311879B6"/>
    <w:rsid w:val="31187AE3"/>
    <w:rsid w:val="311A48AE"/>
    <w:rsid w:val="311E51D4"/>
    <w:rsid w:val="311E6E06"/>
    <w:rsid w:val="3124014B"/>
    <w:rsid w:val="312857EA"/>
    <w:rsid w:val="312E6595"/>
    <w:rsid w:val="312E74C8"/>
    <w:rsid w:val="313144DA"/>
    <w:rsid w:val="313573AD"/>
    <w:rsid w:val="31371748"/>
    <w:rsid w:val="31416221"/>
    <w:rsid w:val="314525BE"/>
    <w:rsid w:val="31467695"/>
    <w:rsid w:val="314737F3"/>
    <w:rsid w:val="31482018"/>
    <w:rsid w:val="314F06D5"/>
    <w:rsid w:val="31506ACE"/>
    <w:rsid w:val="31524FA7"/>
    <w:rsid w:val="315B014B"/>
    <w:rsid w:val="316513E5"/>
    <w:rsid w:val="316B686D"/>
    <w:rsid w:val="317529D9"/>
    <w:rsid w:val="31787A75"/>
    <w:rsid w:val="317B29B7"/>
    <w:rsid w:val="317D4CDC"/>
    <w:rsid w:val="317E5E97"/>
    <w:rsid w:val="317F1D7B"/>
    <w:rsid w:val="318B0BE0"/>
    <w:rsid w:val="318D0A45"/>
    <w:rsid w:val="318E06C2"/>
    <w:rsid w:val="31902C6D"/>
    <w:rsid w:val="319214C5"/>
    <w:rsid w:val="31923554"/>
    <w:rsid w:val="31997C83"/>
    <w:rsid w:val="319C0B7F"/>
    <w:rsid w:val="319C46DB"/>
    <w:rsid w:val="319F4D8C"/>
    <w:rsid w:val="31A60F11"/>
    <w:rsid w:val="31A950C2"/>
    <w:rsid w:val="31AA3A4C"/>
    <w:rsid w:val="31AA412D"/>
    <w:rsid w:val="31AD0DC5"/>
    <w:rsid w:val="31B10D36"/>
    <w:rsid w:val="31B41A25"/>
    <w:rsid w:val="31BB008E"/>
    <w:rsid w:val="31BE5A57"/>
    <w:rsid w:val="31C0486E"/>
    <w:rsid w:val="31C53C32"/>
    <w:rsid w:val="31C761A0"/>
    <w:rsid w:val="31D07E49"/>
    <w:rsid w:val="31D420C7"/>
    <w:rsid w:val="31D67C2F"/>
    <w:rsid w:val="31D82491"/>
    <w:rsid w:val="31DA09DE"/>
    <w:rsid w:val="31DB154D"/>
    <w:rsid w:val="31E27BFC"/>
    <w:rsid w:val="31E3055C"/>
    <w:rsid w:val="31E8183D"/>
    <w:rsid w:val="31E83D48"/>
    <w:rsid w:val="31F16A93"/>
    <w:rsid w:val="31F16EDC"/>
    <w:rsid w:val="31F4294A"/>
    <w:rsid w:val="31F44517"/>
    <w:rsid w:val="31F64CA2"/>
    <w:rsid w:val="31F832BC"/>
    <w:rsid w:val="31F93CDF"/>
    <w:rsid w:val="31FF4066"/>
    <w:rsid w:val="32037E68"/>
    <w:rsid w:val="320D0ED8"/>
    <w:rsid w:val="320F7776"/>
    <w:rsid w:val="3210174E"/>
    <w:rsid w:val="321063FD"/>
    <w:rsid w:val="3212499D"/>
    <w:rsid w:val="3216448E"/>
    <w:rsid w:val="32165236"/>
    <w:rsid w:val="32191919"/>
    <w:rsid w:val="32195950"/>
    <w:rsid w:val="32212F3C"/>
    <w:rsid w:val="322133CB"/>
    <w:rsid w:val="322A4ECE"/>
    <w:rsid w:val="322F3790"/>
    <w:rsid w:val="32325150"/>
    <w:rsid w:val="32344E1E"/>
    <w:rsid w:val="32364B30"/>
    <w:rsid w:val="3241747F"/>
    <w:rsid w:val="32461FFB"/>
    <w:rsid w:val="32475042"/>
    <w:rsid w:val="324F5BF1"/>
    <w:rsid w:val="32506154"/>
    <w:rsid w:val="325967C2"/>
    <w:rsid w:val="32672F3B"/>
    <w:rsid w:val="326A2A2B"/>
    <w:rsid w:val="326F2A98"/>
    <w:rsid w:val="32721D12"/>
    <w:rsid w:val="3273391C"/>
    <w:rsid w:val="32761821"/>
    <w:rsid w:val="327965EB"/>
    <w:rsid w:val="327D450D"/>
    <w:rsid w:val="327D47FE"/>
    <w:rsid w:val="3281375B"/>
    <w:rsid w:val="328223F0"/>
    <w:rsid w:val="328852BD"/>
    <w:rsid w:val="328A0DD0"/>
    <w:rsid w:val="328B0920"/>
    <w:rsid w:val="32967A38"/>
    <w:rsid w:val="329D4C76"/>
    <w:rsid w:val="329F3ACD"/>
    <w:rsid w:val="32A157F9"/>
    <w:rsid w:val="32A73338"/>
    <w:rsid w:val="32B1065A"/>
    <w:rsid w:val="32B654FD"/>
    <w:rsid w:val="32B732C6"/>
    <w:rsid w:val="32BB4DC1"/>
    <w:rsid w:val="32BB767C"/>
    <w:rsid w:val="32BC62ED"/>
    <w:rsid w:val="32C236E0"/>
    <w:rsid w:val="32C40622"/>
    <w:rsid w:val="32C76DBA"/>
    <w:rsid w:val="32CC5683"/>
    <w:rsid w:val="32CF0599"/>
    <w:rsid w:val="32D2408A"/>
    <w:rsid w:val="32D26AF0"/>
    <w:rsid w:val="32D81743"/>
    <w:rsid w:val="32E00D80"/>
    <w:rsid w:val="32E21DAC"/>
    <w:rsid w:val="32E509E7"/>
    <w:rsid w:val="32E65D4E"/>
    <w:rsid w:val="32E7407C"/>
    <w:rsid w:val="32F63679"/>
    <w:rsid w:val="32FE5B04"/>
    <w:rsid w:val="32FF1DE9"/>
    <w:rsid w:val="33063C68"/>
    <w:rsid w:val="330963D0"/>
    <w:rsid w:val="330F1CCA"/>
    <w:rsid w:val="33123CE5"/>
    <w:rsid w:val="33125705"/>
    <w:rsid w:val="332134D2"/>
    <w:rsid w:val="3329511C"/>
    <w:rsid w:val="332A465C"/>
    <w:rsid w:val="332A5456"/>
    <w:rsid w:val="332B0E4C"/>
    <w:rsid w:val="33394ED7"/>
    <w:rsid w:val="333A17BC"/>
    <w:rsid w:val="33436E1B"/>
    <w:rsid w:val="334552D3"/>
    <w:rsid w:val="33497039"/>
    <w:rsid w:val="334B0167"/>
    <w:rsid w:val="334B5433"/>
    <w:rsid w:val="334C464B"/>
    <w:rsid w:val="335101AF"/>
    <w:rsid w:val="3351741E"/>
    <w:rsid w:val="33517978"/>
    <w:rsid w:val="33525999"/>
    <w:rsid w:val="33557195"/>
    <w:rsid w:val="33590514"/>
    <w:rsid w:val="33683658"/>
    <w:rsid w:val="336F66D8"/>
    <w:rsid w:val="337463AA"/>
    <w:rsid w:val="337714DD"/>
    <w:rsid w:val="337911FC"/>
    <w:rsid w:val="33795CB6"/>
    <w:rsid w:val="337A0A4C"/>
    <w:rsid w:val="337F22B1"/>
    <w:rsid w:val="337F47D5"/>
    <w:rsid w:val="33820860"/>
    <w:rsid w:val="3382553C"/>
    <w:rsid w:val="338266E7"/>
    <w:rsid w:val="338345D4"/>
    <w:rsid w:val="3384040C"/>
    <w:rsid w:val="33866EDA"/>
    <w:rsid w:val="33884F17"/>
    <w:rsid w:val="33952154"/>
    <w:rsid w:val="33983F4A"/>
    <w:rsid w:val="339A4C4A"/>
    <w:rsid w:val="339C6C14"/>
    <w:rsid w:val="33A3656D"/>
    <w:rsid w:val="33A5361B"/>
    <w:rsid w:val="33A60781"/>
    <w:rsid w:val="33A66BC8"/>
    <w:rsid w:val="33A803AF"/>
    <w:rsid w:val="33A95F53"/>
    <w:rsid w:val="33AF4A9B"/>
    <w:rsid w:val="33B52222"/>
    <w:rsid w:val="33B608A7"/>
    <w:rsid w:val="33B84A13"/>
    <w:rsid w:val="33B97383"/>
    <w:rsid w:val="33B977C6"/>
    <w:rsid w:val="33C01F5C"/>
    <w:rsid w:val="33D26595"/>
    <w:rsid w:val="33D30ECB"/>
    <w:rsid w:val="33D9383B"/>
    <w:rsid w:val="33D939C5"/>
    <w:rsid w:val="33DC5263"/>
    <w:rsid w:val="33DE05A9"/>
    <w:rsid w:val="33DF67A5"/>
    <w:rsid w:val="33E8222D"/>
    <w:rsid w:val="33EC194A"/>
    <w:rsid w:val="33ED5D93"/>
    <w:rsid w:val="33F06C80"/>
    <w:rsid w:val="33FB1B8D"/>
    <w:rsid w:val="33FE167D"/>
    <w:rsid w:val="34010E3D"/>
    <w:rsid w:val="34033ADF"/>
    <w:rsid w:val="34073764"/>
    <w:rsid w:val="340836C1"/>
    <w:rsid w:val="340B1CED"/>
    <w:rsid w:val="341378C2"/>
    <w:rsid w:val="341443D1"/>
    <w:rsid w:val="341809EA"/>
    <w:rsid w:val="34270060"/>
    <w:rsid w:val="342A4220"/>
    <w:rsid w:val="342C18E9"/>
    <w:rsid w:val="342C6CBF"/>
    <w:rsid w:val="343013FF"/>
    <w:rsid w:val="34346E4D"/>
    <w:rsid w:val="34352AEE"/>
    <w:rsid w:val="34356827"/>
    <w:rsid w:val="343F6B5B"/>
    <w:rsid w:val="344274BC"/>
    <w:rsid w:val="344D51E1"/>
    <w:rsid w:val="34596954"/>
    <w:rsid w:val="345B3C4C"/>
    <w:rsid w:val="34655258"/>
    <w:rsid w:val="34696694"/>
    <w:rsid w:val="346E6803"/>
    <w:rsid w:val="34741BA7"/>
    <w:rsid w:val="34745368"/>
    <w:rsid w:val="34782E03"/>
    <w:rsid w:val="347A7C20"/>
    <w:rsid w:val="34802092"/>
    <w:rsid w:val="348D4662"/>
    <w:rsid w:val="348F618B"/>
    <w:rsid w:val="3490449F"/>
    <w:rsid w:val="3495590C"/>
    <w:rsid w:val="34966E0C"/>
    <w:rsid w:val="34967C44"/>
    <w:rsid w:val="349943A2"/>
    <w:rsid w:val="349978B0"/>
    <w:rsid w:val="349B0057"/>
    <w:rsid w:val="349F00B4"/>
    <w:rsid w:val="34A16E8F"/>
    <w:rsid w:val="34AB7D42"/>
    <w:rsid w:val="34B8182C"/>
    <w:rsid w:val="34B83955"/>
    <w:rsid w:val="34BB756E"/>
    <w:rsid w:val="34BE1D3E"/>
    <w:rsid w:val="34BE4161"/>
    <w:rsid w:val="34C06933"/>
    <w:rsid w:val="34C4487A"/>
    <w:rsid w:val="34CC52D7"/>
    <w:rsid w:val="34D126EC"/>
    <w:rsid w:val="34D16896"/>
    <w:rsid w:val="34D535EF"/>
    <w:rsid w:val="34D80120"/>
    <w:rsid w:val="34D932CA"/>
    <w:rsid w:val="34D9657C"/>
    <w:rsid w:val="34DB376C"/>
    <w:rsid w:val="34DB659F"/>
    <w:rsid w:val="34E462A6"/>
    <w:rsid w:val="34E52CFA"/>
    <w:rsid w:val="34E671CA"/>
    <w:rsid w:val="34E70363"/>
    <w:rsid w:val="34E71308"/>
    <w:rsid w:val="34EB39F0"/>
    <w:rsid w:val="34F708F7"/>
    <w:rsid w:val="350070F2"/>
    <w:rsid w:val="350312F7"/>
    <w:rsid w:val="3506109B"/>
    <w:rsid w:val="35091C2D"/>
    <w:rsid w:val="350C524E"/>
    <w:rsid w:val="350D2A90"/>
    <w:rsid w:val="350D2D6B"/>
    <w:rsid w:val="35140511"/>
    <w:rsid w:val="35176ABE"/>
    <w:rsid w:val="351F0B68"/>
    <w:rsid w:val="351F3659"/>
    <w:rsid w:val="352057A6"/>
    <w:rsid w:val="35221D9B"/>
    <w:rsid w:val="35223149"/>
    <w:rsid w:val="35262C3A"/>
    <w:rsid w:val="352670DE"/>
    <w:rsid w:val="35274F17"/>
    <w:rsid w:val="35297BF8"/>
    <w:rsid w:val="35310F91"/>
    <w:rsid w:val="353804ED"/>
    <w:rsid w:val="353C420B"/>
    <w:rsid w:val="35405375"/>
    <w:rsid w:val="35440693"/>
    <w:rsid w:val="354676B0"/>
    <w:rsid w:val="3547654E"/>
    <w:rsid w:val="35524946"/>
    <w:rsid w:val="35544F5A"/>
    <w:rsid w:val="355812A7"/>
    <w:rsid w:val="355D62F8"/>
    <w:rsid w:val="355F13F5"/>
    <w:rsid w:val="355F55BC"/>
    <w:rsid w:val="356857DB"/>
    <w:rsid w:val="356910D3"/>
    <w:rsid w:val="35692AC9"/>
    <w:rsid w:val="356A305C"/>
    <w:rsid w:val="356B689E"/>
    <w:rsid w:val="356C26C9"/>
    <w:rsid w:val="357A6B39"/>
    <w:rsid w:val="35845BB2"/>
    <w:rsid w:val="35856895"/>
    <w:rsid w:val="3586192A"/>
    <w:rsid w:val="358B325F"/>
    <w:rsid w:val="35920D94"/>
    <w:rsid w:val="35955E87"/>
    <w:rsid w:val="359A0F91"/>
    <w:rsid w:val="359D63F5"/>
    <w:rsid w:val="35AA721F"/>
    <w:rsid w:val="35AC04D9"/>
    <w:rsid w:val="35AC3709"/>
    <w:rsid w:val="35AF1D46"/>
    <w:rsid w:val="35B04BF9"/>
    <w:rsid w:val="35B57FB3"/>
    <w:rsid w:val="35BC1AF2"/>
    <w:rsid w:val="35BC36F9"/>
    <w:rsid w:val="35BD2F20"/>
    <w:rsid w:val="35C10660"/>
    <w:rsid w:val="35C85643"/>
    <w:rsid w:val="35C9233B"/>
    <w:rsid w:val="35CC7644"/>
    <w:rsid w:val="35CF1523"/>
    <w:rsid w:val="35D12E80"/>
    <w:rsid w:val="35D5157B"/>
    <w:rsid w:val="35DF7226"/>
    <w:rsid w:val="35E40563"/>
    <w:rsid w:val="35E51815"/>
    <w:rsid w:val="35EB68D5"/>
    <w:rsid w:val="35F2338D"/>
    <w:rsid w:val="35FA2948"/>
    <w:rsid w:val="35FC7F43"/>
    <w:rsid w:val="35FF3824"/>
    <w:rsid w:val="36004F77"/>
    <w:rsid w:val="360669B0"/>
    <w:rsid w:val="360B4516"/>
    <w:rsid w:val="36162CAE"/>
    <w:rsid w:val="36191146"/>
    <w:rsid w:val="361963E8"/>
    <w:rsid w:val="36196A3A"/>
    <w:rsid w:val="361A4FF4"/>
    <w:rsid w:val="361C5DEB"/>
    <w:rsid w:val="361E52D9"/>
    <w:rsid w:val="362065E7"/>
    <w:rsid w:val="36265FD7"/>
    <w:rsid w:val="362870FA"/>
    <w:rsid w:val="362C5811"/>
    <w:rsid w:val="3631518B"/>
    <w:rsid w:val="36315D3A"/>
    <w:rsid w:val="363A78B7"/>
    <w:rsid w:val="363B6DDE"/>
    <w:rsid w:val="363E23D2"/>
    <w:rsid w:val="36416E6A"/>
    <w:rsid w:val="36451CA7"/>
    <w:rsid w:val="36475C3F"/>
    <w:rsid w:val="36483084"/>
    <w:rsid w:val="364A6DFC"/>
    <w:rsid w:val="3650251F"/>
    <w:rsid w:val="365159BE"/>
    <w:rsid w:val="365C1C5E"/>
    <w:rsid w:val="365E61B2"/>
    <w:rsid w:val="36616D4A"/>
    <w:rsid w:val="36641912"/>
    <w:rsid w:val="366442A7"/>
    <w:rsid w:val="366548A3"/>
    <w:rsid w:val="366D4898"/>
    <w:rsid w:val="36704443"/>
    <w:rsid w:val="36733C27"/>
    <w:rsid w:val="367D228B"/>
    <w:rsid w:val="367E57CC"/>
    <w:rsid w:val="36873716"/>
    <w:rsid w:val="368A243B"/>
    <w:rsid w:val="368D0A96"/>
    <w:rsid w:val="368F6283"/>
    <w:rsid w:val="368F7018"/>
    <w:rsid w:val="369167D9"/>
    <w:rsid w:val="36961F83"/>
    <w:rsid w:val="369B1931"/>
    <w:rsid w:val="369B4FF8"/>
    <w:rsid w:val="369B6015"/>
    <w:rsid w:val="369B79E3"/>
    <w:rsid w:val="369D1E71"/>
    <w:rsid w:val="369F5606"/>
    <w:rsid w:val="36AA4F27"/>
    <w:rsid w:val="36B76253"/>
    <w:rsid w:val="36BD0FA1"/>
    <w:rsid w:val="36BE1BD4"/>
    <w:rsid w:val="36BE50F4"/>
    <w:rsid w:val="36BF6EE9"/>
    <w:rsid w:val="36C84CDB"/>
    <w:rsid w:val="36CE0F9D"/>
    <w:rsid w:val="36D03A8A"/>
    <w:rsid w:val="36D353E5"/>
    <w:rsid w:val="36D77E83"/>
    <w:rsid w:val="36DA5AB1"/>
    <w:rsid w:val="36DB0C9C"/>
    <w:rsid w:val="36E70FBA"/>
    <w:rsid w:val="36EA5A89"/>
    <w:rsid w:val="36EA7C97"/>
    <w:rsid w:val="36ED1F80"/>
    <w:rsid w:val="36EE7CF7"/>
    <w:rsid w:val="36F11C28"/>
    <w:rsid w:val="36F154C9"/>
    <w:rsid w:val="36F44886"/>
    <w:rsid w:val="36FA437E"/>
    <w:rsid w:val="36FD28D1"/>
    <w:rsid w:val="37007420"/>
    <w:rsid w:val="37022EDA"/>
    <w:rsid w:val="37060F75"/>
    <w:rsid w:val="370B7A58"/>
    <w:rsid w:val="37160F7E"/>
    <w:rsid w:val="37175297"/>
    <w:rsid w:val="37193078"/>
    <w:rsid w:val="371D22C9"/>
    <w:rsid w:val="3725240F"/>
    <w:rsid w:val="37256F21"/>
    <w:rsid w:val="37257965"/>
    <w:rsid w:val="37296A11"/>
    <w:rsid w:val="372B5938"/>
    <w:rsid w:val="372D6772"/>
    <w:rsid w:val="373B6744"/>
    <w:rsid w:val="373C4E2B"/>
    <w:rsid w:val="373D070E"/>
    <w:rsid w:val="373D1E32"/>
    <w:rsid w:val="373D73B3"/>
    <w:rsid w:val="37446010"/>
    <w:rsid w:val="375265D3"/>
    <w:rsid w:val="375440BC"/>
    <w:rsid w:val="37577E3D"/>
    <w:rsid w:val="37590D17"/>
    <w:rsid w:val="375C68C5"/>
    <w:rsid w:val="375E0A17"/>
    <w:rsid w:val="375F317D"/>
    <w:rsid w:val="375F775B"/>
    <w:rsid w:val="37692794"/>
    <w:rsid w:val="376B0DD8"/>
    <w:rsid w:val="376B4EE6"/>
    <w:rsid w:val="37764056"/>
    <w:rsid w:val="37767142"/>
    <w:rsid w:val="37776401"/>
    <w:rsid w:val="37790E65"/>
    <w:rsid w:val="37812268"/>
    <w:rsid w:val="37836163"/>
    <w:rsid w:val="37875BB4"/>
    <w:rsid w:val="37877E21"/>
    <w:rsid w:val="37893187"/>
    <w:rsid w:val="378C6A73"/>
    <w:rsid w:val="378D3F39"/>
    <w:rsid w:val="37954F03"/>
    <w:rsid w:val="37955E55"/>
    <w:rsid w:val="37972A75"/>
    <w:rsid w:val="379E7F1B"/>
    <w:rsid w:val="37A70CCC"/>
    <w:rsid w:val="37A952A3"/>
    <w:rsid w:val="37AE6F16"/>
    <w:rsid w:val="37B20258"/>
    <w:rsid w:val="37B501AE"/>
    <w:rsid w:val="37BA19A0"/>
    <w:rsid w:val="37CB5D1A"/>
    <w:rsid w:val="37CB62A3"/>
    <w:rsid w:val="37D34F7F"/>
    <w:rsid w:val="37E3375B"/>
    <w:rsid w:val="37E41566"/>
    <w:rsid w:val="37E76A7D"/>
    <w:rsid w:val="37E8604A"/>
    <w:rsid w:val="37F04381"/>
    <w:rsid w:val="37FA03AE"/>
    <w:rsid w:val="37FB0B2E"/>
    <w:rsid w:val="3803737C"/>
    <w:rsid w:val="38057430"/>
    <w:rsid w:val="380C5870"/>
    <w:rsid w:val="3812291F"/>
    <w:rsid w:val="381A4566"/>
    <w:rsid w:val="381B65FB"/>
    <w:rsid w:val="38222886"/>
    <w:rsid w:val="38230314"/>
    <w:rsid w:val="38241748"/>
    <w:rsid w:val="382C1649"/>
    <w:rsid w:val="382D4339"/>
    <w:rsid w:val="38305B7D"/>
    <w:rsid w:val="3831448F"/>
    <w:rsid w:val="38314519"/>
    <w:rsid w:val="38432D92"/>
    <w:rsid w:val="3848404E"/>
    <w:rsid w:val="384A1EE6"/>
    <w:rsid w:val="384A476D"/>
    <w:rsid w:val="384A4E91"/>
    <w:rsid w:val="384B29B7"/>
    <w:rsid w:val="38523D46"/>
    <w:rsid w:val="38526CB0"/>
    <w:rsid w:val="38534639"/>
    <w:rsid w:val="38591192"/>
    <w:rsid w:val="38593326"/>
    <w:rsid w:val="385D381D"/>
    <w:rsid w:val="385E2A0A"/>
    <w:rsid w:val="386109F9"/>
    <w:rsid w:val="386502DD"/>
    <w:rsid w:val="38673C95"/>
    <w:rsid w:val="386B7E41"/>
    <w:rsid w:val="38796592"/>
    <w:rsid w:val="387C1A18"/>
    <w:rsid w:val="387D5266"/>
    <w:rsid w:val="387E2AE0"/>
    <w:rsid w:val="38851DB9"/>
    <w:rsid w:val="388E4599"/>
    <w:rsid w:val="38934A8A"/>
    <w:rsid w:val="389B6D5B"/>
    <w:rsid w:val="389C7F90"/>
    <w:rsid w:val="38A64B62"/>
    <w:rsid w:val="38A748FD"/>
    <w:rsid w:val="38AF3FBD"/>
    <w:rsid w:val="38B03C75"/>
    <w:rsid w:val="38B56DCD"/>
    <w:rsid w:val="38B60EB0"/>
    <w:rsid w:val="38B64CF2"/>
    <w:rsid w:val="38BB4039"/>
    <w:rsid w:val="38C11CF6"/>
    <w:rsid w:val="38C237E3"/>
    <w:rsid w:val="38C34C43"/>
    <w:rsid w:val="38C65D44"/>
    <w:rsid w:val="38CA0E1A"/>
    <w:rsid w:val="38CA5FD2"/>
    <w:rsid w:val="38D63809"/>
    <w:rsid w:val="38E34A9E"/>
    <w:rsid w:val="38E56968"/>
    <w:rsid w:val="38ED3A6E"/>
    <w:rsid w:val="38F1043E"/>
    <w:rsid w:val="38F74B3B"/>
    <w:rsid w:val="38FA6975"/>
    <w:rsid w:val="390119D1"/>
    <w:rsid w:val="39060DEE"/>
    <w:rsid w:val="390C1404"/>
    <w:rsid w:val="390F6D34"/>
    <w:rsid w:val="39113013"/>
    <w:rsid w:val="391859EE"/>
    <w:rsid w:val="392145B7"/>
    <w:rsid w:val="393559CF"/>
    <w:rsid w:val="393578EF"/>
    <w:rsid w:val="39363667"/>
    <w:rsid w:val="39367E5F"/>
    <w:rsid w:val="393B0C7E"/>
    <w:rsid w:val="394144E6"/>
    <w:rsid w:val="39430585"/>
    <w:rsid w:val="39432973"/>
    <w:rsid w:val="39441D41"/>
    <w:rsid w:val="39480176"/>
    <w:rsid w:val="39481BC1"/>
    <w:rsid w:val="39493E5E"/>
    <w:rsid w:val="394F2414"/>
    <w:rsid w:val="395104A1"/>
    <w:rsid w:val="39546C48"/>
    <w:rsid w:val="39573515"/>
    <w:rsid w:val="395F534E"/>
    <w:rsid w:val="396404EA"/>
    <w:rsid w:val="39667285"/>
    <w:rsid w:val="39695894"/>
    <w:rsid w:val="39697599"/>
    <w:rsid w:val="396E66EF"/>
    <w:rsid w:val="397321C6"/>
    <w:rsid w:val="3977615C"/>
    <w:rsid w:val="397B65FF"/>
    <w:rsid w:val="397D3044"/>
    <w:rsid w:val="397D5033"/>
    <w:rsid w:val="397F4D36"/>
    <w:rsid w:val="3989337D"/>
    <w:rsid w:val="398D772B"/>
    <w:rsid w:val="399438A1"/>
    <w:rsid w:val="39950A62"/>
    <w:rsid w:val="399B4D59"/>
    <w:rsid w:val="399F79FA"/>
    <w:rsid w:val="39A03EED"/>
    <w:rsid w:val="39A411E4"/>
    <w:rsid w:val="39A47ADB"/>
    <w:rsid w:val="39A556C3"/>
    <w:rsid w:val="39B2790B"/>
    <w:rsid w:val="39B33FD2"/>
    <w:rsid w:val="39B5687E"/>
    <w:rsid w:val="39B917E4"/>
    <w:rsid w:val="39B96132"/>
    <w:rsid w:val="39BF14E7"/>
    <w:rsid w:val="39C11183"/>
    <w:rsid w:val="39C85FDE"/>
    <w:rsid w:val="39C87DAE"/>
    <w:rsid w:val="39C90037"/>
    <w:rsid w:val="39CD00B9"/>
    <w:rsid w:val="39CF6FB9"/>
    <w:rsid w:val="39D0271B"/>
    <w:rsid w:val="39D26084"/>
    <w:rsid w:val="39D56577"/>
    <w:rsid w:val="39E22617"/>
    <w:rsid w:val="39E442D6"/>
    <w:rsid w:val="39E91B05"/>
    <w:rsid w:val="39EE0833"/>
    <w:rsid w:val="39F647B9"/>
    <w:rsid w:val="39FC068D"/>
    <w:rsid w:val="3A0530FB"/>
    <w:rsid w:val="3A057692"/>
    <w:rsid w:val="3A072D79"/>
    <w:rsid w:val="3A0831D5"/>
    <w:rsid w:val="3A0F6BAD"/>
    <w:rsid w:val="3A105C66"/>
    <w:rsid w:val="3A133E73"/>
    <w:rsid w:val="3A163EEC"/>
    <w:rsid w:val="3A1751B4"/>
    <w:rsid w:val="3A192D6D"/>
    <w:rsid w:val="3A193DCD"/>
    <w:rsid w:val="3A1B7C74"/>
    <w:rsid w:val="3A251A0F"/>
    <w:rsid w:val="3A257964"/>
    <w:rsid w:val="3A2908F9"/>
    <w:rsid w:val="3A2C3F0F"/>
    <w:rsid w:val="3A2D07D1"/>
    <w:rsid w:val="3A2F2734"/>
    <w:rsid w:val="3A395226"/>
    <w:rsid w:val="3A3A6368"/>
    <w:rsid w:val="3A3E4582"/>
    <w:rsid w:val="3A4D632B"/>
    <w:rsid w:val="3A551032"/>
    <w:rsid w:val="3A5A4DB5"/>
    <w:rsid w:val="3A5D547B"/>
    <w:rsid w:val="3A6147E0"/>
    <w:rsid w:val="3A690A5A"/>
    <w:rsid w:val="3A6B75DE"/>
    <w:rsid w:val="3A6D61EF"/>
    <w:rsid w:val="3A6F6E31"/>
    <w:rsid w:val="3A741C1C"/>
    <w:rsid w:val="3A786FBE"/>
    <w:rsid w:val="3A7E0D97"/>
    <w:rsid w:val="3A7F640A"/>
    <w:rsid w:val="3A810912"/>
    <w:rsid w:val="3A8423A9"/>
    <w:rsid w:val="3A84790B"/>
    <w:rsid w:val="3A900B55"/>
    <w:rsid w:val="3AA21DAE"/>
    <w:rsid w:val="3AA23B5B"/>
    <w:rsid w:val="3AAD50B6"/>
    <w:rsid w:val="3AAF6065"/>
    <w:rsid w:val="3AB3217D"/>
    <w:rsid w:val="3AB643CB"/>
    <w:rsid w:val="3AC16F61"/>
    <w:rsid w:val="3ACA7C01"/>
    <w:rsid w:val="3AD2116E"/>
    <w:rsid w:val="3AD3320E"/>
    <w:rsid w:val="3AD62557"/>
    <w:rsid w:val="3AD66EFA"/>
    <w:rsid w:val="3ADA36EC"/>
    <w:rsid w:val="3ADB0022"/>
    <w:rsid w:val="3AE152F2"/>
    <w:rsid w:val="3AE92046"/>
    <w:rsid w:val="3AED7D0A"/>
    <w:rsid w:val="3AF77A81"/>
    <w:rsid w:val="3AFC12C1"/>
    <w:rsid w:val="3AFE078A"/>
    <w:rsid w:val="3B021A53"/>
    <w:rsid w:val="3B07350D"/>
    <w:rsid w:val="3B0C0B24"/>
    <w:rsid w:val="3B1043A9"/>
    <w:rsid w:val="3B107760"/>
    <w:rsid w:val="3B135A0E"/>
    <w:rsid w:val="3B137FDD"/>
    <w:rsid w:val="3B183024"/>
    <w:rsid w:val="3B1C0246"/>
    <w:rsid w:val="3B1E43B3"/>
    <w:rsid w:val="3B221868"/>
    <w:rsid w:val="3B293484"/>
    <w:rsid w:val="3B2A6676"/>
    <w:rsid w:val="3B333EA6"/>
    <w:rsid w:val="3B381919"/>
    <w:rsid w:val="3B3A1C49"/>
    <w:rsid w:val="3B3C5E91"/>
    <w:rsid w:val="3B3E61B3"/>
    <w:rsid w:val="3B424545"/>
    <w:rsid w:val="3B464036"/>
    <w:rsid w:val="3B4734EC"/>
    <w:rsid w:val="3B5045FD"/>
    <w:rsid w:val="3B506B0A"/>
    <w:rsid w:val="3B5352E6"/>
    <w:rsid w:val="3B554279"/>
    <w:rsid w:val="3B5D714A"/>
    <w:rsid w:val="3B5E21C3"/>
    <w:rsid w:val="3B5E45C0"/>
    <w:rsid w:val="3B5E4DA2"/>
    <w:rsid w:val="3B626996"/>
    <w:rsid w:val="3B651FE2"/>
    <w:rsid w:val="3B6932AB"/>
    <w:rsid w:val="3B701591"/>
    <w:rsid w:val="3B7256DE"/>
    <w:rsid w:val="3B732951"/>
    <w:rsid w:val="3B7A76F5"/>
    <w:rsid w:val="3B7D6B7A"/>
    <w:rsid w:val="3B895CD0"/>
    <w:rsid w:val="3B8D4555"/>
    <w:rsid w:val="3B9256C9"/>
    <w:rsid w:val="3B975167"/>
    <w:rsid w:val="3B9B0613"/>
    <w:rsid w:val="3BA35857"/>
    <w:rsid w:val="3BA75901"/>
    <w:rsid w:val="3BA81313"/>
    <w:rsid w:val="3BAA4140"/>
    <w:rsid w:val="3BAB000F"/>
    <w:rsid w:val="3BAC4CC9"/>
    <w:rsid w:val="3BAE49E7"/>
    <w:rsid w:val="3BAE7806"/>
    <w:rsid w:val="3BB0325D"/>
    <w:rsid w:val="3BB257F4"/>
    <w:rsid w:val="3BB35239"/>
    <w:rsid w:val="3BC211E2"/>
    <w:rsid w:val="3BC95711"/>
    <w:rsid w:val="3BCB62E9"/>
    <w:rsid w:val="3BD120F7"/>
    <w:rsid w:val="3BD3054E"/>
    <w:rsid w:val="3BD95BCB"/>
    <w:rsid w:val="3BDA2B5B"/>
    <w:rsid w:val="3BDE68DA"/>
    <w:rsid w:val="3BE43D37"/>
    <w:rsid w:val="3BE467DE"/>
    <w:rsid w:val="3BE54474"/>
    <w:rsid w:val="3BE77550"/>
    <w:rsid w:val="3BE83A9F"/>
    <w:rsid w:val="3BEF5B45"/>
    <w:rsid w:val="3BF07775"/>
    <w:rsid w:val="3C05334D"/>
    <w:rsid w:val="3C0649A4"/>
    <w:rsid w:val="3C113663"/>
    <w:rsid w:val="3C1744FA"/>
    <w:rsid w:val="3C1B7C7C"/>
    <w:rsid w:val="3C1C54DF"/>
    <w:rsid w:val="3C1C65B1"/>
    <w:rsid w:val="3C1E0720"/>
    <w:rsid w:val="3C1F3F86"/>
    <w:rsid w:val="3C237525"/>
    <w:rsid w:val="3C26132C"/>
    <w:rsid w:val="3C271BE9"/>
    <w:rsid w:val="3C2C61EC"/>
    <w:rsid w:val="3C2D35D7"/>
    <w:rsid w:val="3C2F6110"/>
    <w:rsid w:val="3C2F616B"/>
    <w:rsid w:val="3C3025F0"/>
    <w:rsid w:val="3C3033CA"/>
    <w:rsid w:val="3C31108B"/>
    <w:rsid w:val="3C37572C"/>
    <w:rsid w:val="3C395948"/>
    <w:rsid w:val="3C3C78D8"/>
    <w:rsid w:val="3C3D5BA9"/>
    <w:rsid w:val="3C3F0A85"/>
    <w:rsid w:val="3C401976"/>
    <w:rsid w:val="3C44313A"/>
    <w:rsid w:val="3C482D8F"/>
    <w:rsid w:val="3C4A1ED1"/>
    <w:rsid w:val="3C4B3342"/>
    <w:rsid w:val="3C5067EE"/>
    <w:rsid w:val="3C575DCE"/>
    <w:rsid w:val="3C5E15AA"/>
    <w:rsid w:val="3C60447C"/>
    <w:rsid w:val="3C654BA6"/>
    <w:rsid w:val="3C6738EC"/>
    <w:rsid w:val="3C68795F"/>
    <w:rsid w:val="3C7301F1"/>
    <w:rsid w:val="3C746980"/>
    <w:rsid w:val="3C806961"/>
    <w:rsid w:val="3C8445CC"/>
    <w:rsid w:val="3C85414D"/>
    <w:rsid w:val="3C86080B"/>
    <w:rsid w:val="3C86605F"/>
    <w:rsid w:val="3C8A67DC"/>
    <w:rsid w:val="3C926F85"/>
    <w:rsid w:val="3C97358F"/>
    <w:rsid w:val="3C9A2077"/>
    <w:rsid w:val="3C9B45B6"/>
    <w:rsid w:val="3C9C79D1"/>
    <w:rsid w:val="3C9E5A17"/>
    <w:rsid w:val="3CA02939"/>
    <w:rsid w:val="3CA32DC2"/>
    <w:rsid w:val="3CAD182D"/>
    <w:rsid w:val="3CB1594F"/>
    <w:rsid w:val="3CB962CF"/>
    <w:rsid w:val="3CBF4A0D"/>
    <w:rsid w:val="3CC1346E"/>
    <w:rsid w:val="3CC468B5"/>
    <w:rsid w:val="3CC571DC"/>
    <w:rsid w:val="3CC94678"/>
    <w:rsid w:val="3CCC5A35"/>
    <w:rsid w:val="3CCE7F37"/>
    <w:rsid w:val="3CD05810"/>
    <w:rsid w:val="3CD13DD3"/>
    <w:rsid w:val="3CD45671"/>
    <w:rsid w:val="3CD46AD4"/>
    <w:rsid w:val="3CD617F8"/>
    <w:rsid w:val="3CD76FE0"/>
    <w:rsid w:val="3CDA53AA"/>
    <w:rsid w:val="3CE04016"/>
    <w:rsid w:val="3CE05618"/>
    <w:rsid w:val="3CE06821"/>
    <w:rsid w:val="3CE315BE"/>
    <w:rsid w:val="3CE32C64"/>
    <w:rsid w:val="3CE533DA"/>
    <w:rsid w:val="3CE81AB3"/>
    <w:rsid w:val="3CE9090E"/>
    <w:rsid w:val="3CEB4CB1"/>
    <w:rsid w:val="3CEE551B"/>
    <w:rsid w:val="3CF062C1"/>
    <w:rsid w:val="3CF20890"/>
    <w:rsid w:val="3CFA2845"/>
    <w:rsid w:val="3CFB14BB"/>
    <w:rsid w:val="3CFD11BE"/>
    <w:rsid w:val="3CFD6976"/>
    <w:rsid w:val="3D042AB2"/>
    <w:rsid w:val="3D071327"/>
    <w:rsid w:val="3D0F5005"/>
    <w:rsid w:val="3D1132E5"/>
    <w:rsid w:val="3D133C25"/>
    <w:rsid w:val="3D134F65"/>
    <w:rsid w:val="3D1362F8"/>
    <w:rsid w:val="3D152F75"/>
    <w:rsid w:val="3D1638F5"/>
    <w:rsid w:val="3D1912D6"/>
    <w:rsid w:val="3D1C5937"/>
    <w:rsid w:val="3D1D0AFF"/>
    <w:rsid w:val="3D1D2CA4"/>
    <w:rsid w:val="3D1E23C3"/>
    <w:rsid w:val="3D277A77"/>
    <w:rsid w:val="3D2F41A8"/>
    <w:rsid w:val="3D30393F"/>
    <w:rsid w:val="3D3341F9"/>
    <w:rsid w:val="3D373BF8"/>
    <w:rsid w:val="3D3A1978"/>
    <w:rsid w:val="3D3D6D72"/>
    <w:rsid w:val="3D3E165E"/>
    <w:rsid w:val="3D454CF0"/>
    <w:rsid w:val="3D475E43"/>
    <w:rsid w:val="3D507609"/>
    <w:rsid w:val="3D51281E"/>
    <w:rsid w:val="3D564E23"/>
    <w:rsid w:val="3D5D2703"/>
    <w:rsid w:val="3D5E72E1"/>
    <w:rsid w:val="3D6531A7"/>
    <w:rsid w:val="3D6A1B31"/>
    <w:rsid w:val="3D6F0F36"/>
    <w:rsid w:val="3D762F18"/>
    <w:rsid w:val="3D865000"/>
    <w:rsid w:val="3D914BAF"/>
    <w:rsid w:val="3D965A43"/>
    <w:rsid w:val="3D990B32"/>
    <w:rsid w:val="3D9B5BE2"/>
    <w:rsid w:val="3D9F117A"/>
    <w:rsid w:val="3D9F439D"/>
    <w:rsid w:val="3DA2474D"/>
    <w:rsid w:val="3DAA4A30"/>
    <w:rsid w:val="3DAE000B"/>
    <w:rsid w:val="3DAE2E7E"/>
    <w:rsid w:val="3DB1792C"/>
    <w:rsid w:val="3DBC352D"/>
    <w:rsid w:val="3DC115DA"/>
    <w:rsid w:val="3DCA1B68"/>
    <w:rsid w:val="3DD513CA"/>
    <w:rsid w:val="3DD55B79"/>
    <w:rsid w:val="3DD86A9B"/>
    <w:rsid w:val="3DD87DB9"/>
    <w:rsid w:val="3DDA0436"/>
    <w:rsid w:val="3DDC1B5E"/>
    <w:rsid w:val="3DE10C43"/>
    <w:rsid w:val="3DEB4A20"/>
    <w:rsid w:val="3DEC2111"/>
    <w:rsid w:val="3DEF1542"/>
    <w:rsid w:val="3DF014C5"/>
    <w:rsid w:val="3DF155B2"/>
    <w:rsid w:val="3E006A00"/>
    <w:rsid w:val="3E010964"/>
    <w:rsid w:val="3E071790"/>
    <w:rsid w:val="3E0A7C1F"/>
    <w:rsid w:val="3E0E070F"/>
    <w:rsid w:val="3E111FAD"/>
    <w:rsid w:val="3E131DA4"/>
    <w:rsid w:val="3E135605"/>
    <w:rsid w:val="3E173A67"/>
    <w:rsid w:val="3E1940F7"/>
    <w:rsid w:val="3E1B4627"/>
    <w:rsid w:val="3E1F46CA"/>
    <w:rsid w:val="3E1F5B53"/>
    <w:rsid w:val="3E211961"/>
    <w:rsid w:val="3E261869"/>
    <w:rsid w:val="3E2B4644"/>
    <w:rsid w:val="3E2E3524"/>
    <w:rsid w:val="3E2F7623"/>
    <w:rsid w:val="3E312844"/>
    <w:rsid w:val="3E33614C"/>
    <w:rsid w:val="3E3B43DF"/>
    <w:rsid w:val="3E3C1720"/>
    <w:rsid w:val="3E3C334E"/>
    <w:rsid w:val="3E3D0FF4"/>
    <w:rsid w:val="3E3F05BC"/>
    <w:rsid w:val="3E4709F6"/>
    <w:rsid w:val="3E481E73"/>
    <w:rsid w:val="3E5009CA"/>
    <w:rsid w:val="3E5645FB"/>
    <w:rsid w:val="3E574293"/>
    <w:rsid w:val="3E5A409F"/>
    <w:rsid w:val="3E5D6E43"/>
    <w:rsid w:val="3E612F34"/>
    <w:rsid w:val="3E6447D3"/>
    <w:rsid w:val="3E666FC9"/>
    <w:rsid w:val="3E6D1887"/>
    <w:rsid w:val="3E7068C8"/>
    <w:rsid w:val="3E7342D7"/>
    <w:rsid w:val="3E757C2D"/>
    <w:rsid w:val="3E765528"/>
    <w:rsid w:val="3E7709C1"/>
    <w:rsid w:val="3E7A0EA8"/>
    <w:rsid w:val="3E88226F"/>
    <w:rsid w:val="3E912588"/>
    <w:rsid w:val="3E947F77"/>
    <w:rsid w:val="3E985121"/>
    <w:rsid w:val="3E9A1FA2"/>
    <w:rsid w:val="3E9A6446"/>
    <w:rsid w:val="3EA1023D"/>
    <w:rsid w:val="3EA15FCE"/>
    <w:rsid w:val="3EA16E21"/>
    <w:rsid w:val="3EA659E1"/>
    <w:rsid w:val="3EA719D4"/>
    <w:rsid w:val="3EA82C41"/>
    <w:rsid w:val="3EA846BF"/>
    <w:rsid w:val="3EB47508"/>
    <w:rsid w:val="3EBB4F37"/>
    <w:rsid w:val="3EBC1AAC"/>
    <w:rsid w:val="3EC116FE"/>
    <w:rsid w:val="3EC26119"/>
    <w:rsid w:val="3EC27502"/>
    <w:rsid w:val="3EC3774B"/>
    <w:rsid w:val="3EC420D5"/>
    <w:rsid w:val="3EC907E0"/>
    <w:rsid w:val="3ECE087C"/>
    <w:rsid w:val="3ED04D03"/>
    <w:rsid w:val="3ED23E32"/>
    <w:rsid w:val="3ED25BE0"/>
    <w:rsid w:val="3ED56B86"/>
    <w:rsid w:val="3ED83666"/>
    <w:rsid w:val="3EDA6843"/>
    <w:rsid w:val="3EDC3A8F"/>
    <w:rsid w:val="3EDE6333"/>
    <w:rsid w:val="3EE14075"/>
    <w:rsid w:val="3EE2581E"/>
    <w:rsid w:val="3EE33037"/>
    <w:rsid w:val="3EE5682E"/>
    <w:rsid w:val="3EE95915"/>
    <w:rsid w:val="3EED35F9"/>
    <w:rsid w:val="3EF244DF"/>
    <w:rsid w:val="3EF91905"/>
    <w:rsid w:val="3EFA3580"/>
    <w:rsid w:val="3F006C62"/>
    <w:rsid w:val="3F081419"/>
    <w:rsid w:val="3F0844F9"/>
    <w:rsid w:val="3F085278"/>
    <w:rsid w:val="3F08710C"/>
    <w:rsid w:val="3F0B2816"/>
    <w:rsid w:val="3F105E1A"/>
    <w:rsid w:val="3F114F7F"/>
    <w:rsid w:val="3F122AD3"/>
    <w:rsid w:val="3F177C9C"/>
    <w:rsid w:val="3F1E0B5B"/>
    <w:rsid w:val="3F23037E"/>
    <w:rsid w:val="3F23643C"/>
    <w:rsid w:val="3F2D23FF"/>
    <w:rsid w:val="3F2D278E"/>
    <w:rsid w:val="3F2E050A"/>
    <w:rsid w:val="3F330836"/>
    <w:rsid w:val="3F363ACA"/>
    <w:rsid w:val="3F3917BB"/>
    <w:rsid w:val="3F396A68"/>
    <w:rsid w:val="3F3A193B"/>
    <w:rsid w:val="3F4552DA"/>
    <w:rsid w:val="3F491827"/>
    <w:rsid w:val="3F4C79EE"/>
    <w:rsid w:val="3F4D264E"/>
    <w:rsid w:val="3F51257F"/>
    <w:rsid w:val="3F513F7A"/>
    <w:rsid w:val="3F5354B3"/>
    <w:rsid w:val="3F56236D"/>
    <w:rsid w:val="3F566624"/>
    <w:rsid w:val="3F5E1222"/>
    <w:rsid w:val="3F604A0C"/>
    <w:rsid w:val="3F626FE3"/>
    <w:rsid w:val="3F636B36"/>
    <w:rsid w:val="3F6D6C44"/>
    <w:rsid w:val="3F731987"/>
    <w:rsid w:val="3F744EE9"/>
    <w:rsid w:val="3F746C97"/>
    <w:rsid w:val="3F763A65"/>
    <w:rsid w:val="3F7C5CA1"/>
    <w:rsid w:val="3F7F08BD"/>
    <w:rsid w:val="3F835764"/>
    <w:rsid w:val="3F86356E"/>
    <w:rsid w:val="3F8B252E"/>
    <w:rsid w:val="3F9C00A3"/>
    <w:rsid w:val="3F9F1F66"/>
    <w:rsid w:val="3FA83413"/>
    <w:rsid w:val="3FB02922"/>
    <w:rsid w:val="3FB623C9"/>
    <w:rsid w:val="3FB84DD6"/>
    <w:rsid w:val="3FBA0B4E"/>
    <w:rsid w:val="3FC25C55"/>
    <w:rsid w:val="3FC46AE0"/>
    <w:rsid w:val="3FC63E42"/>
    <w:rsid w:val="3FC768CC"/>
    <w:rsid w:val="3FCB65F8"/>
    <w:rsid w:val="3FD32E48"/>
    <w:rsid w:val="3FDC2FAD"/>
    <w:rsid w:val="3FDD25DD"/>
    <w:rsid w:val="3FDD447A"/>
    <w:rsid w:val="3FE51C68"/>
    <w:rsid w:val="3FE579BC"/>
    <w:rsid w:val="3FE9757A"/>
    <w:rsid w:val="3FEE710B"/>
    <w:rsid w:val="3FF676AC"/>
    <w:rsid w:val="40033DDF"/>
    <w:rsid w:val="40097748"/>
    <w:rsid w:val="400C0C7E"/>
    <w:rsid w:val="400C65A4"/>
    <w:rsid w:val="400D2D2A"/>
    <w:rsid w:val="400D7376"/>
    <w:rsid w:val="400E0BD9"/>
    <w:rsid w:val="400E49F6"/>
    <w:rsid w:val="40107E83"/>
    <w:rsid w:val="40137D00"/>
    <w:rsid w:val="40144217"/>
    <w:rsid w:val="40165727"/>
    <w:rsid w:val="401C555B"/>
    <w:rsid w:val="401D32B8"/>
    <w:rsid w:val="40210BCD"/>
    <w:rsid w:val="402204A1"/>
    <w:rsid w:val="4024246B"/>
    <w:rsid w:val="40265B45"/>
    <w:rsid w:val="40295CD4"/>
    <w:rsid w:val="402B319A"/>
    <w:rsid w:val="403326AF"/>
    <w:rsid w:val="40371C0E"/>
    <w:rsid w:val="403A57EB"/>
    <w:rsid w:val="403C77B5"/>
    <w:rsid w:val="40444B84"/>
    <w:rsid w:val="40454569"/>
    <w:rsid w:val="40455092"/>
    <w:rsid w:val="40462055"/>
    <w:rsid w:val="404B5C4A"/>
    <w:rsid w:val="404D6012"/>
    <w:rsid w:val="40514D74"/>
    <w:rsid w:val="405F5ABA"/>
    <w:rsid w:val="406B3DDC"/>
    <w:rsid w:val="406D1E78"/>
    <w:rsid w:val="406E1939"/>
    <w:rsid w:val="407451A1"/>
    <w:rsid w:val="40784934"/>
    <w:rsid w:val="40802F5B"/>
    <w:rsid w:val="40860A30"/>
    <w:rsid w:val="40862E69"/>
    <w:rsid w:val="408C0AD5"/>
    <w:rsid w:val="408C3DD2"/>
    <w:rsid w:val="40923879"/>
    <w:rsid w:val="40981BF5"/>
    <w:rsid w:val="409F1AF2"/>
    <w:rsid w:val="40A75FBE"/>
    <w:rsid w:val="40A84E4B"/>
    <w:rsid w:val="40A955E7"/>
    <w:rsid w:val="40AA4E06"/>
    <w:rsid w:val="40AC0038"/>
    <w:rsid w:val="40AC5177"/>
    <w:rsid w:val="40AD73FC"/>
    <w:rsid w:val="40B01F51"/>
    <w:rsid w:val="40B225F4"/>
    <w:rsid w:val="40BD1955"/>
    <w:rsid w:val="40C0575F"/>
    <w:rsid w:val="40C357E1"/>
    <w:rsid w:val="40C644C3"/>
    <w:rsid w:val="40C654BB"/>
    <w:rsid w:val="40C9139D"/>
    <w:rsid w:val="40C94DC1"/>
    <w:rsid w:val="40CE487E"/>
    <w:rsid w:val="40D5072D"/>
    <w:rsid w:val="40D55514"/>
    <w:rsid w:val="40D81790"/>
    <w:rsid w:val="40DF3735"/>
    <w:rsid w:val="40EB4BFF"/>
    <w:rsid w:val="40EC1EC3"/>
    <w:rsid w:val="40EE0DB3"/>
    <w:rsid w:val="40EF4827"/>
    <w:rsid w:val="40F072DA"/>
    <w:rsid w:val="40F8472D"/>
    <w:rsid w:val="40FF07E3"/>
    <w:rsid w:val="410127AD"/>
    <w:rsid w:val="4104059A"/>
    <w:rsid w:val="410829A9"/>
    <w:rsid w:val="41083B3B"/>
    <w:rsid w:val="410845D9"/>
    <w:rsid w:val="41092865"/>
    <w:rsid w:val="41110C42"/>
    <w:rsid w:val="41133129"/>
    <w:rsid w:val="41140732"/>
    <w:rsid w:val="41151DB4"/>
    <w:rsid w:val="411C1395"/>
    <w:rsid w:val="41272213"/>
    <w:rsid w:val="41296527"/>
    <w:rsid w:val="412F6098"/>
    <w:rsid w:val="41326344"/>
    <w:rsid w:val="413722F8"/>
    <w:rsid w:val="413C138D"/>
    <w:rsid w:val="413E2E37"/>
    <w:rsid w:val="414B08D8"/>
    <w:rsid w:val="414F3518"/>
    <w:rsid w:val="41517ACE"/>
    <w:rsid w:val="415D5C35"/>
    <w:rsid w:val="415F5544"/>
    <w:rsid w:val="41667FEB"/>
    <w:rsid w:val="41692819"/>
    <w:rsid w:val="41696141"/>
    <w:rsid w:val="416A2100"/>
    <w:rsid w:val="416D615F"/>
    <w:rsid w:val="417943CF"/>
    <w:rsid w:val="417A0B91"/>
    <w:rsid w:val="418307BF"/>
    <w:rsid w:val="41840E0E"/>
    <w:rsid w:val="418B0585"/>
    <w:rsid w:val="41915E19"/>
    <w:rsid w:val="41920B57"/>
    <w:rsid w:val="41923405"/>
    <w:rsid w:val="419D2D5D"/>
    <w:rsid w:val="41AE1E66"/>
    <w:rsid w:val="41AE681E"/>
    <w:rsid w:val="41B15F81"/>
    <w:rsid w:val="41B475E0"/>
    <w:rsid w:val="41B94E35"/>
    <w:rsid w:val="41BE5866"/>
    <w:rsid w:val="41C27CE8"/>
    <w:rsid w:val="41C34A6C"/>
    <w:rsid w:val="41C37A62"/>
    <w:rsid w:val="41C80ABE"/>
    <w:rsid w:val="41CA3378"/>
    <w:rsid w:val="41D103D1"/>
    <w:rsid w:val="41D66D99"/>
    <w:rsid w:val="41D83573"/>
    <w:rsid w:val="41DC791D"/>
    <w:rsid w:val="41E01715"/>
    <w:rsid w:val="41E21C35"/>
    <w:rsid w:val="41E706E2"/>
    <w:rsid w:val="41EA269E"/>
    <w:rsid w:val="41EF4A98"/>
    <w:rsid w:val="41F121B9"/>
    <w:rsid w:val="41F324C8"/>
    <w:rsid w:val="41F41FE1"/>
    <w:rsid w:val="41F45C44"/>
    <w:rsid w:val="41FB3150"/>
    <w:rsid w:val="41FD20B9"/>
    <w:rsid w:val="42046ECF"/>
    <w:rsid w:val="42072A16"/>
    <w:rsid w:val="420776CC"/>
    <w:rsid w:val="420C1409"/>
    <w:rsid w:val="420C6834"/>
    <w:rsid w:val="42137993"/>
    <w:rsid w:val="421B4D44"/>
    <w:rsid w:val="421C7665"/>
    <w:rsid w:val="422038B4"/>
    <w:rsid w:val="4223532C"/>
    <w:rsid w:val="422545EB"/>
    <w:rsid w:val="422801D5"/>
    <w:rsid w:val="42294921"/>
    <w:rsid w:val="422A188F"/>
    <w:rsid w:val="422A51EA"/>
    <w:rsid w:val="422F11B9"/>
    <w:rsid w:val="423B6B8F"/>
    <w:rsid w:val="42405B06"/>
    <w:rsid w:val="42436187"/>
    <w:rsid w:val="42440BA3"/>
    <w:rsid w:val="424478C7"/>
    <w:rsid w:val="424F506E"/>
    <w:rsid w:val="42527868"/>
    <w:rsid w:val="425B71E3"/>
    <w:rsid w:val="42641245"/>
    <w:rsid w:val="4264749E"/>
    <w:rsid w:val="42660C7C"/>
    <w:rsid w:val="4267663F"/>
    <w:rsid w:val="426B6702"/>
    <w:rsid w:val="427A713F"/>
    <w:rsid w:val="427E2307"/>
    <w:rsid w:val="428300E1"/>
    <w:rsid w:val="428555B3"/>
    <w:rsid w:val="42856ED0"/>
    <w:rsid w:val="42887EDC"/>
    <w:rsid w:val="42894808"/>
    <w:rsid w:val="428C38A0"/>
    <w:rsid w:val="428E0F48"/>
    <w:rsid w:val="428F15C8"/>
    <w:rsid w:val="42922869"/>
    <w:rsid w:val="429864C2"/>
    <w:rsid w:val="429C266C"/>
    <w:rsid w:val="429D6505"/>
    <w:rsid w:val="42A653BA"/>
    <w:rsid w:val="42AE1B4A"/>
    <w:rsid w:val="42AE51FC"/>
    <w:rsid w:val="42B12CA8"/>
    <w:rsid w:val="42BB4C52"/>
    <w:rsid w:val="42BC3172"/>
    <w:rsid w:val="42BF02BB"/>
    <w:rsid w:val="42C46DE7"/>
    <w:rsid w:val="42C65A5C"/>
    <w:rsid w:val="42C73F35"/>
    <w:rsid w:val="42C8103A"/>
    <w:rsid w:val="42CB5198"/>
    <w:rsid w:val="42D03EED"/>
    <w:rsid w:val="42D17921"/>
    <w:rsid w:val="42D9578F"/>
    <w:rsid w:val="42DA5779"/>
    <w:rsid w:val="42DD274E"/>
    <w:rsid w:val="42E133AB"/>
    <w:rsid w:val="42E279A9"/>
    <w:rsid w:val="42F840FE"/>
    <w:rsid w:val="42FD0CD4"/>
    <w:rsid w:val="43003116"/>
    <w:rsid w:val="430414BE"/>
    <w:rsid w:val="43087E22"/>
    <w:rsid w:val="43091858"/>
    <w:rsid w:val="4319725D"/>
    <w:rsid w:val="431B5DA8"/>
    <w:rsid w:val="431C1731"/>
    <w:rsid w:val="431C71FC"/>
    <w:rsid w:val="432C7424"/>
    <w:rsid w:val="432E5B67"/>
    <w:rsid w:val="43324EF8"/>
    <w:rsid w:val="43370ACE"/>
    <w:rsid w:val="43372AFC"/>
    <w:rsid w:val="43393F63"/>
    <w:rsid w:val="433C2F69"/>
    <w:rsid w:val="434041E0"/>
    <w:rsid w:val="43406E97"/>
    <w:rsid w:val="434126C2"/>
    <w:rsid w:val="43442F36"/>
    <w:rsid w:val="434538C4"/>
    <w:rsid w:val="43486471"/>
    <w:rsid w:val="43504B39"/>
    <w:rsid w:val="435260D6"/>
    <w:rsid w:val="43526A49"/>
    <w:rsid w:val="435C1446"/>
    <w:rsid w:val="435D722C"/>
    <w:rsid w:val="43626041"/>
    <w:rsid w:val="43626093"/>
    <w:rsid w:val="436327AF"/>
    <w:rsid w:val="43643935"/>
    <w:rsid w:val="436A383E"/>
    <w:rsid w:val="436D240A"/>
    <w:rsid w:val="436E394C"/>
    <w:rsid w:val="437259B2"/>
    <w:rsid w:val="437E00E5"/>
    <w:rsid w:val="4385432F"/>
    <w:rsid w:val="4386108B"/>
    <w:rsid w:val="438928E7"/>
    <w:rsid w:val="438F36FC"/>
    <w:rsid w:val="438F496B"/>
    <w:rsid w:val="43950BE2"/>
    <w:rsid w:val="439546B2"/>
    <w:rsid w:val="43960B8D"/>
    <w:rsid w:val="43A74927"/>
    <w:rsid w:val="43AD0A93"/>
    <w:rsid w:val="43AE224A"/>
    <w:rsid w:val="43B02C15"/>
    <w:rsid w:val="43B14016"/>
    <w:rsid w:val="43B24761"/>
    <w:rsid w:val="43B81849"/>
    <w:rsid w:val="43B92ECB"/>
    <w:rsid w:val="43BA10C9"/>
    <w:rsid w:val="43BC4318"/>
    <w:rsid w:val="43C21B73"/>
    <w:rsid w:val="43C33D49"/>
    <w:rsid w:val="43C5284F"/>
    <w:rsid w:val="43C875B2"/>
    <w:rsid w:val="43CA280D"/>
    <w:rsid w:val="43CB14EB"/>
    <w:rsid w:val="43CE4441"/>
    <w:rsid w:val="43D12B76"/>
    <w:rsid w:val="43D30430"/>
    <w:rsid w:val="43D31AC3"/>
    <w:rsid w:val="43D772F0"/>
    <w:rsid w:val="43DD12AF"/>
    <w:rsid w:val="43E0553B"/>
    <w:rsid w:val="43ED7B04"/>
    <w:rsid w:val="43F57419"/>
    <w:rsid w:val="43F73926"/>
    <w:rsid w:val="4401375A"/>
    <w:rsid w:val="440B74BC"/>
    <w:rsid w:val="440E7AB1"/>
    <w:rsid w:val="4414455C"/>
    <w:rsid w:val="441717BF"/>
    <w:rsid w:val="44185E43"/>
    <w:rsid w:val="441C74C6"/>
    <w:rsid w:val="441E6826"/>
    <w:rsid w:val="44215F72"/>
    <w:rsid w:val="4427077C"/>
    <w:rsid w:val="4427252A"/>
    <w:rsid w:val="44286961"/>
    <w:rsid w:val="44286EC7"/>
    <w:rsid w:val="44340084"/>
    <w:rsid w:val="44342EC5"/>
    <w:rsid w:val="44355320"/>
    <w:rsid w:val="44377C0D"/>
    <w:rsid w:val="4438489D"/>
    <w:rsid w:val="443864E5"/>
    <w:rsid w:val="44497B98"/>
    <w:rsid w:val="444A152B"/>
    <w:rsid w:val="44517071"/>
    <w:rsid w:val="4453499A"/>
    <w:rsid w:val="4454152F"/>
    <w:rsid w:val="44556380"/>
    <w:rsid w:val="445C23AD"/>
    <w:rsid w:val="445D50A4"/>
    <w:rsid w:val="445D6894"/>
    <w:rsid w:val="446123CD"/>
    <w:rsid w:val="44661CA5"/>
    <w:rsid w:val="44663053"/>
    <w:rsid w:val="446A4B32"/>
    <w:rsid w:val="44736650"/>
    <w:rsid w:val="44736D2A"/>
    <w:rsid w:val="44746C5F"/>
    <w:rsid w:val="44785257"/>
    <w:rsid w:val="448434D9"/>
    <w:rsid w:val="4484797D"/>
    <w:rsid w:val="448A247B"/>
    <w:rsid w:val="449000D0"/>
    <w:rsid w:val="44913830"/>
    <w:rsid w:val="44936E1B"/>
    <w:rsid w:val="449C19D8"/>
    <w:rsid w:val="44A01FB7"/>
    <w:rsid w:val="44A3059B"/>
    <w:rsid w:val="44AB4F09"/>
    <w:rsid w:val="44AC02AF"/>
    <w:rsid w:val="44AC461B"/>
    <w:rsid w:val="44B75C23"/>
    <w:rsid w:val="44BB2C7F"/>
    <w:rsid w:val="44BB7FD3"/>
    <w:rsid w:val="44C33C88"/>
    <w:rsid w:val="44C44369"/>
    <w:rsid w:val="44D179CF"/>
    <w:rsid w:val="44D501D8"/>
    <w:rsid w:val="44D60104"/>
    <w:rsid w:val="44D940AC"/>
    <w:rsid w:val="44DF0B98"/>
    <w:rsid w:val="44DF4BB3"/>
    <w:rsid w:val="44E346A3"/>
    <w:rsid w:val="44E77288"/>
    <w:rsid w:val="44ED61E1"/>
    <w:rsid w:val="44F14C24"/>
    <w:rsid w:val="44F763A1"/>
    <w:rsid w:val="44F85B0F"/>
    <w:rsid w:val="44FB516E"/>
    <w:rsid w:val="450037EA"/>
    <w:rsid w:val="450762EE"/>
    <w:rsid w:val="45090EAC"/>
    <w:rsid w:val="45096C08"/>
    <w:rsid w:val="450B3BFA"/>
    <w:rsid w:val="450B5C10"/>
    <w:rsid w:val="450B7CB1"/>
    <w:rsid w:val="451A001F"/>
    <w:rsid w:val="451F0ACF"/>
    <w:rsid w:val="451F3885"/>
    <w:rsid w:val="45267002"/>
    <w:rsid w:val="45273E92"/>
    <w:rsid w:val="452815AE"/>
    <w:rsid w:val="452E1668"/>
    <w:rsid w:val="45357ED5"/>
    <w:rsid w:val="45384C7A"/>
    <w:rsid w:val="453F4E89"/>
    <w:rsid w:val="454410FE"/>
    <w:rsid w:val="454870F7"/>
    <w:rsid w:val="455121FD"/>
    <w:rsid w:val="45525385"/>
    <w:rsid w:val="45543236"/>
    <w:rsid w:val="45570563"/>
    <w:rsid w:val="455C34DD"/>
    <w:rsid w:val="455C61F5"/>
    <w:rsid w:val="455C797C"/>
    <w:rsid w:val="455E1F7C"/>
    <w:rsid w:val="45604175"/>
    <w:rsid w:val="45643ADA"/>
    <w:rsid w:val="456463B6"/>
    <w:rsid w:val="456A75B3"/>
    <w:rsid w:val="456B5BC5"/>
    <w:rsid w:val="456F330C"/>
    <w:rsid w:val="457129D7"/>
    <w:rsid w:val="457A48DC"/>
    <w:rsid w:val="457E62F2"/>
    <w:rsid w:val="45806891"/>
    <w:rsid w:val="458324D6"/>
    <w:rsid w:val="458B04F1"/>
    <w:rsid w:val="458D460F"/>
    <w:rsid w:val="458D5981"/>
    <w:rsid w:val="45902F75"/>
    <w:rsid w:val="459D4F96"/>
    <w:rsid w:val="459F7728"/>
    <w:rsid w:val="45A80543"/>
    <w:rsid w:val="45AD0B8C"/>
    <w:rsid w:val="45AF0D4D"/>
    <w:rsid w:val="45B84AC4"/>
    <w:rsid w:val="45BB6F24"/>
    <w:rsid w:val="45BF6287"/>
    <w:rsid w:val="45C00657"/>
    <w:rsid w:val="45C21044"/>
    <w:rsid w:val="45C85647"/>
    <w:rsid w:val="45D1451F"/>
    <w:rsid w:val="45D65FB6"/>
    <w:rsid w:val="45D67D64"/>
    <w:rsid w:val="45DD1603"/>
    <w:rsid w:val="45DE3C35"/>
    <w:rsid w:val="45DF3680"/>
    <w:rsid w:val="45E123B4"/>
    <w:rsid w:val="45E331EC"/>
    <w:rsid w:val="45E47E97"/>
    <w:rsid w:val="45EA1A61"/>
    <w:rsid w:val="45F967DE"/>
    <w:rsid w:val="45FA1494"/>
    <w:rsid w:val="46040347"/>
    <w:rsid w:val="4604429E"/>
    <w:rsid w:val="460771B6"/>
    <w:rsid w:val="460868FA"/>
    <w:rsid w:val="460954F3"/>
    <w:rsid w:val="460A2104"/>
    <w:rsid w:val="460E57CB"/>
    <w:rsid w:val="46137FC2"/>
    <w:rsid w:val="461B4E58"/>
    <w:rsid w:val="461C593E"/>
    <w:rsid w:val="461F5E7D"/>
    <w:rsid w:val="46257454"/>
    <w:rsid w:val="462E5650"/>
    <w:rsid w:val="462F2DEC"/>
    <w:rsid w:val="462F48EC"/>
    <w:rsid w:val="46330E6C"/>
    <w:rsid w:val="463A1587"/>
    <w:rsid w:val="463B406B"/>
    <w:rsid w:val="463D5079"/>
    <w:rsid w:val="4643104B"/>
    <w:rsid w:val="464B2C73"/>
    <w:rsid w:val="464B69A4"/>
    <w:rsid w:val="46555CC5"/>
    <w:rsid w:val="46564702"/>
    <w:rsid w:val="465D66D7"/>
    <w:rsid w:val="4662784A"/>
    <w:rsid w:val="46752CA4"/>
    <w:rsid w:val="467A08C0"/>
    <w:rsid w:val="467A2DE5"/>
    <w:rsid w:val="467B7678"/>
    <w:rsid w:val="468376D2"/>
    <w:rsid w:val="46846B8A"/>
    <w:rsid w:val="46871BCC"/>
    <w:rsid w:val="468728DE"/>
    <w:rsid w:val="468E19D8"/>
    <w:rsid w:val="468E5452"/>
    <w:rsid w:val="469179F7"/>
    <w:rsid w:val="469D37AA"/>
    <w:rsid w:val="46A240EA"/>
    <w:rsid w:val="46A47E62"/>
    <w:rsid w:val="46A61E2C"/>
    <w:rsid w:val="46A95479"/>
    <w:rsid w:val="46AB2E85"/>
    <w:rsid w:val="46AF075C"/>
    <w:rsid w:val="46B021A9"/>
    <w:rsid w:val="46B11CD5"/>
    <w:rsid w:val="46B262A2"/>
    <w:rsid w:val="46B82087"/>
    <w:rsid w:val="46BF0B28"/>
    <w:rsid w:val="46C15FBB"/>
    <w:rsid w:val="46C16C66"/>
    <w:rsid w:val="46C50886"/>
    <w:rsid w:val="46CE0641"/>
    <w:rsid w:val="46D00643"/>
    <w:rsid w:val="46D04AAB"/>
    <w:rsid w:val="46D1488B"/>
    <w:rsid w:val="46D37366"/>
    <w:rsid w:val="46D73102"/>
    <w:rsid w:val="46E82445"/>
    <w:rsid w:val="46EB7BDB"/>
    <w:rsid w:val="46F012F9"/>
    <w:rsid w:val="46F04E55"/>
    <w:rsid w:val="46F341FE"/>
    <w:rsid w:val="46F521C8"/>
    <w:rsid w:val="46FC0AE1"/>
    <w:rsid w:val="47024A7B"/>
    <w:rsid w:val="47084E53"/>
    <w:rsid w:val="470B2E09"/>
    <w:rsid w:val="4712301E"/>
    <w:rsid w:val="47136D96"/>
    <w:rsid w:val="47137C0D"/>
    <w:rsid w:val="47194474"/>
    <w:rsid w:val="471F1C04"/>
    <w:rsid w:val="47220FEF"/>
    <w:rsid w:val="47255DED"/>
    <w:rsid w:val="472B01CC"/>
    <w:rsid w:val="472C38B4"/>
    <w:rsid w:val="472D0692"/>
    <w:rsid w:val="47385629"/>
    <w:rsid w:val="473F5D83"/>
    <w:rsid w:val="474059C1"/>
    <w:rsid w:val="4741703B"/>
    <w:rsid w:val="4743767B"/>
    <w:rsid w:val="47482099"/>
    <w:rsid w:val="47490156"/>
    <w:rsid w:val="47491AA3"/>
    <w:rsid w:val="47495C67"/>
    <w:rsid w:val="47496DA6"/>
    <w:rsid w:val="474A052B"/>
    <w:rsid w:val="4752389A"/>
    <w:rsid w:val="475A58B8"/>
    <w:rsid w:val="4760799B"/>
    <w:rsid w:val="47644D0D"/>
    <w:rsid w:val="47677DB9"/>
    <w:rsid w:val="47680E90"/>
    <w:rsid w:val="47763042"/>
    <w:rsid w:val="478101A3"/>
    <w:rsid w:val="47863A0C"/>
    <w:rsid w:val="478A2106"/>
    <w:rsid w:val="478E24F9"/>
    <w:rsid w:val="478F3FCD"/>
    <w:rsid w:val="479561D1"/>
    <w:rsid w:val="47966EB1"/>
    <w:rsid w:val="479E64A1"/>
    <w:rsid w:val="47A02D64"/>
    <w:rsid w:val="47A13CFE"/>
    <w:rsid w:val="47A206A2"/>
    <w:rsid w:val="47A44ABF"/>
    <w:rsid w:val="47AA1AC9"/>
    <w:rsid w:val="47AB5220"/>
    <w:rsid w:val="47AC0C64"/>
    <w:rsid w:val="47AC3472"/>
    <w:rsid w:val="47AF1602"/>
    <w:rsid w:val="47B24801"/>
    <w:rsid w:val="47B42327"/>
    <w:rsid w:val="47B70069"/>
    <w:rsid w:val="47B96860"/>
    <w:rsid w:val="47BA07D1"/>
    <w:rsid w:val="47BA4156"/>
    <w:rsid w:val="47BB12D3"/>
    <w:rsid w:val="47BF4E26"/>
    <w:rsid w:val="47C0452B"/>
    <w:rsid w:val="47C208FE"/>
    <w:rsid w:val="47CB55B1"/>
    <w:rsid w:val="47D52B4E"/>
    <w:rsid w:val="47D96644"/>
    <w:rsid w:val="47DD1EAC"/>
    <w:rsid w:val="47E03A30"/>
    <w:rsid w:val="47E30E5E"/>
    <w:rsid w:val="47E37209"/>
    <w:rsid w:val="47E50603"/>
    <w:rsid w:val="47EF2043"/>
    <w:rsid w:val="47F1253B"/>
    <w:rsid w:val="47F160E9"/>
    <w:rsid w:val="47F210A1"/>
    <w:rsid w:val="47F27EA6"/>
    <w:rsid w:val="47F40E08"/>
    <w:rsid w:val="47F95F8C"/>
    <w:rsid w:val="47F97EC3"/>
    <w:rsid w:val="47FA6EE9"/>
    <w:rsid w:val="47FB1D04"/>
    <w:rsid w:val="47FC782A"/>
    <w:rsid w:val="47FF688C"/>
    <w:rsid w:val="48016F05"/>
    <w:rsid w:val="48086251"/>
    <w:rsid w:val="480E5719"/>
    <w:rsid w:val="48113E7C"/>
    <w:rsid w:val="48126C76"/>
    <w:rsid w:val="481A6D53"/>
    <w:rsid w:val="481B6FED"/>
    <w:rsid w:val="481F3675"/>
    <w:rsid w:val="48200E06"/>
    <w:rsid w:val="482B5866"/>
    <w:rsid w:val="482F4789"/>
    <w:rsid w:val="48361FBD"/>
    <w:rsid w:val="4839203B"/>
    <w:rsid w:val="483C6EC6"/>
    <w:rsid w:val="48433333"/>
    <w:rsid w:val="48470A0A"/>
    <w:rsid w:val="484937A9"/>
    <w:rsid w:val="484B5288"/>
    <w:rsid w:val="484C5BCB"/>
    <w:rsid w:val="484E53F1"/>
    <w:rsid w:val="484F0B92"/>
    <w:rsid w:val="4850074D"/>
    <w:rsid w:val="4851494C"/>
    <w:rsid w:val="48543EF9"/>
    <w:rsid w:val="485633DE"/>
    <w:rsid w:val="4856518C"/>
    <w:rsid w:val="485A4208"/>
    <w:rsid w:val="485C1B99"/>
    <w:rsid w:val="48627FD5"/>
    <w:rsid w:val="48645AFB"/>
    <w:rsid w:val="4865403A"/>
    <w:rsid w:val="486B6D16"/>
    <w:rsid w:val="486C083A"/>
    <w:rsid w:val="486D7F6C"/>
    <w:rsid w:val="486F2BC6"/>
    <w:rsid w:val="4871680C"/>
    <w:rsid w:val="48721DE4"/>
    <w:rsid w:val="4874090B"/>
    <w:rsid w:val="48742152"/>
    <w:rsid w:val="48792AE5"/>
    <w:rsid w:val="48912BD7"/>
    <w:rsid w:val="4892028A"/>
    <w:rsid w:val="489D2DBB"/>
    <w:rsid w:val="489D725F"/>
    <w:rsid w:val="489F22AB"/>
    <w:rsid w:val="48A56114"/>
    <w:rsid w:val="48AB5757"/>
    <w:rsid w:val="48AD2C6A"/>
    <w:rsid w:val="48AF3164"/>
    <w:rsid w:val="48B45470"/>
    <w:rsid w:val="48B5518F"/>
    <w:rsid w:val="48B96D4E"/>
    <w:rsid w:val="48BB7650"/>
    <w:rsid w:val="48C15FC8"/>
    <w:rsid w:val="48C51A91"/>
    <w:rsid w:val="48C90054"/>
    <w:rsid w:val="48CD2DD3"/>
    <w:rsid w:val="48CF5C15"/>
    <w:rsid w:val="48D1173C"/>
    <w:rsid w:val="48D82A0C"/>
    <w:rsid w:val="48D87125"/>
    <w:rsid w:val="48DA3B69"/>
    <w:rsid w:val="48DD1B61"/>
    <w:rsid w:val="48DF794F"/>
    <w:rsid w:val="48E03BEE"/>
    <w:rsid w:val="48E57583"/>
    <w:rsid w:val="48E81A81"/>
    <w:rsid w:val="48FC3F85"/>
    <w:rsid w:val="49082AE8"/>
    <w:rsid w:val="490B526B"/>
    <w:rsid w:val="490B5F77"/>
    <w:rsid w:val="490C6E56"/>
    <w:rsid w:val="491068FF"/>
    <w:rsid w:val="49110F87"/>
    <w:rsid w:val="49157A9B"/>
    <w:rsid w:val="491B427F"/>
    <w:rsid w:val="491C4628"/>
    <w:rsid w:val="491D677C"/>
    <w:rsid w:val="491E77D0"/>
    <w:rsid w:val="491F17AE"/>
    <w:rsid w:val="491F1A22"/>
    <w:rsid w:val="491F1AE1"/>
    <w:rsid w:val="492360EA"/>
    <w:rsid w:val="49250195"/>
    <w:rsid w:val="492543CB"/>
    <w:rsid w:val="49296D45"/>
    <w:rsid w:val="492B1F15"/>
    <w:rsid w:val="492E7FCA"/>
    <w:rsid w:val="4933371F"/>
    <w:rsid w:val="493728EB"/>
    <w:rsid w:val="493A096B"/>
    <w:rsid w:val="493B181C"/>
    <w:rsid w:val="493B5F6F"/>
    <w:rsid w:val="493E243A"/>
    <w:rsid w:val="49412EEA"/>
    <w:rsid w:val="494203A8"/>
    <w:rsid w:val="49425D6B"/>
    <w:rsid w:val="4943019B"/>
    <w:rsid w:val="49430FCD"/>
    <w:rsid w:val="49463453"/>
    <w:rsid w:val="494F6304"/>
    <w:rsid w:val="49502593"/>
    <w:rsid w:val="495035A3"/>
    <w:rsid w:val="49531FD8"/>
    <w:rsid w:val="49553AEC"/>
    <w:rsid w:val="49562C1C"/>
    <w:rsid w:val="496173C0"/>
    <w:rsid w:val="49624AA9"/>
    <w:rsid w:val="496A2251"/>
    <w:rsid w:val="4972247A"/>
    <w:rsid w:val="49783568"/>
    <w:rsid w:val="497E0E3E"/>
    <w:rsid w:val="497E545A"/>
    <w:rsid w:val="49801D83"/>
    <w:rsid w:val="49817D0E"/>
    <w:rsid w:val="4983111A"/>
    <w:rsid w:val="49852F95"/>
    <w:rsid w:val="49871A3D"/>
    <w:rsid w:val="49873A9F"/>
    <w:rsid w:val="49893447"/>
    <w:rsid w:val="498B79C2"/>
    <w:rsid w:val="498C623C"/>
    <w:rsid w:val="49965DA8"/>
    <w:rsid w:val="4998551B"/>
    <w:rsid w:val="49993A07"/>
    <w:rsid w:val="499B7361"/>
    <w:rsid w:val="499E56ED"/>
    <w:rsid w:val="49A177FB"/>
    <w:rsid w:val="49A47C5F"/>
    <w:rsid w:val="49AA0ABC"/>
    <w:rsid w:val="49AA3712"/>
    <w:rsid w:val="49AF724A"/>
    <w:rsid w:val="49B32A4C"/>
    <w:rsid w:val="49B33387"/>
    <w:rsid w:val="49B52386"/>
    <w:rsid w:val="49B750BB"/>
    <w:rsid w:val="49C11094"/>
    <w:rsid w:val="49C51E34"/>
    <w:rsid w:val="49C55F04"/>
    <w:rsid w:val="49CA0832"/>
    <w:rsid w:val="49CB7EAA"/>
    <w:rsid w:val="49CE23D2"/>
    <w:rsid w:val="49D071C0"/>
    <w:rsid w:val="49E77835"/>
    <w:rsid w:val="49EA6D6F"/>
    <w:rsid w:val="49EE78A8"/>
    <w:rsid w:val="49F15581"/>
    <w:rsid w:val="49F904C5"/>
    <w:rsid w:val="49F93B05"/>
    <w:rsid w:val="49FB7DDB"/>
    <w:rsid w:val="4A05330E"/>
    <w:rsid w:val="4A075DF6"/>
    <w:rsid w:val="4A0E73C6"/>
    <w:rsid w:val="4A0F3C75"/>
    <w:rsid w:val="4A175A5C"/>
    <w:rsid w:val="4A1B10F7"/>
    <w:rsid w:val="4A1B48DF"/>
    <w:rsid w:val="4A1F0E30"/>
    <w:rsid w:val="4A1F456A"/>
    <w:rsid w:val="4A213798"/>
    <w:rsid w:val="4A227A1C"/>
    <w:rsid w:val="4A2745F3"/>
    <w:rsid w:val="4A283F80"/>
    <w:rsid w:val="4A2E3FDD"/>
    <w:rsid w:val="4A3121CE"/>
    <w:rsid w:val="4A315EB1"/>
    <w:rsid w:val="4A34774F"/>
    <w:rsid w:val="4A3E7A8B"/>
    <w:rsid w:val="4A4066B8"/>
    <w:rsid w:val="4A4135A1"/>
    <w:rsid w:val="4A431DDA"/>
    <w:rsid w:val="4A4A45AB"/>
    <w:rsid w:val="4A4B74A4"/>
    <w:rsid w:val="4A510301"/>
    <w:rsid w:val="4A511F93"/>
    <w:rsid w:val="4A5144F5"/>
    <w:rsid w:val="4A522B78"/>
    <w:rsid w:val="4A527BD5"/>
    <w:rsid w:val="4A544BF6"/>
    <w:rsid w:val="4A5671A6"/>
    <w:rsid w:val="4A595408"/>
    <w:rsid w:val="4A597EBD"/>
    <w:rsid w:val="4A5C73B3"/>
    <w:rsid w:val="4A6450A1"/>
    <w:rsid w:val="4A6A4F1F"/>
    <w:rsid w:val="4A6C0C97"/>
    <w:rsid w:val="4A7144FF"/>
    <w:rsid w:val="4A764145"/>
    <w:rsid w:val="4A7A5E4C"/>
    <w:rsid w:val="4A7B6087"/>
    <w:rsid w:val="4A7D2EA4"/>
    <w:rsid w:val="4A82495E"/>
    <w:rsid w:val="4A871F75"/>
    <w:rsid w:val="4A895907"/>
    <w:rsid w:val="4A8A247E"/>
    <w:rsid w:val="4A8C230D"/>
    <w:rsid w:val="4A92316E"/>
    <w:rsid w:val="4A955B31"/>
    <w:rsid w:val="4A971FF7"/>
    <w:rsid w:val="4A981A8C"/>
    <w:rsid w:val="4AA018BD"/>
    <w:rsid w:val="4AA457C1"/>
    <w:rsid w:val="4AA51CD1"/>
    <w:rsid w:val="4AAB7500"/>
    <w:rsid w:val="4AB259EA"/>
    <w:rsid w:val="4AB47775"/>
    <w:rsid w:val="4ABD02DE"/>
    <w:rsid w:val="4AC219C7"/>
    <w:rsid w:val="4AC33D89"/>
    <w:rsid w:val="4AC40AD3"/>
    <w:rsid w:val="4AC90FAC"/>
    <w:rsid w:val="4AC9433B"/>
    <w:rsid w:val="4ACA68D0"/>
    <w:rsid w:val="4ACB0C48"/>
    <w:rsid w:val="4ACB0F6B"/>
    <w:rsid w:val="4AD71A54"/>
    <w:rsid w:val="4AF33166"/>
    <w:rsid w:val="4AF508E9"/>
    <w:rsid w:val="4AF54187"/>
    <w:rsid w:val="4AF5500A"/>
    <w:rsid w:val="4AF77D90"/>
    <w:rsid w:val="4AFC2259"/>
    <w:rsid w:val="4AFE4267"/>
    <w:rsid w:val="4AFF5457"/>
    <w:rsid w:val="4B01644D"/>
    <w:rsid w:val="4B032EC4"/>
    <w:rsid w:val="4B061501"/>
    <w:rsid w:val="4B0615B6"/>
    <w:rsid w:val="4B076C12"/>
    <w:rsid w:val="4B085A0B"/>
    <w:rsid w:val="4B0B5CA3"/>
    <w:rsid w:val="4B126469"/>
    <w:rsid w:val="4B1C448E"/>
    <w:rsid w:val="4B1F64D6"/>
    <w:rsid w:val="4B2326D8"/>
    <w:rsid w:val="4B274590"/>
    <w:rsid w:val="4B2C51E1"/>
    <w:rsid w:val="4B33520F"/>
    <w:rsid w:val="4B337A07"/>
    <w:rsid w:val="4B350E0F"/>
    <w:rsid w:val="4B3520E1"/>
    <w:rsid w:val="4B3938D2"/>
    <w:rsid w:val="4B3E6055"/>
    <w:rsid w:val="4B436AB6"/>
    <w:rsid w:val="4B4614E8"/>
    <w:rsid w:val="4B472880"/>
    <w:rsid w:val="4B4C37E9"/>
    <w:rsid w:val="4B4C5754"/>
    <w:rsid w:val="4B4C6F1D"/>
    <w:rsid w:val="4B4D5873"/>
    <w:rsid w:val="4B5275F3"/>
    <w:rsid w:val="4B541BD0"/>
    <w:rsid w:val="4B57095B"/>
    <w:rsid w:val="4B5B4EEE"/>
    <w:rsid w:val="4B5C0D0B"/>
    <w:rsid w:val="4B601135"/>
    <w:rsid w:val="4B616322"/>
    <w:rsid w:val="4B617516"/>
    <w:rsid w:val="4B636EB0"/>
    <w:rsid w:val="4B642252"/>
    <w:rsid w:val="4B647732"/>
    <w:rsid w:val="4B6E2412"/>
    <w:rsid w:val="4B74547D"/>
    <w:rsid w:val="4B765482"/>
    <w:rsid w:val="4B7A621E"/>
    <w:rsid w:val="4B803745"/>
    <w:rsid w:val="4B805571"/>
    <w:rsid w:val="4B8221D4"/>
    <w:rsid w:val="4B865745"/>
    <w:rsid w:val="4B8F2E97"/>
    <w:rsid w:val="4B8F3BF0"/>
    <w:rsid w:val="4B923426"/>
    <w:rsid w:val="4B9422CC"/>
    <w:rsid w:val="4B9569CB"/>
    <w:rsid w:val="4B994A48"/>
    <w:rsid w:val="4B9E1324"/>
    <w:rsid w:val="4BA22522"/>
    <w:rsid w:val="4BA56B1E"/>
    <w:rsid w:val="4BA9153A"/>
    <w:rsid w:val="4BAA34B1"/>
    <w:rsid w:val="4BAB036F"/>
    <w:rsid w:val="4BAF1783"/>
    <w:rsid w:val="4BB7572E"/>
    <w:rsid w:val="4BB8191D"/>
    <w:rsid w:val="4BB87F0C"/>
    <w:rsid w:val="4BBB1601"/>
    <w:rsid w:val="4BC028C3"/>
    <w:rsid w:val="4BC26C01"/>
    <w:rsid w:val="4BC5199C"/>
    <w:rsid w:val="4BCA4D02"/>
    <w:rsid w:val="4BD2236A"/>
    <w:rsid w:val="4BD43AC3"/>
    <w:rsid w:val="4BD83811"/>
    <w:rsid w:val="4BE0222F"/>
    <w:rsid w:val="4BE83A18"/>
    <w:rsid w:val="4BEA6841"/>
    <w:rsid w:val="4BED65E1"/>
    <w:rsid w:val="4BEF1260"/>
    <w:rsid w:val="4BFE39A8"/>
    <w:rsid w:val="4C005A0A"/>
    <w:rsid w:val="4C024515"/>
    <w:rsid w:val="4C04570D"/>
    <w:rsid w:val="4C05243B"/>
    <w:rsid w:val="4C091F40"/>
    <w:rsid w:val="4C0A5389"/>
    <w:rsid w:val="4C1C3B88"/>
    <w:rsid w:val="4C231829"/>
    <w:rsid w:val="4C293DF9"/>
    <w:rsid w:val="4C2B6930"/>
    <w:rsid w:val="4C2D715A"/>
    <w:rsid w:val="4C323248"/>
    <w:rsid w:val="4C337345"/>
    <w:rsid w:val="4C380B96"/>
    <w:rsid w:val="4C3919F3"/>
    <w:rsid w:val="4C3A6B73"/>
    <w:rsid w:val="4C3B1C6C"/>
    <w:rsid w:val="4C3C35C4"/>
    <w:rsid w:val="4C3C36CB"/>
    <w:rsid w:val="4C3D619D"/>
    <w:rsid w:val="4C445C22"/>
    <w:rsid w:val="4C4461EA"/>
    <w:rsid w:val="4C482885"/>
    <w:rsid w:val="4C564EC5"/>
    <w:rsid w:val="4C5A2DDA"/>
    <w:rsid w:val="4C5B43F5"/>
    <w:rsid w:val="4C667968"/>
    <w:rsid w:val="4C674860"/>
    <w:rsid w:val="4C682965"/>
    <w:rsid w:val="4C6E3E0F"/>
    <w:rsid w:val="4C761647"/>
    <w:rsid w:val="4C787DC7"/>
    <w:rsid w:val="4C7A6871"/>
    <w:rsid w:val="4C800D92"/>
    <w:rsid w:val="4C871DB8"/>
    <w:rsid w:val="4C8B22D6"/>
    <w:rsid w:val="4C936A45"/>
    <w:rsid w:val="4C981A36"/>
    <w:rsid w:val="4C9D58BA"/>
    <w:rsid w:val="4C9E61A7"/>
    <w:rsid w:val="4C9F6847"/>
    <w:rsid w:val="4CAB1831"/>
    <w:rsid w:val="4CAB7E57"/>
    <w:rsid w:val="4CAE46E6"/>
    <w:rsid w:val="4CBC2AE8"/>
    <w:rsid w:val="4CBC57B2"/>
    <w:rsid w:val="4CBD7ED0"/>
    <w:rsid w:val="4CC01E4A"/>
    <w:rsid w:val="4CC1690A"/>
    <w:rsid w:val="4CC254E6"/>
    <w:rsid w:val="4CC5534E"/>
    <w:rsid w:val="4CC6471F"/>
    <w:rsid w:val="4CC8595E"/>
    <w:rsid w:val="4CC85F32"/>
    <w:rsid w:val="4CCD6B61"/>
    <w:rsid w:val="4CD26FC9"/>
    <w:rsid w:val="4CD5757B"/>
    <w:rsid w:val="4CD73EEF"/>
    <w:rsid w:val="4CD84746"/>
    <w:rsid w:val="4CDA195B"/>
    <w:rsid w:val="4CDC7046"/>
    <w:rsid w:val="4CE51043"/>
    <w:rsid w:val="4CF40329"/>
    <w:rsid w:val="4CF45E35"/>
    <w:rsid w:val="4CFA0DF9"/>
    <w:rsid w:val="4CFD5D2F"/>
    <w:rsid w:val="4CFF4044"/>
    <w:rsid w:val="4CFF7336"/>
    <w:rsid w:val="4D0021D7"/>
    <w:rsid w:val="4D016C65"/>
    <w:rsid w:val="4D0C4BC4"/>
    <w:rsid w:val="4D1614F4"/>
    <w:rsid w:val="4D1F6494"/>
    <w:rsid w:val="4D221871"/>
    <w:rsid w:val="4D221AE1"/>
    <w:rsid w:val="4D2234F1"/>
    <w:rsid w:val="4D285424"/>
    <w:rsid w:val="4D3857A8"/>
    <w:rsid w:val="4D3A13E6"/>
    <w:rsid w:val="4D3B2EF1"/>
    <w:rsid w:val="4D3D3BAC"/>
    <w:rsid w:val="4D4E5B2E"/>
    <w:rsid w:val="4D4F3A52"/>
    <w:rsid w:val="4D500B0B"/>
    <w:rsid w:val="4D5626E4"/>
    <w:rsid w:val="4D590C00"/>
    <w:rsid w:val="4D5D39F2"/>
    <w:rsid w:val="4D6640C3"/>
    <w:rsid w:val="4D6824E9"/>
    <w:rsid w:val="4D682565"/>
    <w:rsid w:val="4D6F779B"/>
    <w:rsid w:val="4D7A191D"/>
    <w:rsid w:val="4D7F6F33"/>
    <w:rsid w:val="4D8A28F3"/>
    <w:rsid w:val="4D8C33FE"/>
    <w:rsid w:val="4D8E7176"/>
    <w:rsid w:val="4D934737"/>
    <w:rsid w:val="4D9428CC"/>
    <w:rsid w:val="4D9724CF"/>
    <w:rsid w:val="4D9A1C3B"/>
    <w:rsid w:val="4D9F7A7E"/>
    <w:rsid w:val="4DA61F18"/>
    <w:rsid w:val="4DAD1CF2"/>
    <w:rsid w:val="4DB03E95"/>
    <w:rsid w:val="4DB75623"/>
    <w:rsid w:val="4DB87635"/>
    <w:rsid w:val="4DB87E30"/>
    <w:rsid w:val="4DBD2312"/>
    <w:rsid w:val="4DBF70E9"/>
    <w:rsid w:val="4DC27E3B"/>
    <w:rsid w:val="4DC42295"/>
    <w:rsid w:val="4DC92690"/>
    <w:rsid w:val="4DD50E2F"/>
    <w:rsid w:val="4DE84647"/>
    <w:rsid w:val="4DED45F2"/>
    <w:rsid w:val="4DEF3D55"/>
    <w:rsid w:val="4DF416CF"/>
    <w:rsid w:val="4DF8677C"/>
    <w:rsid w:val="4DFB1332"/>
    <w:rsid w:val="4E00501F"/>
    <w:rsid w:val="4E0477A7"/>
    <w:rsid w:val="4E054ED4"/>
    <w:rsid w:val="4E0F1481"/>
    <w:rsid w:val="4E12509C"/>
    <w:rsid w:val="4E1950DD"/>
    <w:rsid w:val="4E197F8B"/>
    <w:rsid w:val="4E1B211C"/>
    <w:rsid w:val="4E1B331A"/>
    <w:rsid w:val="4E1B4259"/>
    <w:rsid w:val="4E266770"/>
    <w:rsid w:val="4E2A2DB2"/>
    <w:rsid w:val="4E2D6589"/>
    <w:rsid w:val="4E3B16C9"/>
    <w:rsid w:val="4E3C3D72"/>
    <w:rsid w:val="4E42550E"/>
    <w:rsid w:val="4E473A82"/>
    <w:rsid w:val="4E4D5283"/>
    <w:rsid w:val="4E4E27BB"/>
    <w:rsid w:val="4E5028F8"/>
    <w:rsid w:val="4E5909F6"/>
    <w:rsid w:val="4E5B3491"/>
    <w:rsid w:val="4E5C7274"/>
    <w:rsid w:val="4E620E05"/>
    <w:rsid w:val="4E6230B1"/>
    <w:rsid w:val="4E6378B3"/>
    <w:rsid w:val="4E655B31"/>
    <w:rsid w:val="4E682FFD"/>
    <w:rsid w:val="4E6A07F4"/>
    <w:rsid w:val="4E6B7204"/>
    <w:rsid w:val="4E7548AE"/>
    <w:rsid w:val="4E760336"/>
    <w:rsid w:val="4E766C3A"/>
    <w:rsid w:val="4E79738A"/>
    <w:rsid w:val="4E817E19"/>
    <w:rsid w:val="4E914765"/>
    <w:rsid w:val="4E920462"/>
    <w:rsid w:val="4E984664"/>
    <w:rsid w:val="4EA04A7B"/>
    <w:rsid w:val="4EA11120"/>
    <w:rsid w:val="4EA33312"/>
    <w:rsid w:val="4EA94717"/>
    <w:rsid w:val="4EAA4388"/>
    <w:rsid w:val="4EAB12D7"/>
    <w:rsid w:val="4EAD0AF3"/>
    <w:rsid w:val="4EAE5015"/>
    <w:rsid w:val="4EB3158A"/>
    <w:rsid w:val="4EB87880"/>
    <w:rsid w:val="4EB95188"/>
    <w:rsid w:val="4EBE3568"/>
    <w:rsid w:val="4EBE3636"/>
    <w:rsid w:val="4EBE5313"/>
    <w:rsid w:val="4EC4328F"/>
    <w:rsid w:val="4EC6177C"/>
    <w:rsid w:val="4EC65E15"/>
    <w:rsid w:val="4EC8759A"/>
    <w:rsid w:val="4ED17560"/>
    <w:rsid w:val="4ED177FE"/>
    <w:rsid w:val="4ED22094"/>
    <w:rsid w:val="4EDF4BC9"/>
    <w:rsid w:val="4EE97BD3"/>
    <w:rsid w:val="4EF53FB9"/>
    <w:rsid w:val="4EF851EF"/>
    <w:rsid w:val="4EF913CB"/>
    <w:rsid w:val="4EFC4F48"/>
    <w:rsid w:val="4EFF12C6"/>
    <w:rsid w:val="4F053468"/>
    <w:rsid w:val="4F05567F"/>
    <w:rsid w:val="4F094B77"/>
    <w:rsid w:val="4F096140"/>
    <w:rsid w:val="4F12602E"/>
    <w:rsid w:val="4F126809"/>
    <w:rsid w:val="4F147324"/>
    <w:rsid w:val="4F1653B7"/>
    <w:rsid w:val="4F167B74"/>
    <w:rsid w:val="4F22401A"/>
    <w:rsid w:val="4F257D14"/>
    <w:rsid w:val="4F2953A8"/>
    <w:rsid w:val="4F2B10CE"/>
    <w:rsid w:val="4F302BDB"/>
    <w:rsid w:val="4F310D01"/>
    <w:rsid w:val="4F351BE3"/>
    <w:rsid w:val="4F3A24FC"/>
    <w:rsid w:val="4F3B070E"/>
    <w:rsid w:val="4F3D23B9"/>
    <w:rsid w:val="4F407120"/>
    <w:rsid w:val="4F432BCF"/>
    <w:rsid w:val="4F4767F9"/>
    <w:rsid w:val="4F4B79F8"/>
    <w:rsid w:val="4F4E3061"/>
    <w:rsid w:val="4F532146"/>
    <w:rsid w:val="4F5368C9"/>
    <w:rsid w:val="4F597180"/>
    <w:rsid w:val="4F5D7A15"/>
    <w:rsid w:val="4F5E4F17"/>
    <w:rsid w:val="4F671537"/>
    <w:rsid w:val="4F672A89"/>
    <w:rsid w:val="4F675ED1"/>
    <w:rsid w:val="4F6A25FB"/>
    <w:rsid w:val="4F6B00A0"/>
    <w:rsid w:val="4F710AFD"/>
    <w:rsid w:val="4F71152D"/>
    <w:rsid w:val="4F7958A9"/>
    <w:rsid w:val="4F8151E4"/>
    <w:rsid w:val="4F820F5D"/>
    <w:rsid w:val="4F8778D8"/>
    <w:rsid w:val="4F8A60BB"/>
    <w:rsid w:val="4F8C625F"/>
    <w:rsid w:val="4F8E5D80"/>
    <w:rsid w:val="4F8F03FE"/>
    <w:rsid w:val="4F937F3A"/>
    <w:rsid w:val="4F952919"/>
    <w:rsid w:val="4F9C4A91"/>
    <w:rsid w:val="4FA069D0"/>
    <w:rsid w:val="4FA15887"/>
    <w:rsid w:val="4FA36458"/>
    <w:rsid w:val="4FA443BD"/>
    <w:rsid w:val="4FA535FE"/>
    <w:rsid w:val="4FA7451F"/>
    <w:rsid w:val="4FA8145C"/>
    <w:rsid w:val="4FAB04B3"/>
    <w:rsid w:val="4FAD3FE6"/>
    <w:rsid w:val="4FAE4AB8"/>
    <w:rsid w:val="4FB216C3"/>
    <w:rsid w:val="4FB71271"/>
    <w:rsid w:val="4FBB4A17"/>
    <w:rsid w:val="4FBC15FE"/>
    <w:rsid w:val="4FC21359"/>
    <w:rsid w:val="4FC348A0"/>
    <w:rsid w:val="4FC36196"/>
    <w:rsid w:val="4FC731E6"/>
    <w:rsid w:val="4FCB7AD7"/>
    <w:rsid w:val="4FCC6F06"/>
    <w:rsid w:val="4FD06B06"/>
    <w:rsid w:val="4FD40332"/>
    <w:rsid w:val="4FD5004D"/>
    <w:rsid w:val="4FD77B04"/>
    <w:rsid w:val="4FD9122A"/>
    <w:rsid w:val="4FDD6734"/>
    <w:rsid w:val="4FDD6849"/>
    <w:rsid w:val="4FDD76C1"/>
    <w:rsid w:val="4FDF543E"/>
    <w:rsid w:val="4FE64A2E"/>
    <w:rsid w:val="4FE70DC0"/>
    <w:rsid w:val="4FE9271E"/>
    <w:rsid w:val="4FED79C6"/>
    <w:rsid w:val="4FEE03A0"/>
    <w:rsid w:val="4FEF0AC8"/>
    <w:rsid w:val="4FF63A2E"/>
    <w:rsid w:val="4FF907A6"/>
    <w:rsid w:val="4FFB0C38"/>
    <w:rsid w:val="4FFE186F"/>
    <w:rsid w:val="4FFE2893"/>
    <w:rsid w:val="4FFE6835"/>
    <w:rsid w:val="5001505B"/>
    <w:rsid w:val="50033BD6"/>
    <w:rsid w:val="50035983"/>
    <w:rsid w:val="50050817"/>
    <w:rsid w:val="500552BC"/>
    <w:rsid w:val="50067494"/>
    <w:rsid w:val="500806E1"/>
    <w:rsid w:val="501056AA"/>
    <w:rsid w:val="50162731"/>
    <w:rsid w:val="501C6CBB"/>
    <w:rsid w:val="50210219"/>
    <w:rsid w:val="50244651"/>
    <w:rsid w:val="50271048"/>
    <w:rsid w:val="502710C2"/>
    <w:rsid w:val="50281B04"/>
    <w:rsid w:val="502C6A68"/>
    <w:rsid w:val="502D0420"/>
    <w:rsid w:val="502D0EC8"/>
    <w:rsid w:val="502F2E92"/>
    <w:rsid w:val="503D3007"/>
    <w:rsid w:val="50412FF1"/>
    <w:rsid w:val="50427988"/>
    <w:rsid w:val="50447895"/>
    <w:rsid w:val="50450F6D"/>
    <w:rsid w:val="5051105B"/>
    <w:rsid w:val="505226DD"/>
    <w:rsid w:val="505678BF"/>
    <w:rsid w:val="50583DF3"/>
    <w:rsid w:val="505D0B8E"/>
    <w:rsid w:val="505F03C3"/>
    <w:rsid w:val="506054C7"/>
    <w:rsid w:val="506279F5"/>
    <w:rsid w:val="50631B34"/>
    <w:rsid w:val="50642410"/>
    <w:rsid w:val="50663FBF"/>
    <w:rsid w:val="5067107C"/>
    <w:rsid w:val="506D6934"/>
    <w:rsid w:val="50707007"/>
    <w:rsid w:val="50723F77"/>
    <w:rsid w:val="5075587C"/>
    <w:rsid w:val="507B110C"/>
    <w:rsid w:val="507B68A0"/>
    <w:rsid w:val="507E7511"/>
    <w:rsid w:val="507F3345"/>
    <w:rsid w:val="50850CAD"/>
    <w:rsid w:val="5090104D"/>
    <w:rsid w:val="509B5CE7"/>
    <w:rsid w:val="509D01DD"/>
    <w:rsid w:val="50A47403"/>
    <w:rsid w:val="50A53CBD"/>
    <w:rsid w:val="50A8144C"/>
    <w:rsid w:val="50A84CE1"/>
    <w:rsid w:val="50A853F5"/>
    <w:rsid w:val="50AA7C6B"/>
    <w:rsid w:val="50AE2B77"/>
    <w:rsid w:val="50B247DB"/>
    <w:rsid w:val="50B415EA"/>
    <w:rsid w:val="50B6598C"/>
    <w:rsid w:val="50BE68C4"/>
    <w:rsid w:val="50C07428"/>
    <w:rsid w:val="50C2127B"/>
    <w:rsid w:val="50C35A5D"/>
    <w:rsid w:val="50CE0EC1"/>
    <w:rsid w:val="50D073B6"/>
    <w:rsid w:val="50D457E8"/>
    <w:rsid w:val="50D61560"/>
    <w:rsid w:val="50D747F8"/>
    <w:rsid w:val="50DA01D6"/>
    <w:rsid w:val="50DD28EE"/>
    <w:rsid w:val="50E2544B"/>
    <w:rsid w:val="50E32300"/>
    <w:rsid w:val="50E44AE6"/>
    <w:rsid w:val="50E6055B"/>
    <w:rsid w:val="50E64AA4"/>
    <w:rsid w:val="50E93D3F"/>
    <w:rsid w:val="50ED4CF2"/>
    <w:rsid w:val="50F3204F"/>
    <w:rsid w:val="50F6575E"/>
    <w:rsid w:val="50FC192E"/>
    <w:rsid w:val="51010497"/>
    <w:rsid w:val="510734AA"/>
    <w:rsid w:val="510A37D5"/>
    <w:rsid w:val="511058A6"/>
    <w:rsid w:val="511661FC"/>
    <w:rsid w:val="51172C6B"/>
    <w:rsid w:val="511756DC"/>
    <w:rsid w:val="511C3DE5"/>
    <w:rsid w:val="51203BDF"/>
    <w:rsid w:val="51222FAD"/>
    <w:rsid w:val="5125316E"/>
    <w:rsid w:val="51266055"/>
    <w:rsid w:val="51281690"/>
    <w:rsid w:val="51347925"/>
    <w:rsid w:val="51383071"/>
    <w:rsid w:val="5138401F"/>
    <w:rsid w:val="513A7E33"/>
    <w:rsid w:val="513E2CC5"/>
    <w:rsid w:val="51421BF0"/>
    <w:rsid w:val="51461D81"/>
    <w:rsid w:val="51481AE6"/>
    <w:rsid w:val="514A64E7"/>
    <w:rsid w:val="514D7C76"/>
    <w:rsid w:val="514E0DC9"/>
    <w:rsid w:val="514E7348"/>
    <w:rsid w:val="515B4AAB"/>
    <w:rsid w:val="515E6B5F"/>
    <w:rsid w:val="51622787"/>
    <w:rsid w:val="516D415E"/>
    <w:rsid w:val="516E158F"/>
    <w:rsid w:val="51705511"/>
    <w:rsid w:val="51711E1A"/>
    <w:rsid w:val="5176064D"/>
    <w:rsid w:val="517839BF"/>
    <w:rsid w:val="517D3A01"/>
    <w:rsid w:val="517E50D4"/>
    <w:rsid w:val="518D4400"/>
    <w:rsid w:val="518D7FD5"/>
    <w:rsid w:val="51985B68"/>
    <w:rsid w:val="519F2F7B"/>
    <w:rsid w:val="51A47BE3"/>
    <w:rsid w:val="51C40417"/>
    <w:rsid w:val="51D1136A"/>
    <w:rsid w:val="51D13357"/>
    <w:rsid w:val="51D21B13"/>
    <w:rsid w:val="51D25248"/>
    <w:rsid w:val="51D33CF1"/>
    <w:rsid w:val="51D60093"/>
    <w:rsid w:val="51D66CF6"/>
    <w:rsid w:val="51DB1B45"/>
    <w:rsid w:val="51DE518B"/>
    <w:rsid w:val="51E02CFF"/>
    <w:rsid w:val="51E111D5"/>
    <w:rsid w:val="51E21B6A"/>
    <w:rsid w:val="51E362FC"/>
    <w:rsid w:val="51E8779D"/>
    <w:rsid w:val="51EE4687"/>
    <w:rsid w:val="51F24178"/>
    <w:rsid w:val="51F53D19"/>
    <w:rsid w:val="51F918FB"/>
    <w:rsid w:val="51FC7B89"/>
    <w:rsid w:val="52052AC6"/>
    <w:rsid w:val="520C2D5F"/>
    <w:rsid w:val="5210376F"/>
    <w:rsid w:val="52157BFA"/>
    <w:rsid w:val="52163B1E"/>
    <w:rsid w:val="52165855"/>
    <w:rsid w:val="521D7A79"/>
    <w:rsid w:val="52230706"/>
    <w:rsid w:val="5227252A"/>
    <w:rsid w:val="52287B99"/>
    <w:rsid w:val="522956BF"/>
    <w:rsid w:val="522A179F"/>
    <w:rsid w:val="522B2EAC"/>
    <w:rsid w:val="52301B37"/>
    <w:rsid w:val="5231110B"/>
    <w:rsid w:val="52320A18"/>
    <w:rsid w:val="52323906"/>
    <w:rsid w:val="52380713"/>
    <w:rsid w:val="523B0CEF"/>
    <w:rsid w:val="5241442E"/>
    <w:rsid w:val="524A0A75"/>
    <w:rsid w:val="524A3C05"/>
    <w:rsid w:val="524E3378"/>
    <w:rsid w:val="5254233A"/>
    <w:rsid w:val="52573C79"/>
    <w:rsid w:val="5269448A"/>
    <w:rsid w:val="526A24FC"/>
    <w:rsid w:val="526A7820"/>
    <w:rsid w:val="526B355A"/>
    <w:rsid w:val="526D1A50"/>
    <w:rsid w:val="526F0144"/>
    <w:rsid w:val="52724898"/>
    <w:rsid w:val="52754859"/>
    <w:rsid w:val="527E1EAF"/>
    <w:rsid w:val="52831B94"/>
    <w:rsid w:val="528460CA"/>
    <w:rsid w:val="528657BD"/>
    <w:rsid w:val="5288491C"/>
    <w:rsid w:val="528A4C80"/>
    <w:rsid w:val="528D279B"/>
    <w:rsid w:val="5290182B"/>
    <w:rsid w:val="52930391"/>
    <w:rsid w:val="52972BF3"/>
    <w:rsid w:val="529877E6"/>
    <w:rsid w:val="529C11E0"/>
    <w:rsid w:val="529C59D0"/>
    <w:rsid w:val="529D6515"/>
    <w:rsid w:val="52A15FDB"/>
    <w:rsid w:val="52A25303"/>
    <w:rsid w:val="52A34425"/>
    <w:rsid w:val="52AD0A94"/>
    <w:rsid w:val="52B12DCF"/>
    <w:rsid w:val="52B501FF"/>
    <w:rsid w:val="52B7396D"/>
    <w:rsid w:val="52DD622A"/>
    <w:rsid w:val="52DE0921"/>
    <w:rsid w:val="52DE1407"/>
    <w:rsid w:val="52E00D7F"/>
    <w:rsid w:val="52E0452B"/>
    <w:rsid w:val="52E51DCD"/>
    <w:rsid w:val="52E60AD0"/>
    <w:rsid w:val="52F27725"/>
    <w:rsid w:val="52F605DC"/>
    <w:rsid w:val="52FA4A88"/>
    <w:rsid w:val="52FF2D83"/>
    <w:rsid w:val="530A0E82"/>
    <w:rsid w:val="530A4924"/>
    <w:rsid w:val="530A498D"/>
    <w:rsid w:val="530B6DA8"/>
    <w:rsid w:val="530E3CF6"/>
    <w:rsid w:val="53114AD1"/>
    <w:rsid w:val="53142726"/>
    <w:rsid w:val="53195734"/>
    <w:rsid w:val="532A17F7"/>
    <w:rsid w:val="532A2D2E"/>
    <w:rsid w:val="532E31E9"/>
    <w:rsid w:val="53306DDD"/>
    <w:rsid w:val="533A050B"/>
    <w:rsid w:val="533E3325"/>
    <w:rsid w:val="53424C8B"/>
    <w:rsid w:val="53450AE3"/>
    <w:rsid w:val="534E08FE"/>
    <w:rsid w:val="53504128"/>
    <w:rsid w:val="53576C9C"/>
    <w:rsid w:val="535A76B7"/>
    <w:rsid w:val="53613E25"/>
    <w:rsid w:val="53663BAE"/>
    <w:rsid w:val="53670B95"/>
    <w:rsid w:val="53674D2D"/>
    <w:rsid w:val="536D01F4"/>
    <w:rsid w:val="53790CBA"/>
    <w:rsid w:val="53800914"/>
    <w:rsid w:val="53803A05"/>
    <w:rsid w:val="53811065"/>
    <w:rsid w:val="53837051"/>
    <w:rsid w:val="53871CA8"/>
    <w:rsid w:val="5388542C"/>
    <w:rsid w:val="53890781"/>
    <w:rsid w:val="538B5E37"/>
    <w:rsid w:val="539020C2"/>
    <w:rsid w:val="53923017"/>
    <w:rsid w:val="53964FD7"/>
    <w:rsid w:val="539D6365"/>
    <w:rsid w:val="53A45F0C"/>
    <w:rsid w:val="53A76F73"/>
    <w:rsid w:val="53A86216"/>
    <w:rsid w:val="53AD6FBC"/>
    <w:rsid w:val="53AE2320"/>
    <w:rsid w:val="53B83934"/>
    <w:rsid w:val="53B8404E"/>
    <w:rsid w:val="53B9205F"/>
    <w:rsid w:val="53BF28B8"/>
    <w:rsid w:val="53C0722C"/>
    <w:rsid w:val="53C51BA8"/>
    <w:rsid w:val="53C51DCF"/>
    <w:rsid w:val="53CA7933"/>
    <w:rsid w:val="53CB1124"/>
    <w:rsid w:val="53CD75E2"/>
    <w:rsid w:val="53CE35D1"/>
    <w:rsid w:val="53CE7D56"/>
    <w:rsid w:val="53D578AD"/>
    <w:rsid w:val="53D71B45"/>
    <w:rsid w:val="53DC0206"/>
    <w:rsid w:val="53DF072C"/>
    <w:rsid w:val="53EE6BC1"/>
    <w:rsid w:val="53F80A3F"/>
    <w:rsid w:val="53FA5565"/>
    <w:rsid w:val="53FB49B7"/>
    <w:rsid w:val="53FC23F4"/>
    <w:rsid w:val="54014F28"/>
    <w:rsid w:val="540B36AE"/>
    <w:rsid w:val="540D7D5D"/>
    <w:rsid w:val="54111AB6"/>
    <w:rsid w:val="54114357"/>
    <w:rsid w:val="54121C88"/>
    <w:rsid w:val="54142C36"/>
    <w:rsid w:val="54181E8F"/>
    <w:rsid w:val="54196AC6"/>
    <w:rsid w:val="541F0223"/>
    <w:rsid w:val="54275B96"/>
    <w:rsid w:val="54282692"/>
    <w:rsid w:val="542D4CE4"/>
    <w:rsid w:val="54304C3D"/>
    <w:rsid w:val="54306EEA"/>
    <w:rsid w:val="543523BC"/>
    <w:rsid w:val="543F5122"/>
    <w:rsid w:val="544F687F"/>
    <w:rsid w:val="54502069"/>
    <w:rsid w:val="54513B41"/>
    <w:rsid w:val="545D5701"/>
    <w:rsid w:val="545D78A2"/>
    <w:rsid w:val="5460307F"/>
    <w:rsid w:val="54650339"/>
    <w:rsid w:val="54676C88"/>
    <w:rsid w:val="54676CA3"/>
    <w:rsid w:val="546B4657"/>
    <w:rsid w:val="546C5B0C"/>
    <w:rsid w:val="54700CBE"/>
    <w:rsid w:val="547846DC"/>
    <w:rsid w:val="547F2161"/>
    <w:rsid w:val="547F26A1"/>
    <w:rsid w:val="54817A35"/>
    <w:rsid w:val="54840E1D"/>
    <w:rsid w:val="54851947"/>
    <w:rsid w:val="548C3B96"/>
    <w:rsid w:val="549A6B4A"/>
    <w:rsid w:val="549F20F7"/>
    <w:rsid w:val="54A04EAE"/>
    <w:rsid w:val="54A31759"/>
    <w:rsid w:val="54A53F28"/>
    <w:rsid w:val="54B27EE3"/>
    <w:rsid w:val="54BC6CBF"/>
    <w:rsid w:val="54C1450F"/>
    <w:rsid w:val="54C54B24"/>
    <w:rsid w:val="54CF0230"/>
    <w:rsid w:val="54D1276A"/>
    <w:rsid w:val="54D27137"/>
    <w:rsid w:val="54D9161F"/>
    <w:rsid w:val="54DD1DD4"/>
    <w:rsid w:val="54DE5ED9"/>
    <w:rsid w:val="54E05A97"/>
    <w:rsid w:val="54E63662"/>
    <w:rsid w:val="54EA472D"/>
    <w:rsid w:val="54ED38F9"/>
    <w:rsid w:val="54F23C77"/>
    <w:rsid w:val="54F37182"/>
    <w:rsid w:val="54FF66C1"/>
    <w:rsid w:val="55031B58"/>
    <w:rsid w:val="550541C2"/>
    <w:rsid w:val="550D3076"/>
    <w:rsid w:val="550F3292"/>
    <w:rsid w:val="550F4874"/>
    <w:rsid w:val="551043DE"/>
    <w:rsid w:val="551D66E1"/>
    <w:rsid w:val="55214883"/>
    <w:rsid w:val="55244D68"/>
    <w:rsid w:val="55246418"/>
    <w:rsid w:val="55266506"/>
    <w:rsid w:val="55275FF4"/>
    <w:rsid w:val="552F33AF"/>
    <w:rsid w:val="553364BB"/>
    <w:rsid w:val="553A2B08"/>
    <w:rsid w:val="553A4F60"/>
    <w:rsid w:val="5540344C"/>
    <w:rsid w:val="55476F9D"/>
    <w:rsid w:val="554E0B3F"/>
    <w:rsid w:val="554F316F"/>
    <w:rsid w:val="55535EBC"/>
    <w:rsid w:val="55557104"/>
    <w:rsid w:val="55580F8E"/>
    <w:rsid w:val="555B0286"/>
    <w:rsid w:val="555B136B"/>
    <w:rsid w:val="55697DB6"/>
    <w:rsid w:val="556B2B1A"/>
    <w:rsid w:val="55707216"/>
    <w:rsid w:val="55720824"/>
    <w:rsid w:val="5572737D"/>
    <w:rsid w:val="55755D15"/>
    <w:rsid w:val="557E557C"/>
    <w:rsid w:val="55806DFD"/>
    <w:rsid w:val="558079E8"/>
    <w:rsid w:val="55834479"/>
    <w:rsid w:val="558610ED"/>
    <w:rsid w:val="55983C1D"/>
    <w:rsid w:val="55995BDB"/>
    <w:rsid w:val="55A27848"/>
    <w:rsid w:val="55A91F0E"/>
    <w:rsid w:val="55A96A8C"/>
    <w:rsid w:val="55AA673D"/>
    <w:rsid w:val="55AB521F"/>
    <w:rsid w:val="55B00076"/>
    <w:rsid w:val="55B02049"/>
    <w:rsid w:val="55B41744"/>
    <w:rsid w:val="55B615A6"/>
    <w:rsid w:val="55B94FAC"/>
    <w:rsid w:val="55BB2AD2"/>
    <w:rsid w:val="55BE17FD"/>
    <w:rsid w:val="55C62B90"/>
    <w:rsid w:val="55CA58A4"/>
    <w:rsid w:val="55CE2806"/>
    <w:rsid w:val="55CF558F"/>
    <w:rsid w:val="55D43B94"/>
    <w:rsid w:val="55DB4F23"/>
    <w:rsid w:val="55DC4100"/>
    <w:rsid w:val="55E4027B"/>
    <w:rsid w:val="55E55DA1"/>
    <w:rsid w:val="55E71286"/>
    <w:rsid w:val="55ED1E4D"/>
    <w:rsid w:val="55ED6F0C"/>
    <w:rsid w:val="55F012EF"/>
    <w:rsid w:val="55F63253"/>
    <w:rsid w:val="55F865C0"/>
    <w:rsid w:val="55FB6A98"/>
    <w:rsid w:val="55FF6E63"/>
    <w:rsid w:val="56015960"/>
    <w:rsid w:val="560179FC"/>
    <w:rsid w:val="5603033F"/>
    <w:rsid w:val="560C332E"/>
    <w:rsid w:val="560D1265"/>
    <w:rsid w:val="560E6797"/>
    <w:rsid w:val="56136213"/>
    <w:rsid w:val="561641AD"/>
    <w:rsid w:val="5617304F"/>
    <w:rsid w:val="56217790"/>
    <w:rsid w:val="56222908"/>
    <w:rsid w:val="562348D9"/>
    <w:rsid w:val="56300323"/>
    <w:rsid w:val="56311E30"/>
    <w:rsid w:val="56336B0D"/>
    <w:rsid w:val="56467571"/>
    <w:rsid w:val="564C1AE8"/>
    <w:rsid w:val="564F1EA8"/>
    <w:rsid w:val="565037AD"/>
    <w:rsid w:val="56537D5D"/>
    <w:rsid w:val="566118CC"/>
    <w:rsid w:val="566226BD"/>
    <w:rsid w:val="566245FB"/>
    <w:rsid w:val="56665134"/>
    <w:rsid w:val="566F722B"/>
    <w:rsid w:val="56715637"/>
    <w:rsid w:val="567D41A3"/>
    <w:rsid w:val="567F2C86"/>
    <w:rsid w:val="5681102E"/>
    <w:rsid w:val="56817D4F"/>
    <w:rsid w:val="56877517"/>
    <w:rsid w:val="568B6949"/>
    <w:rsid w:val="568E6439"/>
    <w:rsid w:val="569020A4"/>
    <w:rsid w:val="569A4DDE"/>
    <w:rsid w:val="56A66EEB"/>
    <w:rsid w:val="56AA3B40"/>
    <w:rsid w:val="56AB2B47"/>
    <w:rsid w:val="56B03172"/>
    <w:rsid w:val="56B1674B"/>
    <w:rsid w:val="56C4718D"/>
    <w:rsid w:val="56C67981"/>
    <w:rsid w:val="56C9109D"/>
    <w:rsid w:val="56C97A5C"/>
    <w:rsid w:val="56D46542"/>
    <w:rsid w:val="56D9737B"/>
    <w:rsid w:val="56DB5704"/>
    <w:rsid w:val="56DC53F6"/>
    <w:rsid w:val="56F11C0B"/>
    <w:rsid w:val="56F374EE"/>
    <w:rsid w:val="56F5788D"/>
    <w:rsid w:val="56F95C8A"/>
    <w:rsid w:val="56FF36DC"/>
    <w:rsid w:val="57062D1C"/>
    <w:rsid w:val="570911FF"/>
    <w:rsid w:val="570A6AC7"/>
    <w:rsid w:val="570B6152"/>
    <w:rsid w:val="571132F2"/>
    <w:rsid w:val="5711578B"/>
    <w:rsid w:val="57117D51"/>
    <w:rsid w:val="571351EA"/>
    <w:rsid w:val="571526B6"/>
    <w:rsid w:val="571767E7"/>
    <w:rsid w:val="571E27E2"/>
    <w:rsid w:val="571F7091"/>
    <w:rsid w:val="572939F7"/>
    <w:rsid w:val="57297951"/>
    <w:rsid w:val="572B3C93"/>
    <w:rsid w:val="57315742"/>
    <w:rsid w:val="573462B4"/>
    <w:rsid w:val="57441E9D"/>
    <w:rsid w:val="5744366B"/>
    <w:rsid w:val="57481235"/>
    <w:rsid w:val="574A48ED"/>
    <w:rsid w:val="57534F0E"/>
    <w:rsid w:val="575B3A1F"/>
    <w:rsid w:val="575B631B"/>
    <w:rsid w:val="575D1152"/>
    <w:rsid w:val="575F1C9C"/>
    <w:rsid w:val="57611116"/>
    <w:rsid w:val="576B50D0"/>
    <w:rsid w:val="576C0528"/>
    <w:rsid w:val="57743881"/>
    <w:rsid w:val="577640F5"/>
    <w:rsid w:val="577A41F6"/>
    <w:rsid w:val="577F4AF9"/>
    <w:rsid w:val="57805386"/>
    <w:rsid w:val="57811A25"/>
    <w:rsid w:val="57825F9E"/>
    <w:rsid w:val="57832FDA"/>
    <w:rsid w:val="5785594E"/>
    <w:rsid w:val="578810DA"/>
    <w:rsid w:val="578868B9"/>
    <w:rsid w:val="57886EC8"/>
    <w:rsid w:val="578960D9"/>
    <w:rsid w:val="578A45F4"/>
    <w:rsid w:val="578E7AD2"/>
    <w:rsid w:val="579202F8"/>
    <w:rsid w:val="57961A49"/>
    <w:rsid w:val="579962B6"/>
    <w:rsid w:val="57A60F09"/>
    <w:rsid w:val="57A64C86"/>
    <w:rsid w:val="57AC301B"/>
    <w:rsid w:val="57B24135"/>
    <w:rsid w:val="57B73BF7"/>
    <w:rsid w:val="57BB3877"/>
    <w:rsid w:val="57BB4EA1"/>
    <w:rsid w:val="57BE4B2B"/>
    <w:rsid w:val="57C61A55"/>
    <w:rsid w:val="57C74A06"/>
    <w:rsid w:val="57CC546B"/>
    <w:rsid w:val="57CE2F91"/>
    <w:rsid w:val="57D21193"/>
    <w:rsid w:val="57D35100"/>
    <w:rsid w:val="57D45CF1"/>
    <w:rsid w:val="57D72838"/>
    <w:rsid w:val="57D7716A"/>
    <w:rsid w:val="57E722A5"/>
    <w:rsid w:val="57EC4959"/>
    <w:rsid w:val="57FE1171"/>
    <w:rsid w:val="58022C3B"/>
    <w:rsid w:val="580438BF"/>
    <w:rsid w:val="5805272B"/>
    <w:rsid w:val="580544D9"/>
    <w:rsid w:val="58111688"/>
    <w:rsid w:val="5811679F"/>
    <w:rsid w:val="58157F25"/>
    <w:rsid w:val="5818245E"/>
    <w:rsid w:val="582157B7"/>
    <w:rsid w:val="582B03E3"/>
    <w:rsid w:val="582B7312"/>
    <w:rsid w:val="582D4D0A"/>
    <w:rsid w:val="58332C4F"/>
    <w:rsid w:val="58354D6E"/>
    <w:rsid w:val="583679D2"/>
    <w:rsid w:val="58387DC7"/>
    <w:rsid w:val="583A0894"/>
    <w:rsid w:val="583D4704"/>
    <w:rsid w:val="583F5E0E"/>
    <w:rsid w:val="584E150F"/>
    <w:rsid w:val="58543CA4"/>
    <w:rsid w:val="58562F86"/>
    <w:rsid w:val="58567E3E"/>
    <w:rsid w:val="585913F3"/>
    <w:rsid w:val="58616430"/>
    <w:rsid w:val="586207E4"/>
    <w:rsid w:val="5862616F"/>
    <w:rsid w:val="586A18D6"/>
    <w:rsid w:val="586B6E37"/>
    <w:rsid w:val="586E6E66"/>
    <w:rsid w:val="58737694"/>
    <w:rsid w:val="58773629"/>
    <w:rsid w:val="587D0513"/>
    <w:rsid w:val="587D5356"/>
    <w:rsid w:val="587F072F"/>
    <w:rsid w:val="5886561A"/>
    <w:rsid w:val="588824D6"/>
    <w:rsid w:val="588927A3"/>
    <w:rsid w:val="58906498"/>
    <w:rsid w:val="589104DA"/>
    <w:rsid w:val="5896628B"/>
    <w:rsid w:val="589E777F"/>
    <w:rsid w:val="58A253FD"/>
    <w:rsid w:val="58A550E1"/>
    <w:rsid w:val="58A61AA4"/>
    <w:rsid w:val="58A73989"/>
    <w:rsid w:val="58A809BF"/>
    <w:rsid w:val="58A847AE"/>
    <w:rsid w:val="58B13FD3"/>
    <w:rsid w:val="58B26FB0"/>
    <w:rsid w:val="58BE32F2"/>
    <w:rsid w:val="58C2765A"/>
    <w:rsid w:val="58C46142"/>
    <w:rsid w:val="58C55189"/>
    <w:rsid w:val="58C61EBA"/>
    <w:rsid w:val="58C96FCC"/>
    <w:rsid w:val="58C97E17"/>
    <w:rsid w:val="58D10DA9"/>
    <w:rsid w:val="58D12108"/>
    <w:rsid w:val="58D24907"/>
    <w:rsid w:val="58D45C28"/>
    <w:rsid w:val="58DE23B1"/>
    <w:rsid w:val="58DF3BB4"/>
    <w:rsid w:val="58E43827"/>
    <w:rsid w:val="58E751DA"/>
    <w:rsid w:val="58EB1921"/>
    <w:rsid w:val="58EF1916"/>
    <w:rsid w:val="58F24A5D"/>
    <w:rsid w:val="58FF6D9A"/>
    <w:rsid w:val="590046E6"/>
    <w:rsid w:val="59011144"/>
    <w:rsid w:val="59015D72"/>
    <w:rsid w:val="590448B1"/>
    <w:rsid w:val="59072803"/>
    <w:rsid w:val="590B5C1B"/>
    <w:rsid w:val="590D1897"/>
    <w:rsid w:val="59113679"/>
    <w:rsid w:val="59130084"/>
    <w:rsid w:val="591D47F1"/>
    <w:rsid w:val="591E5852"/>
    <w:rsid w:val="591F43EB"/>
    <w:rsid w:val="59200EBE"/>
    <w:rsid w:val="592128C3"/>
    <w:rsid w:val="592220B5"/>
    <w:rsid w:val="59255B06"/>
    <w:rsid w:val="59280D72"/>
    <w:rsid w:val="59311B34"/>
    <w:rsid w:val="59341D41"/>
    <w:rsid w:val="593432C8"/>
    <w:rsid w:val="59366DF8"/>
    <w:rsid w:val="593903FD"/>
    <w:rsid w:val="593B4656"/>
    <w:rsid w:val="593F3A1A"/>
    <w:rsid w:val="594219CA"/>
    <w:rsid w:val="59435A54"/>
    <w:rsid w:val="5944353C"/>
    <w:rsid w:val="59480B21"/>
    <w:rsid w:val="59486D73"/>
    <w:rsid w:val="594A6647"/>
    <w:rsid w:val="594D25DB"/>
    <w:rsid w:val="594D4389"/>
    <w:rsid w:val="59513E95"/>
    <w:rsid w:val="59527358"/>
    <w:rsid w:val="5953748F"/>
    <w:rsid w:val="595526E7"/>
    <w:rsid w:val="595B78ED"/>
    <w:rsid w:val="595F64D6"/>
    <w:rsid w:val="59615C3D"/>
    <w:rsid w:val="59653481"/>
    <w:rsid w:val="59660180"/>
    <w:rsid w:val="596852EF"/>
    <w:rsid w:val="596B1B1A"/>
    <w:rsid w:val="596C17A0"/>
    <w:rsid w:val="596E0048"/>
    <w:rsid w:val="597071C2"/>
    <w:rsid w:val="597605C2"/>
    <w:rsid w:val="59763F75"/>
    <w:rsid w:val="597E2795"/>
    <w:rsid w:val="597F0853"/>
    <w:rsid w:val="5985188F"/>
    <w:rsid w:val="59855C4B"/>
    <w:rsid w:val="598818F4"/>
    <w:rsid w:val="59897577"/>
    <w:rsid w:val="598F6D10"/>
    <w:rsid w:val="59911ED1"/>
    <w:rsid w:val="59942ED6"/>
    <w:rsid w:val="59981AA8"/>
    <w:rsid w:val="599D2355"/>
    <w:rsid w:val="59A0095D"/>
    <w:rsid w:val="59A7436B"/>
    <w:rsid w:val="59AA2E32"/>
    <w:rsid w:val="59AC4C7E"/>
    <w:rsid w:val="59AD307A"/>
    <w:rsid w:val="59AF7A9D"/>
    <w:rsid w:val="59B7204E"/>
    <w:rsid w:val="59C363FA"/>
    <w:rsid w:val="59C71234"/>
    <w:rsid w:val="59C87B78"/>
    <w:rsid w:val="59CB70B4"/>
    <w:rsid w:val="59D621EB"/>
    <w:rsid w:val="59D67B61"/>
    <w:rsid w:val="59DC0355"/>
    <w:rsid w:val="59E24941"/>
    <w:rsid w:val="59E53F64"/>
    <w:rsid w:val="59EB0623"/>
    <w:rsid w:val="59F4287F"/>
    <w:rsid w:val="59FC44EC"/>
    <w:rsid w:val="59FD1648"/>
    <w:rsid w:val="59FE24E8"/>
    <w:rsid w:val="59FE3A81"/>
    <w:rsid w:val="5A0233C6"/>
    <w:rsid w:val="5A0C3E8A"/>
    <w:rsid w:val="5A0F573B"/>
    <w:rsid w:val="5A132EDD"/>
    <w:rsid w:val="5A1A070F"/>
    <w:rsid w:val="5A224CD0"/>
    <w:rsid w:val="5A250E62"/>
    <w:rsid w:val="5A303F6C"/>
    <w:rsid w:val="5A3115B5"/>
    <w:rsid w:val="5A380825"/>
    <w:rsid w:val="5A3A2EAB"/>
    <w:rsid w:val="5A3C7FEC"/>
    <w:rsid w:val="5A3D5585"/>
    <w:rsid w:val="5A3F48AC"/>
    <w:rsid w:val="5A403EEE"/>
    <w:rsid w:val="5A432048"/>
    <w:rsid w:val="5A435AEE"/>
    <w:rsid w:val="5A4B0ABD"/>
    <w:rsid w:val="5A521F3B"/>
    <w:rsid w:val="5A5534F6"/>
    <w:rsid w:val="5A561C34"/>
    <w:rsid w:val="5A58655B"/>
    <w:rsid w:val="5A675D10"/>
    <w:rsid w:val="5A694987"/>
    <w:rsid w:val="5A71447E"/>
    <w:rsid w:val="5A7616BE"/>
    <w:rsid w:val="5A7852CF"/>
    <w:rsid w:val="5A7D697F"/>
    <w:rsid w:val="5A7D7645"/>
    <w:rsid w:val="5A82668D"/>
    <w:rsid w:val="5A87408F"/>
    <w:rsid w:val="5A8E07B6"/>
    <w:rsid w:val="5A9121F8"/>
    <w:rsid w:val="5A971D60"/>
    <w:rsid w:val="5A9A2FFD"/>
    <w:rsid w:val="5A9B5B17"/>
    <w:rsid w:val="5A9D0CE4"/>
    <w:rsid w:val="5AA13FFA"/>
    <w:rsid w:val="5AA46A89"/>
    <w:rsid w:val="5AA604EC"/>
    <w:rsid w:val="5AA90FEB"/>
    <w:rsid w:val="5AAE4034"/>
    <w:rsid w:val="5AB10630"/>
    <w:rsid w:val="5AB20948"/>
    <w:rsid w:val="5AB83A84"/>
    <w:rsid w:val="5ABA74BC"/>
    <w:rsid w:val="5ABD77E4"/>
    <w:rsid w:val="5ABE28DD"/>
    <w:rsid w:val="5AC24903"/>
    <w:rsid w:val="5AC664DB"/>
    <w:rsid w:val="5AC70B3B"/>
    <w:rsid w:val="5AC8371E"/>
    <w:rsid w:val="5ACA4ED2"/>
    <w:rsid w:val="5AD60963"/>
    <w:rsid w:val="5ADC1105"/>
    <w:rsid w:val="5ADC327C"/>
    <w:rsid w:val="5ADD5237"/>
    <w:rsid w:val="5ADD7725"/>
    <w:rsid w:val="5ADF3707"/>
    <w:rsid w:val="5AE42ACB"/>
    <w:rsid w:val="5AE954C4"/>
    <w:rsid w:val="5AF130A8"/>
    <w:rsid w:val="5AF5567D"/>
    <w:rsid w:val="5AF62800"/>
    <w:rsid w:val="5AF947C9"/>
    <w:rsid w:val="5AFA409D"/>
    <w:rsid w:val="5AFA61B0"/>
    <w:rsid w:val="5AFB57DD"/>
    <w:rsid w:val="5AFC5446"/>
    <w:rsid w:val="5AFF1040"/>
    <w:rsid w:val="5B0A0784"/>
    <w:rsid w:val="5B107720"/>
    <w:rsid w:val="5B16255E"/>
    <w:rsid w:val="5B184523"/>
    <w:rsid w:val="5B223D51"/>
    <w:rsid w:val="5B224E28"/>
    <w:rsid w:val="5B2353A2"/>
    <w:rsid w:val="5B392E17"/>
    <w:rsid w:val="5B3B6D60"/>
    <w:rsid w:val="5B420C8B"/>
    <w:rsid w:val="5B425C5A"/>
    <w:rsid w:val="5B435A44"/>
    <w:rsid w:val="5B4536A0"/>
    <w:rsid w:val="5B4B1957"/>
    <w:rsid w:val="5B50099D"/>
    <w:rsid w:val="5B540A98"/>
    <w:rsid w:val="5B5555DB"/>
    <w:rsid w:val="5B5B3EB5"/>
    <w:rsid w:val="5B5C4D58"/>
    <w:rsid w:val="5B647768"/>
    <w:rsid w:val="5B653C0C"/>
    <w:rsid w:val="5B664F14"/>
    <w:rsid w:val="5B665A1A"/>
    <w:rsid w:val="5B667744"/>
    <w:rsid w:val="5B6710ED"/>
    <w:rsid w:val="5B6B24BF"/>
    <w:rsid w:val="5B6B5B16"/>
    <w:rsid w:val="5B6D486F"/>
    <w:rsid w:val="5B710EF1"/>
    <w:rsid w:val="5B767FCF"/>
    <w:rsid w:val="5B77749C"/>
    <w:rsid w:val="5B786EEA"/>
    <w:rsid w:val="5B7B04AA"/>
    <w:rsid w:val="5B7D763A"/>
    <w:rsid w:val="5B9067AF"/>
    <w:rsid w:val="5B9139A7"/>
    <w:rsid w:val="5B972875"/>
    <w:rsid w:val="5BA741CE"/>
    <w:rsid w:val="5BA75219"/>
    <w:rsid w:val="5BBB195C"/>
    <w:rsid w:val="5BBE4E3B"/>
    <w:rsid w:val="5BC22E0D"/>
    <w:rsid w:val="5BC30933"/>
    <w:rsid w:val="5BC368A1"/>
    <w:rsid w:val="5BC42B40"/>
    <w:rsid w:val="5BC56459"/>
    <w:rsid w:val="5BCA77BA"/>
    <w:rsid w:val="5BCB507E"/>
    <w:rsid w:val="5BD108C9"/>
    <w:rsid w:val="5BD12CF0"/>
    <w:rsid w:val="5BD14952"/>
    <w:rsid w:val="5BDC2C7B"/>
    <w:rsid w:val="5BE566EA"/>
    <w:rsid w:val="5BE82FB8"/>
    <w:rsid w:val="5BED389E"/>
    <w:rsid w:val="5BED5506"/>
    <w:rsid w:val="5BEF0BAE"/>
    <w:rsid w:val="5BF16317"/>
    <w:rsid w:val="5BF24683"/>
    <w:rsid w:val="5BFE7BBD"/>
    <w:rsid w:val="5C001B87"/>
    <w:rsid w:val="5C0514C9"/>
    <w:rsid w:val="5C0C4E98"/>
    <w:rsid w:val="5C0E3BE9"/>
    <w:rsid w:val="5C17501A"/>
    <w:rsid w:val="5C186ED1"/>
    <w:rsid w:val="5C1D0043"/>
    <w:rsid w:val="5C2665C3"/>
    <w:rsid w:val="5C2A52A3"/>
    <w:rsid w:val="5C2E5C34"/>
    <w:rsid w:val="5C307FA7"/>
    <w:rsid w:val="5C360F22"/>
    <w:rsid w:val="5C370523"/>
    <w:rsid w:val="5C375DFF"/>
    <w:rsid w:val="5C38171A"/>
    <w:rsid w:val="5C3A3772"/>
    <w:rsid w:val="5C423F4D"/>
    <w:rsid w:val="5C4815C8"/>
    <w:rsid w:val="5C4956B6"/>
    <w:rsid w:val="5C4B5585"/>
    <w:rsid w:val="5C4F21C6"/>
    <w:rsid w:val="5C503C2D"/>
    <w:rsid w:val="5C576000"/>
    <w:rsid w:val="5C583771"/>
    <w:rsid w:val="5C5C0354"/>
    <w:rsid w:val="5C5C4349"/>
    <w:rsid w:val="5C6B76E3"/>
    <w:rsid w:val="5C6E0280"/>
    <w:rsid w:val="5C6E6833"/>
    <w:rsid w:val="5C6F78DD"/>
    <w:rsid w:val="5C7E0E7D"/>
    <w:rsid w:val="5C8243AA"/>
    <w:rsid w:val="5C871FCA"/>
    <w:rsid w:val="5C8D656E"/>
    <w:rsid w:val="5C8E0FC7"/>
    <w:rsid w:val="5C9102FE"/>
    <w:rsid w:val="5C936926"/>
    <w:rsid w:val="5C950DEB"/>
    <w:rsid w:val="5C9522CF"/>
    <w:rsid w:val="5C9943AB"/>
    <w:rsid w:val="5C9B0440"/>
    <w:rsid w:val="5C9D269E"/>
    <w:rsid w:val="5CA11DE6"/>
    <w:rsid w:val="5CA84233"/>
    <w:rsid w:val="5CAA230E"/>
    <w:rsid w:val="5CB32C58"/>
    <w:rsid w:val="5CBA0A1C"/>
    <w:rsid w:val="5CC22998"/>
    <w:rsid w:val="5CC37599"/>
    <w:rsid w:val="5CC443A1"/>
    <w:rsid w:val="5CC57C0C"/>
    <w:rsid w:val="5CC60D51"/>
    <w:rsid w:val="5CCC3DDF"/>
    <w:rsid w:val="5CD03307"/>
    <w:rsid w:val="5CD6569E"/>
    <w:rsid w:val="5CE2128D"/>
    <w:rsid w:val="5CE2303B"/>
    <w:rsid w:val="5CEA6417"/>
    <w:rsid w:val="5CEF568A"/>
    <w:rsid w:val="5CF17E43"/>
    <w:rsid w:val="5CF51BBF"/>
    <w:rsid w:val="5CFB3ACD"/>
    <w:rsid w:val="5CFC234E"/>
    <w:rsid w:val="5CFE4E7C"/>
    <w:rsid w:val="5D0074CC"/>
    <w:rsid w:val="5D083982"/>
    <w:rsid w:val="5D0D55A7"/>
    <w:rsid w:val="5D0E2082"/>
    <w:rsid w:val="5D0F40FA"/>
    <w:rsid w:val="5D1635A5"/>
    <w:rsid w:val="5D1840E6"/>
    <w:rsid w:val="5D1A1F43"/>
    <w:rsid w:val="5D1A2C47"/>
    <w:rsid w:val="5D1C248F"/>
    <w:rsid w:val="5D236A04"/>
    <w:rsid w:val="5D24469B"/>
    <w:rsid w:val="5D274256"/>
    <w:rsid w:val="5D27792F"/>
    <w:rsid w:val="5D281A0B"/>
    <w:rsid w:val="5D2B059B"/>
    <w:rsid w:val="5D3104ED"/>
    <w:rsid w:val="5D326278"/>
    <w:rsid w:val="5D3263B7"/>
    <w:rsid w:val="5D326A77"/>
    <w:rsid w:val="5D384191"/>
    <w:rsid w:val="5D3A4C25"/>
    <w:rsid w:val="5D3D4648"/>
    <w:rsid w:val="5D434CBB"/>
    <w:rsid w:val="5D4930BA"/>
    <w:rsid w:val="5D4D7E34"/>
    <w:rsid w:val="5D580F91"/>
    <w:rsid w:val="5D706898"/>
    <w:rsid w:val="5D70790B"/>
    <w:rsid w:val="5D777C27"/>
    <w:rsid w:val="5D787748"/>
    <w:rsid w:val="5D7C7FB8"/>
    <w:rsid w:val="5D7F696A"/>
    <w:rsid w:val="5D8C1901"/>
    <w:rsid w:val="5D8C4C11"/>
    <w:rsid w:val="5D8F31C2"/>
    <w:rsid w:val="5D8F3F71"/>
    <w:rsid w:val="5D95186C"/>
    <w:rsid w:val="5D9562FF"/>
    <w:rsid w:val="5D997B9D"/>
    <w:rsid w:val="5D9C1F03"/>
    <w:rsid w:val="5D9E6023"/>
    <w:rsid w:val="5DA12EF6"/>
    <w:rsid w:val="5DA9175A"/>
    <w:rsid w:val="5DC04054"/>
    <w:rsid w:val="5DC10EA2"/>
    <w:rsid w:val="5DCB1A86"/>
    <w:rsid w:val="5DCC44F6"/>
    <w:rsid w:val="5DCC4CB5"/>
    <w:rsid w:val="5DCF5727"/>
    <w:rsid w:val="5DD24957"/>
    <w:rsid w:val="5DD552F0"/>
    <w:rsid w:val="5DD6652A"/>
    <w:rsid w:val="5DD81511"/>
    <w:rsid w:val="5DDD143D"/>
    <w:rsid w:val="5DE15DF9"/>
    <w:rsid w:val="5DE66B5A"/>
    <w:rsid w:val="5DEA26DD"/>
    <w:rsid w:val="5DEB0D63"/>
    <w:rsid w:val="5DEB7E6A"/>
    <w:rsid w:val="5DEE18E1"/>
    <w:rsid w:val="5DF403E8"/>
    <w:rsid w:val="5DF53894"/>
    <w:rsid w:val="5DF63241"/>
    <w:rsid w:val="5DF71A9C"/>
    <w:rsid w:val="5DF748C4"/>
    <w:rsid w:val="5DF965EC"/>
    <w:rsid w:val="5E067DBD"/>
    <w:rsid w:val="5E095B00"/>
    <w:rsid w:val="5E0D4382"/>
    <w:rsid w:val="5E11158B"/>
    <w:rsid w:val="5E1216FE"/>
    <w:rsid w:val="5E144B9B"/>
    <w:rsid w:val="5E1831B8"/>
    <w:rsid w:val="5E186263"/>
    <w:rsid w:val="5E1E4546"/>
    <w:rsid w:val="5E2217B1"/>
    <w:rsid w:val="5E2751A9"/>
    <w:rsid w:val="5E2C616D"/>
    <w:rsid w:val="5E370396"/>
    <w:rsid w:val="5E46735B"/>
    <w:rsid w:val="5E472D5D"/>
    <w:rsid w:val="5E4F58EE"/>
    <w:rsid w:val="5E533322"/>
    <w:rsid w:val="5E566341"/>
    <w:rsid w:val="5E5738C5"/>
    <w:rsid w:val="5E5E2B95"/>
    <w:rsid w:val="5E655CD1"/>
    <w:rsid w:val="5E68574B"/>
    <w:rsid w:val="5E6A0E32"/>
    <w:rsid w:val="5E6D6373"/>
    <w:rsid w:val="5E7303EA"/>
    <w:rsid w:val="5E731BAD"/>
    <w:rsid w:val="5E732C3A"/>
    <w:rsid w:val="5E7647FA"/>
    <w:rsid w:val="5E794AA5"/>
    <w:rsid w:val="5E802B0B"/>
    <w:rsid w:val="5E806E2A"/>
    <w:rsid w:val="5E883D20"/>
    <w:rsid w:val="5E8C43A0"/>
    <w:rsid w:val="5E9A0F3A"/>
    <w:rsid w:val="5E9C6C74"/>
    <w:rsid w:val="5E9F653A"/>
    <w:rsid w:val="5EA357D1"/>
    <w:rsid w:val="5EA52572"/>
    <w:rsid w:val="5EAF5F88"/>
    <w:rsid w:val="5EB12AF7"/>
    <w:rsid w:val="5EB17168"/>
    <w:rsid w:val="5EB56C59"/>
    <w:rsid w:val="5EB76B93"/>
    <w:rsid w:val="5EBA0D29"/>
    <w:rsid w:val="5EC43DC5"/>
    <w:rsid w:val="5EC56770"/>
    <w:rsid w:val="5ED6097D"/>
    <w:rsid w:val="5EDA66BF"/>
    <w:rsid w:val="5EDB5F93"/>
    <w:rsid w:val="5EDC55A0"/>
    <w:rsid w:val="5EDD4392"/>
    <w:rsid w:val="5EE60FD6"/>
    <w:rsid w:val="5EE86DCA"/>
    <w:rsid w:val="5EEB267A"/>
    <w:rsid w:val="5EEC58F6"/>
    <w:rsid w:val="5EEF79CC"/>
    <w:rsid w:val="5EF1333F"/>
    <w:rsid w:val="5EF44DD8"/>
    <w:rsid w:val="5EF84D97"/>
    <w:rsid w:val="5F01491B"/>
    <w:rsid w:val="5F025FF6"/>
    <w:rsid w:val="5F0502CD"/>
    <w:rsid w:val="5F0535BA"/>
    <w:rsid w:val="5F0E41D5"/>
    <w:rsid w:val="5F0E510A"/>
    <w:rsid w:val="5F10214C"/>
    <w:rsid w:val="5F1119B5"/>
    <w:rsid w:val="5F16520A"/>
    <w:rsid w:val="5F1A3E4E"/>
    <w:rsid w:val="5F210810"/>
    <w:rsid w:val="5F2810A8"/>
    <w:rsid w:val="5F32191D"/>
    <w:rsid w:val="5F36141C"/>
    <w:rsid w:val="5F3758C0"/>
    <w:rsid w:val="5F397A50"/>
    <w:rsid w:val="5F3C7885"/>
    <w:rsid w:val="5F427786"/>
    <w:rsid w:val="5F432492"/>
    <w:rsid w:val="5F465CEB"/>
    <w:rsid w:val="5F4A09B0"/>
    <w:rsid w:val="5F4C32B8"/>
    <w:rsid w:val="5F4D50E3"/>
    <w:rsid w:val="5F4F7A47"/>
    <w:rsid w:val="5F5244A8"/>
    <w:rsid w:val="5F5461F4"/>
    <w:rsid w:val="5F565A1A"/>
    <w:rsid w:val="5F572641"/>
    <w:rsid w:val="5F593A88"/>
    <w:rsid w:val="5F631FB7"/>
    <w:rsid w:val="5F6B1B7D"/>
    <w:rsid w:val="5F6F6BEE"/>
    <w:rsid w:val="5F7626A1"/>
    <w:rsid w:val="5F762921"/>
    <w:rsid w:val="5F77235E"/>
    <w:rsid w:val="5F7C76B2"/>
    <w:rsid w:val="5F7C7776"/>
    <w:rsid w:val="5F84662B"/>
    <w:rsid w:val="5F856644"/>
    <w:rsid w:val="5F890FEB"/>
    <w:rsid w:val="5F8B1F02"/>
    <w:rsid w:val="5F8D3732"/>
    <w:rsid w:val="5F91081F"/>
    <w:rsid w:val="5F926F9A"/>
    <w:rsid w:val="5F9859B8"/>
    <w:rsid w:val="5F9A5E4E"/>
    <w:rsid w:val="5FA647F3"/>
    <w:rsid w:val="5FAB005C"/>
    <w:rsid w:val="5FAB368F"/>
    <w:rsid w:val="5FAC19DC"/>
    <w:rsid w:val="5FAC3CD6"/>
    <w:rsid w:val="5FB24F46"/>
    <w:rsid w:val="5FB36D46"/>
    <w:rsid w:val="5FB567E4"/>
    <w:rsid w:val="5FB63C44"/>
    <w:rsid w:val="5FB66778"/>
    <w:rsid w:val="5FBA27D3"/>
    <w:rsid w:val="5FBA4424"/>
    <w:rsid w:val="5FBC4017"/>
    <w:rsid w:val="5FBC651D"/>
    <w:rsid w:val="5FC829BC"/>
    <w:rsid w:val="5FCA1CCC"/>
    <w:rsid w:val="5FD0126C"/>
    <w:rsid w:val="5FD22401"/>
    <w:rsid w:val="5FD650D9"/>
    <w:rsid w:val="5FDA38B6"/>
    <w:rsid w:val="5FDE159D"/>
    <w:rsid w:val="5FE46ED1"/>
    <w:rsid w:val="5FE87C52"/>
    <w:rsid w:val="5FEA46E0"/>
    <w:rsid w:val="5FF3286F"/>
    <w:rsid w:val="5FF70171"/>
    <w:rsid w:val="5FFD4275"/>
    <w:rsid w:val="5FFE018B"/>
    <w:rsid w:val="60010F1F"/>
    <w:rsid w:val="60021FBE"/>
    <w:rsid w:val="60067040"/>
    <w:rsid w:val="600943BC"/>
    <w:rsid w:val="600A5B6C"/>
    <w:rsid w:val="600D79D0"/>
    <w:rsid w:val="600F7FED"/>
    <w:rsid w:val="60116111"/>
    <w:rsid w:val="601727E5"/>
    <w:rsid w:val="601B701E"/>
    <w:rsid w:val="601C1551"/>
    <w:rsid w:val="601D7FDB"/>
    <w:rsid w:val="60220118"/>
    <w:rsid w:val="6023149D"/>
    <w:rsid w:val="602C656E"/>
    <w:rsid w:val="6031466E"/>
    <w:rsid w:val="60336E75"/>
    <w:rsid w:val="60370DFE"/>
    <w:rsid w:val="60373DDA"/>
    <w:rsid w:val="60402552"/>
    <w:rsid w:val="60402DB4"/>
    <w:rsid w:val="60425E37"/>
    <w:rsid w:val="604C7149"/>
    <w:rsid w:val="60513B8F"/>
    <w:rsid w:val="6055495D"/>
    <w:rsid w:val="605613F8"/>
    <w:rsid w:val="60581CA6"/>
    <w:rsid w:val="60597AB8"/>
    <w:rsid w:val="605D1356"/>
    <w:rsid w:val="605E6E70"/>
    <w:rsid w:val="6065020A"/>
    <w:rsid w:val="606A7472"/>
    <w:rsid w:val="606D70BF"/>
    <w:rsid w:val="60726F4F"/>
    <w:rsid w:val="607457F0"/>
    <w:rsid w:val="607704CC"/>
    <w:rsid w:val="60774A51"/>
    <w:rsid w:val="607835DB"/>
    <w:rsid w:val="607E12CC"/>
    <w:rsid w:val="607E3D19"/>
    <w:rsid w:val="60822CEC"/>
    <w:rsid w:val="609643B1"/>
    <w:rsid w:val="609715CB"/>
    <w:rsid w:val="60A065CD"/>
    <w:rsid w:val="60A30D33"/>
    <w:rsid w:val="60A6190E"/>
    <w:rsid w:val="60A84207"/>
    <w:rsid w:val="60A91613"/>
    <w:rsid w:val="60A956F8"/>
    <w:rsid w:val="60AA3E6F"/>
    <w:rsid w:val="60B45563"/>
    <w:rsid w:val="60B50E39"/>
    <w:rsid w:val="60B55240"/>
    <w:rsid w:val="60B91377"/>
    <w:rsid w:val="60BE3265"/>
    <w:rsid w:val="60C413D5"/>
    <w:rsid w:val="60C42D29"/>
    <w:rsid w:val="60CC028A"/>
    <w:rsid w:val="60DD4245"/>
    <w:rsid w:val="60E025D8"/>
    <w:rsid w:val="60E34742"/>
    <w:rsid w:val="60E603E9"/>
    <w:rsid w:val="60E70C20"/>
    <w:rsid w:val="60EA191E"/>
    <w:rsid w:val="60F31033"/>
    <w:rsid w:val="60F3484A"/>
    <w:rsid w:val="60F34F38"/>
    <w:rsid w:val="60FD453D"/>
    <w:rsid w:val="61002251"/>
    <w:rsid w:val="6107553B"/>
    <w:rsid w:val="610D6E94"/>
    <w:rsid w:val="610F7589"/>
    <w:rsid w:val="61220CDD"/>
    <w:rsid w:val="61221330"/>
    <w:rsid w:val="61297782"/>
    <w:rsid w:val="612E13B0"/>
    <w:rsid w:val="613227E2"/>
    <w:rsid w:val="6134065E"/>
    <w:rsid w:val="613720F4"/>
    <w:rsid w:val="61390C59"/>
    <w:rsid w:val="61477910"/>
    <w:rsid w:val="61547CA3"/>
    <w:rsid w:val="6156434F"/>
    <w:rsid w:val="615C0C4D"/>
    <w:rsid w:val="616D381B"/>
    <w:rsid w:val="6174164D"/>
    <w:rsid w:val="61761FA3"/>
    <w:rsid w:val="617D634E"/>
    <w:rsid w:val="6189520D"/>
    <w:rsid w:val="618B5A4F"/>
    <w:rsid w:val="618F2448"/>
    <w:rsid w:val="61980E18"/>
    <w:rsid w:val="619B2A2B"/>
    <w:rsid w:val="619F4D24"/>
    <w:rsid w:val="619F774C"/>
    <w:rsid w:val="61A075DC"/>
    <w:rsid w:val="61A12CEC"/>
    <w:rsid w:val="61A32D54"/>
    <w:rsid w:val="61A5680C"/>
    <w:rsid w:val="61AB5FF1"/>
    <w:rsid w:val="61AD2B7C"/>
    <w:rsid w:val="61AD477D"/>
    <w:rsid w:val="61B41449"/>
    <w:rsid w:val="61B7350A"/>
    <w:rsid w:val="61B8375B"/>
    <w:rsid w:val="61B94BDE"/>
    <w:rsid w:val="61BC1B70"/>
    <w:rsid w:val="61BF1B9C"/>
    <w:rsid w:val="61BF58FC"/>
    <w:rsid w:val="61C15B13"/>
    <w:rsid w:val="61C3387A"/>
    <w:rsid w:val="61C45199"/>
    <w:rsid w:val="61C504B4"/>
    <w:rsid w:val="61CB0541"/>
    <w:rsid w:val="61CC1823"/>
    <w:rsid w:val="61CC30FF"/>
    <w:rsid w:val="61CC3A42"/>
    <w:rsid w:val="61CD775E"/>
    <w:rsid w:val="61D141D4"/>
    <w:rsid w:val="61D8614E"/>
    <w:rsid w:val="61D92C5E"/>
    <w:rsid w:val="61D94A0C"/>
    <w:rsid w:val="61DB6FC0"/>
    <w:rsid w:val="61DC29F9"/>
    <w:rsid w:val="61DD2862"/>
    <w:rsid w:val="61E53C27"/>
    <w:rsid w:val="61EE278A"/>
    <w:rsid w:val="62021F33"/>
    <w:rsid w:val="620701A3"/>
    <w:rsid w:val="620C778C"/>
    <w:rsid w:val="62101D56"/>
    <w:rsid w:val="621060B8"/>
    <w:rsid w:val="6214107C"/>
    <w:rsid w:val="62193D9A"/>
    <w:rsid w:val="622461DA"/>
    <w:rsid w:val="622C3BBB"/>
    <w:rsid w:val="622D341C"/>
    <w:rsid w:val="62314499"/>
    <w:rsid w:val="623228BC"/>
    <w:rsid w:val="623261A6"/>
    <w:rsid w:val="62352D81"/>
    <w:rsid w:val="62426A55"/>
    <w:rsid w:val="62443583"/>
    <w:rsid w:val="624563CC"/>
    <w:rsid w:val="62480CC5"/>
    <w:rsid w:val="6250366A"/>
    <w:rsid w:val="62520DF8"/>
    <w:rsid w:val="62522A10"/>
    <w:rsid w:val="62693EDF"/>
    <w:rsid w:val="626B034A"/>
    <w:rsid w:val="6272555B"/>
    <w:rsid w:val="62754478"/>
    <w:rsid w:val="62757EFB"/>
    <w:rsid w:val="62795E37"/>
    <w:rsid w:val="62822929"/>
    <w:rsid w:val="62830E1C"/>
    <w:rsid w:val="62861316"/>
    <w:rsid w:val="628664ED"/>
    <w:rsid w:val="62886C8B"/>
    <w:rsid w:val="628A2C2A"/>
    <w:rsid w:val="628C056A"/>
    <w:rsid w:val="62935DE2"/>
    <w:rsid w:val="62961060"/>
    <w:rsid w:val="62A41756"/>
    <w:rsid w:val="62A840CE"/>
    <w:rsid w:val="62AC1699"/>
    <w:rsid w:val="62AC7F5C"/>
    <w:rsid w:val="62B521B4"/>
    <w:rsid w:val="62B965EC"/>
    <w:rsid w:val="62BC1FA7"/>
    <w:rsid w:val="62C30E7C"/>
    <w:rsid w:val="62C76F5B"/>
    <w:rsid w:val="62C92CD6"/>
    <w:rsid w:val="62C96149"/>
    <w:rsid w:val="62CB2350"/>
    <w:rsid w:val="62D11B87"/>
    <w:rsid w:val="62D578C9"/>
    <w:rsid w:val="62D82F16"/>
    <w:rsid w:val="62D87E57"/>
    <w:rsid w:val="62DB6C0F"/>
    <w:rsid w:val="62E0001C"/>
    <w:rsid w:val="62E0459B"/>
    <w:rsid w:val="62E05B7E"/>
    <w:rsid w:val="62E25E39"/>
    <w:rsid w:val="62E34684"/>
    <w:rsid w:val="62E65C14"/>
    <w:rsid w:val="62E917E0"/>
    <w:rsid w:val="62EB37A3"/>
    <w:rsid w:val="62EF025F"/>
    <w:rsid w:val="62F6100A"/>
    <w:rsid w:val="62F83658"/>
    <w:rsid w:val="62F934F2"/>
    <w:rsid w:val="62FD2B96"/>
    <w:rsid w:val="62FD461F"/>
    <w:rsid w:val="62FF66F4"/>
    <w:rsid w:val="63017BA7"/>
    <w:rsid w:val="631674DB"/>
    <w:rsid w:val="631B2E02"/>
    <w:rsid w:val="631C3A98"/>
    <w:rsid w:val="63236506"/>
    <w:rsid w:val="63251ED3"/>
    <w:rsid w:val="632D70E9"/>
    <w:rsid w:val="6334132A"/>
    <w:rsid w:val="633538DB"/>
    <w:rsid w:val="633803B4"/>
    <w:rsid w:val="633B34A5"/>
    <w:rsid w:val="633C5D2B"/>
    <w:rsid w:val="633E1A54"/>
    <w:rsid w:val="63495B1C"/>
    <w:rsid w:val="634E09A7"/>
    <w:rsid w:val="6358177A"/>
    <w:rsid w:val="63593B79"/>
    <w:rsid w:val="63604D35"/>
    <w:rsid w:val="637007DC"/>
    <w:rsid w:val="63711C3A"/>
    <w:rsid w:val="63713749"/>
    <w:rsid w:val="637A221F"/>
    <w:rsid w:val="637C5757"/>
    <w:rsid w:val="63800E2F"/>
    <w:rsid w:val="638257FD"/>
    <w:rsid w:val="6384309D"/>
    <w:rsid w:val="63895A2B"/>
    <w:rsid w:val="638B442C"/>
    <w:rsid w:val="6390466E"/>
    <w:rsid w:val="63972668"/>
    <w:rsid w:val="639808F7"/>
    <w:rsid w:val="63984453"/>
    <w:rsid w:val="639F1C85"/>
    <w:rsid w:val="63A25ED1"/>
    <w:rsid w:val="63A64DC2"/>
    <w:rsid w:val="63A86D4E"/>
    <w:rsid w:val="63AC3163"/>
    <w:rsid w:val="63AC7EA2"/>
    <w:rsid w:val="63AF3F2B"/>
    <w:rsid w:val="63B4381B"/>
    <w:rsid w:val="63BB393A"/>
    <w:rsid w:val="63BF40D6"/>
    <w:rsid w:val="63C31809"/>
    <w:rsid w:val="63C35974"/>
    <w:rsid w:val="63D57455"/>
    <w:rsid w:val="63DA1923"/>
    <w:rsid w:val="63DE703D"/>
    <w:rsid w:val="63E072F9"/>
    <w:rsid w:val="63E34A8E"/>
    <w:rsid w:val="63ED7082"/>
    <w:rsid w:val="63F54D6A"/>
    <w:rsid w:val="63F630C5"/>
    <w:rsid w:val="64030466"/>
    <w:rsid w:val="64033C1A"/>
    <w:rsid w:val="64053F66"/>
    <w:rsid w:val="64065573"/>
    <w:rsid w:val="64095F94"/>
    <w:rsid w:val="640F5F40"/>
    <w:rsid w:val="640F717C"/>
    <w:rsid w:val="64142ADB"/>
    <w:rsid w:val="6421687E"/>
    <w:rsid w:val="64220C2D"/>
    <w:rsid w:val="64250B99"/>
    <w:rsid w:val="64263409"/>
    <w:rsid w:val="64270646"/>
    <w:rsid w:val="642B176B"/>
    <w:rsid w:val="64322AF9"/>
    <w:rsid w:val="643437D4"/>
    <w:rsid w:val="643672A0"/>
    <w:rsid w:val="643A0BB8"/>
    <w:rsid w:val="643A5418"/>
    <w:rsid w:val="64416A63"/>
    <w:rsid w:val="64442D19"/>
    <w:rsid w:val="644C39BC"/>
    <w:rsid w:val="644E25AE"/>
    <w:rsid w:val="645029E2"/>
    <w:rsid w:val="645134B9"/>
    <w:rsid w:val="64526CF8"/>
    <w:rsid w:val="645D041A"/>
    <w:rsid w:val="645F6049"/>
    <w:rsid w:val="646031C3"/>
    <w:rsid w:val="646507D9"/>
    <w:rsid w:val="6470717E"/>
    <w:rsid w:val="647079D0"/>
    <w:rsid w:val="64746C6E"/>
    <w:rsid w:val="6477283B"/>
    <w:rsid w:val="64785766"/>
    <w:rsid w:val="648301CC"/>
    <w:rsid w:val="64893B3D"/>
    <w:rsid w:val="648A42FE"/>
    <w:rsid w:val="648E2F62"/>
    <w:rsid w:val="648F3AA8"/>
    <w:rsid w:val="64915A72"/>
    <w:rsid w:val="64A01811"/>
    <w:rsid w:val="64A73B67"/>
    <w:rsid w:val="64A73FEF"/>
    <w:rsid w:val="64B74D32"/>
    <w:rsid w:val="64B92044"/>
    <w:rsid w:val="64BA395B"/>
    <w:rsid w:val="64C46AE1"/>
    <w:rsid w:val="64C61015"/>
    <w:rsid w:val="64CA0F84"/>
    <w:rsid w:val="64CC4DA2"/>
    <w:rsid w:val="64D00F7E"/>
    <w:rsid w:val="64D3404F"/>
    <w:rsid w:val="64D5660B"/>
    <w:rsid w:val="64DB4F3F"/>
    <w:rsid w:val="64DB7F01"/>
    <w:rsid w:val="64E20344"/>
    <w:rsid w:val="64E21E61"/>
    <w:rsid w:val="64E536C8"/>
    <w:rsid w:val="64EE5097"/>
    <w:rsid w:val="64EF28F7"/>
    <w:rsid w:val="64F0724F"/>
    <w:rsid w:val="64F34BE1"/>
    <w:rsid w:val="64F544D1"/>
    <w:rsid w:val="64FA606F"/>
    <w:rsid w:val="64FC4428"/>
    <w:rsid w:val="64FD3107"/>
    <w:rsid w:val="65054849"/>
    <w:rsid w:val="65073BFF"/>
    <w:rsid w:val="650B7121"/>
    <w:rsid w:val="650C1B24"/>
    <w:rsid w:val="65114C67"/>
    <w:rsid w:val="65146DFB"/>
    <w:rsid w:val="651A2D50"/>
    <w:rsid w:val="651D0FA7"/>
    <w:rsid w:val="651F1EB3"/>
    <w:rsid w:val="652B0286"/>
    <w:rsid w:val="652C2F14"/>
    <w:rsid w:val="65371B53"/>
    <w:rsid w:val="653A7EC6"/>
    <w:rsid w:val="653B0D55"/>
    <w:rsid w:val="653E6E25"/>
    <w:rsid w:val="653F727C"/>
    <w:rsid w:val="65467594"/>
    <w:rsid w:val="65472D33"/>
    <w:rsid w:val="65501489"/>
    <w:rsid w:val="6551719D"/>
    <w:rsid w:val="655419C7"/>
    <w:rsid w:val="655903BF"/>
    <w:rsid w:val="655B398A"/>
    <w:rsid w:val="65603638"/>
    <w:rsid w:val="65622278"/>
    <w:rsid w:val="6567768C"/>
    <w:rsid w:val="656F338A"/>
    <w:rsid w:val="65734BF9"/>
    <w:rsid w:val="65735178"/>
    <w:rsid w:val="65737DEA"/>
    <w:rsid w:val="65750322"/>
    <w:rsid w:val="657B402C"/>
    <w:rsid w:val="6586496D"/>
    <w:rsid w:val="658B316E"/>
    <w:rsid w:val="658C2585"/>
    <w:rsid w:val="659024D0"/>
    <w:rsid w:val="65953340"/>
    <w:rsid w:val="6595496B"/>
    <w:rsid w:val="659D0447"/>
    <w:rsid w:val="659D5E7C"/>
    <w:rsid w:val="65A25CCD"/>
    <w:rsid w:val="65A90B99"/>
    <w:rsid w:val="65AA087B"/>
    <w:rsid w:val="65AF6B4D"/>
    <w:rsid w:val="65B32846"/>
    <w:rsid w:val="65BE5DB1"/>
    <w:rsid w:val="65C71262"/>
    <w:rsid w:val="65C728BD"/>
    <w:rsid w:val="65CB4159"/>
    <w:rsid w:val="65CD0401"/>
    <w:rsid w:val="65CD5BB9"/>
    <w:rsid w:val="65CE6593"/>
    <w:rsid w:val="65D21EF7"/>
    <w:rsid w:val="65D75E42"/>
    <w:rsid w:val="65DA0F58"/>
    <w:rsid w:val="65E15943"/>
    <w:rsid w:val="65E8241A"/>
    <w:rsid w:val="65E832AA"/>
    <w:rsid w:val="65EB08A8"/>
    <w:rsid w:val="65EE1A0F"/>
    <w:rsid w:val="65EE7648"/>
    <w:rsid w:val="65F109D5"/>
    <w:rsid w:val="65F75DA9"/>
    <w:rsid w:val="65F76C44"/>
    <w:rsid w:val="6600699E"/>
    <w:rsid w:val="660073B9"/>
    <w:rsid w:val="660109D5"/>
    <w:rsid w:val="660D737A"/>
    <w:rsid w:val="660E0D5B"/>
    <w:rsid w:val="66130320"/>
    <w:rsid w:val="66176920"/>
    <w:rsid w:val="661B7329"/>
    <w:rsid w:val="6626099C"/>
    <w:rsid w:val="66285F62"/>
    <w:rsid w:val="66294558"/>
    <w:rsid w:val="662B2E29"/>
    <w:rsid w:val="662D1802"/>
    <w:rsid w:val="66392706"/>
    <w:rsid w:val="663D12E2"/>
    <w:rsid w:val="664C3716"/>
    <w:rsid w:val="665058A1"/>
    <w:rsid w:val="6652574E"/>
    <w:rsid w:val="66535AD9"/>
    <w:rsid w:val="66544297"/>
    <w:rsid w:val="66544F24"/>
    <w:rsid w:val="66544FA9"/>
    <w:rsid w:val="665E52A6"/>
    <w:rsid w:val="66613222"/>
    <w:rsid w:val="66636B8D"/>
    <w:rsid w:val="66645401"/>
    <w:rsid w:val="6669488C"/>
    <w:rsid w:val="66695061"/>
    <w:rsid w:val="666A657B"/>
    <w:rsid w:val="6672542F"/>
    <w:rsid w:val="66761544"/>
    <w:rsid w:val="667D039E"/>
    <w:rsid w:val="66851442"/>
    <w:rsid w:val="668524BA"/>
    <w:rsid w:val="668C22F3"/>
    <w:rsid w:val="668C71C2"/>
    <w:rsid w:val="669651EE"/>
    <w:rsid w:val="669C05E4"/>
    <w:rsid w:val="66A15801"/>
    <w:rsid w:val="66A3383B"/>
    <w:rsid w:val="66A90268"/>
    <w:rsid w:val="66AC3330"/>
    <w:rsid w:val="66B07D06"/>
    <w:rsid w:val="66BC6ADA"/>
    <w:rsid w:val="66BE148C"/>
    <w:rsid w:val="66BE68C6"/>
    <w:rsid w:val="66C44411"/>
    <w:rsid w:val="66C72DB0"/>
    <w:rsid w:val="66CB2C84"/>
    <w:rsid w:val="66CD2719"/>
    <w:rsid w:val="66CF15D1"/>
    <w:rsid w:val="66D24120"/>
    <w:rsid w:val="66D50545"/>
    <w:rsid w:val="66D54D82"/>
    <w:rsid w:val="66D87988"/>
    <w:rsid w:val="66D93C86"/>
    <w:rsid w:val="66DC425A"/>
    <w:rsid w:val="66DD0DF4"/>
    <w:rsid w:val="66DF3E2E"/>
    <w:rsid w:val="66E13B75"/>
    <w:rsid w:val="66E15DEB"/>
    <w:rsid w:val="66E27D1F"/>
    <w:rsid w:val="66EC0C9C"/>
    <w:rsid w:val="66EC1597"/>
    <w:rsid w:val="66F314D7"/>
    <w:rsid w:val="66FC3BD8"/>
    <w:rsid w:val="66FE1320"/>
    <w:rsid w:val="67005776"/>
    <w:rsid w:val="67031EB7"/>
    <w:rsid w:val="670976DC"/>
    <w:rsid w:val="67104AE4"/>
    <w:rsid w:val="671105FF"/>
    <w:rsid w:val="671C0B14"/>
    <w:rsid w:val="671D008E"/>
    <w:rsid w:val="671D01A6"/>
    <w:rsid w:val="672030DD"/>
    <w:rsid w:val="67206A25"/>
    <w:rsid w:val="67206C39"/>
    <w:rsid w:val="672F5103"/>
    <w:rsid w:val="673A2455"/>
    <w:rsid w:val="673F62CC"/>
    <w:rsid w:val="674A24F0"/>
    <w:rsid w:val="6755500E"/>
    <w:rsid w:val="67557F3C"/>
    <w:rsid w:val="67652642"/>
    <w:rsid w:val="67653813"/>
    <w:rsid w:val="676615B3"/>
    <w:rsid w:val="676905E0"/>
    <w:rsid w:val="676A269A"/>
    <w:rsid w:val="676B1064"/>
    <w:rsid w:val="676E469E"/>
    <w:rsid w:val="67705E13"/>
    <w:rsid w:val="67746A37"/>
    <w:rsid w:val="677D22DE"/>
    <w:rsid w:val="678C2C47"/>
    <w:rsid w:val="678E2A5A"/>
    <w:rsid w:val="678F3DBF"/>
    <w:rsid w:val="6798332B"/>
    <w:rsid w:val="67984A09"/>
    <w:rsid w:val="679B17C1"/>
    <w:rsid w:val="67A1421E"/>
    <w:rsid w:val="67A30AA4"/>
    <w:rsid w:val="67A63323"/>
    <w:rsid w:val="67A67A91"/>
    <w:rsid w:val="67AF1773"/>
    <w:rsid w:val="67AF248B"/>
    <w:rsid w:val="67B64C29"/>
    <w:rsid w:val="67B9194A"/>
    <w:rsid w:val="67BD6CDF"/>
    <w:rsid w:val="67CB5CBA"/>
    <w:rsid w:val="67CC1229"/>
    <w:rsid w:val="67DA3E32"/>
    <w:rsid w:val="67DD4CAD"/>
    <w:rsid w:val="67E24CE2"/>
    <w:rsid w:val="67EE6F14"/>
    <w:rsid w:val="67EE7B86"/>
    <w:rsid w:val="67F278AA"/>
    <w:rsid w:val="67F51CD9"/>
    <w:rsid w:val="67FD4CB0"/>
    <w:rsid w:val="67FD7272"/>
    <w:rsid w:val="67FF3C7A"/>
    <w:rsid w:val="67FF792E"/>
    <w:rsid w:val="680247C0"/>
    <w:rsid w:val="68046986"/>
    <w:rsid w:val="680A272C"/>
    <w:rsid w:val="6814507E"/>
    <w:rsid w:val="681A3C69"/>
    <w:rsid w:val="681B343C"/>
    <w:rsid w:val="681C38A5"/>
    <w:rsid w:val="682069DB"/>
    <w:rsid w:val="68210EBB"/>
    <w:rsid w:val="682468ED"/>
    <w:rsid w:val="68250061"/>
    <w:rsid w:val="682518D1"/>
    <w:rsid w:val="6828049B"/>
    <w:rsid w:val="682859F9"/>
    <w:rsid w:val="68297556"/>
    <w:rsid w:val="68324E76"/>
    <w:rsid w:val="68333CE6"/>
    <w:rsid w:val="68350BEF"/>
    <w:rsid w:val="68395190"/>
    <w:rsid w:val="68407024"/>
    <w:rsid w:val="68454951"/>
    <w:rsid w:val="684A230B"/>
    <w:rsid w:val="68570D81"/>
    <w:rsid w:val="68594AF9"/>
    <w:rsid w:val="685B7073"/>
    <w:rsid w:val="68637725"/>
    <w:rsid w:val="68656034"/>
    <w:rsid w:val="68664B20"/>
    <w:rsid w:val="686D34E1"/>
    <w:rsid w:val="687021BE"/>
    <w:rsid w:val="68747C2B"/>
    <w:rsid w:val="68754735"/>
    <w:rsid w:val="68797548"/>
    <w:rsid w:val="687F39FE"/>
    <w:rsid w:val="687F4164"/>
    <w:rsid w:val="68802085"/>
    <w:rsid w:val="688175EB"/>
    <w:rsid w:val="689036B8"/>
    <w:rsid w:val="6893276E"/>
    <w:rsid w:val="68946542"/>
    <w:rsid w:val="689773CF"/>
    <w:rsid w:val="68A175AA"/>
    <w:rsid w:val="68A477F8"/>
    <w:rsid w:val="68A539E0"/>
    <w:rsid w:val="68AB01B2"/>
    <w:rsid w:val="68B63660"/>
    <w:rsid w:val="68BA526B"/>
    <w:rsid w:val="68BA6F00"/>
    <w:rsid w:val="68C16071"/>
    <w:rsid w:val="68C3019B"/>
    <w:rsid w:val="68C4641D"/>
    <w:rsid w:val="68C55CEA"/>
    <w:rsid w:val="68C8176D"/>
    <w:rsid w:val="68C849A1"/>
    <w:rsid w:val="68C91CB5"/>
    <w:rsid w:val="68CF3C3E"/>
    <w:rsid w:val="68D93544"/>
    <w:rsid w:val="68DF51E6"/>
    <w:rsid w:val="68E54DC3"/>
    <w:rsid w:val="68E819D9"/>
    <w:rsid w:val="68EA74FF"/>
    <w:rsid w:val="68ED0198"/>
    <w:rsid w:val="68EF711D"/>
    <w:rsid w:val="68F26EF7"/>
    <w:rsid w:val="68F91E38"/>
    <w:rsid w:val="68F94B56"/>
    <w:rsid w:val="68F97B08"/>
    <w:rsid w:val="68FB170C"/>
    <w:rsid w:val="69034E32"/>
    <w:rsid w:val="690C5B25"/>
    <w:rsid w:val="690D13BC"/>
    <w:rsid w:val="691B5C52"/>
    <w:rsid w:val="691C234C"/>
    <w:rsid w:val="691C2CB9"/>
    <w:rsid w:val="691E5968"/>
    <w:rsid w:val="69203876"/>
    <w:rsid w:val="69206D13"/>
    <w:rsid w:val="69241470"/>
    <w:rsid w:val="6931483A"/>
    <w:rsid w:val="69325F95"/>
    <w:rsid w:val="69335519"/>
    <w:rsid w:val="69342E70"/>
    <w:rsid w:val="69380F35"/>
    <w:rsid w:val="694153B8"/>
    <w:rsid w:val="6942544B"/>
    <w:rsid w:val="69490C43"/>
    <w:rsid w:val="694956B7"/>
    <w:rsid w:val="694D1293"/>
    <w:rsid w:val="694D59D5"/>
    <w:rsid w:val="694F2590"/>
    <w:rsid w:val="69521573"/>
    <w:rsid w:val="695A2640"/>
    <w:rsid w:val="695B664F"/>
    <w:rsid w:val="695C17CB"/>
    <w:rsid w:val="695F5CB3"/>
    <w:rsid w:val="69631900"/>
    <w:rsid w:val="69631D22"/>
    <w:rsid w:val="696324F7"/>
    <w:rsid w:val="696351F0"/>
    <w:rsid w:val="69674FF3"/>
    <w:rsid w:val="696848CC"/>
    <w:rsid w:val="696E6382"/>
    <w:rsid w:val="697328E4"/>
    <w:rsid w:val="6977571A"/>
    <w:rsid w:val="697F058F"/>
    <w:rsid w:val="697F21A2"/>
    <w:rsid w:val="69815107"/>
    <w:rsid w:val="69821602"/>
    <w:rsid w:val="69825989"/>
    <w:rsid w:val="698339B4"/>
    <w:rsid w:val="698600CF"/>
    <w:rsid w:val="698F6943"/>
    <w:rsid w:val="69965BF0"/>
    <w:rsid w:val="69980926"/>
    <w:rsid w:val="699B6A4B"/>
    <w:rsid w:val="699F29DF"/>
    <w:rsid w:val="69A13C81"/>
    <w:rsid w:val="69A1570C"/>
    <w:rsid w:val="69A56213"/>
    <w:rsid w:val="69A71650"/>
    <w:rsid w:val="69AC6602"/>
    <w:rsid w:val="69B00A5C"/>
    <w:rsid w:val="69B04AED"/>
    <w:rsid w:val="69B12712"/>
    <w:rsid w:val="69BD19C1"/>
    <w:rsid w:val="69C00871"/>
    <w:rsid w:val="69C117D2"/>
    <w:rsid w:val="69C266CE"/>
    <w:rsid w:val="69C271EE"/>
    <w:rsid w:val="69C62E9B"/>
    <w:rsid w:val="69CC44B0"/>
    <w:rsid w:val="69CF5676"/>
    <w:rsid w:val="69D24685"/>
    <w:rsid w:val="69D40850"/>
    <w:rsid w:val="69D53A2B"/>
    <w:rsid w:val="69D772A3"/>
    <w:rsid w:val="69DD52B6"/>
    <w:rsid w:val="69E166CF"/>
    <w:rsid w:val="69E403F2"/>
    <w:rsid w:val="69E509BA"/>
    <w:rsid w:val="69E56C19"/>
    <w:rsid w:val="69E95A08"/>
    <w:rsid w:val="69EA18E8"/>
    <w:rsid w:val="6A0160B8"/>
    <w:rsid w:val="6A02681E"/>
    <w:rsid w:val="6A0514AF"/>
    <w:rsid w:val="6A083F75"/>
    <w:rsid w:val="6A1E58C9"/>
    <w:rsid w:val="6A2151A2"/>
    <w:rsid w:val="6A217B39"/>
    <w:rsid w:val="6A2B4273"/>
    <w:rsid w:val="6A2C58B7"/>
    <w:rsid w:val="6A2E39FB"/>
    <w:rsid w:val="6A2F1161"/>
    <w:rsid w:val="6A382B15"/>
    <w:rsid w:val="6A3B350B"/>
    <w:rsid w:val="6A3D1696"/>
    <w:rsid w:val="6A3D1A86"/>
    <w:rsid w:val="6A3D1D5E"/>
    <w:rsid w:val="6A3D3FA6"/>
    <w:rsid w:val="6A453A98"/>
    <w:rsid w:val="6A4610AD"/>
    <w:rsid w:val="6A486BD3"/>
    <w:rsid w:val="6A4B60A8"/>
    <w:rsid w:val="6A4C232D"/>
    <w:rsid w:val="6A4F761B"/>
    <w:rsid w:val="6A517DB4"/>
    <w:rsid w:val="6A691EC2"/>
    <w:rsid w:val="6A6E0BB7"/>
    <w:rsid w:val="6A6F4D1C"/>
    <w:rsid w:val="6A746F87"/>
    <w:rsid w:val="6A782414"/>
    <w:rsid w:val="6A7A0472"/>
    <w:rsid w:val="6A7B27AC"/>
    <w:rsid w:val="6A7B7EDE"/>
    <w:rsid w:val="6A8527CB"/>
    <w:rsid w:val="6A86594D"/>
    <w:rsid w:val="6A894C61"/>
    <w:rsid w:val="6A9927D9"/>
    <w:rsid w:val="6A9E67F3"/>
    <w:rsid w:val="6AA77F8A"/>
    <w:rsid w:val="6AB339DA"/>
    <w:rsid w:val="6AB44268"/>
    <w:rsid w:val="6AB45375"/>
    <w:rsid w:val="6AB7112E"/>
    <w:rsid w:val="6AB77E0C"/>
    <w:rsid w:val="6ABA7702"/>
    <w:rsid w:val="6AC453F7"/>
    <w:rsid w:val="6ACB6D61"/>
    <w:rsid w:val="6ACC7648"/>
    <w:rsid w:val="6ADA6B91"/>
    <w:rsid w:val="6ADD3473"/>
    <w:rsid w:val="6ADF29D3"/>
    <w:rsid w:val="6AE1069E"/>
    <w:rsid w:val="6AEB0170"/>
    <w:rsid w:val="6AEC0B98"/>
    <w:rsid w:val="6AEF613E"/>
    <w:rsid w:val="6AF05F8C"/>
    <w:rsid w:val="6AF150F2"/>
    <w:rsid w:val="6AF74762"/>
    <w:rsid w:val="6AFD3469"/>
    <w:rsid w:val="6AFE7291"/>
    <w:rsid w:val="6B00125C"/>
    <w:rsid w:val="6B093D1A"/>
    <w:rsid w:val="6B137F7E"/>
    <w:rsid w:val="6B1528D2"/>
    <w:rsid w:val="6B160F8E"/>
    <w:rsid w:val="6B182A49"/>
    <w:rsid w:val="6B1E288E"/>
    <w:rsid w:val="6B292CBD"/>
    <w:rsid w:val="6B2B5F33"/>
    <w:rsid w:val="6B312AD9"/>
    <w:rsid w:val="6B343F6C"/>
    <w:rsid w:val="6B3E2FB3"/>
    <w:rsid w:val="6B4037F2"/>
    <w:rsid w:val="6B44301C"/>
    <w:rsid w:val="6B47201C"/>
    <w:rsid w:val="6B5B2936"/>
    <w:rsid w:val="6B5C2197"/>
    <w:rsid w:val="6B5C6AC2"/>
    <w:rsid w:val="6B5E3E2C"/>
    <w:rsid w:val="6B5F1CFB"/>
    <w:rsid w:val="6B5F73CB"/>
    <w:rsid w:val="6B63570F"/>
    <w:rsid w:val="6B6776E9"/>
    <w:rsid w:val="6B6E04D5"/>
    <w:rsid w:val="6B72114D"/>
    <w:rsid w:val="6B7E1DEF"/>
    <w:rsid w:val="6B814024"/>
    <w:rsid w:val="6B820CC0"/>
    <w:rsid w:val="6B892397"/>
    <w:rsid w:val="6B8B01EB"/>
    <w:rsid w:val="6B8C3DA8"/>
    <w:rsid w:val="6B8E5EB4"/>
    <w:rsid w:val="6B8F487C"/>
    <w:rsid w:val="6B8F5D56"/>
    <w:rsid w:val="6B9C3AE5"/>
    <w:rsid w:val="6B9C408F"/>
    <w:rsid w:val="6BAC32BE"/>
    <w:rsid w:val="6BAD2501"/>
    <w:rsid w:val="6BB5775C"/>
    <w:rsid w:val="6BBC56E4"/>
    <w:rsid w:val="6BBD1915"/>
    <w:rsid w:val="6BBF678C"/>
    <w:rsid w:val="6BC04E8F"/>
    <w:rsid w:val="6BC051CB"/>
    <w:rsid w:val="6BC16CEE"/>
    <w:rsid w:val="6BCE7ECA"/>
    <w:rsid w:val="6BD85E8F"/>
    <w:rsid w:val="6BD9703D"/>
    <w:rsid w:val="6BDA7CFF"/>
    <w:rsid w:val="6BDB19EE"/>
    <w:rsid w:val="6BDD3F50"/>
    <w:rsid w:val="6BE0288B"/>
    <w:rsid w:val="6BE04BE9"/>
    <w:rsid w:val="6BE413C0"/>
    <w:rsid w:val="6BE43A9A"/>
    <w:rsid w:val="6BE60EE5"/>
    <w:rsid w:val="6BE7241B"/>
    <w:rsid w:val="6BEC6721"/>
    <w:rsid w:val="6BF012D0"/>
    <w:rsid w:val="6BF1472C"/>
    <w:rsid w:val="6C0108A8"/>
    <w:rsid w:val="6C021EE0"/>
    <w:rsid w:val="6C060E38"/>
    <w:rsid w:val="6C073461"/>
    <w:rsid w:val="6C084CC0"/>
    <w:rsid w:val="6C0B576B"/>
    <w:rsid w:val="6C0E7BA8"/>
    <w:rsid w:val="6C0F54CE"/>
    <w:rsid w:val="6C1A5685"/>
    <w:rsid w:val="6C1D5E3D"/>
    <w:rsid w:val="6C1F650F"/>
    <w:rsid w:val="6C33135C"/>
    <w:rsid w:val="6C397C0C"/>
    <w:rsid w:val="6C404347"/>
    <w:rsid w:val="6C443D6C"/>
    <w:rsid w:val="6C4F4546"/>
    <w:rsid w:val="6C5132F6"/>
    <w:rsid w:val="6C524B4F"/>
    <w:rsid w:val="6C545585"/>
    <w:rsid w:val="6C5850C7"/>
    <w:rsid w:val="6C6121CE"/>
    <w:rsid w:val="6C6677E4"/>
    <w:rsid w:val="6C6E055A"/>
    <w:rsid w:val="6C7800D8"/>
    <w:rsid w:val="6C7F71DB"/>
    <w:rsid w:val="6C8247FD"/>
    <w:rsid w:val="6C881D41"/>
    <w:rsid w:val="6C8822CC"/>
    <w:rsid w:val="6C8C3E19"/>
    <w:rsid w:val="6C8C4BA7"/>
    <w:rsid w:val="6C8D1C10"/>
    <w:rsid w:val="6C8D4D71"/>
    <w:rsid w:val="6CA4014F"/>
    <w:rsid w:val="6CB247D3"/>
    <w:rsid w:val="6CB73B9C"/>
    <w:rsid w:val="6CBB3443"/>
    <w:rsid w:val="6CBE317C"/>
    <w:rsid w:val="6CC23528"/>
    <w:rsid w:val="6CC54A40"/>
    <w:rsid w:val="6CC54EC9"/>
    <w:rsid w:val="6CC57BE1"/>
    <w:rsid w:val="6CC60283"/>
    <w:rsid w:val="6CCA35B3"/>
    <w:rsid w:val="6CCB78FC"/>
    <w:rsid w:val="6CD23869"/>
    <w:rsid w:val="6CD96482"/>
    <w:rsid w:val="6CDD2ECA"/>
    <w:rsid w:val="6CE4695B"/>
    <w:rsid w:val="6CEC3562"/>
    <w:rsid w:val="6CED6666"/>
    <w:rsid w:val="6CEE00E4"/>
    <w:rsid w:val="6CFB510C"/>
    <w:rsid w:val="6CFD1071"/>
    <w:rsid w:val="6CFE5A50"/>
    <w:rsid w:val="6D01613B"/>
    <w:rsid w:val="6D03023E"/>
    <w:rsid w:val="6D043AC6"/>
    <w:rsid w:val="6D0D35D4"/>
    <w:rsid w:val="6D0D47AE"/>
    <w:rsid w:val="6D0E3006"/>
    <w:rsid w:val="6D111BBC"/>
    <w:rsid w:val="6D154D66"/>
    <w:rsid w:val="6D1B05CF"/>
    <w:rsid w:val="6D1E5A2F"/>
    <w:rsid w:val="6D21003E"/>
    <w:rsid w:val="6D215A15"/>
    <w:rsid w:val="6D223555"/>
    <w:rsid w:val="6D230EAA"/>
    <w:rsid w:val="6D234AF5"/>
    <w:rsid w:val="6D250214"/>
    <w:rsid w:val="6D272358"/>
    <w:rsid w:val="6D2A04BB"/>
    <w:rsid w:val="6D323B6A"/>
    <w:rsid w:val="6D336EDF"/>
    <w:rsid w:val="6D3E7B78"/>
    <w:rsid w:val="6D406D45"/>
    <w:rsid w:val="6D461F34"/>
    <w:rsid w:val="6D4A3FD9"/>
    <w:rsid w:val="6D4D62AE"/>
    <w:rsid w:val="6D521063"/>
    <w:rsid w:val="6D530D47"/>
    <w:rsid w:val="6D531F98"/>
    <w:rsid w:val="6D54763D"/>
    <w:rsid w:val="6D547B35"/>
    <w:rsid w:val="6D575FC8"/>
    <w:rsid w:val="6D5B4E13"/>
    <w:rsid w:val="6D5D4DAD"/>
    <w:rsid w:val="6D5D7D11"/>
    <w:rsid w:val="6D6261FE"/>
    <w:rsid w:val="6D6535F8"/>
    <w:rsid w:val="6D6B4183"/>
    <w:rsid w:val="6D6D1695"/>
    <w:rsid w:val="6D6E2981"/>
    <w:rsid w:val="6D6F26C8"/>
    <w:rsid w:val="6D81770B"/>
    <w:rsid w:val="6D841CCF"/>
    <w:rsid w:val="6D8C52D2"/>
    <w:rsid w:val="6D91234C"/>
    <w:rsid w:val="6D942002"/>
    <w:rsid w:val="6D9432A3"/>
    <w:rsid w:val="6D9739CD"/>
    <w:rsid w:val="6D9A5FDA"/>
    <w:rsid w:val="6D9F6620"/>
    <w:rsid w:val="6DA249C5"/>
    <w:rsid w:val="6DAA2E89"/>
    <w:rsid w:val="6DAA4DA2"/>
    <w:rsid w:val="6DAD4F9F"/>
    <w:rsid w:val="6DAF65D9"/>
    <w:rsid w:val="6DB20697"/>
    <w:rsid w:val="6DB42A6A"/>
    <w:rsid w:val="6DBB3F48"/>
    <w:rsid w:val="6DBB70E4"/>
    <w:rsid w:val="6DBC3C0E"/>
    <w:rsid w:val="6DBF38B9"/>
    <w:rsid w:val="6DC347C2"/>
    <w:rsid w:val="6DC56AFE"/>
    <w:rsid w:val="6DC66027"/>
    <w:rsid w:val="6DC80969"/>
    <w:rsid w:val="6DC86029"/>
    <w:rsid w:val="6DC9141A"/>
    <w:rsid w:val="6DC929A9"/>
    <w:rsid w:val="6DCE3DD4"/>
    <w:rsid w:val="6DD8274D"/>
    <w:rsid w:val="6DDB5FB0"/>
    <w:rsid w:val="6DDE279C"/>
    <w:rsid w:val="6DDE35FF"/>
    <w:rsid w:val="6DDF08AD"/>
    <w:rsid w:val="6DE0707C"/>
    <w:rsid w:val="6DE07D8D"/>
    <w:rsid w:val="6DE213D7"/>
    <w:rsid w:val="6DE8487B"/>
    <w:rsid w:val="6DEA1D4F"/>
    <w:rsid w:val="6DEB6B57"/>
    <w:rsid w:val="6DF118B2"/>
    <w:rsid w:val="6DF550D8"/>
    <w:rsid w:val="6DF566D2"/>
    <w:rsid w:val="6DF6094C"/>
    <w:rsid w:val="6DFA2D70"/>
    <w:rsid w:val="6DFC4ACD"/>
    <w:rsid w:val="6DFD2BB4"/>
    <w:rsid w:val="6E010176"/>
    <w:rsid w:val="6E094B79"/>
    <w:rsid w:val="6E0A254F"/>
    <w:rsid w:val="6E0A5785"/>
    <w:rsid w:val="6E0B6B0F"/>
    <w:rsid w:val="6E185425"/>
    <w:rsid w:val="6E1C2FD8"/>
    <w:rsid w:val="6E2247FE"/>
    <w:rsid w:val="6E2E6069"/>
    <w:rsid w:val="6E376307"/>
    <w:rsid w:val="6E397171"/>
    <w:rsid w:val="6E3A48D9"/>
    <w:rsid w:val="6E436CDF"/>
    <w:rsid w:val="6E455168"/>
    <w:rsid w:val="6E4678CD"/>
    <w:rsid w:val="6E4B6C92"/>
    <w:rsid w:val="6E4C0FC4"/>
    <w:rsid w:val="6E531F4D"/>
    <w:rsid w:val="6E533D98"/>
    <w:rsid w:val="6E535B46"/>
    <w:rsid w:val="6E544FDF"/>
    <w:rsid w:val="6E550A8F"/>
    <w:rsid w:val="6E5518BE"/>
    <w:rsid w:val="6E5808DF"/>
    <w:rsid w:val="6E593A90"/>
    <w:rsid w:val="6E5E6403"/>
    <w:rsid w:val="6E614E7F"/>
    <w:rsid w:val="6E617000"/>
    <w:rsid w:val="6E623FDB"/>
    <w:rsid w:val="6E640E1B"/>
    <w:rsid w:val="6E64181A"/>
    <w:rsid w:val="6E663312"/>
    <w:rsid w:val="6E6C4E5A"/>
    <w:rsid w:val="6E736169"/>
    <w:rsid w:val="6E737770"/>
    <w:rsid w:val="6E737FA0"/>
    <w:rsid w:val="6E774C6D"/>
    <w:rsid w:val="6E783F2C"/>
    <w:rsid w:val="6E792FCF"/>
    <w:rsid w:val="6E7D4023"/>
    <w:rsid w:val="6E8219F6"/>
    <w:rsid w:val="6E8C1A33"/>
    <w:rsid w:val="6E8C7D75"/>
    <w:rsid w:val="6E8D3D6D"/>
    <w:rsid w:val="6E8E1784"/>
    <w:rsid w:val="6E8E4DD0"/>
    <w:rsid w:val="6E8F3FEE"/>
    <w:rsid w:val="6E971ED7"/>
    <w:rsid w:val="6E997DE9"/>
    <w:rsid w:val="6EA22E53"/>
    <w:rsid w:val="6EA42846"/>
    <w:rsid w:val="6EA45B50"/>
    <w:rsid w:val="6EA747D8"/>
    <w:rsid w:val="6EA87916"/>
    <w:rsid w:val="6EA92939"/>
    <w:rsid w:val="6EAD34A8"/>
    <w:rsid w:val="6EAF4ED3"/>
    <w:rsid w:val="6EB4436A"/>
    <w:rsid w:val="6EB55B1E"/>
    <w:rsid w:val="6EB84E89"/>
    <w:rsid w:val="6EB97C91"/>
    <w:rsid w:val="6EBD0153"/>
    <w:rsid w:val="6EC5055E"/>
    <w:rsid w:val="6EC81EBB"/>
    <w:rsid w:val="6EC9402B"/>
    <w:rsid w:val="6ED362BD"/>
    <w:rsid w:val="6ED50E51"/>
    <w:rsid w:val="6ED524D1"/>
    <w:rsid w:val="6EDF0A09"/>
    <w:rsid w:val="6EE37AB3"/>
    <w:rsid w:val="6EE41D73"/>
    <w:rsid w:val="6EE536BA"/>
    <w:rsid w:val="6EEA0A62"/>
    <w:rsid w:val="6EEA2E1F"/>
    <w:rsid w:val="6EF059F5"/>
    <w:rsid w:val="6EFA1791"/>
    <w:rsid w:val="6EFF69FE"/>
    <w:rsid w:val="6F0137F4"/>
    <w:rsid w:val="6F025775"/>
    <w:rsid w:val="6F0302EB"/>
    <w:rsid w:val="6F03625E"/>
    <w:rsid w:val="6F0411CE"/>
    <w:rsid w:val="6F051E14"/>
    <w:rsid w:val="6F0522B0"/>
    <w:rsid w:val="6F0917CE"/>
    <w:rsid w:val="6F0F2B08"/>
    <w:rsid w:val="6F0F5F11"/>
    <w:rsid w:val="6F122361"/>
    <w:rsid w:val="6F143C8E"/>
    <w:rsid w:val="6F174979"/>
    <w:rsid w:val="6F190454"/>
    <w:rsid w:val="6F1E70AB"/>
    <w:rsid w:val="6F222C30"/>
    <w:rsid w:val="6F2373EB"/>
    <w:rsid w:val="6F2E031C"/>
    <w:rsid w:val="6F327E52"/>
    <w:rsid w:val="6F347726"/>
    <w:rsid w:val="6F3714F7"/>
    <w:rsid w:val="6F435A1B"/>
    <w:rsid w:val="6F452B57"/>
    <w:rsid w:val="6F467EEA"/>
    <w:rsid w:val="6F49270D"/>
    <w:rsid w:val="6F492E49"/>
    <w:rsid w:val="6F4A1F76"/>
    <w:rsid w:val="6F4B2EC8"/>
    <w:rsid w:val="6F55049C"/>
    <w:rsid w:val="6F573414"/>
    <w:rsid w:val="6F573B8A"/>
    <w:rsid w:val="6F577BA2"/>
    <w:rsid w:val="6F5A2F04"/>
    <w:rsid w:val="6F5D2FE3"/>
    <w:rsid w:val="6F5F64EE"/>
    <w:rsid w:val="6F6473D5"/>
    <w:rsid w:val="6F6B3A6A"/>
    <w:rsid w:val="6F7C3664"/>
    <w:rsid w:val="6F7C4DA3"/>
    <w:rsid w:val="6F7C54A2"/>
    <w:rsid w:val="6F806357"/>
    <w:rsid w:val="6F83015D"/>
    <w:rsid w:val="6F9A6CC9"/>
    <w:rsid w:val="6F9D2ECB"/>
    <w:rsid w:val="6F9F450A"/>
    <w:rsid w:val="6FA50414"/>
    <w:rsid w:val="6FAB68B1"/>
    <w:rsid w:val="6FAE132F"/>
    <w:rsid w:val="6FB37AF9"/>
    <w:rsid w:val="6FBB3952"/>
    <w:rsid w:val="6FBB7E47"/>
    <w:rsid w:val="6FCD36D6"/>
    <w:rsid w:val="6FCE033A"/>
    <w:rsid w:val="6FCE5042"/>
    <w:rsid w:val="6FD131C7"/>
    <w:rsid w:val="6FD42CB7"/>
    <w:rsid w:val="6FD93D22"/>
    <w:rsid w:val="6FD974B6"/>
    <w:rsid w:val="6FE93140"/>
    <w:rsid w:val="6FF1551D"/>
    <w:rsid w:val="6FF15617"/>
    <w:rsid w:val="6FF16E7A"/>
    <w:rsid w:val="6FF85ECB"/>
    <w:rsid w:val="70021A53"/>
    <w:rsid w:val="7002608F"/>
    <w:rsid w:val="7003017C"/>
    <w:rsid w:val="700417EE"/>
    <w:rsid w:val="700B1EF0"/>
    <w:rsid w:val="700D0A01"/>
    <w:rsid w:val="701043BC"/>
    <w:rsid w:val="70156A15"/>
    <w:rsid w:val="70183345"/>
    <w:rsid w:val="70187047"/>
    <w:rsid w:val="701B1729"/>
    <w:rsid w:val="701B39FA"/>
    <w:rsid w:val="70221C74"/>
    <w:rsid w:val="70224197"/>
    <w:rsid w:val="702C2AF3"/>
    <w:rsid w:val="702C6021"/>
    <w:rsid w:val="703C3AA3"/>
    <w:rsid w:val="703E64A2"/>
    <w:rsid w:val="70426088"/>
    <w:rsid w:val="70486699"/>
    <w:rsid w:val="704A04F1"/>
    <w:rsid w:val="704B1C7C"/>
    <w:rsid w:val="70560738"/>
    <w:rsid w:val="70563528"/>
    <w:rsid w:val="70582612"/>
    <w:rsid w:val="70585EEF"/>
    <w:rsid w:val="705D6D88"/>
    <w:rsid w:val="705E01E8"/>
    <w:rsid w:val="70636684"/>
    <w:rsid w:val="706C6016"/>
    <w:rsid w:val="70744BF2"/>
    <w:rsid w:val="70763D6E"/>
    <w:rsid w:val="707B1916"/>
    <w:rsid w:val="707B494F"/>
    <w:rsid w:val="70814BED"/>
    <w:rsid w:val="708820E7"/>
    <w:rsid w:val="70913D10"/>
    <w:rsid w:val="70927202"/>
    <w:rsid w:val="709D0072"/>
    <w:rsid w:val="709D243B"/>
    <w:rsid w:val="70A33F1C"/>
    <w:rsid w:val="70A41523"/>
    <w:rsid w:val="70A416A8"/>
    <w:rsid w:val="70A5184C"/>
    <w:rsid w:val="70A55C96"/>
    <w:rsid w:val="70A97353"/>
    <w:rsid w:val="70AB1C6A"/>
    <w:rsid w:val="70AE1756"/>
    <w:rsid w:val="70AF1BFF"/>
    <w:rsid w:val="70B36D70"/>
    <w:rsid w:val="70B90AA5"/>
    <w:rsid w:val="70B92DCE"/>
    <w:rsid w:val="70BD374B"/>
    <w:rsid w:val="70BE2A74"/>
    <w:rsid w:val="70BF50BE"/>
    <w:rsid w:val="70BF5715"/>
    <w:rsid w:val="70C251BD"/>
    <w:rsid w:val="70C56036"/>
    <w:rsid w:val="70C60851"/>
    <w:rsid w:val="70C6741D"/>
    <w:rsid w:val="70C71382"/>
    <w:rsid w:val="70C82AB2"/>
    <w:rsid w:val="70D065A1"/>
    <w:rsid w:val="70D7515E"/>
    <w:rsid w:val="70E80500"/>
    <w:rsid w:val="70E8156D"/>
    <w:rsid w:val="70EE21F2"/>
    <w:rsid w:val="70F074A0"/>
    <w:rsid w:val="70F17F54"/>
    <w:rsid w:val="70F25AEA"/>
    <w:rsid w:val="70F63578"/>
    <w:rsid w:val="70F71DF4"/>
    <w:rsid w:val="70FA53AE"/>
    <w:rsid w:val="70FC0717"/>
    <w:rsid w:val="70FE2050"/>
    <w:rsid w:val="710209DD"/>
    <w:rsid w:val="710B6691"/>
    <w:rsid w:val="7110760D"/>
    <w:rsid w:val="71125970"/>
    <w:rsid w:val="7113156F"/>
    <w:rsid w:val="71151663"/>
    <w:rsid w:val="71161569"/>
    <w:rsid w:val="71195874"/>
    <w:rsid w:val="711E068D"/>
    <w:rsid w:val="711E4FA9"/>
    <w:rsid w:val="712223EC"/>
    <w:rsid w:val="71237C09"/>
    <w:rsid w:val="712F42E0"/>
    <w:rsid w:val="71325EE7"/>
    <w:rsid w:val="713779A1"/>
    <w:rsid w:val="713A73DB"/>
    <w:rsid w:val="713B31C1"/>
    <w:rsid w:val="713F23B2"/>
    <w:rsid w:val="714762A2"/>
    <w:rsid w:val="71485C7C"/>
    <w:rsid w:val="7156467A"/>
    <w:rsid w:val="715812F5"/>
    <w:rsid w:val="715C7408"/>
    <w:rsid w:val="715E2452"/>
    <w:rsid w:val="71602B8E"/>
    <w:rsid w:val="71640654"/>
    <w:rsid w:val="71655DD8"/>
    <w:rsid w:val="7167039C"/>
    <w:rsid w:val="716F713B"/>
    <w:rsid w:val="71703428"/>
    <w:rsid w:val="7174016E"/>
    <w:rsid w:val="71783720"/>
    <w:rsid w:val="717D3BA5"/>
    <w:rsid w:val="718002BA"/>
    <w:rsid w:val="718129CA"/>
    <w:rsid w:val="71940098"/>
    <w:rsid w:val="71954ABF"/>
    <w:rsid w:val="71997ED8"/>
    <w:rsid w:val="719A2306"/>
    <w:rsid w:val="71A1038F"/>
    <w:rsid w:val="71A17BD1"/>
    <w:rsid w:val="71A83F91"/>
    <w:rsid w:val="71AA2F01"/>
    <w:rsid w:val="71AB5C99"/>
    <w:rsid w:val="71AC59A5"/>
    <w:rsid w:val="71AD0DBB"/>
    <w:rsid w:val="71B20DD6"/>
    <w:rsid w:val="71B31CCD"/>
    <w:rsid w:val="71B70C5F"/>
    <w:rsid w:val="71B76459"/>
    <w:rsid w:val="71BB0C64"/>
    <w:rsid w:val="71BB142B"/>
    <w:rsid w:val="71C719BD"/>
    <w:rsid w:val="71CD5C10"/>
    <w:rsid w:val="71D04614"/>
    <w:rsid w:val="71D13952"/>
    <w:rsid w:val="71D5023A"/>
    <w:rsid w:val="71DC6D28"/>
    <w:rsid w:val="71E10A18"/>
    <w:rsid w:val="71EA67C2"/>
    <w:rsid w:val="71EB16B2"/>
    <w:rsid w:val="71F51B25"/>
    <w:rsid w:val="71FD1EDD"/>
    <w:rsid w:val="7200336D"/>
    <w:rsid w:val="72087E2F"/>
    <w:rsid w:val="720C67D9"/>
    <w:rsid w:val="720D0CF4"/>
    <w:rsid w:val="72146DD6"/>
    <w:rsid w:val="721A3BE8"/>
    <w:rsid w:val="721C714E"/>
    <w:rsid w:val="72217D98"/>
    <w:rsid w:val="722402A9"/>
    <w:rsid w:val="722423BB"/>
    <w:rsid w:val="72247ABB"/>
    <w:rsid w:val="722A6508"/>
    <w:rsid w:val="722E32E3"/>
    <w:rsid w:val="723E2669"/>
    <w:rsid w:val="72412DFB"/>
    <w:rsid w:val="724539F8"/>
    <w:rsid w:val="724820CD"/>
    <w:rsid w:val="72513D56"/>
    <w:rsid w:val="7258372B"/>
    <w:rsid w:val="725974A3"/>
    <w:rsid w:val="725D51E5"/>
    <w:rsid w:val="72655E48"/>
    <w:rsid w:val="726A48CF"/>
    <w:rsid w:val="726A6039"/>
    <w:rsid w:val="727377C1"/>
    <w:rsid w:val="72764861"/>
    <w:rsid w:val="72786668"/>
    <w:rsid w:val="7278782F"/>
    <w:rsid w:val="72792716"/>
    <w:rsid w:val="727F2F9C"/>
    <w:rsid w:val="727F36F4"/>
    <w:rsid w:val="727F6228"/>
    <w:rsid w:val="728001A0"/>
    <w:rsid w:val="72823116"/>
    <w:rsid w:val="728409C4"/>
    <w:rsid w:val="72844825"/>
    <w:rsid w:val="72860C89"/>
    <w:rsid w:val="728B08CB"/>
    <w:rsid w:val="7294768D"/>
    <w:rsid w:val="72987FCC"/>
    <w:rsid w:val="729A7F62"/>
    <w:rsid w:val="729D55E2"/>
    <w:rsid w:val="72A00F3C"/>
    <w:rsid w:val="72A01EBB"/>
    <w:rsid w:val="72A62802"/>
    <w:rsid w:val="72A666A1"/>
    <w:rsid w:val="72A76461"/>
    <w:rsid w:val="72AB14F1"/>
    <w:rsid w:val="72AC2F46"/>
    <w:rsid w:val="72AF483D"/>
    <w:rsid w:val="72B30F53"/>
    <w:rsid w:val="72BD071A"/>
    <w:rsid w:val="72C979D2"/>
    <w:rsid w:val="72CE7E91"/>
    <w:rsid w:val="72CF5C33"/>
    <w:rsid w:val="72D24AE6"/>
    <w:rsid w:val="72D336FA"/>
    <w:rsid w:val="72D46155"/>
    <w:rsid w:val="72D721A5"/>
    <w:rsid w:val="72D73398"/>
    <w:rsid w:val="72D92E53"/>
    <w:rsid w:val="72DC7498"/>
    <w:rsid w:val="72DD3413"/>
    <w:rsid w:val="72DE131E"/>
    <w:rsid w:val="72DF3E4C"/>
    <w:rsid w:val="72E1061A"/>
    <w:rsid w:val="72EB7C9E"/>
    <w:rsid w:val="72FC0AB8"/>
    <w:rsid w:val="72FD62C0"/>
    <w:rsid w:val="72FF004B"/>
    <w:rsid w:val="73020F20"/>
    <w:rsid w:val="73042E7C"/>
    <w:rsid w:val="730732CF"/>
    <w:rsid w:val="73106EB9"/>
    <w:rsid w:val="73111460"/>
    <w:rsid w:val="73115D61"/>
    <w:rsid w:val="7315525E"/>
    <w:rsid w:val="73182417"/>
    <w:rsid w:val="73194F7B"/>
    <w:rsid w:val="731B6C24"/>
    <w:rsid w:val="731C0B42"/>
    <w:rsid w:val="731D3BCE"/>
    <w:rsid w:val="732278B2"/>
    <w:rsid w:val="732950C8"/>
    <w:rsid w:val="732C7AB9"/>
    <w:rsid w:val="732D25E2"/>
    <w:rsid w:val="732D4235"/>
    <w:rsid w:val="732E163F"/>
    <w:rsid w:val="732F0AB3"/>
    <w:rsid w:val="73335F46"/>
    <w:rsid w:val="733F48EB"/>
    <w:rsid w:val="73401334"/>
    <w:rsid w:val="7341387B"/>
    <w:rsid w:val="73421060"/>
    <w:rsid w:val="73492E90"/>
    <w:rsid w:val="734B34FA"/>
    <w:rsid w:val="734C3909"/>
    <w:rsid w:val="734D50D9"/>
    <w:rsid w:val="73501AC8"/>
    <w:rsid w:val="73542CE7"/>
    <w:rsid w:val="735540F3"/>
    <w:rsid w:val="73583287"/>
    <w:rsid w:val="73586ACD"/>
    <w:rsid w:val="73613011"/>
    <w:rsid w:val="736A172E"/>
    <w:rsid w:val="736A4872"/>
    <w:rsid w:val="736A5305"/>
    <w:rsid w:val="736C0EAF"/>
    <w:rsid w:val="736C359F"/>
    <w:rsid w:val="73734595"/>
    <w:rsid w:val="7378102C"/>
    <w:rsid w:val="73795CF4"/>
    <w:rsid w:val="738150E0"/>
    <w:rsid w:val="738467A2"/>
    <w:rsid w:val="73881387"/>
    <w:rsid w:val="739129C0"/>
    <w:rsid w:val="73946056"/>
    <w:rsid w:val="739A679F"/>
    <w:rsid w:val="739B3986"/>
    <w:rsid w:val="739C3D2F"/>
    <w:rsid w:val="739D7782"/>
    <w:rsid w:val="73A0223D"/>
    <w:rsid w:val="73AA02CD"/>
    <w:rsid w:val="73AA4C0A"/>
    <w:rsid w:val="73AD4B84"/>
    <w:rsid w:val="73B00CA9"/>
    <w:rsid w:val="73B50D92"/>
    <w:rsid w:val="73B52DFF"/>
    <w:rsid w:val="73BC23A7"/>
    <w:rsid w:val="73BD1028"/>
    <w:rsid w:val="73BF77DA"/>
    <w:rsid w:val="73CA0659"/>
    <w:rsid w:val="73D2575F"/>
    <w:rsid w:val="73D369F9"/>
    <w:rsid w:val="73D8547A"/>
    <w:rsid w:val="73D9260E"/>
    <w:rsid w:val="73DC4769"/>
    <w:rsid w:val="73DC6AD2"/>
    <w:rsid w:val="73DD59A6"/>
    <w:rsid w:val="73DE0D65"/>
    <w:rsid w:val="73DF294E"/>
    <w:rsid w:val="73E3171A"/>
    <w:rsid w:val="73EA0EDE"/>
    <w:rsid w:val="73EB6821"/>
    <w:rsid w:val="73EC7E93"/>
    <w:rsid w:val="73F85FDA"/>
    <w:rsid w:val="73FB2E1D"/>
    <w:rsid w:val="74056C54"/>
    <w:rsid w:val="74057819"/>
    <w:rsid w:val="74091C5A"/>
    <w:rsid w:val="741732F5"/>
    <w:rsid w:val="741928CA"/>
    <w:rsid w:val="741D2D36"/>
    <w:rsid w:val="74207F34"/>
    <w:rsid w:val="74233081"/>
    <w:rsid w:val="7426512D"/>
    <w:rsid w:val="742B3109"/>
    <w:rsid w:val="742C11FC"/>
    <w:rsid w:val="74341A6E"/>
    <w:rsid w:val="7434641A"/>
    <w:rsid w:val="74396A4C"/>
    <w:rsid w:val="743D52CE"/>
    <w:rsid w:val="74504C29"/>
    <w:rsid w:val="74510D7A"/>
    <w:rsid w:val="745361EF"/>
    <w:rsid w:val="74565FD0"/>
    <w:rsid w:val="745733FB"/>
    <w:rsid w:val="74574F74"/>
    <w:rsid w:val="74626208"/>
    <w:rsid w:val="74632B55"/>
    <w:rsid w:val="746408CF"/>
    <w:rsid w:val="74660BFD"/>
    <w:rsid w:val="74661E4A"/>
    <w:rsid w:val="746740F9"/>
    <w:rsid w:val="7467671E"/>
    <w:rsid w:val="746E2926"/>
    <w:rsid w:val="746F6F44"/>
    <w:rsid w:val="74723618"/>
    <w:rsid w:val="7472484C"/>
    <w:rsid w:val="74782232"/>
    <w:rsid w:val="74795BDB"/>
    <w:rsid w:val="74812623"/>
    <w:rsid w:val="748167B3"/>
    <w:rsid w:val="748507EA"/>
    <w:rsid w:val="748F3650"/>
    <w:rsid w:val="748F4071"/>
    <w:rsid w:val="749161C5"/>
    <w:rsid w:val="74935CE0"/>
    <w:rsid w:val="74980757"/>
    <w:rsid w:val="749A44CF"/>
    <w:rsid w:val="749B3972"/>
    <w:rsid w:val="74A013B9"/>
    <w:rsid w:val="74A12189"/>
    <w:rsid w:val="74A21131"/>
    <w:rsid w:val="74A92964"/>
    <w:rsid w:val="74AA3B56"/>
    <w:rsid w:val="74AC186D"/>
    <w:rsid w:val="74AD3091"/>
    <w:rsid w:val="74AE1D28"/>
    <w:rsid w:val="74B1175A"/>
    <w:rsid w:val="74B21895"/>
    <w:rsid w:val="74B75498"/>
    <w:rsid w:val="74B86703"/>
    <w:rsid w:val="74B911FD"/>
    <w:rsid w:val="74BD1F6B"/>
    <w:rsid w:val="74C4622B"/>
    <w:rsid w:val="74C53A54"/>
    <w:rsid w:val="74C7103C"/>
    <w:rsid w:val="74CE6F48"/>
    <w:rsid w:val="74D3178F"/>
    <w:rsid w:val="74D821D7"/>
    <w:rsid w:val="74DA4498"/>
    <w:rsid w:val="74DD4A6B"/>
    <w:rsid w:val="74DD6EEF"/>
    <w:rsid w:val="74E1327F"/>
    <w:rsid w:val="74E51C69"/>
    <w:rsid w:val="74E603F2"/>
    <w:rsid w:val="74E67714"/>
    <w:rsid w:val="74E71AFC"/>
    <w:rsid w:val="74E728A1"/>
    <w:rsid w:val="74EB6AD9"/>
    <w:rsid w:val="74EF47F6"/>
    <w:rsid w:val="74F006E0"/>
    <w:rsid w:val="74F040EF"/>
    <w:rsid w:val="74F05CDB"/>
    <w:rsid w:val="74FF2A4B"/>
    <w:rsid w:val="75024374"/>
    <w:rsid w:val="750327B3"/>
    <w:rsid w:val="75045DDD"/>
    <w:rsid w:val="750C2BED"/>
    <w:rsid w:val="750F4C63"/>
    <w:rsid w:val="751122B7"/>
    <w:rsid w:val="751726C0"/>
    <w:rsid w:val="751863ED"/>
    <w:rsid w:val="751F6782"/>
    <w:rsid w:val="7520751D"/>
    <w:rsid w:val="75232716"/>
    <w:rsid w:val="75273AD7"/>
    <w:rsid w:val="752D129F"/>
    <w:rsid w:val="752F0606"/>
    <w:rsid w:val="75335B92"/>
    <w:rsid w:val="753C5586"/>
    <w:rsid w:val="75411C1D"/>
    <w:rsid w:val="75423EB1"/>
    <w:rsid w:val="75463546"/>
    <w:rsid w:val="754D3DEE"/>
    <w:rsid w:val="754F09F7"/>
    <w:rsid w:val="75555DF6"/>
    <w:rsid w:val="75575A83"/>
    <w:rsid w:val="75575F1C"/>
    <w:rsid w:val="755C1499"/>
    <w:rsid w:val="75600F51"/>
    <w:rsid w:val="7564688B"/>
    <w:rsid w:val="756C336B"/>
    <w:rsid w:val="756C4EDB"/>
    <w:rsid w:val="75713487"/>
    <w:rsid w:val="75761CD2"/>
    <w:rsid w:val="757C31CC"/>
    <w:rsid w:val="757D2874"/>
    <w:rsid w:val="75810501"/>
    <w:rsid w:val="75822FAB"/>
    <w:rsid w:val="75846316"/>
    <w:rsid w:val="75871BFC"/>
    <w:rsid w:val="75897F5E"/>
    <w:rsid w:val="758D51FB"/>
    <w:rsid w:val="75912A77"/>
    <w:rsid w:val="75920FB8"/>
    <w:rsid w:val="7592164A"/>
    <w:rsid w:val="759B3C33"/>
    <w:rsid w:val="759C4277"/>
    <w:rsid w:val="75A1534E"/>
    <w:rsid w:val="75A35605"/>
    <w:rsid w:val="75A46B67"/>
    <w:rsid w:val="75A50F90"/>
    <w:rsid w:val="75A94DF1"/>
    <w:rsid w:val="75AB6268"/>
    <w:rsid w:val="75B06A00"/>
    <w:rsid w:val="75B8170C"/>
    <w:rsid w:val="75B91C52"/>
    <w:rsid w:val="75BC17E8"/>
    <w:rsid w:val="75BE2C13"/>
    <w:rsid w:val="75BE4595"/>
    <w:rsid w:val="75CA79BD"/>
    <w:rsid w:val="75D76435"/>
    <w:rsid w:val="75D915AF"/>
    <w:rsid w:val="75DB4D9F"/>
    <w:rsid w:val="75E26435"/>
    <w:rsid w:val="75E46048"/>
    <w:rsid w:val="75E90343"/>
    <w:rsid w:val="75E9502A"/>
    <w:rsid w:val="75F057BB"/>
    <w:rsid w:val="75F849F4"/>
    <w:rsid w:val="75FA38B6"/>
    <w:rsid w:val="75FC3036"/>
    <w:rsid w:val="75FE6CDF"/>
    <w:rsid w:val="76051D74"/>
    <w:rsid w:val="7606105B"/>
    <w:rsid w:val="76062F96"/>
    <w:rsid w:val="76086E5B"/>
    <w:rsid w:val="76091CF4"/>
    <w:rsid w:val="760F0730"/>
    <w:rsid w:val="76155AD2"/>
    <w:rsid w:val="7617148C"/>
    <w:rsid w:val="76193DFA"/>
    <w:rsid w:val="761A2980"/>
    <w:rsid w:val="761E4045"/>
    <w:rsid w:val="761F3CA3"/>
    <w:rsid w:val="76221F8C"/>
    <w:rsid w:val="76250976"/>
    <w:rsid w:val="762B09F6"/>
    <w:rsid w:val="762D7CF3"/>
    <w:rsid w:val="763145A8"/>
    <w:rsid w:val="76344BB6"/>
    <w:rsid w:val="76344C51"/>
    <w:rsid w:val="76373B6C"/>
    <w:rsid w:val="763853DA"/>
    <w:rsid w:val="763A04D5"/>
    <w:rsid w:val="763E70DC"/>
    <w:rsid w:val="7641194C"/>
    <w:rsid w:val="76464DAE"/>
    <w:rsid w:val="7647647E"/>
    <w:rsid w:val="764A43FE"/>
    <w:rsid w:val="764C6C42"/>
    <w:rsid w:val="765174FC"/>
    <w:rsid w:val="765330B2"/>
    <w:rsid w:val="7658655F"/>
    <w:rsid w:val="765A1780"/>
    <w:rsid w:val="765F1309"/>
    <w:rsid w:val="765F2B43"/>
    <w:rsid w:val="7662101C"/>
    <w:rsid w:val="7665263A"/>
    <w:rsid w:val="766A6FB5"/>
    <w:rsid w:val="766D6E9D"/>
    <w:rsid w:val="766E776C"/>
    <w:rsid w:val="766F7295"/>
    <w:rsid w:val="76746FA2"/>
    <w:rsid w:val="76761D50"/>
    <w:rsid w:val="7677414B"/>
    <w:rsid w:val="76777265"/>
    <w:rsid w:val="767805CF"/>
    <w:rsid w:val="767F0C76"/>
    <w:rsid w:val="76830F93"/>
    <w:rsid w:val="76880357"/>
    <w:rsid w:val="768B68FD"/>
    <w:rsid w:val="769D0442"/>
    <w:rsid w:val="769F6178"/>
    <w:rsid w:val="76A23C82"/>
    <w:rsid w:val="76A84CD5"/>
    <w:rsid w:val="76A87301"/>
    <w:rsid w:val="76A9289E"/>
    <w:rsid w:val="76B01949"/>
    <w:rsid w:val="76B73C4C"/>
    <w:rsid w:val="76B85881"/>
    <w:rsid w:val="76BB0B46"/>
    <w:rsid w:val="76C36480"/>
    <w:rsid w:val="76C945DE"/>
    <w:rsid w:val="76CA2EE5"/>
    <w:rsid w:val="76CB5C55"/>
    <w:rsid w:val="76CF7070"/>
    <w:rsid w:val="76D00EFA"/>
    <w:rsid w:val="76D33CC8"/>
    <w:rsid w:val="76D35A76"/>
    <w:rsid w:val="76D812DE"/>
    <w:rsid w:val="76DB3EEB"/>
    <w:rsid w:val="76DF4D19"/>
    <w:rsid w:val="76DF5F64"/>
    <w:rsid w:val="76E3500C"/>
    <w:rsid w:val="76E9529A"/>
    <w:rsid w:val="76EA61DB"/>
    <w:rsid w:val="76F0487A"/>
    <w:rsid w:val="76F450A2"/>
    <w:rsid w:val="76F527D2"/>
    <w:rsid w:val="76FA14E3"/>
    <w:rsid w:val="77057BFA"/>
    <w:rsid w:val="77063A83"/>
    <w:rsid w:val="77067D67"/>
    <w:rsid w:val="77076A60"/>
    <w:rsid w:val="770D77A2"/>
    <w:rsid w:val="77132EB7"/>
    <w:rsid w:val="7715226A"/>
    <w:rsid w:val="771A5079"/>
    <w:rsid w:val="771B7883"/>
    <w:rsid w:val="771E3A07"/>
    <w:rsid w:val="77240D9D"/>
    <w:rsid w:val="77273657"/>
    <w:rsid w:val="772826D8"/>
    <w:rsid w:val="772E4FE8"/>
    <w:rsid w:val="772E53A2"/>
    <w:rsid w:val="77317F3F"/>
    <w:rsid w:val="77385600"/>
    <w:rsid w:val="77386776"/>
    <w:rsid w:val="773F0ECF"/>
    <w:rsid w:val="77446974"/>
    <w:rsid w:val="7747621D"/>
    <w:rsid w:val="774B609E"/>
    <w:rsid w:val="775C762A"/>
    <w:rsid w:val="775F316D"/>
    <w:rsid w:val="775F39A6"/>
    <w:rsid w:val="77672662"/>
    <w:rsid w:val="77697F82"/>
    <w:rsid w:val="776C2EBF"/>
    <w:rsid w:val="77765104"/>
    <w:rsid w:val="777C52CB"/>
    <w:rsid w:val="778518FB"/>
    <w:rsid w:val="778756A2"/>
    <w:rsid w:val="77880D81"/>
    <w:rsid w:val="778A1700"/>
    <w:rsid w:val="778E5732"/>
    <w:rsid w:val="779E6712"/>
    <w:rsid w:val="779F24AD"/>
    <w:rsid w:val="77A411C1"/>
    <w:rsid w:val="77A45665"/>
    <w:rsid w:val="77A774EB"/>
    <w:rsid w:val="77AD4519"/>
    <w:rsid w:val="77AE0291"/>
    <w:rsid w:val="77AF0FE5"/>
    <w:rsid w:val="77B84C6C"/>
    <w:rsid w:val="77BE6726"/>
    <w:rsid w:val="77C27899"/>
    <w:rsid w:val="77CA1B2E"/>
    <w:rsid w:val="77CB0E43"/>
    <w:rsid w:val="77D11793"/>
    <w:rsid w:val="77D24E6D"/>
    <w:rsid w:val="77D408BE"/>
    <w:rsid w:val="77D61FC2"/>
    <w:rsid w:val="77DF177B"/>
    <w:rsid w:val="77E141C3"/>
    <w:rsid w:val="77E22B4A"/>
    <w:rsid w:val="77E60EF2"/>
    <w:rsid w:val="77E65C7D"/>
    <w:rsid w:val="77E9484B"/>
    <w:rsid w:val="77EC2001"/>
    <w:rsid w:val="77ED5F39"/>
    <w:rsid w:val="77EE1E53"/>
    <w:rsid w:val="77EF2FD8"/>
    <w:rsid w:val="77F27F35"/>
    <w:rsid w:val="77F62B13"/>
    <w:rsid w:val="77F8346B"/>
    <w:rsid w:val="77F83A0D"/>
    <w:rsid w:val="77F84E19"/>
    <w:rsid w:val="77FB0107"/>
    <w:rsid w:val="77FC4E98"/>
    <w:rsid w:val="77FE384F"/>
    <w:rsid w:val="77FE6F58"/>
    <w:rsid w:val="78000AED"/>
    <w:rsid w:val="78053B6A"/>
    <w:rsid w:val="780A371A"/>
    <w:rsid w:val="78112662"/>
    <w:rsid w:val="781E2C43"/>
    <w:rsid w:val="781F2ADF"/>
    <w:rsid w:val="78223DA9"/>
    <w:rsid w:val="78252301"/>
    <w:rsid w:val="782A6B80"/>
    <w:rsid w:val="782D5F94"/>
    <w:rsid w:val="78300CA6"/>
    <w:rsid w:val="7833229D"/>
    <w:rsid w:val="78335F25"/>
    <w:rsid w:val="78353A77"/>
    <w:rsid w:val="783A03D2"/>
    <w:rsid w:val="783B44D2"/>
    <w:rsid w:val="783B4FB9"/>
    <w:rsid w:val="783E6773"/>
    <w:rsid w:val="78420DC7"/>
    <w:rsid w:val="78462B4B"/>
    <w:rsid w:val="784C28EA"/>
    <w:rsid w:val="784D373F"/>
    <w:rsid w:val="784E72A3"/>
    <w:rsid w:val="78566F3D"/>
    <w:rsid w:val="7859267C"/>
    <w:rsid w:val="78672CC1"/>
    <w:rsid w:val="78674392"/>
    <w:rsid w:val="78674BE7"/>
    <w:rsid w:val="7872102D"/>
    <w:rsid w:val="78727511"/>
    <w:rsid w:val="7873256A"/>
    <w:rsid w:val="78754D03"/>
    <w:rsid w:val="78784138"/>
    <w:rsid w:val="78795795"/>
    <w:rsid w:val="787B1E58"/>
    <w:rsid w:val="787B7EF9"/>
    <w:rsid w:val="787D237E"/>
    <w:rsid w:val="78806858"/>
    <w:rsid w:val="7882137D"/>
    <w:rsid w:val="78852BA7"/>
    <w:rsid w:val="78874D6A"/>
    <w:rsid w:val="788D40DB"/>
    <w:rsid w:val="788E3E83"/>
    <w:rsid w:val="78921DA7"/>
    <w:rsid w:val="7892370F"/>
    <w:rsid w:val="789333DB"/>
    <w:rsid w:val="78987DC2"/>
    <w:rsid w:val="789E013A"/>
    <w:rsid w:val="78A175B1"/>
    <w:rsid w:val="78A2264B"/>
    <w:rsid w:val="78A60B56"/>
    <w:rsid w:val="78B75512"/>
    <w:rsid w:val="78B94CE3"/>
    <w:rsid w:val="78BA6415"/>
    <w:rsid w:val="78BD39B7"/>
    <w:rsid w:val="78BE5B3A"/>
    <w:rsid w:val="78C63CD5"/>
    <w:rsid w:val="78C6642D"/>
    <w:rsid w:val="78C66B49"/>
    <w:rsid w:val="78C80C2B"/>
    <w:rsid w:val="78C80EDF"/>
    <w:rsid w:val="78C91464"/>
    <w:rsid w:val="78CA0976"/>
    <w:rsid w:val="78CC3B5B"/>
    <w:rsid w:val="78CD4B70"/>
    <w:rsid w:val="78CE0BEB"/>
    <w:rsid w:val="78D96B95"/>
    <w:rsid w:val="78D975A6"/>
    <w:rsid w:val="78DE2F8C"/>
    <w:rsid w:val="78DE6954"/>
    <w:rsid w:val="78E35608"/>
    <w:rsid w:val="78E74B24"/>
    <w:rsid w:val="78EE303B"/>
    <w:rsid w:val="78EE6B97"/>
    <w:rsid w:val="78F23B75"/>
    <w:rsid w:val="78F3106D"/>
    <w:rsid w:val="78F77D47"/>
    <w:rsid w:val="7908404B"/>
    <w:rsid w:val="79086676"/>
    <w:rsid w:val="79105C36"/>
    <w:rsid w:val="79136125"/>
    <w:rsid w:val="79185562"/>
    <w:rsid w:val="791A3E30"/>
    <w:rsid w:val="791C1845"/>
    <w:rsid w:val="792434B1"/>
    <w:rsid w:val="792627D5"/>
    <w:rsid w:val="792709E0"/>
    <w:rsid w:val="79286EC4"/>
    <w:rsid w:val="792A06CF"/>
    <w:rsid w:val="792A3948"/>
    <w:rsid w:val="792E168A"/>
    <w:rsid w:val="792E51E6"/>
    <w:rsid w:val="79332791"/>
    <w:rsid w:val="7935250D"/>
    <w:rsid w:val="79385714"/>
    <w:rsid w:val="793954CC"/>
    <w:rsid w:val="793E4E7F"/>
    <w:rsid w:val="793F5645"/>
    <w:rsid w:val="79431A3C"/>
    <w:rsid w:val="79433032"/>
    <w:rsid w:val="794B58A6"/>
    <w:rsid w:val="794C1192"/>
    <w:rsid w:val="794D16E6"/>
    <w:rsid w:val="794F1534"/>
    <w:rsid w:val="79537342"/>
    <w:rsid w:val="795472CC"/>
    <w:rsid w:val="796266AB"/>
    <w:rsid w:val="79664A4C"/>
    <w:rsid w:val="796706F8"/>
    <w:rsid w:val="796E2BC0"/>
    <w:rsid w:val="797446E0"/>
    <w:rsid w:val="797846B3"/>
    <w:rsid w:val="797E7631"/>
    <w:rsid w:val="798017B9"/>
    <w:rsid w:val="79840525"/>
    <w:rsid w:val="798A763B"/>
    <w:rsid w:val="798C5BCF"/>
    <w:rsid w:val="799051D8"/>
    <w:rsid w:val="79935EC5"/>
    <w:rsid w:val="79986240"/>
    <w:rsid w:val="799A00C9"/>
    <w:rsid w:val="799D4C49"/>
    <w:rsid w:val="799F3C61"/>
    <w:rsid w:val="79B055D9"/>
    <w:rsid w:val="79B26F21"/>
    <w:rsid w:val="79B7342D"/>
    <w:rsid w:val="79BF0148"/>
    <w:rsid w:val="79D96796"/>
    <w:rsid w:val="79DB270F"/>
    <w:rsid w:val="79DC72EF"/>
    <w:rsid w:val="79E2511C"/>
    <w:rsid w:val="79E27E07"/>
    <w:rsid w:val="79E4117D"/>
    <w:rsid w:val="79E8799A"/>
    <w:rsid w:val="79EA5F42"/>
    <w:rsid w:val="79EB30D7"/>
    <w:rsid w:val="79F26347"/>
    <w:rsid w:val="79F3642F"/>
    <w:rsid w:val="79F53F55"/>
    <w:rsid w:val="79F70C69"/>
    <w:rsid w:val="79FC3536"/>
    <w:rsid w:val="79FC53E1"/>
    <w:rsid w:val="7A03748F"/>
    <w:rsid w:val="7A050AF5"/>
    <w:rsid w:val="7A075712"/>
    <w:rsid w:val="7A0B2436"/>
    <w:rsid w:val="7A0C35DB"/>
    <w:rsid w:val="7A0C6B24"/>
    <w:rsid w:val="7A120216"/>
    <w:rsid w:val="7A1545F8"/>
    <w:rsid w:val="7A1F22D8"/>
    <w:rsid w:val="7A2100EE"/>
    <w:rsid w:val="7A214D4A"/>
    <w:rsid w:val="7A301431"/>
    <w:rsid w:val="7A3A1DAB"/>
    <w:rsid w:val="7A3F5CBD"/>
    <w:rsid w:val="7A462A03"/>
    <w:rsid w:val="7A4867CF"/>
    <w:rsid w:val="7A4B626B"/>
    <w:rsid w:val="7A4F4E61"/>
    <w:rsid w:val="7A533BF9"/>
    <w:rsid w:val="7A5549F4"/>
    <w:rsid w:val="7A5769BE"/>
    <w:rsid w:val="7A585F5E"/>
    <w:rsid w:val="7A624648"/>
    <w:rsid w:val="7A685411"/>
    <w:rsid w:val="7A6C2727"/>
    <w:rsid w:val="7A6D2EA5"/>
    <w:rsid w:val="7A6E73C4"/>
    <w:rsid w:val="7A777060"/>
    <w:rsid w:val="7A78195D"/>
    <w:rsid w:val="7A7D6DB5"/>
    <w:rsid w:val="7A7F1A71"/>
    <w:rsid w:val="7A805FDB"/>
    <w:rsid w:val="7A832E2E"/>
    <w:rsid w:val="7A833A17"/>
    <w:rsid w:val="7A895F3F"/>
    <w:rsid w:val="7A8C5E48"/>
    <w:rsid w:val="7A9E78F9"/>
    <w:rsid w:val="7AA5069A"/>
    <w:rsid w:val="7AA650D6"/>
    <w:rsid w:val="7AA80FB9"/>
    <w:rsid w:val="7AB177C2"/>
    <w:rsid w:val="7AB54C63"/>
    <w:rsid w:val="7AB94EE7"/>
    <w:rsid w:val="7ABF5295"/>
    <w:rsid w:val="7AC471CD"/>
    <w:rsid w:val="7AC65577"/>
    <w:rsid w:val="7AC73363"/>
    <w:rsid w:val="7ACD0E8F"/>
    <w:rsid w:val="7ACE47F6"/>
    <w:rsid w:val="7ACE4ED2"/>
    <w:rsid w:val="7AD746DB"/>
    <w:rsid w:val="7ADD398F"/>
    <w:rsid w:val="7ADF07EB"/>
    <w:rsid w:val="7ADF089C"/>
    <w:rsid w:val="7AE30252"/>
    <w:rsid w:val="7AF25F5A"/>
    <w:rsid w:val="7AF45692"/>
    <w:rsid w:val="7AF5188E"/>
    <w:rsid w:val="7AF800DB"/>
    <w:rsid w:val="7AFE1A5B"/>
    <w:rsid w:val="7B000674"/>
    <w:rsid w:val="7B041893"/>
    <w:rsid w:val="7B087CB8"/>
    <w:rsid w:val="7B0C4543"/>
    <w:rsid w:val="7B114EF9"/>
    <w:rsid w:val="7B15439B"/>
    <w:rsid w:val="7B183D70"/>
    <w:rsid w:val="7B1B5C3E"/>
    <w:rsid w:val="7B1D6138"/>
    <w:rsid w:val="7B223EB4"/>
    <w:rsid w:val="7B266095"/>
    <w:rsid w:val="7B275E99"/>
    <w:rsid w:val="7B2F5245"/>
    <w:rsid w:val="7B335289"/>
    <w:rsid w:val="7B3750B8"/>
    <w:rsid w:val="7B496C8F"/>
    <w:rsid w:val="7B4E1B6F"/>
    <w:rsid w:val="7B4F2CD9"/>
    <w:rsid w:val="7B5104FA"/>
    <w:rsid w:val="7B522EEA"/>
    <w:rsid w:val="7B533C93"/>
    <w:rsid w:val="7B5717BB"/>
    <w:rsid w:val="7B591F99"/>
    <w:rsid w:val="7B5A6766"/>
    <w:rsid w:val="7B5C44D9"/>
    <w:rsid w:val="7B6638C5"/>
    <w:rsid w:val="7B665864"/>
    <w:rsid w:val="7B6A44CF"/>
    <w:rsid w:val="7B6C262C"/>
    <w:rsid w:val="7B6E01E2"/>
    <w:rsid w:val="7B6E242C"/>
    <w:rsid w:val="7B6F6EBE"/>
    <w:rsid w:val="7B7031BA"/>
    <w:rsid w:val="7B7B0314"/>
    <w:rsid w:val="7B892B01"/>
    <w:rsid w:val="7B8A279B"/>
    <w:rsid w:val="7B9A221D"/>
    <w:rsid w:val="7B9F23CB"/>
    <w:rsid w:val="7BA479E1"/>
    <w:rsid w:val="7BAF54F2"/>
    <w:rsid w:val="7BBC782E"/>
    <w:rsid w:val="7BC75BA4"/>
    <w:rsid w:val="7BCA5212"/>
    <w:rsid w:val="7BD07A13"/>
    <w:rsid w:val="7BDC6071"/>
    <w:rsid w:val="7BDF41EE"/>
    <w:rsid w:val="7BE151A8"/>
    <w:rsid w:val="7BE21BA0"/>
    <w:rsid w:val="7BE2675B"/>
    <w:rsid w:val="7BE47B29"/>
    <w:rsid w:val="7BE75686"/>
    <w:rsid w:val="7BE97AEA"/>
    <w:rsid w:val="7BEE135F"/>
    <w:rsid w:val="7BF0583E"/>
    <w:rsid w:val="7BF2157F"/>
    <w:rsid w:val="7BF41AF0"/>
    <w:rsid w:val="7BF6215F"/>
    <w:rsid w:val="7BF969FB"/>
    <w:rsid w:val="7BFA2581"/>
    <w:rsid w:val="7BFE3774"/>
    <w:rsid w:val="7BFE52D4"/>
    <w:rsid w:val="7C043C91"/>
    <w:rsid w:val="7C070FA8"/>
    <w:rsid w:val="7C0B0CE2"/>
    <w:rsid w:val="7C115574"/>
    <w:rsid w:val="7C191438"/>
    <w:rsid w:val="7C1C1C6D"/>
    <w:rsid w:val="7C2073F8"/>
    <w:rsid w:val="7C2161AD"/>
    <w:rsid w:val="7C22617C"/>
    <w:rsid w:val="7C26489A"/>
    <w:rsid w:val="7C372AEF"/>
    <w:rsid w:val="7C39208E"/>
    <w:rsid w:val="7C3C2310"/>
    <w:rsid w:val="7C3F595C"/>
    <w:rsid w:val="7C404545"/>
    <w:rsid w:val="7C413482"/>
    <w:rsid w:val="7C4502BA"/>
    <w:rsid w:val="7C4E2972"/>
    <w:rsid w:val="7C4F3DDD"/>
    <w:rsid w:val="7C5958D2"/>
    <w:rsid w:val="7C5C650E"/>
    <w:rsid w:val="7C5D65E7"/>
    <w:rsid w:val="7C5F19D9"/>
    <w:rsid w:val="7C607D9B"/>
    <w:rsid w:val="7C613637"/>
    <w:rsid w:val="7C613B24"/>
    <w:rsid w:val="7C62453B"/>
    <w:rsid w:val="7C684EB3"/>
    <w:rsid w:val="7C6F19F8"/>
    <w:rsid w:val="7C722E54"/>
    <w:rsid w:val="7C725D31"/>
    <w:rsid w:val="7C817D22"/>
    <w:rsid w:val="7C991998"/>
    <w:rsid w:val="7CAE2B46"/>
    <w:rsid w:val="7CC17972"/>
    <w:rsid w:val="7CC55296"/>
    <w:rsid w:val="7CCC28CE"/>
    <w:rsid w:val="7CD42548"/>
    <w:rsid w:val="7CD57206"/>
    <w:rsid w:val="7CD90FB5"/>
    <w:rsid w:val="7CD961DE"/>
    <w:rsid w:val="7CDB259A"/>
    <w:rsid w:val="7CE35ED3"/>
    <w:rsid w:val="7CE8121C"/>
    <w:rsid w:val="7CED2409"/>
    <w:rsid w:val="7CEE5968"/>
    <w:rsid w:val="7CF56BBB"/>
    <w:rsid w:val="7CFC0E94"/>
    <w:rsid w:val="7CFC2652"/>
    <w:rsid w:val="7D016A17"/>
    <w:rsid w:val="7D041D7E"/>
    <w:rsid w:val="7D086E03"/>
    <w:rsid w:val="7D092933"/>
    <w:rsid w:val="7D0C3A90"/>
    <w:rsid w:val="7D0E301C"/>
    <w:rsid w:val="7D1666BD"/>
    <w:rsid w:val="7D1B127F"/>
    <w:rsid w:val="7D1C09A4"/>
    <w:rsid w:val="7D1C2C66"/>
    <w:rsid w:val="7D1F7C67"/>
    <w:rsid w:val="7D25716B"/>
    <w:rsid w:val="7D2A7D19"/>
    <w:rsid w:val="7D2B2472"/>
    <w:rsid w:val="7D2E3790"/>
    <w:rsid w:val="7D382288"/>
    <w:rsid w:val="7D3F4618"/>
    <w:rsid w:val="7D4013AE"/>
    <w:rsid w:val="7D41349D"/>
    <w:rsid w:val="7D4F3C5D"/>
    <w:rsid w:val="7D5873CE"/>
    <w:rsid w:val="7D5C2001"/>
    <w:rsid w:val="7D5C3DEA"/>
    <w:rsid w:val="7D630A1F"/>
    <w:rsid w:val="7D63567A"/>
    <w:rsid w:val="7D6977A4"/>
    <w:rsid w:val="7D6A11C9"/>
    <w:rsid w:val="7D6A6A08"/>
    <w:rsid w:val="7D707478"/>
    <w:rsid w:val="7D71219F"/>
    <w:rsid w:val="7D7262CB"/>
    <w:rsid w:val="7D756541"/>
    <w:rsid w:val="7D7D38AF"/>
    <w:rsid w:val="7D7E2B4B"/>
    <w:rsid w:val="7D7F2B25"/>
    <w:rsid w:val="7D842EFC"/>
    <w:rsid w:val="7D8D0E9A"/>
    <w:rsid w:val="7D903659"/>
    <w:rsid w:val="7D907549"/>
    <w:rsid w:val="7D9C2204"/>
    <w:rsid w:val="7D9E58DA"/>
    <w:rsid w:val="7DA41592"/>
    <w:rsid w:val="7DA77C5D"/>
    <w:rsid w:val="7DA95783"/>
    <w:rsid w:val="7DAE696F"/>
    <w:rsid w:val="7DB04464"/>
    <w:rsid w:val="7DBA15DB"/>
    <w:rsid w:val="7DBD4D8A"/>
    <w:rsid w:val="7DBF0B02"/>
    <w:rsid w:val="7DC46119"/>
    <w:rsid w:val="7DC7587D"/>
    <w:rsid w:val="7DCA2C19"/>
    <w:rsid w:val="7DD122FD"/>
    <w:rsid w:val="7DD50326"/>
    <w:rsid w:val="7DD54B44"/>
    <w:rsid w:val="7DD764C3"/>
    <w:rsid w:val="7DD87E16"/>
    <w:rsid w:val="7DDB6E4D"/>
    <w:rsid w:val="7DE243CC"/>
    <w:rsid w:val="7DE362A0"/>
    <w:rsid w:val="7DE74548"/>
    <w:rsid w:val="7DE91197"/>
    <w:rsid w:val="7DE96E85"/>
    <w:rsid w:val="7DEA12B2"/>
    <w:rsid w:val="7DEC0664"/>
    <w:rsid w:val="7DF06F55"/>
    <w:rsid w:val="7DF70304"/>
    <w:rsid w:val="7DF74740"/>
    <w:rsid w:val="7DF80277"/>
    <w:rsid w:val="7DFA08EC"/>
    <w:rsid w:val="7DFB5A75"/>
    <w:rsid w:val="7DFD1D38"/>
    <w:rsid w:val="7DFD2206"/>
    <w:rsid w:val="7E027E75"/>
    <w:rsid w:val="7E050FFC"/>
    <w:rsid w:val="7E074A12"/>
    <w:rsid w:val="7E0A305C"/>
    <w:rsid w:val="7E0E7D9F"/>
    <w:rsid w:val="7E0F5D32"/>
    <w:rsid w:val="7E132380"/>
    <w:rsid w:val="7E1806F4"/>
    <w:rsid w:val="7E1906DF"/>
    <w:rsid w:val="7E235535"/>
    <w:rsid w:val="7E24305B"/>
    <w:rsid w:val="7E250E45"/>
    <w:rsid w:val="7E2748F9"/>
    <w:rsid w:val="7E291C61"/>
    <w:rsid w:val="7E2A1A10"/>
    <w:rsid w:val="7E2D63B4"/>
    <w:rsid w:val="7E316C4B"/>
    <w:rsid w:val="7E3171EB"/>
    <w:rsid w:val="7E346209"/>
    <w:rsid w:val="7E357016"/>
    <w:rsid w:val="7E3A462D"/>
    <w:rsid w:val="7E404DF7"/>
    <w:rsid w:val="7E461F0B"/>
    <w:rsid w:val="7E470E75"/>
    <w:rsid w:val="7E4810DA"/>
    <w:rsid w:val="7E5705B5"/>
    <w:rsid w:val="7E5F22E5"/>
    <w:rsid w:val="7E614BAE"/>
    <w:rsid w:val="7E6366E8"/>
    <w:rsid w:val="7E64422F"/>
    <w:rsid w:val="7E686ABB"/>
    <w:rsid w:val="7E714DD5"/>
    <w:rsid w:val="7E723DC7"/>
    <w:rsid w:val="7E782989"/>
    <w:rsid w:val="7E7A1835"/>
    <w:rsid w:val="7E7C5973"/>
    <w:rsid w:val="7E7C6AC5"/>
    <w:rsid w:val="7E8044BA"/>
    <w:rsid w:val="7E931115"/>
    <w:rsid w:val="7E933A3A"/>
    <w:rsid w:val="7E953F59"/>
    <w:rsid w:val="7E99479B"/>
    <w:rsid w:val="7E9B156F"/>
    <w:rsid w:val="7E9C174F"/>
    <w:rsid w:val="7EA05037"/>
    <w:rsid w:val="7EA45F4A"/>
    <w:rsid w:val="7EA53A59"/>
    <w:rsid w:val="7EA662D6"/>
    <w:rsid w:val="7EAF6DC9"/>
    <w:rsid w:val="7EB0669D"/>
    <w:rsid w:val="7EB824BB"/>
    <w:rsid w:val="7EB9579A"/>
    <w:rsid w:val="7EBC3294"/>
    <w:rsid w:val="7EBE700C"/>
    <w:rsid w:val="7EC01363"/>
    <w:rsid w:val="7EC301BA"/>
    <w:rsid w:val="7EC45EE7"/>
    <w:rsid w:val="7ECC561E"/>
    <w:rsid w:val="7ECD0DB6"/>
    <w:rsid w:val="7ED352EB"/>
    <w:rsid w:val="7ED80AC2"/>
    <w:rsid w:val="7EE06F82"/>
    <w:rsid w:val="7EE60311"/>
    <w:rsid w:val="7EE920D4"/>
    <w:rsid w:val="7EEE1CB5"/>
    <w:rsid w:val="7EF01F02"/>
    <w:rsid w:val="7EF03A20"/>
    <w:rsid w:val="7EF60B9D"/>
    <w:rsid w:val="7EF95A21"/>
    <w:rsid w:val="7F042A7A"/>
    <w:rsid w:val="7F0805BF"/>
    <w:rsid w:val="7F0B0ED0"/>
    <w:rsid w:val="7F0D11CF"/>
    <w:rsid w:val="7F0F41C1"/>
    <w:rsid w:val="7F1871A2"/>
    <w:rsid w:val="7F196D36"/>
    <w:rsid w:val="7F1C4809"/>
    <w:rsid w:val="7F2059FB"/>
    <w:rsid w:val="7F2340FE"/>
    <w:rsid w:val="7F2C7888"/>
    <w:rsid w:val="7F2E0344"/>
    <w:rsid w:val="7F345867"/>
    <w:rsid w:val="7F382965"/>
    <w:rsid w:val="7F3B26C0"/>
    <w:rsid w:val="7F3F05E9"/>
    <w:rsid w:val="7F48109B"/>
    <w:rsid w:val="7F4840D7"/>
    <w:rsid w:val="7F517B93"/>
    <w:rsid w:val="7F54477B"/>
    <w:rsid w:val="7F550C21"/>
    <w:rsid w:val="7F5931D8"/>
    <w:rsid w:val="7F601E71"/>
    <w:rsid w:val="7F651B7D"/>
    <w:rsid w:val="7F6E4E40"/>
    <w:rsid w:val="7F761BA3"/>
    <w:rsid w:val="7F767663"/>
    <w:rsid w:val="7F7B7EFF"/>
    <w:rsid w:val="7F7E3BCD"/>
    <w:rsid w:val="7F7E74DF"/>
    <w:rsid w:val="7F8619B8"/>
    <w:rsid w:val="7F8741E9"/>
    <w:rsid w:val="7F903BC9"/>
    <w:rsid w:val="7F9614A8"/>
    <w:rsid w:val="7F966D06"/>
    <w:rsid w:val="7F97567E"/>
    <w:rsid w:val="7F9D2691"/>
    <w:rsid w:val="7FA56B50"/>
    <w:rsid w:val="7FA711ED"/>
    <w:rsid w:val="7FA72E76"/>
    <w:rsid w:val="7FA87708"/>
    <w:rsid w:val="7FA970AB"/>
    <w:rsid w:val="7FAA1D85"/>
    <w:rsid w:val="7FAA6AC8"/>
    <w:rsid w:val="7FAC3308"/>
    <w:rsid w:val="7FAD250F"/>
    <w:rsid w:val="7FAD2BF0"/>
    <w:rsid w:val="7FAE4947"/>
    <w:rsid w:val="7FB26F74"/>
    <w:rsid w:val="7FB705AE"/>
    <w:rsid w:val="7FCA6A74"/>
    <w:rsid w:val="7FCF6872"/>
    <w:rsid w:val="7FD2420F"/>
    <w:rsid w:val="7FD46F3A"/>
    <w:rsid w:val="7FE26D2A"/>
    <w:rsid w:val="7FE42AA2"/>
    <w:rsid w:val="7FEE56CF"/>
    <w:rsid w:val="7FF03CFF"/>
    <w:rsid w:val="7FF30E14"/>
    <w:rsid w:val="7FF423CE"/>
    <w:rsid w:val="7FF62E59"/>
    <w:rsid w:val="7FFD4A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iPriority="9" w:semiHidden="0" w:name="heading 6"/>
    <w:lsdException w:qFormat="1" w:unhideWhenUsed="0" w:uiPriority="9" w:name="heading 7"/>
    <w:lsdException w:qFormat="1" w:unhideWhenUsed="0" w:uiPriority="9" w:name="heading 8"/>
    <w:lsdException w:qFormat="1" w:unhideWhenUsed="0"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qFormat="1"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qFormat="1" w:uiPriority="39" w:name="toc 7"/>
    <w:lsdException w:uiPriority="39" w:name="toc 8"/>
    <w:lsdException w:uiPriority="39" w:name="toc 9"/>
    <w:lsdException w:qFormat="1" w:uiPriority="99" w:name="Normal Indent"/>
    <w:lsdException w:uiPriority="99" w:name="footnote text"/>
    <w:lsdException w:qFormat="1" w:uiPriority="99" w:name="annotation text"/>
    <w:lsdException w:qFormat="1" w:unhideWhenUsed="0" w:uiPriority="0" w:semiHidden="0" w:name="header"/>
    <w:lsdException w:qFormat="1" w:unhideWhenUsed="0" w:uiPriority="0" w:semiHidden="0" w:name="footer"/>
    <w:lsdException w:uiPriority="99" w:name="index heading"/>
    <w:lsdException w:qFormat="1"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99" w:semiHidden="0" w:name="List"/>
    <w:lsdException w:uiPriority="99" w:name="List Bullet"/>
    <w:lsdException w:uiPriority="99" w:name="List Number"/>
    <w:lsdException w:uiPriority="99"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qFormat="1"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qFormat="1" w:uiPriority="99"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5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heme="minorHAnsi" w:hAnsiTheme="minorHAnsi" w:eastAsiaTheme="minorEastAsia" w:cstheme="minorBidi"/>
      <w:kern w:val="2"/>
      <w:sz w:val="21"/>
      <w:szCs w:val="21"/>
      <w:lang w:val="en-US" w:eastAsia="zh-CN" w:bidi="ar-SA"/>
    </w:rPr>
  </w:style>
  <w:style w:type="paragraph" w:styleId="2">
    <w:name w:val="heading 1"/>
    <w:basedOn w:val="1"/>
    <w:next w:val="1"/>
    <w:link w:val="92"/>
    <w:qFormat/>
    <w:uiPriority w:val="9"/>
    <w:pPr>
      <w:keepNext/>
      <w:keepLines/>
      <w:numPr>
        <w:ilvl w:val="0"/>
        <w:numId w:val="1"/>
      </w:numPr>
      <w:spacing w:before="200" w:beforeLines="200" w:after="100" w:afterLines="100" w:line="400" w:lineRule="exact"/>
      <w:ind w:left="0"/>
      <w:jc w:val="center"/>
      <w:outlineLvl w:val="0"/>
    </w:pPr>
    <w:rPr>
      <w:rFonts w:ascii="Times New Roman" w:hAnsi="Times New Roman"/>
      <w:b/>
      <w:bCs/>
      <w:kern w:val="44"/>
      <w:sz w:val="32"/>
      <w:szCs w:val="44"/>
    </w:rPr>
  </w:style>
  <w:style w:type="paragraph" w:styleId="3">
    <w:name w:val="heading 2"/>
    <w:basedOn w:val="1"/>
    <w:next w:val="1"/>
    <w:link w:val="97"/>
    <w:qFormat/>
    <w:uiPriority w:val="9"/>
    <w:pPr>
      <w:keepNext/>
      <w:keepLines/>
      <w:numPr>
        <w:ilvl w:val="1"/>
        <w:numId w:val="1"/>
      </w:numPr>
      <w:spacing w:before="50" w:beforeLines="50" w:after="50" w:afterLines="50" w:line="400" w:lineRule="exact"/>
      <w:jc w:val="left"/>
      <w:outlineLvl w:val="1"/>
    </w:pPr>
    <w:rPr>
      <w:rFonts w:ascii="Times New Roman" w:hAnsi="Times New Roman" w:cstheme="majorBidi"/>
      <w:b/>
      <w:bCs/>
      <w:sz w:val="28"/>
      <w:szCs w:val="32"/>
    </w:rPr>
  </w:style>
  <w:style w:type="paragraph" w:styleId="4">
    <w:name w:val="heading 3"/>
    <w:basedOn w:val="1"/>
    <w:next w:val="1"/>
    <w:link w:val="98"/>
    <w:qFormat/>
    <w:uiPriority w:val="9"/>
    <w:pPr>
      <w:keepNext/>
      <w:keepLines/>
      <w:numPr>
        <w:ilvl w:val="2"/>
        <w:numId w:val="1"/>
      </w:numPr>
      <w:spacing w:before="30" w:beforeLines="30" w:after="120"/>
      <w:outlineLvl w:val="2"/>
    </w:pPr>
    <w:rPr>
      <w:rFonts w:ascii="Times New Roman" w:hAnsi="Times New Roman"/>
      <w:b/>
      <w:bCs/>
      <w:sz w:val="24"/>
      <w:szCs w:val="32"/>
    </w:rPr>
  </w:style>
  <w:style w:type="paragraph" w:styleId="5">
    <w:name w:val="heading 4"/>
    <w:basedOn w:val="1"/>
    <w:next w:val="1"/>
    <w:link w:val="93"/>
    <w:qFormat/>
    <w:uiPriority w:val="9"/>
    <w:pPr>
      <w:keepNext/>
      <w:keepLines/>
      <w:numPr>
        <w:ilvl w:val="3"/>
        <w:numId w:val="1"/>
      </w:numPr>
      <w:outlineLvl w:val="3"/>
    </w:pPr>
    <w:rPr>
      <w:rFonts w:ascii="Times New Roman" w:hAnsi="Times New Roman" w:cstheme="majorBidi"/>
      <w:b/>
      <w:bCs/>
      <w:sz w:val="24"/>
      <w:szCs w:val="28"/>
    </w:rPr>
  </w:style>
  <w:style w:type="paragraph" w:styleId="6">
    <w:name w:val="heading 5"/>
    <w:basedOn w:val="1"/>
    <w:next w:val="1"/>
    <w:link w:val="94"/>
    <w:qFormat/>
    <w:uiPriority w:val="9"/>
    <w:pPr>
      <w:keepNext/>
      <w:keepLines/>
      <w:numPr>
        <w:ilvl w:val="4"/>
        <w:numId w:val="2"/>
      </w:numPr>
      <w:outlineLvl w:val="4"/>
    </w:pPr>
    <w:rPr>
      <w:rFonts w:ascii="Times New Roman" w:hAnsi="Times New Roman" w:eastAsia="宋体" w:cs="Times New Roman"/>
      <w:bCs/>
      <w:sz w:val="24"/>
      <w:szCs w:val="28"/>
    </w:rPr>
  </w:style>
  <w:style w:type="paragraph" w:styleId="7">
    <w:name w:val="heading 6"/>
    <w:basedOn w:val="1"/>
    <w:next w:val="1"/>
    <w:unhideWhenUsed/>
    <w:qFormat/>
    <w:uiPriority w:val="9"/>
    <w:pPr>
      <w:keepNext/>
      <w:keepLines/>
      <w:ind w:firstLine="0" w:firstLineChars="0"/>
      <w:outlineLvl w:val="5"/>
    </w:pPr>
    <w:rPr>
      <w:rFonts w:asciiTheme="majorHAnsi" w:hAnsiTheme="majorHAnsi" w:eastAsiaTheme="majorEastAsia" w:cstheme="majorBidi"/>
      <w:b/>
      <w:bCs/>
      <w:szCs w:val="24"/>
    </w:rPr>
  </w:style>
  <w:style w:type="character" w:default="1" w:styleId="37">
    <w:name w:val="Default Paragraph Font"/>
    <w:semiHidden/>
    <w:unhideWhenUsed/>
    <w:qFormat/>
    <w:uiPriority w:val="1"/>
  </w:style>
  <w:style w:type="table" w:default="1" w:styleId="35">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8">
    <w:name w:val="List 3"/>
    <w:basedOn w:val="1"/>
    <w:qFormat/>
    <w:uiPriority w:val="0"/>
    <w:pPr>
      <w:adjustRightInd w:val="0"/>
      <w:snapToGrid w:val="0"/>
      <w:spacing w:line="240" w:lineRule="auto"/>
      <w:ind w:left="0" w:leftChars="0" w:firstLine="0" w:firstLineChars="0"/>
      <w:jc w:val="center"/>
    </w:pPr>
    <w:rPr>
      <w:kern w:val="2"/>
      <w:sz w:val="21"/>
    </w:rPr>
  </w:style>
  <w:style w:type="paragraph" w:styleId="9">
    <w:name w:val="toc 7"/>
    <w:basedOn w:val="1"/>
    <w:next w:val="1"/>
    <w:semiHidden/>
    <w:unhideWhenUsed/>
    <w:qFormat/>
    <w:uiPriority w:val="39"/>
    <w:pPr>
      <w:ind w:left="2520" w:leftChars="1200"/>
    </w:pPr>
  </w:style>
  <w:style w:type="paragraph" w:styleId="10">
    <w:name w:val="Normal Indent"/>
    <w:basedOn w:val="1"/>
    <w:semiHidden/>
    <w:unhideWhenUsed/>
    <w:qFormat/>
    <w:uiPriority w:val="99"/>
    <w:pPr>
      <w:ind w:firstLine="420" w:firstLineChars="200"/>
    </w:pPr>
  </w:style>
  <w:style w:type="paragraph" w:styleId="11">
    <w:name w:val="caption"/>
    <w:basedOn w:val="1"/>
    <w:next w:val="1"/>
    <w:link w:val="158"/>
    <w:unhideWhenUsed/>
    <w:qFormat/>
    <w:uiPriority w:val="0"/>
    <w:pPr>
      <w:spacing w:line="240" w:lineRule="auto"/>
      <w:jc w:val="center"/>
    </w:pPr>
    <w:rPr>
      <w:rFonts w:ascii="Times New Roman" w:hAnsi="Times New Roman" w:eastAsia="宋体" w:cstheme="majorBidi"/>
      <w:b/>
      <w:szCs w:val="20"/>
    </w:rPr>
  </w:style>
  <w:style w:type="paragraph" w:styleId="12">
    <w:name w:val="toa heading"/>
    <w:basedOn w:val="1"/>
    <w:next w:val="1"/>
    <w:autoRedefine/>
    <w:qFormat/>
    <w:uiPriority w:val="0"/>
    <w:rPr>
      <w:rFonts w:ascii="Arial" w:hAnsi="Arial"/>
      <w:sz w:val="24"/>
    </w:rPr>
  </w:style>
  <w:style w:type="paragraph" w:styleId="13">
    <w:name w:val="annotation text"/>
    <w:basedOn w:val="1"/>
    <w:link w:val="66"/>
    <w:semiHidden/>
    <w:unhideWhenUsed/>
    <w:qFormat/>
    <w:uiPriority w:val="99"/>
    <w:pPr>
      <w:jc w:val="left"/>
    </w:pPr>
  </w:style>
  <w:style w:type="paragraph" w:styleId="14">
    <w:name w:val="Body Text"/>
    <w:basedOn w:val="1"/>
    <w:link w:val="99"/>
    <w:autoRedefine/>
    <w:qFormat/>
    <w:uiPriority w:val="0"/>
    <w:pPr>
      <w:ind w:firstLine="200" w:firstLineChars="200"/>
    </w:pPr>
    <w:rPr>
      <w:rFonts w:ascii="Times New Roman" w:hAnsi="Times New Roman"/>
      <w:sz w:val="24"/>
    </w:rPr>
  </w:style>
  <w:style w:type="paragraph" w:styleId="15">
    <w:name w:val="Body Text Indent"/>
    <w:basedOn w:val="1"/>
    <w:next w:val="1"/>
    <w:link w:val="95"/>
    <w:semiHidden/>
    <w:unhideWhenUsed/>
    <w:qFormat/>
    <w:uiPriority w:val="99"/>
    <w:pPr>
      <w:spacing w:after="120"/>
      <w:ind w:left="420" w:leftChars="200"/>
    </w:pPr>
  </w:style>
  <w:style w:type="paragraph" w:styleId="16">
    <w:name w:val="Plain Text"/>
    <w:basedOn w:val="1"/>
    <w:qFormat/>
    <w:uiPriority w:val="0"/>
    <w:rPr>
      <w:rFonts w:ascii="宋体" w:hAnsi="Courier New"/>
      <w:sz w:val="28"/>
      <w:szCs w:val="20"/>
    </w:rPr>
  </w:style>
  <w:style w:type="paragraph" w:styleId="17">
    <w:name w:val="List Bullet 5"/>
    <w:basedOn w:val="1"/>
    <w:autoRedefine/>
    <w:semiHidden/>
    <w:unhideWhenUsed/>
    <w:qFormat/>
    <w:uiPriority w:val="99"/>
    <w:pPr>
      <w:numPr>
        <w:ilvl w:val="0"/>
        <w:numId w:val="3"/>
      </w:numPr>
    </w:pPr>
  </w:style>
  <w:style w:type="paragraph" w:styleId="18">
    <w:name w:val="Body Text Indent 2"/>
    <w:basedOn w:val="1"/>
    <w:next w:val="19"/>
    <w:autoRedefine/>
    <w:qFormat/>
    <w:uiPriority w:val="0"/>
    <w:pPr>
      <w:spacing w:line="360" w:lineRule="auto"/>
      <w:ind w:firstLine="643" w:firstLineChars="200"/>
    </w:pPr>
    <w:rPr>
      <w:rFonts w:ascii="Times New Roman" w:hAnsi="Times New Roman" w:eastAsia="宋体" w:cs="Times New Roman"/>
      <w:sz w:val="24"/>
      <w:szCs w:val="20"/>
    </w:rPr>
  </w:style>
  <w:style w:type="paragraph" w:customStyle="1" w:styleId="19">
    <w:name w:val="样式 正文文本缩进 2 + 自动设置 行距: 1.5 倍行距"/>
    <w:basedOn w:val="1"/>
    <w:next w:val="1"/>
    <w:autoRedefine/>
    <w:qFormat/>
    <w:uiPriority w:val="0"/>
  </w:style>
  <w:style w:type="paragraph" w:styleId="20">
    <w:name w:val="Balloon Text"/>
    <w:basedOn w:val="1"/>
    <w:link w:val="64"/>
    <w:autoRedefine/>
    <w:semiHidden/>
    <w:unhideWhenUsed/>
    <w:qFormat/>
    <w:uiPriority w:val="99"/>
    <w:pPr>
      <w:spacing w:line="240" w:lineRule="auto"/>
    </w:pPr>
    <w:rPr>
      <w:sz w:val="18"/>
      <w:szCs w:val="18"/>
    </w:rPr>
  </w:style>
  <w:style w:type="paragraph" w:styleId="21">
    <w:name w:val="footer"/>
    <w:basedOn w:val="1"/>
    <w:link w:val="49"/>
    <w:qFormat/>
    <w:uiPriority w:val="0"/>
    <w:pPr>
      <w:tabs>
        <w:tab w:val="center" w:pos="4153"/>
        <w:tab w:val="right" w:pos="8306"/>
      </w:tabs>
      <w:snapToGrid w:val="0"/>
      <w:jc w:val="left"/>
    </w:pPr>
    <w:rPr>
      <w:sz w:val="18"/>
      <w:szCs w:val="18"/>
    </w:rPr>
  </w:style>
  <w:style w:type="paragraph" w:styleId="22">
    <w:name w:val="header"/>
    <w:basedOn w:val="1"/>
    <w:link w:val="50"/>
    <w:autoRedefine/>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unhideWhenUsed/>
    <w:qFormat/>
    <w:uiPriority w:val="39"/>
    <w:pPr>
      <w:tabs>
        <w:tab w:val="right" w:leader="dot" w:pos="9060"/>
      </w:tabs>
    </w:pPr>
    <w:rPr>
      <w:rFonts w:ascii="Times New Roman" w:hAnsi="Times New Roman" w:eastAsia="宋体"/>
      <w:b/>
    </w:rPr>
  </w:style>
  <w:style w:type="paragraph" w:styleId="24">
    <w:name w:val="List"/>
    <w:basedOn w:val="1"/>
    <w:autoRedefine/>
    <w:qFormat/>
    <w:uiPriority w:val="99"/>
    <w:pPr>
      <w:spacing w:line="360" w:lineRule="auto"/>
      <w:ind w:left="200" w:hanging="200" w:hangingChars="200"/>
    </w:pPr>
    <w:rPr>
      <w:sz w:val="24"/>
    </w:rPr>
  </w:style>
  <w:style w:type="paragraph" w:styleId="25">
    <w:name w:val="Body Text Indent 3"/>
    <w:basedOn w:val="1"/>
    <w:link w:val="79"/>
    <w:semiHidden/>
    <w:unhideWhenUsed/>
    <w:qFormat/>
    <w:uiPriority w:val="99"/>
    <w:pPr>
      <w:spacing w:after="120"/>
      <w:ind w:left="420" w:leftChars="200"/>
    </w:pPr>
    <w:rPr>
      <w:sz w:val="16"/>
      <w:szCs w:val="16"/>
    </w:rPr>
  </w:style>
  <w:style w:type="paragraph" w:styleId="26">
    <w:name w:val="index 7"/>
    <w:basedOn w:val="1"/>
    <w:next w:val="1"/>
    <w:autoRedefine/>
    <w:semiHidden/>
    <w:unhideWhenUsed/>
    <w:qFormat/>
    <w:uiPriority w:val="99"/>
    <w:pPr>
      <w:ind w:left="1200" w:leftChars="1200"/>
    </w:pPr>
  </w:style>
  <w:style w:type="paragraph" w:styleId="27">
    <w:name w:val="table of figures"/>
    <w:basedOn w:val="1"/>
    <w:next w:val="1"/>
    <w:qFormat/>
    <w:uiPriority w:val="0"/>
  </w:style>
  <w:style w:type="paragraph" w:styleId="28">
    <w:name w:val="toc 2"/>
    <w:basedOn w:val="1"/>
    <w:next w:val="1"/>
    <w:unhideWhenUsed/>
    <w:qFormat/>
    <w:uiPriority w:val="39"/>
    <w:pPr>
      <w:ind w:left="420" w:leftChars="200"/>
    </w:pPr>
  </w:style>
  <w:style w:type="paragraph" w:styleId="29">
    <w:name w:val="HTML Preformatted"/>
    <w:basedOn w:val="1"/>
    <w:autoRedefine/>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30">
    <w:name w:val="Normal (Web)"/>
    <w:basedOn w:val="1"/>
    <w:autoRedefine/>
    <w:qFormat/>
    <w:uiPriority w:val="0"/>
    <w:pPr>
      <w:widowControl/>
      <w:spacing w:before="100" w:beforeAutospacing="1" w:after="100" w:afterAutospacing="1" w:line="240" w:lineRule="auto"/>
      <w:jc w:val="left"/>
    </w:pPr>
    <w:rPr>
      <w:rFonts w:ascii="宋体" w:hAnsi="宋体" w:eastAsia="宋体" w:cs="Microsoft JhengHei Light"/>
      <w:kern w:val="0"/>
      <w:sz w:val="24"/>
      <w:szCs w:val="20"/>
    </w:rPr>
  </w:style>
  <w:style w:type="paragraph" w:styleId="31">
    <w:name w:val="index 1"/>
    <w:basedOn w:val="1"/>
    <w:next w:val="1"/>
    <w:autoRedefine/>
    <w:qFormat/>
    <w:uiPriority w:val="0"/>
    <w:pPr>
      <w:spacing w:line="240" w:lineRule="auto"/>
      <w:ind w:left="-21" w:leftChars="-10" w:firstLine="19" w:firstLineChars="9"/>
      <w:jc w:val="center"/>
    </w:pPr>
  </w:style>
  <w:style w:type="paragraph" w:styleId="32">
    <w:name w:val="annotation subject"/>
    <w:basedOn w:val="13"/>
    <w:next w:val="13"/>
    <w:link w:val="67"/>
    <w:semiHidden/>
    <w:unhideWhenUsed/>
    <w:qFormat/>
    <w:uiPriority w:val="99"/>
    <w:rPr>
      <w:b/>
      <w:bCs/>
    </w:rPr>
  </w:style>
  <w:style w:type="paragraph" w:styleId="33">
    <w:name w:val="Body Text First Indent"/>
    <w:basedOn w:val="14"/>
    <w:next w:val="1"/>
    <w:link w:val="82"/>
    <w:autoRedefine/>
    <w:semiHidden/>
    <w:unhideWhenUsed/>
    <w:qFormat/>
    <w:uiPriority w:val="99"/>
    <w:pPr>
      <w:spacing w:after="120"/>
      <w:ind w:firstLine="420" w:firstLineChars="100"/>
    </w:pPr>
    <w:rPr>
      <w:rFonts w:asciiTheme="minorHAnsi" w:hAnsiTheme="minorHAnsi"/>
      <w:sz w:val="21"/>
    </w:rPr>
  </w:style>
  <w:style w:type="paragraph" w:styleId="34">
    <w:name w:val="Body Text First Indent 2"/>
    <w:basedOn w:val="15"/>
    <w:next w:val="1"/>
    <w:link w:val="96"/>
    <w:unhideWhenUsed/>
    <w:qFormat/>
    <w:uiPriority w:val="99"/>
    <w:pPr>
      <w:ind w:firstLine="420"/>
    </w:pPr>
  </w:style>
  <w:style w:type="table" w:styleId="36">
    <w:name w:val="Table Grid"/>
    <w:basedOn w:val="35"/>
    <w:unhideWhenUsed/>
    <w:qFormat/>
    <w:uiPriority w:val="59"/>
    <w:rPr>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8">
    <w:name w:val="page number"/>
    <w:basedOn w:val="37"/>
    <w:qFormat/>
    <w:uiPriority w:val="0"/>
  </w:style>
  <w:style w:type="character" w:styleId="39">
    <w:name w:val="Hyperlink"/>
    <w:basedOn w:val="37"/>
    <w:semiHidden/>
    <w:unhideWhenUsed/>
    <w:qFormat/>
    <w:uiPriority w:val="99"/>
    <w:rPr>
      <w:color w:val="0000FF"/>
      <w:u w:val="single"/>
    </w:rPr>
  </w:style>
  <w:style w:type="character" w:styleId="40">
    <w:name w:val="annotation reference"/>
    <w:basedOn w:val="37"/>
    <w:autoRedefine/>
    <w:semiHidden/>
    <w:unhideWhenUsed/>
    <w:qFormat/>
    <w:uiPriority w:val="99"/>
    <w:rPr>
      <w:sz w:val="21"/>
      <w:szCs w:val="21"/>
    </w:rPr>
  </w:style>
  <w:style w:type="paragraph" w:customStyle="1" w:styleId="41">
    <w:name w:val="段落正文"/>
    <w:autoRedefine/>
    <w:qFormat/>
    <w:uiPriority w:val="0"/>
    <w:pPr>
      <w:widowControl w:val="0"/>
      <w:spacing w:before="50" w:beforeLines="50" w:line="360" w:lineRule="auto"/>
      <w:ind w:firstLine="200" w:firstLineChars="200"/>
      <w:jc w:val="both"/>
    </w:pPr>
    <w:rPr>
      <w:rFonts w:ascii="Times New Roman" w:hAnsi="Times New Roman" w:eastAsia="宋体" w:cs="Times New Roman"/>
      <w:spacing w:val="2"/>
      <w:kern w:val="2"/>
      <w:sz w:val="24"/>
      <w:lang w:val="en-US" w:eastAsia="zh-CN" w:bidi="ar-SA"/>
    </w:rPr>
  </w:style>
  <w:style w:type="paragraph" w:customStyle="1" w:styleId="42">
    <w:name w:val="正文首行缩进1"/>
    <w:basedOn w:val="14"/>
    <w:autoRedefine/>
    <w:qFormat/>
    <w:uiPriority w:val="0"/>
    <w:pPr>
      <w:widowControl w:val="0"/>
      <w:adjustRightInd w:val="0"/>
      <w:snapToGrid/>
      <w:spacing w:before="100" w:beforeAutospacing="1" w:after="120" w:line="312" w:lineRule="atLeast"/>
      <w:ind w:right="0" w:firstLine="420" w:firstLineChars="100"/>
      <w:textAlignment w:val="baseline"/>
    </w:pPr>
    <w:rPr>
      <w:sz w:val="21"/>
      <w:szCs w:val="21"/>
    </w:rPr>
  </w:style>
  <w:style w:type="paragraph" w:customStyle="1" w:styleId="43">
    <w:name w:val="正文文本 21"/>
    <w:basedOn w:val="1"/>
    <w:autoRedefine/>
    <w:qFormat/>
    <w:uiPriority w:val="0"/>
    <w:pPr>
      <w:spacing w:line="480" w:lineRule="auto"/>
    </w:pPr>
  </w:style>
  <w:style w:type="paragraph" w:customStyle="1" w:styleId="44">
    <w:name w:val="正文1"/>
    <w:autoRedefine/>
    <w:qFormat/>
    <w:uiPriority w:val="0"/>
    <w:pPr>
      <w:widowControl w:val="0"/>
      <w:adjustRightInd w:val="0"/>
      <w:spacing w:line="312" w:lineRule="atLeast"/>
      <w:jc w:val="both"/>
      <w:textAlignment w:val="baseline"/>
    </w:pPr>
    <w:rPr>
      <w:rFonts w:ascii="宋体" w:hAnsi="Times New Roman" w:eastAsia="宋体" w:cs="Times New Roman"/>
      <w:sz w:val="34"/>
      <w:szCs w:val="22"/>
      <w:lang w:val="en-US" w:eastAsia="zh-CN" w:bidi="ar-SA"/>
    </w:rPr>
  </w:style>
  <w:style w:type="paragraph" w:customStyle="1" w:styleId="45">
    <w:name w:val="Default"/>
    <w:basedOn w:val="46"/>
    <w:unhideWhenUsed/>
    <w:qFormat/>
    <w:uiPriority w:val="99"/>
    <w:pPr>
      <w:widowControl w:val="0"/>
      <w:autoSpaceDE w:val="0"/>
      <w:autoSpaceDN w:val="0"/>
      <w:adjustRightInd w:val="0"/>
      <w:spacing w:beforeLines="0" w:afterLines="0"/>
    </w:pPr>
    <w:rPr>
      <w:rFonts w:hint="default" w:ascii="宋体" w:hAnsi="宋体" w:eastAsia="宋体" w:cs="Times New Roman"/>
      <w:color w:val="000000"/>
      <w:sz w:val="24"/>
      <w:szCs w:val="24"/>
    </w:rPr>
  </w:style>
  <w:style w:type="paragraph" w:customStyle="1" w:styleId="46">
    <w:name w:val="纯文本1"/>
    <w:basedOn w:val="1"/>
    <w:qFormat/>
    <w:uiPriority w:val="0"/>
    <w:rPr>
      <w:rFonts w:ascii="宋体" w:hAnsi="Courier New"/>
      <w:b/>
      <w:sz w:val="24"/>
      <w:szCs w:val="24"/>
    </w:rPr>
  </w:style>
  <w:style w:type="paragraph" w:customStyle="1" w:styleId="47">
    <w:name w:val="样式 正文文本缩进正文文字缩进 + 首行缩进:  2 字符"/>
    <w:basedOn w:val="1"/>
    <w:next w:val="1"/>
    <w:autoRedefine/>
    <w:qFormat/>
    <w:uiPriority w:val="0"/>
    <w:pPr>
      <w:widowControl/>
      <w:adjustRightInd w:val="0"/>
      <w:snapToGrid w:val="0"/>
      <w:spacing w:line="336" w:lineRule="auto"/>
      <w:ind w:firstLine="560"/>
      <w:jc w:val="left"/>
    </w:pPr>
    <w:rPr>
      <w:rFonts w:cs="宋体"/>
      <w:sz w:val="28"/>
      <w:szCs w:val="28"/>
    </w:rPr>
  </w:style>
  <w:style w:type="table" w:customStyle="1" w:styleId="48">
    <w:name w:val="图标内容"/>
    <w:basedOn w:val="35"/>
    <w:autoRedefine/>
    <w:qFormat/>
    <w:uiPriority w:val="99"/>
    <w:pPr>
      <w:jc w:val="center"/>
    </w:pPr>
    <w:rPr>
      <w:rFonts w:ascii="Times New Roman" w:hAnsi="Times New Roman"/>
    </w:rPr>
    <w:tblPr>
      <w:jc w:val="center"/>
      <w:tblBorders>
        <w:top w:val="single" w:color="auto" w:sz="12" w:space="0"/>
        <w:bottom w:val="single" w:color="auto" w:sz="12" w:space="0"/>
        <w:insideH w:val="single" w:color="auto" w:sz="4" w:space="0"/>
        <w:insideV w:val="single" w:color="auto" w:sz="4" w:space="0"/>
      </w:tblBorders>
    </w:tblPr>
    <w:trPr>
      <w:jc w:val="center"/>
    </w:trPr>
    <w:tcPr>
      <w:vAlign w:val="center"/>
    </w:tcPr>
  </w:style>
  <w:style w:type="character" w:customStyle="1" w:styleId="49">
    <w:name w:val="页脚 字符"/>
    <w:link w:val="21"/>
    <w:autoRedefine/>
    <w:qFormat/>
    <w:uiPriority w:val="0"/>
    <w:rPr>
      <w:sz w:val="18"/>
      <w:szCs w:val="18"/>
    </w:rPr>
  </w:style>
  <w:style w:type="character" w:customStyle="1" w:styleId="50">
    <w:name w:val="页眉 字符"/>
    <w:link w:val="22"/>
    <w:autoRedefine/>
    <w:qFormat/>
    <w:uiPriority w:val="0"/>
    <w:rPr>
      <w:sz w:val="18"/>
      <w:szCs w:val="18"/>
    </w:rPr>
  </w:style>
  <w:style w:type="character" w:customStyle="1" w:styleId="51">
    <w:name w:val="页脚 Char1"/>
    <w:basedOn w:val="37"/>
    <w:autoRedefine/>
    <w:semiHidden/>
    <w:qFormat/>
    <w:uiPriority w:val="99"/>
    <w:rPr>
      <w:rFonts w:ascii="Microsoft JhengHei Light" w:hAnsi="Microsoft JhengHei Light" w:eastAsia="宋体" w:cs="Microsoft JhengHei Light"/>
      <w:sz w:val="18"/>
      <w:szCs w:val="18"/>
    </w:rPr>
  </w:style>
  <w:style w:type="character" w:customStyle="1" w:styleId="52">
    <w:name w:val="页眉 Char1"/>
    <w:basedOn w:val="37"/>
    <w:autoRedefine/>
    <w:semiHidden/>
    <w:qFormat/>
    <w:uiPriority w:val="99"/>
    <w:rPr>
      <w:rFonts w:ascii="Microsoft JhengHei Light" w:hAnsi="Microsoft JhengHei Light" w:eastAsia="宋体" w:cs="Microsoft JhengHei Light"/>
      <w:sz w:val="18"/>
      <w:szCs w:val="18"/>
    </w:rPr>
  </w:style>
  <w:style w:type="paragraph" w:customStyle="1" w:styleId="53">
    <w:name w:val="表格 32"/>
    <w:basedOn w:val="1"/>
    <w:qFormat/>
    <w:uiPriority w:val="99"/>
    <w:pPr>
      <w:autoSpaceDE w:val="0"/>
      <w:autoSpaceDN w:val="0"/>
      <w:adjustRightInd w:val="0"/>
      <w:spacing w:line="240" w:lineRule="atLeast"/>
      <w:jc w:val="center"/>
      <w:textAlignment w:val="baseline"/>
    </w:pPr>
    <w:rPr>
      <w:kern w:val="0"/>
      <w:szCs w:val="24"/>
    </w:rPr>
  </w:style>
  <w:style w:type="character" w:customStyle="1" w:styleId="54">
    <w:name w:val="正文文本缩进 Char"/>
    <w:basedOn w:val="37"/>
    <w:semiHidden/>
    <w:qFormat/>
    <w:uiPriority w:val="99"/>
    <w:rPr>
      <w:rFonts w:ascii="Microsoft JhengHei Light" w:hAnsi="Microsoft JhengHei Light" w:eastAsia="宋体" w:cs="Microsoft JhengHei Light"/>
      <w:sz w:val="24"/>
    </w:rPr>
  </w:style>
  <w:style w:type="character" w:customStyle="1" w:styleId="55">
    <w:name w:val="正文首行缩进 2 Char"/>
    <w:basedOn w:val="54"/>
    <w:autoRedefine/>
    <w:qFormat/>
    <w:uiPriority w:val="99"/>
    <w:rPr>
      <w:rFonts w:ascii="Microsoft JhengHei Light" w:hAnsi="Microsoft JhengHei Light" w:eastAsia="宋体" w:cs="Microsoft JhengHei Light"/>
      <w:sz w:val="24"/>
    </w:rPr>
  </w:style>
  <w:style w:type="character" w:customStyle="1" w:styleId="56">
    <w:name w:val="缩进 Char"/>
    <w:link w:val="57"/>
    <w:autoRedefine/>
    <w:qFormat/>
    <w:uiPriority w:val="0"/>
    <w:rPr>
      <w:sz w:val="24"/>
    </w:rPr>
  </w:style>
  <w:style w:type="paragraph" w:customStyle="1" w:styleId="57">
    <w:name w:val="缩进"/>
    <w:basedOn w:val="1"/>
    <w:link w:val="56"/>
    <w:autoRedefine/>
    <w:qFormat/>
    <w:uiPriority w:val="0"/>
    <w:pPr>
      <w:autoSpaceDE w:val="0"/>
      <w:autoSpaceDN w:val="0"/>
      <w:adjustRightInd w:val="0"/>
      <w:spacing w:line="400" w:lineRule="atLeast"/>
      <w:ind w:firstLine="425"/>
      <w:textAlignment w:val="baseline"/>
    </w:pPr>
  </w:style>
  <w:style w:type="character" w:customStyle="1" w:styleId="58">
    <w:name w:val="标题 1 Char"/>
    <w:basedOn w:val="37"/>
    <w:autoRedefine/>
    <w:qFormat/>
    <w:uiPriority w:val="9"/>
    <w:rPr>
      <w:rFonts w:ascii="Times New Roman" w:hAnsi="Times New Roman" w:eastAsia="宋体" w:cs="Microsoft JhengHei Light"/>
      <w:b/>
      <w:bCs/>
      <w:kern w:val="44"/>
      <w:sz w:val="32"/>
      <w:szCs w:val="44"/>
    </w:rPr>
  </w:style>
  <w:style w:type="paragraph" w:styleId="59">
    <w:name w:val="List Paragraph"/>
    <w:basedOn w:val="1"/>
    <w:autoRedefine/>
    <w:semiHidden/>
    <w:qFormat/>
    <w:uiPriority w:val="34"/>
    <w:pPr>
      <w:ind w:firstLine="420"/>
    </w:pPr>
  </w:style>
  <w:style w:type="character" w:customStyle="1" w:styleId="60">
    <w:name w:val="标题 2 Char"/>
    <w:basedOn w:val="37"/>
    <w:qFormat/>
    <w:uiPriority w:val="9"/>
    <w:rPr>
      <w:rFonts w:ascii="Times New Roman" w:hAnsi="Times New Roman" w:eastAsia="宋体" w:cstheme="majorBidi"/>
      <w:b/>
      <w:bCs/>
      <w:sz w:val="28"/>
      <w:szCs w:val="32"/>
    </w:rPr>
  </w:style>
  <w:style w:type="character" w:customStyle="1" w:styleId="61">
    <w:name w:val="标题 3 Char"/>
    <w:basedOn w:val="37"/>
    <w:qFormat/>
    <w:uiPriority w:val="9"/>
    <w:rPr>
      <w:rFonts w:ascii="Times New Roman" w:hAnsi="Times New Roman"/>
      <w:b/>
      <w:bCs/>
      <w:sz w:val="24"/>
      <w:szCs w:val="32"/>
    </w:rPr>
  </w:style>
  <w:style w:type="character" w:customStyle="1" w:styleId="62">
    <w:name w:val="标题 4 Char"/>
    <w:basedOn w:val="37"/>
    <w:qFormat/>
    <w:uiPriority w:val="9"/>
    <w:rPr>
      <w:rFonts w:ascii="Times New Roman" w:hAnsi="Times New Roman" w:cstheme="majorBidi"/>
      <w:b/>
      <w:bCs/>
      <w:sz w:val="24"/>
      <w:szCs w:val="28"/>
    </w:rPr>
  </w:style>
  <w:style w:type="character" w:customStyle="1" w:styleId="63">
    <w:name w:val="正文文本 Char"/>
    <w:basedOn w:val="37"/>
    <w:autoRedefine/>
    <w:qFormat/>
    <w:uiPriority w:val="0"/>
    <w:rPr>
      <w:rFonts w:ascii="Times New Roman" w:hAnsi="Times New Roman"/>
      <w:sz w:val="24"/>
    </w:rPr>
  </w:style>
  <w:style w:type="character" w:customStyle="1" w:styleId="64">
    <w:name w:val="批注框文本 字符"/>
    <w:basedOn w:val="37"/>
    <w:link w:val="20"/>
    <w:autoRedefine/>
    <w:semiHidden/>
    <w:qFormat/>
    <w:uiPriority w:val="99"/>
    <w:rPr>
      <w:sz w:val="18"/>
      <w:szCs w:val="18"/>
    </w:rPr>
  </w:style>
  <w:style w:type="character" w:styleId="65">
    <w:name w:val="Placeholder Text"/>
    <w:basedOn w:val="37"/>
    <w:semiHidden/>
    <w:qFormat/>
    <w:uiPriority w:val="99"/>
    <w:rPr>
      <w:color w:val="808080"/>
    </w:rPr>
  </w:style>
  <w:style w:type="character" w:customStyle="1" w:styleId="66">
    <w:name w:val="批注文字 字符"/>
    <w:basedOn w:val="37"/>
    <w:link w:val="13"/>
    <w:autoRedefine/>
    <w:semiHidden/>
    <w:qFormat/>
    <w:uiPriority w:val="99"/>
  </w:style>
  <w:style w:type="character" w:customStyle="1" w:styleId="67">
    <w:name w:val="批注主题 字符"/>
    <w:basedOn w:val="66"/>
    <w:link w:val="32"/>
    <w:autoRedefine/>
    <w:semiHidden/>
    <w:qFormat/>
    <w:uiPriority w:val="99"/>
    <w:rPr>
      <w:b/>
      <w:bCs/>
    </w:rPr>
  </w:style>
  <w:style w:type="character" w:customStyle="1" w:styleId="68">
    <w:name w:val="正文文本 (2) + Constantia"/>
    <w:basedOn w:val="37"/>
    <w:autoRedefine/>
    <w:qFormat/>
    <w:uiPriority w:val="0"/>
    <w:rPr>
      <w:rFonts w:hint="default" w:ascii="Constantia" w:hAnsi="Constantia" w:eastAsia="Constantia" w:cs="Constantia"/>
      <w:color w:val="000000"/>
      <w:spacing w:val="0"/>
      <w:w w:val="100"/>
      <w:position w:val="0"/>
      <w:sz w:val="20"/>
      <w:szCs w:val="20"/>
      <w:shd w:val="clear" w:color="auto" w:fill="FFFFFF"/>
      <w:lang w:val="en-US" w:eastAsia="en-US" w:bidi="en-US"/>
    </w:rPr>
  </w:style>
  <w:style w:type="character" w:customStyle="1" w:styleId="69">
    <w:name w:val="正文文本 (2) + 9 pt"/>
    <w:basedOn w:val="37"/>
    <w:autoRedefine/>
    <w:qFormat/>
    <w:uiPriority w:val="0"/>
    <w:rPr>
      <w:rFonts w:hint="eastAsia" w:ascii="黑体" w:hAnsi="宋体" w:eastAsia="黑体" w:cs="黑体"/>
      <w:b/>
      <w:color w:val="000000"/>
      <w:spacing w:val="0"/>
      <w:w w:val="100"/>
      <w:position w:val="0"/>
      <w:sz w:val="18"/>
      <w:szCs w:val="18"/>
      <w:shd w:val="clear" w:color="auto" w:fill="FFFFFF"/>
      <w:lang w:val="zh-CN" w:eastAsia="zh-CN" w:bidi="zh-CN"/>
    </w:rPr>
  </w:style>
  <w:style w:type="paragraph" w:customStyle="1" w:styleId="70">
    <w:name w:val="正文文本 (2)"/>
    <w:basedOn w:val="1"/>
    <w:autoRedefine/>
    <w:qFormat/>
    <w:uiPriority w:val="0"/>
    <w:pPr>
      <w:shd w:val="clear" w:color="auto" w:fill="FFFFFF"/>
      <w:spacing w:before="360" w:line="464" w:lineRule="exact"/>
      <w:ind w:hanging="120" w:firstLineChars="200"/>
      <w:jc w:val="left"/>
    </w:pPr>
    <w:rPr>
      <w:rFonts w:hint="eastAsia" w:ascii="黑体" w:hAnsi="宋体" w:eastAsia="黑体" w:cs="Times New Roman"/>
      <w:kern w:val="0"/>
      <w:sz w:val="22"/>
      <w:szCs w:val="22"/>
    </w:rPr>
  </w:style>
  <w:style w:type="paragraph" w:customStyle="1" w:styleId="71">
    <w:name w:val="Table Paragraph"/>
    <w:basedOn w:val="1"/>
    <w:autoRedefine/>
    <w:qFormat/>
    <w:uiPriority w:val="1"/>
    <w:pPr>
      <w:ind w:firstLine="200" w:firstLineChars="200"/>
    </w:pPr>
    <w:rPr>
      <w:rFonts w:ascii="Microsoft JhengHei Light" w:hAnsi="Microsoft JhengHei Light" w:eastAsia="宋体" w:cs="Microsoft JhengHei Light"/>
      <w:sz w:val="24"/>
      <w:szCs w:val="22"/>
    </w:rPr>
  </w:style>
  <w:style w:type="character" w:customStyle="1" w:styleId="72">
    <w:name w:val="表名 Char"/>
    <w:link w:val="73"/>
    <w:qFormat/>
    <w:uiPriority w:val="0"/>
    <w:rPr>
      <w:b/>
      <w:sz w:val="24"/>
    </w:rPr>
  </w:style>
  <w:style w:type="paragraph" w:customStyle="1" w:styleId="73">
    <w:name w:val="表名"/>
    <w:link w:val="72"/>
    <w:autoRedefine/>
    <w:qFormat/>
    <w:uiPriority w:val="0"/>
    <w:pPr>
      <w:adjustRightInd w:val="0"/>
      <w:snapToGrid w:val="0"/>
      <w:jc w:val="center"/>
    </w:pPr>
    <w:rPr>
      <w:rFonts w:asciiTheme="minorHAnsi" w:hAnsiTheme="minorHAnsi" w:eastAsiaTheme="minorEastAsia" w:cstheme="minorBidi"/>
      <w:b/>
      <w:kern w:val="2"/>
      <w:sz w:val="24"/>
      <w:szCs w:val="21"/>
      <w:lang w:val="en-US" w:eastAsia="zh-CN" w:bidi="ar-SA"/>
    </w:rPr>
  </w:style>
  <w:style w:type="character" w:customStyle="1" w:styleId="74">
    <w:name w:val="表格内容 Char"/>
    <w:link w:val="75"/>
    <w:autoRedefine/>
    <w:qFormat/>
    <w:uiPriority w:val="0"/>
    <w:rPr>
      <w:rFonts w:ascii="Arial" w:hAnsi="Arial" w:eastAsia="仿宋_GB2312"/>
      <w:sz w:val="24"/>
    </w:rPr>
  </w:style>
  <w:style w:type="paragraph" w:customStyle="1" w:styleId="75">
    <w:name w:val="表格内容"/>
    <w:basedOn w:val="10"/>
    <w:next w:val="1"/>
    <w:link w:val="74"/>
    <w:autoRedefine/>
    <w:qFormat/>
    <w:uiPriority w:val="0"/>
    <w:pPr>
      <w:adjustRightInd w:val="0"/>
      <w:snapToGrid w:val="0"/>
      <w:spacing w:line="240" w:lineRule="auto"/>
      <w:ind w:left="-108" w:right="-108" w:firstLine="43" w:firstLineChars="18"/>
      <w:jc w:val="center"/>
    </w:pPr>
    <w:rPr>
      <w:rFonts w:ascii="Arial" w:hAnsi="Arial" w:eastAsia="仿宋_GB2312"/>
      <w:sz w:val="24"/>
    </w:rPr>
  </w:style>
  <w:style w:type="paragraph" w:customStyle="1" w:styleId="76">
    <w:name w:val="表内容"/>
    <w:autoRedefine/>
    <w:qFormat/>
    <w:uiPriority w:val="0"/>
    <w:pPr>
      <w:widowControl w:val="0"/>
      <w:adjustRightInd w:val="0"/>
      <w:snapToGrid w:val="0"/>
      <w:spacing w:line="360" w:lineRule="exact"/>
      <w:ind w:left="-120" w:leftChars="-50" w:right="-56" w:rightChars="-56"/>
      <w:jc w:val="center"/>
      <w:textAlignment w:val="baseline"/>
    </w:pPr>
    <w:rPr>
      <w:rFonts w:ascii="Microsoft JhengHei Light" w:hAnsi="Microsoft JhengHei Light" w:eastAsia="宋体" w:cs="Microsoft JhengHei Light"/>
      <w:sz w:val="21"/>
      <w:lang w:val="en-US" w:eastAsia="zh-CN" w:bidi="ar-SA"/>
    </w:rPr>
  </w:style>
  <w:style w:type="paragraph" w:customStyle="1" w:styleId="77">
    <w:name w:val="正文-欣欣"/>
    <w:basedOn w:val="1"/>
    <w:autoRedefine/>
    <w:qFormat/>
    <w:uiPriority w:val="0"/>
    <w:pPr>
      <w:adjustRightInd w:val="0"/>
      <w:ind w:firstLine="200" w:firstLineChars="200"/>
    </w:pPr>
    <w:rPr>
      <w:rFonts w:ascii="Times New Roman" w:hAnsi="Times New Roman" w:eastAsia="宋体" w:cs="Times New Roman"/>
      <w:sz w:val="24"/>
      <w:szCs w:val="30"/>
    </w:rPr>
  </w:style>
  <w:style w:type="paragraph" w:customStyle="1" w:styleId="78">
    <w:name w:val="p0"/>
    <w:basedOn w:val="1"/>
    <w:autoRedefine/>
    <w:qFormat/>
    <w:uiPriority w:val="0"/>
    <w:pPr>
      <w:widowControl/>
      <w:spacing w:line="240" w:lineRule="auto"/>
    </w:pPr>
    <w:rPr>
      <w:rFonts w:ascii="Microsoft JhengHei Light" w:hAnsi="Microsoft JhengHei Light" w:eastAsia="宋体" w:cs="Microsoft JhengHei Light"/>
      <w:kern w:val="0"/>
    </w:rPr>
  </w:style>
  <w:style w:type="character" w:customStyle="1" w:styleId="79">
    <w:name w:val="正文文本缩进 3 字符"/>
    <w:basedOn w:val="37"/>
    <w:link w:val="25"/>
    <w:autoRedefine/>
    <w:semiHidden/>
    <w:qFormat/>
    <w:uiPriority w:val="99"/>
    <w:rPr>
      <w:sz w:val="16"/>
      <w:szCs w:val="16"/>
    </w:rPr>
  </w:style>
  <w:style w:type="paragraph" w:customStyle="1" w:styleId="80">
    <w:name w:val="第十二章 图件标题"/>
    <w:basedOn w:val="1"/>
    <w:next w:val="1"/>
    <w:autoRedefine/>
    <w:qFormat/>
    <w:uiPriority w:val="0"/>
    <w:pPr>
      <w:numPr>
        <w:ilvl w:val="0"/>
        <w:numId w:val="4"/>
      </w:numPr>
      <w:snapToGrid w:val="0"/>
      <w:ind w:firstLine="200" w:firstLineChars="200"/>
      <w:jc w:val="center"/>
    </w:pPr>
    <w:rPr>
      <w:rFonts w:ascii="Microsoft JhengHei Light" w:hAnsi="Microsoft JhengHei Light" w:eastAsia="黑体" w:cs="Microsoft JhengHei Light"/>
      <w:sz w:val="24"/>
      <w:szCs w:val="22"/>
    </w:rPr>
  </w:style>
  <w:style w:type="paragraph" w:customStyle="1" w:styleId="81">
    <w:name w:val="无间隔1"/>
    <w:basedOn w:val="1"/>
    <w:autoRedefine/>
    <w:qFormat/>
    <w:uiPriority w:val="1"/>
    <w:pPr>
      <w:ind w:firstLine="200" w:firstLineChars="200"/>
    </w:pPr>
    <w:rPr>
      <w:rFonts w:ascii="Microsoft JhengHei Light" w:hAnsi="Microsoft JhengHei Light" w:eastAsia="宋体" w:cs="Microsoft JhengHei Light"/>
      <w:sz w:val="24"/>
      <w:szCs w:val="32"/>
    </w:rPr>
  </w:style>
  <w:style w:type="character" w:customStyle="1" w:styleId="82">
    <w:name w:val="正文首行缩进 字符"/>
    <w:basedOn w:val="63"/>
    <w:link w:val="33"/>
    <w:autoRedefine/>
    <w:semiHidden/>
    <w:qFormat/>
    <w:uiPriority w:val="99"/>
    <w:rPr>
      <w:rFonts w:ascii="Times New Roman" w:hAnsi="Times New Roman"/>
      <w:sz w:val="24"/>
    </w:rPr>
  </w:style>
  <w:style w:type="character" w:customStyle="1" w:styleId="83">
    <w:name w:val="表文 Char2"/>
    <w:link w:val="84"/>
    <w:autoRedefine/>
    <w:qFormat/>
    <w:uiPriority w:val="0"/>
    <w:rPr>
      <w:sz w:val="18"/>
    </w:rPr>
  </w:style>
  <w:style w:type="paragraph" w:customStyle="1" w:styleId="84">
    <w:name w:val="表文"/>
    <w:basedOn w:val="26"/>
    <w:next w:val="9"/>
    <w:link w:val="83"/>
    <w:autoRedefine/>
    <w:qFormat/>
    <w:uiPriority w:val="0"/>
    <w:pPr>
      <w:spacing w:line="320" w:lineRule="exact"/>
      <w:ind w:left="0" w:leftChars="0"/>
      <w:jc w:val="center"/>
      <w:outlineLvl w:val="6"/>
    </w:pPr>
    <w:rPr>
      <w:sz w:val="18"/>
    </w:rPr>
  </w:style>
  <w:style w:type="paragraph" w:customStyle="1" w:styleId="85">
    <w:name w:val="表格文字"/>
    <w:basedOn w:val="1"/>
    <w:autoRedefine/>
    <w:qFormat/>
    <w:uiPriority w:val="0"/>
    <w:pPr>
      <w:adjustRightInd w:val="0"/>
      <w:snapToGrid w:val="0"/>
      <w:spacing w:line="240" w:lineRule="auto"/>
      <w:jc w:val="center"/>
    </w:pPr>
    <w:rPr>
      <w:rFonts w:ascii="Microsoft JhengHei Light" w:hAnsi="Microsoft JhengHei Light" w:eastAsia="宋体" w:cs="Arial"/>
      <w:color w:val="000000"/>
      <w:kern w:val="0"/>
      <w:sz w:val="20"/>
      <w:szCs w:val="20"/>
    </w:rPr>
  </w:style>
  <w:style w:type="character" w:customStyle="1" w:styleId="86">
    <w:name w:val="font41"/>
    <w:basedOn w:val="37"/>
    <w:autoRedefine/>
    <w:qFormat/>
    <w:uiPriority w:val="0"/>
    <w:rPr>
      <w:rFonts w:hint="default" w:ascii="Times New Roman" w:hAnsi="Times New Roman" w:cs="Times New Roman"/>
      <w:color w:val="000000"/>
      <w:sz w:val="20"/>
      <w:szCs w:val="20"/>
      <w:u w:val="none"/>
    </w:rPr>
  </w:style>
  <w:style w:type="character" w:customStyle="1" w:styleId="87">
    <w:name w:val="font31"/>
    <w:basedOn w:val="37"/>
    <w:autoRedefine/>
    <w:qFormat/>
    <w:uiPriority w:val="0"/>
    <w:rPr>
      <w:rFonts w:hint="eastAsia" w:ascii="宋体" w:hAnsi="宋体" w:eastAsia="宋体"/>
      <w:color w:val="000000"/>
      <w:sz w:val="20"/>
      <w:szCs w:val="20"/>
      <w:u w:val="none"/>
    </w:rPr>
  </w:style>
  <w:style w:type="character" w:customStyle="1" w:styleId="88">
    <w:name w:val="font21"/>
    <w:basedOn w:val="37"/>
    <w:autoRedefine/>
    <w:qFormat/>
    <w:uiPriority w:val="0"/>
    <w:rPr>
      <w:rFonts w:hint="default" w:ascii="Times New Roman" w:hAnsi="Times New Roman" w:cs="Times New Roman"/>
      <w:color w:val="000000"/>
      <w:sz w:val="20"/>
      <w:szCs w:val="20"/>
      <w:u w:val="none"/>
      <w:vertAlign w:val="superscript"/>
    </w:rPr>
  </w:style>
  <w:style w:type="character" w:customStyle="1" w:styleId="89">
    <w:name w:val="font11"/>
    <w:basedOn w:val="37"/>
    <w:autoRedefine/>
    <w:qFormat/>
    <w:uiPriority w:val="0"/>
    <w:rPr>
      <w:rFonts w:hint="default" w:ascii="Times New Roman" w:hAnsi="Times New Roman" w:cs="Times New Roman"/>
      <w:color w:val="000000"/>
      <w:sz w:val="20"/>
      <w:szCs w:val="20"/>
      <w:u w:val="none"/>
      <w:vertAlign w:val="subscript"/>
    </w:rPr>
  </w:style>
  <w:style w:type="character" w:customStyle="1" w:styleId="90">
    <w:name w:val="fl－正文 Char"/>
    <w:link w:val="91"/>
    <w:autoRedefine/>
    <w:qFormat/>
    <w:uiPriority w:val="0"/>
    <w:rPr>
      <w:sz w:val="24"/>
    </w:rPr>
  </w:style>
  <w:style w:type="paragraph" w:customStyle="1" w:styleId="91">
    <w:name w:val="fl－正文"/>
    <w:basedOn w:val="1"/>
    <w:link w:val="90"/>
    <w:autoRedefine/>
    <w:qFormat/>
    <w:uiPriority w:val="0"/>
    <w:pPr>
      <w:autoSpaceDE w:val="0"/>
      <w:autoSpaceDN w:val="0"/>
      <w:adjustRightInd w:val="0"/>
      <w:snapToGrid w:val="0"/>
      <w:ind w:firstLine="480" w:firstLineChars="200"/>
    </w:pPr>
    <w:rPr>
      <w:sz w:val="24"/>
    </w:rPr>
  </w:style>
  <w:style w:type="character" w:customStyle="1" w:styleId="92">
    <w:name w:val="标题 1 字符"/>
    <w:basedOn w:val="37"/>
    <w:link w:val="2"/>
    <w:autoRedefine/>
    <w:qFormat/>
    <w:uiPriority w:val="0"/>
    <w:rPr>
      <w:rFonts w:hint="default" w:ascii="Times New Roman" w:hAnsi="Times New Roman" w:cs="Times New Roman"/>
      <w:b/>
      <w:kern w:val="44"/>
      <w:sz w:val="32"/>
      <w:szCs w:val="44"/>
    </w:rPr>
  </w:style>
  <w:style w:type="character" w:customStyle="1" w:styleId="93">
    <w:name w:val="标题 4 字符"/>
    <w:basedOn w:val="37"/>
    <w:link w:val="5"/>
    <w:autoRedefine/>
    <w:qFormat/>
    <w:uiPriority w:val="9"/>
    <w:rPr>
      <w:rFonts w:hint="default" w:ascii="Times New Roman" w:hAnsi="Times New Roman" w:cs="Times New Roman"/>
      <w:b/>
      <w:sz w:val="24"/>
      <w:szCs w:val="28"/>
    </w:rPr>
  </w:style>
  <w:style w:type="character" w:customStyle="1" w:styleId="94">
    <w:name w:val="标题 5 字符"/>
    <w:basedOn w:val="37"/>
    <w:link w:val="6"/>
    <w:autoRedefine/>
    <w:qFormat/>
    <w:uiPriority w:val="0"/>
    <w:rPr>
      <w:rFonts w:hint="default" w:ascii="Times New Roman" w:hAnsi="Times New Roman" w:eastAsia="宋体" w:cs="Times New Roman"/>
      <w:bCs/>
      <w:sz w:val="24"/>
      <w:szCs w:val="28"/>
    </w:rPr>
  </w:style>
  <w:style w:type="character" w:customStyle="1" w:styleId="95">
    <w:name w:val="正文文本缩进 字符"/>
    <w:basedOn w:val="37"/>
    <w:link w:val="15"/>
    <w:autoRedefine/>
    <w:qFormat/>
    <w:uiPriority w:val="0"/>
  </w:style>
  <w:style w:type="character" w:customStyle="1" w:styleId="96">
    <w:name w:val="正文首行缩进 2 字符"/>
    <w:basedOn w:val="95"/>
    <w:link w:val="34"/>
    <w:autoRedefine/>
    <w:qFormat/>
    <w:uiPriority w:val="99"/>
  </w:style>
  <w:style w:type="character" w:customStyle="1" w:styleId="97">
    <w:name w:val="标题 2 字符"/>
    <w:basedOn w:val="37"/>
    <w:link w:val="3"/>
    <w:autoRedefine/>
    <w:qFormat/>
    <w:uiPriority w:val="0"/>
    <w:rPr>
      <w:rFonts w:hint="default" w:ascii="Times New Roman" w:hAnsi="Times New Roman" w:cs="Times New Roman"/>
      <w:b/>
      <w:sz w:val="28"/>
      <w:szCs w:val="32"/>
    </w:rPr>
  </w:style>
  <w:style w:type="character" w:customStyle="1" w:styleId="98">
    <w:name w:val="标题 3 字符"/>
    <w:basedOn w:val="37"/>
    <w:link w:val="4"/>
    <w:autoRedefine/>
    <w:qFormat/>
    <w:uiPriority w:val="9"/>
    <w:rPr>
      <w:rFonts w:hint="default" w:ascii="Times New Roman" w:hAnsi="Times New Roman" w:cs="Times New Roman"/>
      <w:b/>
      <w:sz w:val="24"/>
      <w:szCs w:val="32"/>
    </w:rPr>
  </w:style>
  <w:style w:type="character" w:customStyle="1" w:styleId="99">
    <w:name w:val="正文文本 字符"/>
    <w:basedOn w:val="37"/>
    <w:link w:val="14"/>
    <w:autoRedefine/>
    <w:qFormat/>
    <w:uiPriority w:val="0"/>
    <w:rPr>
      <w:rFonts w:hint="default" w:ascii="Times New Roman" w:hAnsi="Times New Roman" w:cs="Times New Roman"/>
      <w:sz w:val="24"/>
    </w:rPr>
  </w:style>
  <w:style w:type="paragraph" w:customStyle="1" w:styleId="100">
    <w:name w:val="图表内容"/>
    <w:next w:val="14"/>
    <w:autoRedefine/>
    <w:qFormat/>
    <w:uiPriority w:val="0"/>
    <w:pPr>
      <w:jc w:val="center"/>
    </w:pPr>
    <w:rPr>
      <w:rFonts w:ascii="Calibri" w:hAnsi="Calibri" w:eastAsia="宋体" w:cs="Times New Roman"/>
      <w:kern w:val="2"/>
      <w:sz w:val="21"/>
      <w:szCs w:val="21"/>
      <w:lang w:val="en-US" w:eastAsia="zh-CN" w:bidi="ar-SA"/>
    </w:rPr>
  </w:style>
  <w:style w:type="paragraph" w:customStyle="1" w:styleId="101">
    <w:name w:val="样式 正文 首行缩进:  2 字符 SL CON + 首行缩进:  2 字符"/>
    <w:basedOn w:val="102"/>
    <w:autoRedefine/>
    <w:qFormat/>
    <w:uiPriority w:val="0"/>
    <w:pPr>
      <w:widowControl/>
      <w:tabs>
        <w:tab w:val="left" w:pos="377"/>
      </w:tabs>
      <w:spacing w:line="360" w:lineRule="auto"/>
      <w:ind w:firstLine="480" w:firstLineChars="200"/>
    </w:pPr>
    <w:rPr>
      <w:rFonts w:ascii="Times New Roman" w:cs="Times New Roman"/>
      <w:szCs w:val="21"/>
    </w:rPr>
  </w:style>
  <w:style w:type="paragraph" w:customStyle="1" w:styleId="102">
    <w:name w:val="正文 首行缩进:  2 字符 SL CON"/>
    <w:basedOn w:val="1"/>
    <w:autoRedefine/>
    <w:qFormat/>
    <w:uiPriority w:val="0"/>
    <w:pPr>
      <w:widowControl/>
      <w:tabs>
        <w:tab w:val="left" w:pos="377"/>
      </w:tabs>
      <w:spacing w:line="360" w:lineRule="auto"/>
      <w:ind w:firstLine="200" w:firstLineChars="200"/>
    </w:pPr>
    <w:rPr>
      <w:rFonts w:ascii="宋体" w:cs="宋体"/>
      <w:kern w:val="0"/>
      <w:sz w:val="24"/>
    </w:rPr>
  </w:style>
  <w:style w:type="paragraph" w:customStyle="1" w:styleId="103">
    <w:name w:val="表头"/>
    <w:basedOn w:val="1"/>
    <w:link w:val="107"/>
    <w:autoRedefine/>
    <w:qFormat/>
    <w:uiPriority w:val="0"/>
    <w:pPr>
      <w:spacing w:beforeLines="50" w:line="240" w:lineRule="auto"/>
      <w:ind w:firstLine="0" w:firstLineChars="0"/>
      <w:jc w:val="center"/>
    </w:pPr>
    <w:rPr>
      <w:rFonts w:eastAsia="黑体" w:cs="Times New Roman"/>
      <w:szCs w:val="21"/>
    </w:rPr>
  </w:style>
  <w:style w:type="paragraph" w:customStyle="1" w:styleId="104">
    <w:name w:val="四级标题1.1.1.1"/>
    <w:basedOn w:val="1"/>
    <w:autoRedefine/>
    <w:qFormat/>
    <w:uiPriority w:val="0"/>
    <w:pPr>
      <w:ind w:firstLine="0" w:firstLineChars="0"/>
      <w:outlineLvl w:val="3"/>
    </w:pPr>
    <w:rPr>
      <w:rFonts w:cs="Times New Roman"/>
      <w:szCs w:val="24"/>
    </w:rPr>
  </w:style>
  <w:style w:type="paragraph" w:customStyle="1" w:styleId="105">
    <w:name w:val="图名"/>
    <w:basedOn w:val="103"/>
    <w:link w:val="106"/>
    <w:autoRedefine/>
    <w:qFormat/>
    <w:uiPriority w:val="0"/>
    <w:pPr>
      <w:spacing w:beforeLines="0" w:afterLines="50"/>
    </w:pPr>
  </w:style>
  <w:style w:type="character" w:customStyle="1" w:styleId="106">
    <w:name w:val="图名 Char"/>
    <w:basedOn w:val="107"/>
    <w:link w:val="105"/>
    <w:autoRedefine/>
    <w:qFormat/>
    <w:uiPriority w:val="0"/>
  </w:style>
  <w:style w:type="character" w:customStyle="1" w:styleId="107">
    <w:name w:val="表头 Char"/>
    <w:link w:val="103"/>
    <w:qFormat/>
    <w:uiPriority w:val="0"/>
    <w:rPr>
      <w:rFonts w:eastAsia="黑体" w:cs="Times New Roman"/>
      <w:szCs w:val="21"/>
    </w:rPr>
  </w:style>
  <w:style w:type="paragraph" w:customStyle="1" w:styleId="108">
    <w:name w:val="表芯"/>
    <w:basedOn w:val="1"/>
    <w:next w:val="1"/>
    <w:autoRedefine/>
    <w:qFormat/>
    <w:uiPriority w:val="0"/>
    <w:pPr>
      <w:keepNext/>
      <w:adjustRightInd w:val="0"/>
      <w:spacing w:before="20"/>
      <w:jc w:val="center"/>
      <w:textAlignment w:val="baseline"/>
    </w:pPr>
    <w:rPr>
      <w:kern w:val="21"/>
      <w:szCs w:val="20"/>
    </w:rPr>
  </w:style>
  <w:style w:type="paragraph" w:customStyle="1" w:styleId="109">
    <w:name w:val="表格"/>
    <w:basedOn w:val="10"/>
    <w:next w:val="1"/>
    <w:autoRedefine/>
    <w:qFormat/>
    <w:uiPriority w:val="0"/>
    <w:pPr>
      <w:adjustRightInd w:val="0"/>
      <w:snapToGrid w:val="0"/>
      <w:jc w:val="center"/>
    </w:pPr>
    <w:rPr>
      <w:rFonts w:ascii="Times New Roman" w:hAnsi="Times New Roman" w:eastAsia="宋体" w:cs="Times New Roman"/>
      <w:szCs w:val="22"/>
      <w:lang w:val="en-US" w:eastAsia="zh-CN" w:bidi="ar-SA"/>
    </w:rPr>
  </w:style>
  <w:style w:type="paragraph" w:customStyle="1" w:styleId="110">
    <w:name w:val="表格内容数据报告"/>
    <w:basedOn w:val="1"/>
    <w:autoRedefine/>
    <w:qFormat/>
    <w:uiPriority w:val="0"/>
    <w:pPr>
      <w:jc w:val="center"/>
      <w:textAlignment w:val="baseline"/>
    </w:pPr>
    <w:rPr>
      <w:rFonts w:ascii="Calibri" w:hAnsi="Calibri" w:cs="黑体"/>
      <w:kern w:val="0"/>
      <w:sz w:val="18"/>
      <w:szCs w:val="20"/>
    </w:rPr>
  </w:style>
  <w:style w:type="paragraph" w:customStyle="1" w:styleId="111">
    <w:name w:val="报告表格"/>
    <w:basedOn w:val="1"/>
    <w:autoRedefine/>
    <w:qFormat/>
    <w:uiPriority w:val="0"/>
    <w:pPr>
      <w:autoSpaceDE w:val="0"/>
      <w:autoSpaceDN w:val="0"/>
      <w:adjustRightInd w:val="0"/>
      <w:spacing w:before="40" w:after="40"/>
      <w:jc w:val="center"/>
      <w:textAlignment w:val="bottom"/>
    </w:pPr>
    <w:rPr>
      <w:kern w:val="0"/>
      <w:szCs w:val="20"/>
    </w:rPr>
  </w:style>
  <w:style w:type="paragraph" w:customStyle="1" w:styleId="112">
    <w:name w:val="报告"/>
    <w:basedOn w:val="1"/>
    <w:autoRedefine/>
    <w:qFormat/>
    <w:uiPriority w:val="0"/>
    <w:pPr>
      <w:adjustRightInd w:val="0"/>
      <w:spacing w:line="360" w:lineRule="auto"/>
      <w:ind w:firstLine="505"/>
      <w:textAlignment w:val="center"/>
    </w:pPr>
    <w:rPr>
      <w:rFonts w:ascii="TimesNewRoman" w:hAnsi="TimesNewRoman"/>
      <w:kern w:val="0"/>
      <w:sz w:val="24"/>
      <w:szCs w:val="20"/>
    </w:rPr>
  </w:style>
  <w:style w:type="paragraph" w:customStyle="1" w:styleId="113">
    <w:name w:val="样式 标题ljm + 首行缩进:  2 字符"/>
    <w:basedOn w:val="1"/>
    <w:autoRedefine/>
    <w:qFormat/>
    <w:uiPriority w:val="0"/>
    <w:pPr>
      <w:spacing w:line="360" w:lineRule="auto"/>
      <w:ind w:firstLine="482" w:firstLineChars="200"/>
    </w:pPr>
    <w:rPr>
      <w:b/>
      <w:bCs/>
      <w:sz w:val="24"/>
      <w:szCs w:val="20"/>
    </w:rPr>
  </w:style>
  <w:style w:type="paragraph" w:customStyle="1" w:styleId="114">
    <w:name w:val="简单回函地址"/>
    <w:basedOn w:val="1"/>
    <w:autoRedefine/>
    <w:qFormat/>
    <w:uiPriority w:val="0"/>
    <w:rPr>
      <w:szCs w:val="20"/>
    </w:rPr>
  </w:style>
  <w:style w:type="paragraph" w:customStyle="1" w:styleId="115">
    <w:name w:val="报告正文"/>
    <w:autoRedefine/>
    <w:qFormat/>
    <w:uiPriority w:val="1"/>
    <w:pPr>
      <w:widowControl w:val="0"/>
      <w:spacing w:line="360" w:lineRule="auto"/>
      <w:ind w:firstLine="200" w:firstLineChars="200"/>
      <w:jc w:val="both"/>
    </w:pPr>
    <w:rPr>
      <w:rFonts w:ascii="Times New Roman" w:hAnsi="Times New Roman" w:eastAsia="宋体" w:cs="Times New Roman"/>
      <w:kern w:val="2"/>
      <w:sz w:val="24"/>
      <w:szCs w:val="22"/>
      <w:lang w:val="en-US" w:eastAsia="zh-CN" w:bidi="ar-SA"/>
    </w:rPr>
  </w:style>
  <w:style w:type="paragraph" w:customStyle="1" w:styleId="116">
    <w:name w:val="正文样式"/>
    <w:basedOn w:val="1"/>
    <w:autoRedefine/>
    <w:qFormat/>
    <w:uiPriority w:val="0"/>
    <w:pPr>
      <w:adjustRightInd w:val="0"/>
      <w:snapToGrid w:val="0"/>
      <w:spacing w:line="360" w:lineRule="auto"/>
      <w:ind w:firstLine="200" w:firstLineChars="200"/>
      <w:jc w:val="left"/>
    </w:pPr>
    <w:rPr>
      <w:sz w:val="24"/>
    </w:rPr>
  </w:style>
  <w:style w:type="paragraph" w:customStyle="1" w:styleId="117">
    <w:name w:val="Normal_0_0"/>
    <w:autoRedefine/>
    <w:qFormat/>
    <w:uiPriority w:val="0"/>
    <w:pPr>
      <w:widowControl w:val="0"/>
      <w:spacing w:line="360" w:lineRule="auto"/>
      <w:ind w:firstLine="200" w:firstLineChars="200"/>
      <w:jc w:val="both"/>
    </w:pPr>
    <w:rPr>
      <w:rFonts w:ascii="Times New Roman" w:hAnsi="Times New Roman" w:eastAsia="仿宋" w:cs="Times New Roman"/>
      <w:kern w:val="2"/>
      <w:sz w:val="28"/>
      <w:szCs w:val="21"/>
    </w:rPr>
  </w:style>
  <w:style w:type="table" w:customStyle="1" w:styleId="118">
    <w:name w:val="Table Grid_0"/>
    <w:basedOn w:val="35"/>
    <w:autoRedefine/>
    <w:qFormat/>
    <w:uiPriority w:val="0"/>
    <w:rPr>
      <w:rFonts w:ascii="Times New Roman" w:hAnsi="Times New Roman" w:eastAsia="仿宋"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9">
    <w:name w:val="cucd-0"/>
    <w:basedOn w:val="1"/>
    <w:autoRedefine/>
    <w:qFormat/>
    <w:uiPriority w:val="0"/>
    <w:pPr>
      <w:widowControl/>
      <w:adjustRightInd/>
      <w:snapToGrid/>
      <w:spacing w:before="0" w:beforeAutospacing="0" w:after="0" w:afterAutospacing="0" w:line="360" w:lineRule="auto"/>
      <w:ind w:left="0" w:right="0" w:firstLine="480" w:firstLineChars="200"/>
      <w:jc w:val="left"/>
    </w:pPr>
    <w:rPr>
      <w:rFonts w:hint="default" w:ascii="Times New Roman" w:hAnsi="Times New Roman" w:cs="Times New Roman"/>
      <w:snapToGrid/>
      <w:kern w:val="2"/>
      <w:sz w:val="24"/>
      <w:szCs w:val="24"/>
      <w:lang w:val="en-US" w:eastAsia="zh-CN" w:bidi="ar"/>
    </w:rPr>
  </w:style>
  <w:style w:type="paragraph" w:customStyle="1" w:styleId="120">
    <w:name w:val="Normal_0"/>
    <w:qFormat/>
    <w:uiPriority w:val="0"/>
    <w:pPr>
      <w:widowControl w:val="0"/>
      <w:spacing w:line="360" w:lineRule="auto"/>
      <w:ind w:firstLine="200" w:firstLineChars="200"/>
      <w:jc w:val="both"/>
    </w:pPr>
    <w:rPr>
      <w:rFonts w:ascii="Times New Roman" w:hAnsi="Times New Roman" w:eastAsia="仿宋" w:cs="Times New Roman"/>
      <w:kern w:val="2"/>
      <w:sz w:val="28"/>
      <w:szCs w:val="21"/>
    </w:rPr>
  </w:style>
  <w:style w:type="paragraph" w:customStyle="1" w:styleId="121">
    <w:name w:val="正文5"/>
    <w:autoRedefine/>
    <w:qFormat/>
    <w:uiPriority w:val="0"/>
    <w:pPr>
      <w:jc w:val="both"/>
    </w:pPr>
    <w:rPr>
      <w:rFonts w:ascii="Times New Roman" w:hAnsi="Times New Roman" w:eastAsia="宋体" w:cs="Times New Roman"/>
      <w:kern w:val="2"/>
      <w:sz w:val="21"/>
      <w:szCs w:val="21"/>
      <w:lang w:val="en-US" w:eastAsia="zh-CN" w:bidi="ar-SA"/>
    </w:rPr>
  </w:style>
  <w:style w:type="character" w:customStyle="1" w:styleId="122">
    <w:name w:val="font01"/>
    <w:basedOn w:val="37"/>
    <w:autoRedefine/>
    <w:qFormat/>
    <w:uiPriority w:val="0"/>
    <w:rPr>
      <w:rFonts w:hint="eastAsia" w:ascii="仿宋" w:hAnsi="仿宋" w:eastAsia="仿宋" w:cs="仿宋"/>
      <w:color w:val="000000"/>
      <w:sz w:val="18"/>
      <w:szCs w:val="18"/>
      <w:u w:val="none"/>
    </w:rPr>
  </w:style>
  <w:style w:type="paragraph" w:customStyle="1" w:styleId="123">
    <w:name w:val="+正文"/>
    <w:basedOn w:val="1"/>
    <w:autoRedefine/>
    <w:qFormat/>
    <w:uiPriority w:val="0"/>
    <w:pPr>
      <w:spacing w:line="360" w:lineRule="auto"/>
      <w:ind w:firstLine="200" w:firstLineChars="200"/>
    </w:pPr>
    <w:rPr>
      <w:rFonts w:ascii="Times New Roman" w:hAnsi="Times New Roman" w:eastAsia="宋体" w:cs="Times New Roman"/>
      <w:sz w:val="24"/>
      <w:szCs w:val="28"/>
    </w:rPr>
  </w:style>
  <w:style w:type="paragraph" w:customStyle="1" w:styleId="124">
    <w:name w:val="WPSOffice手动目录 1"/>
    <w:qFormat/>
    <w:uiPriority w:val="0"/>
    <w:pPr>
      <w:ind w:leftChars="0"/>
    </w:pPr>
    <w:rPr>
      <w:rFonts w:ascii="Times New Roman" w:hAnsi="Times New Roman" w:eastAsia="宋体" w:cs="Times New Roman"/>
      <w:sz w:val="20"/>
      <w:szCs w:val="20"/>
    </w:rPr>
  </w:style>
  <w:style w:type="paragraph" w:customStyle="1" w:styleId="125">
    <w:name w:val="WPSOffice手动目录 2"/>
    <w:autoRedefine/>
    <w:qFormat/>
    <w:uiPriority w:val="0"/>
    <w:pPr>
      <w:ind w:leftChars="200"/>
    </w:pPr>
    <w:rPr>
      <w:rFonts w:ascii="Times New Roman" w:hAnsi="Times New Roman" w:eastAsia="宋体" w:cs="Times New Roman"/>
      <w:sz w:val="20"/>
      <w:szCs w:val="20"/>
    </w:rPr>
  </w:style>
  <w:style w:type="paragraph" w:customStyle="1" w:styleId="126">
    <w:name w:val="图表名称"/>
    <w:next w:val="115"/>
    <w:autoRedefine/>
    <w:qFormat/>
    <w:uiPriority w:val="0"/>
    <w:pPr>
      <w:spacing w:line="360" w:lineRule="auto"/>
      <w:jc w:val="center"/>
    </w:pPr>
    <w:rPr>
      <w:rFonts w:ascii="Times New Roman" w:hAnsi="Times New Roman" w:eastAsia="宋体" w:cs="Times New Roman"/>
      <w:b/>
      <w:bCs/>
      <w:kern w:val="2"/>
      <w:sz w:val="21"/>
      <w:szCs w:val="28"/>
      <w:lang w:val="en-US" w:eastAsia="zh-CN" w:bidi="ar-SA"/>
    </w:rPr>
  </w:style>
  <w:style w:type="paragraph" w:customStyle="1" w:styleId="127">
    <w:name w:val="样式 cucd-0 + 宋体"/>
    <w:basedOn w:val="1"/>
    <w:autoRedefine/>
    <w:qFormat/>
    <w:uiPriority w:val="0"/>
    <w:pPr>
      <w:widowControl/>
      <w:spacing w:line="360" w:lineRule="auto"/>
      <w:ind w:firstLine="480" w:firstLineChars="200"/>
      <w:jc w:val="left"/>
    </w:pPr>
    <w:rPr>
      <w:rFonts w:ascii="宋体" w:hAnsi="宋体"/>
      <w:sz w:val="24"/>
    </w:rPr>
  </w:style>
  <w:style w:type="paragraph" w:customStyle="1" w:styleId="128">
    <w:name w:val="样式7"/>
    <w:basedOn w:val="1"/>
    <w:autoRedefine/>
    <w:qFormat/>
    <w:uiPriority w:val="0"/>
    <w:pPr>
      <w:widowControl/>
      <w:spacing w:line="480" w:lineRule="exact"/>
      <w:ind w:firstLine="200" w:firstLineChars="200"/>
      <w:jc w:val="center"/>
    </w:pPr>
    <w:rPr>
      <w:rFonts w:ascii="Calibri" w:hAnsi="Calibri" w:eastAsia="宋体" w:cs="Times New Roman"/>
      <w:sz w:val="26"/>
      <w:szCs w:val="26"/>
    </w:rPr>
  </w:style>
  <w:style w:type="paragraph" w:customStyle="1" w:styleId="129">
    <w:name w:val="正本文字"/>
    <w:basedOn w:val="1"/>
    <w:autoRedefine/>
    <w:qFormat/>
    <w:uiPriority w:val="0"/>
    <w:pPr>
      <w:adjustRightInd w:val="0"/>
      <w:snapToGrid w:val="0"/>
      <w:spacing w:line="360" w:lineRule="auto"/>
      <w:ind w:left="482" w:firstLine="200" w:firstLineChars="200"/>
      <w:jc w:val="left"/>
    </w:pPr>
    <w:rPr>
      <w:rFonts w:cs="宋体"/>
      <w:kern w:val="18"/>
      <w:sz w:val="24"/>
    </w:rPr>
  </w:style>
  <w:style w:type="paragraph" w:customStyle="1" w:styleId="130">
    <w:name w:val="~~~正文"/>
    <w:basedOn w:val="1"/>
    <w:autoRedefine/>
    <w:qFormat/>
    <w:uiPriority w:val="0"/>
    <w:pPr>
      <w:widowControl/>
      <w:spacing w:line="500" w:lineRule="exact"/>
      <w:ind w:firstLine="200" w:firstLineChars="200"/>
      <w:jc w:val="left"/>
    </w:pPr>
    <w:rPr>
      <w:sz w:val="24"/>
    </w:rPr>
  </w:style>
  <w:style w:type="paragraph" w:customStyle="1" w:styleId="131">
    <w:name w:val="正文缩进2"/>
    <w:basedOn w:val="1"/>
    <w:next w:val="1"/>
    <w:autoRedefine/>
    <w:qFormat/>
    <w:uiPriority w:val="0"/>
    <w:pPr>
      <w:spacing w:line="360" w:lineRule="auto"/>
      <w:ind w:firstLine="516" w:firstLineChars="200"/>
    </w:pPr>
    <w:rPr>
      <w:rFonts w:cs="宋体"/>
      <w:spacing w:val="6"/>
      <w:sz w:val="24"/>
    </w:rPr>
  </w:style>
  <w:style w:type="table" w:customStyle="1" w:styleId="132">
    <w:name w:val="Table Normal"/>
    <w:basedOn w:val="35"/>
    <w:autoRedefine/>
    <w:unhideWhenUsed/>
    <w:qFormat/>
    <w:uiPriority w:val="2"/>
    <w:pPr>
      <w:widowControl w:val="0"/>
      <w:autoSpaceDE w:val="0"/>
      <w:autoSpaceDN w:val="0"/>
    </w:pPr>
    <w:rPr>
      <w:rFonts w:ascii="Calibri" w:hAnsi="Calibri"/>
      <w:sz w:val="22"/>
      <w:szCs w:val="22"/>
      <w:lang w:val="en-US" w:eastAsia="en-US" w:bidi="ar-SA"/>
    </w:rPr>
    <w:tblPr>
      <w:tblCellMar>
        <w:top w:w="0" w:type="dxa"/>
        <w:left w:w="0" w:type="dxa"/>
        <w:bottom w:w="0" w:type="dxa"/>
        <w:right w:w="0" w:type="dxa"/>
      </w:tblCellMar>
    </w:tblPr>
  </w:style>
  <w:style w:type="character" w:customStyle="1" w:styleId="133">
    <w:name w:val="样式 样式 样式 黑色 行距: 1.5 倍行距 + 首行缩进:  2 字符 + 自动设置 Char"/>
    <w:link w:val="134"/>
    <w:autoRedefine/>
    <w:qFormat/>
    <w:uiPriority w:val="0"/>
    <w:rPr>
      <w:sz w:val="24"/>
      <w:szCs w:val="20"/>
    </w:rPr>
  </w:style>
  <w:style w:type="paragraph" w:customStyle="1" w:styleId="134">
    <w:name w:val="样式 样式 样式 黑色 行距: 1.5 倍行距 + 首行缩进:  2 字符 + 自动设置"/>
    <w:basedOn w:val="1"/>
    <w:link w:val="133"/>
    <w:autoRedefine/>
    <w:qFormat/>
    <w:uiPriority w:val="0"/>
    <w:pPr>
      <w:spacing w:line="312" w:lineRule="auto"/>
      <w:ind w:firstLine="200" w:firstLineChars="200"/>
    </w:pPr>
    <w:rPr>
      <w:sz w:val="24"/>
      <w:szCs w:val="20"/>
    </w:rPr>
  </w:style>
  <w:style w:type="paragraph" w:customStyle="1" w:styleId="135">
    <w:name w:val="填表内容"/>
    <w:basedOn w:val="1"/>
    <w:autoRedefine/>
    <w:qFormat/>
    <w:uiPriority w:val="0"/>
    <w:pPr>
      <w:widowControl/>
      <w:adjustRightInd w:val="0"/>
      <w:snapToGrid w:val="0"/>
      <w:spacing w:line="480" w:lineRule="exact"/>
      <w:ind w:firstLine="560" w:firstLineChars="200"/>
      <w:jc w:val="left"/>
    </w:pPr>
    <w:rPr>
      <w:rFonts w:ascii="经典叠圆体简" w:hAnsi="仿宋_GB2312" w:eastAsia="经典叠圆体简"/>
      <w:sz w:val="28"/>
      <w:szCs w:val="20"/>
    </w:rPr>
  </w:style>
  <w:style w:type="paragraph" w:customStyle="1" w:styleId="136">
    <w:name w:val="正文-黑体"/>
    <w:basedOn w:val="77"/>
    <w:autoRedefine/>
    <w:qFormat/>
    <w:uiPriority w:val="0"/>
    <w:rPr>
      <w:rFonts w:eastAsia="黑体"/>
    </w:rPr>
  </w:style>
  <w:style w:type="paragraph" w:customStyle="1" w:styleId="137">
    <w:name w:val="单倍+上0.5"/>
    <w:basedOn w:val="1"/>
    <w:autoRedefine/>
    <w:qFormat/>
    <w:uiPriority w:val="0"/>
    <w:pPr>
      <w:spacing w:before="50" w:beforeLines="50" w:line="240" w:lineRule="auto"/>
      <w:ind w:firstLine="0" w:firstLineChars="0"/>
      <w:jc w:val="center"/>
    </w:pPr>
    <w:rPr>
      <w:rFonts w:ascii="Times New Roman" w:hAnsi="Times New Roman" w:cs="Times New Roman"/>
      <w:sz w:val="24"/>
      <w:szCs w:val="28"/>
      <w:lang w:eastAsia="zh-CN" w:bidi="ar-SA"/>
    </w:rPr>
  </w:style>
  <w:style w:type="paragraph" w:customStyle="1" w:styleId="138">
    <w:name w:val="图表标题"/>
    <w:basedOn w:val="109"/>
    <w:next w:val="1"/>
    <w:autoRedefine/>
    <w:qFormat/>
    <w:uiPriority w:val="0"/>
    <w:pPr>
      <w:adjustRightInd/>
      <w:spacing w:beforeLines="0" w:afterLines="0" w:line="240" w:lineRule="auto"/>
      <w:ind w:firstLine="0" w:firstLineChars="0"/>
    </w:pPr>
    <w:rPr>
      <w:rFonts w:ascii="Times New Roman" w:hAnsi="Times New Roman" w:eastAsia="黑体"/>
      <w:sz w:val="21"/>
    </w:rPr>
  </w:style>
  <w:style w:type="paragraph" w:customStyle="1" w:styleId="139">
    <w:name w:val="报告正文1"/>
    <w:basedOn w:val="1"/>
    <w:next w:val="1"/>
    <w:autoRedefine/>
    <w:qFormat/>
    <w:uiPriority w:val="0"/>
    <w:pPr>
      <w:ind w:firstLine="200"/>
    </w:pPr>
    <w:rPr>
      <w:snapToGrid w:val="0"/>
      <w:color w:val="000000"/>
      <w:szCs w:val="21"/>
    </w:rPr>
  </w:style>
  <w:style w:type="paragraph" w:customStyle="1" w:styleId="140">
    <w:name w:val="表格文字-xmz"/>
    <w:basedOn w:val="1"/>
    <w:next w:val="1"/>
    <w:autoRedefine/>
    <w:qFormat/>
    <w:uiPriority w:val="0"/>
    <w:pPr>
      <w:adjustRightInd w:val="0"/>
      <w:snapToGrid w:val="0"/>
      <w:spacing w:line="240" w:lineRule="auto"/>
      <w:ind w:firstLine="0" w:firstLineChars="0"/>
      <w:jc w:val="center"/>
    </w:pPr>
    <w:rPr>
      <w:sz w:val="21"/>
    </w:rPr>
  </w:style>
  <w:style w:type="paragraph" w:customStyle="1" w:styleId="141">
    <w:name w:val="正文-蓝色"/>
    <w:basedOn w:val="1"/>
    <w:autoRedefine/>
    <w:qFormat/>
    <w:uiPriority w:val="0"/>
    <w:pPr>
      <w:spacing w:line="360" w:lineRule="auto"/>
      <w:ind w:firstLine="200" w:firstLineChars="200"/>
    </w:pPr>
    <w:rPr>
      <w:color w:val="0000FF"/>
      <w:sz w:val="24"/>
      <w:szCs w:val="28"/>
    </w:rPr>
  </w:style>
  <w:style w:type="paragraph" w:customStyle="1" w:styleId="142">
    <w:name w:val="表格内字体"/>
    <w:next w:val="1"/>
    <w:autoRedefine/>
    <w:qFormat/>
    <w:uiPriority w:val="0"/>
    <w:pPr>
      <w:spacing w:line="320" w:lineRule="exact"/>
      <w:jc w:val="center"/>
    </w:pPr>
    <w:rPr>
      <w:rFonts w:ascii="Times New Roman" w:hAnsi="Times New Roman" w:eastAsia="宋体" w:cs="Times New Roman"/>
      <w:sz w:val="18"/>
      <w:lang w:val="en-US" w:eastAsia="zh-CN" w:bidi="ar-SA"/>
    </w:rPr>
  </w:style>
  <w:style w:type="paragraph" w:customStyle="1" w:styleId="143">
    <w:name w:val="表格标题"/>
    <w:basedOn w:val="11"/>
    <w:autoRedefine/>
    <w:qFormat/>
    <w:uiPriority w:val="0"/>
    <w:pPr>
      <w:spacing w:line="560" w:lineRule="exact"/>
      <w:ind w:firstLine="0" w:firstLineChars="0"/>
      <w:jc w:val="center"/>
    </w:pPr>
    <w:rPr>
      <w:rFonts w:hint="eastAsia" w:ascii="Times New Roman" w:hAnsi="Times New Roman" w:eastAsia="黑体" w:cs="Times New Roman"/>
      <w:sz w:val="21"/>
      <w:lang w:eastAsia="zh-CN" w:bidi="ar-SA"/>
    </w:rPr>
  </w:style>
  <w:style w:type="paragraph" w:customStyle="1" w:styleId="144">
    <w:name w:val="节标题1"/>
    <w:basedOn w:val="2"/>
    <w:next w:val="1"/>
    <w:qFormat/>
    <w:uiPriority w:val="0"/>
    <w:pPr>
      <w:numPr>
        <w:ilvl w:val="1"/>
        <w:numId w:val="5"/>
      </w:numPr>
      <w:spacing w:beforeLines="50" w:afterLines="50" w:line="360" w:lineRule="auto"/>
      <w:jc w:val="left"/>
      <w:outlineLvl w:val="1"/>
    </w:pPr>
    <w:rPr>
      <w:rFonts w:eastAsia="黑体"/>
      <w:b w:val="0"/>
      <w:sz w:val="32"/>
    </w:rPr>
  </w:style>
  <w:style w:type="paragraph" w:customStyle="1" w:styleId="145">
    <w:name w:val="Table Text"/>
    <w:basedOn w:val="1"/>
    <w:autoRedefine/>
    <w:semiHidden/>
    <w:qFormat/>
    <w:uiPriority w:val="0"/>
    <w:rPr>
      <w:rFonts w:ascii="宋体" w:hAnsi="宋体" w:eastAsia="宋体" w:cs="宋体"/>
      <w:sz w:val="21"/>
      <w:szCs w:val="21"/>
      <w:lang w:val="en-US" w:eastAsia="en-US" w:bidi="ar-SA"/>
    </w:rPr>
  </w:style>
  <w:style w:type="paragraph" w:customStyle="1" w:styleId="146">
    <w:name w:val="_Style 2"/>
    <w:basedOn w:val="1"/>
    <w:qFormat/>
    <w:uiPriority w:val="34"/>
    <w:pPr>
      <w:spacing w:line="360" w:lineRule="auto"/>
      <w:ind w:firstLine="420" w:firstLineChars="200"/>
    </w:pPr>
    <w:rPr>
      <w:rFonts w:ascii="Calibri" w:hAnsi="Calibri" w:cs="Times New Roman"/>
    </w:rPr>
  </w:style>
  <w:style w:type="paragraph" w:customStyle="1" w:styleId="147">
    <w:name w:val="表内文字"/>
    <w:basedOn w:val="1"/>
    <w:qFormat/>
    <w:uiPriority w:val="0"/>
    <w:pPr>
      <w:adjustRightInd w:val="0"/>
      <w:snapToGrid w:val="0"/>
      <w:spacing w:before="80" w:line="240" w:lineRule="atLeast"/>
      <w:jc w:val="center"/>
    </w:pPr>
    <w:rPr>
      <w:rFonts w:cs="Times New Roman"/>
      <w:szCs w:val="20"/>
    </w:rPr>
  </w:style>
  <w:style w:type="paragraph" w:customStyle="1" w:styleId="148">
    <w:name w:val="（正文）正文文本"/>
    <w:basedOn w:val="1"/>
    <w:qFormat/>
    <w:uiPriority w:val="0"/>
    <w:pPr>
      <w:adjustRightInd w:val="0"/>
      <w:snapToGrid w:val="0"/>
      <w:spacing w:line="460" w:lineRule="exact"/>
      <w:ind w:firstLine="200" w:firstLineChars="200"/>
      <w:jc w:val="left"/>
    </w:pPr>
    <w:rPr>
      <w:rFonts w:ascii="Times New Roman" w:hAnsi="Times New Roman" w:eastAsia="Times New Roman" w:cs="宋体"/>
      <w:sz w:val="28"/>
      <w:szCs w:val="24"/>
    </w:rPr>
  </w:style>
  <w:style w:type="paragraph" w:customStyle="1" w:styleId="149">
    <w:name w:val="主要文字"/>
    <w:basedOn w:val="1"/>
    <w:qFormat/>
    <w:uiPriority w:val="0"/>
    <w:pPr>
      <w:spacing w:line="540" w:lineRule="exact"/>
      <w:ind w:firstLine="200" w:firstLineChars="200"/>
    </w:pPr>
    <w:rPr>
      <w:rFonts w:ascii="Times New Roman" w:hAnsi="Times New Roman" w:eastAsia="宋体" w:cs="Times New Roman"/>
      <w:kern w:val="0"/>
      <w:sz w:val="28"/>
      <w:szCs w:val="20"/>
    </w:rPr>
  </w:style>
  <w:style w:type="paragraph" w:customStyle="1" w:styleId="150">
    <w:name w:val="样式 样式 小四 行距: 1.5 倍行距 + 首行缩进:  2 字符"/>
    <w:basedOn w:val="1"/>
    <w:qFormat/>
    <w:uiPriority w:val="0"/>
    <w:pPr>
      <w:spacing w:line="560" w:lineRule="exact"/>
      <w:ind w:firstLine="552" w:firstLineChars="197"/>
    </w:pPr>
    <w:rPr>
      <w:sz w:val="28"/>
      <w:szCs w:val="28"/>
    </w:rPr>
  </w:style>
  <w:style w:type="paragraph" w:customStyle="1" w:styleId="151">
    <w:name w:val="安评正文"/>
    <w:qFormat/>
    <w:uiPriority w:val="0"/>
    <w:pPr>
      <w:tabs>
        <w:tab w:val="left" w:pos="5400"/>
      </w:tabs>
      <w:spacing w:line="460" w:lineRule="exact"/>
      <w:ind w:firstLine="200" w:firstLineChars="200"/>
      <w:jc w:val="both"/>
    </w:pPr>
    <w:rPr>
      <w:rFonts w:ascii="Times New Roman" w:hAnsi="Times New Roman" w:eastAsia="宋体" w:cs="Times New Roman"/>
      <w:sz w:val="28"/>
      <w:shd w:val="clear" w:color="auto" w:fill="FFFFFF"/>
      <w:lang w:val="en-US" w:eastAsia="zh-CN" w:bidi="ar-SA"/>
    </w:rPr>
  </w:style>
  <w:style w:type="character" w:customStyle="1" w:styleId="152">
    <w:name w:val="font71"/>
    <w:basedOn w:val="37"/>
    <w:qFormat/>
    <w:uiPriority w:val="0"/>
    <w:rPr>
      <w:rFonts w:hint="default" w:ascii="Times New Roman" w:hAnsi="Times New Roman" w:cs="Times New Roman"/>
      <w:color w:val="000000"/>
      <w:sz w:val="20"/>
      <w:szCs w:val="20"/>
      <w:u w:val="none"/>
      <w:vertAlign w:val="superscript"/>
    </w:rPr>
  </w:style>
  <w:style w:type="character" w:customStyle="1" w:styleId="153">
    <w:name w:val="font81"/>
    <w:basedOn w:val="37"/>
    <w:qFormat/>
    <w:uiPriority w:val="0"/>
    <w:rPr>
      <w:rFonts w:hint="default" w:ascii="Times New Roman" w:hAnsi="Times New Roman" w:cs="Times New Roman"/>
      <w:color w:val="000000"/>
      <w:sz w:val="20"/>
      <w:szCs w:val="20"/>
      <w:u w:val="none"/>
      <w:vertAlign w:val="subscript"/>
    </w:rPr>
  </w:style>
  <w:style w:type="character" w:customStyle="1" w:styleId="154">
    <w:name w:val="font91"/>
    <w:basedOn w:val="37"/>
    <w:qFormat/>
    <w:uiPriority w:val="0"/>
    <w:rPr>
      <w:rFonts w:hint="eastAsia" w:ascii="宋体" w:hAnsi="宋体" w:eastAsia="宋体" w:cs="宋体"/>
      <w:color w:val="000000"/>
      <w:sz w:val="20"/>
      <w:szCs w:val="20"/>
      <w:u w:val="none"/>
    </w:rPr>
  </w:style>
  <w:style w:type="character" w:customStyle="1" w:styleId="155">
    <w:name w:val="font61"/>
    <w:basedOn w:val="37"/>
    <w:qFormat/>
    <w:uiPriority w:val="0"/>
    <w:rPr>
      <w:rFonts w:hint="default" w:ascii="Times New Roman" w:hAnsi="Times New Roman" w:cs="Times New Roman"/>
      <w:color w:val="000000"/>
      <w:sz w:val="20"/>
      <w:szCs w:val="20"/>
      <w:u w:val="none"/>
      <w:vertAlign w:val="subscript"/>
    </w:rPr>
  </w:style>
  <w:style w:type="paragraph" w:customStyle="1" w:styleId="156">
    <w:name w:val="w正文"/>
    <w:basedOn w:val="1"/>
    <w:autoRedefine/>
    <w:qFormat/>
    <w:uiPriority w:val="0"/>
    <w:pPr>
      <w:ind w:firstLine="200"/>
    </w:pPr>
    <w:rPr>
      <w:rFonts w:ascii="Times New Roman" w:hAnsi="Times New Roman"/>
      <w:color w:val="000000"/>
      <w:sz w:val="24"/>
      <w:szCs w:val="30"/>
    </w:rPr>
  </w:style>
  <w:style w:type="paragraph" w:customStyle="1" w:styleId="157">
    <w:name w:val="我的正文"/>
    <w:basedOn w:val="1"/>
    <w:qFormat/>
    <w:uiPriority w:val="0"/>
    <w:pPr>
      <w:widowControl/>
      <w:autoSpaceDE w:val="0"/>
      <w:autoSpaceDN w:val="0"/>
      <w:ind w:firstLine="200" w:firstLineChars="200"/>
    </w:pPr>
    <w:rPr>
      <w:rFonts w:cs="Times New Roman"/>
      <w:szCs w:val="24"/>
    </w:rPr>
  </w:style>
  <w:style w:type="character" w:customStyle="1" w:styleId="158">
    <w:name w:val="题注 字符"/>
    <w:link w:val="11"/>
    <w:qFormat/>
    <w:uiPriority w:val="35"/>
    <w:rPr>
      <w:rFonts w:ascii="Times New Roman" w:hAnsi="Times New Roman" w:eastAsia="宋体" w:cstheme="majorBidi"/>
      <w:b/>
      <w:szCs w:val="20"/>
    </w:rPr>
  </w:style>
  <w:style w:type="table" w:customStyle="1" w:styleId="159">
    <w:name w:val="工作表格151"/>
    <w:basedOn w:val="3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0">
    <w:name w:val="正文LTT"/>
    <w:basedOn w:val="1"/>
    <w:qFormat/>
    <w:uiPriority w:val="0"/>
    <w:pPr>
      <w:ind w:firstLine="440"/>
    </w:pPr>
    <w:rPr>
      <w:rFonts w:cs="Times New Roman"/>
      <w:szCs w:val="24"/>
    </w:rPr>
  </w:style>
  <w:style w:type="paragraph" w:customStyle="1" w:styleId="161">
    <w:name w:val="【正文】"/>
    <w:basedOn w:val="1"/>
    <w:qFormat/>
    <w:uiPriority w:val="0"/>
    <w:rPr>
      <w:rFonts w:cs="Times New Roman"/>
      <w:kern w:val="0"/>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2" Type="http://schemas.openxmlformats.org/officeDocument/2006/relationships/fontTable" Target="fontTable.xml"/><Relationship Id="rId61" Type="http://schemas.openxmlformats.org/officeDocument/2006/relationships/customXml" Target="../customXml/item2.xml"/><Relationship Id="rId60" Type="http://schemas.openxmlformats.org/officeDocument/2006/relationships/numbering" Target="numbering.xml"/><Relationship Id="rId6" Type="http://schemas.openxmlformats.org/officeDocument/2006/relationships/header" Target="header2.xml"/><Relationship Id="rId59" Type="http://schemas.openxmlformats.org/officeDocument/2006/relationships/customXml" Target="../customXml/item1.xml"/><Relationship Id="rId58" Type="http://schemas.openxmlformats.org/officeDocument/2006/relationships/image" Target="media/image15.png"/><Relationship Id="rId57" Type="http://schemas.openxmlformats.org/officeDocument/2006/relationships/image" Target="media/image14.png"/><Relationship Id="rId56" Type="http://schemas.openxmlformats.org/officeDocument/2006/relationships/image" Target="media/image13.png"/><Relationship Id="rId55" Type="http://schemas.openxmlformats.org/officeDocument/2006/relationships/image" Target="media/image12.jpeg"/><Relationship Id="rId54" Type="http://schemas.openxmlformats.org/officeDocument/2006/relationships/image" Target="media/image11.jpeg"/><Relationship Id="rId53" Type="http://schemas.openxmlformats.org/officeDocument/2006/relationships/image" Target="media/image10.emf"/><Relationship Id="rId52" Type="http://schemas.openxmlformats.org/officeDocument/2006/relationships/oleObject" Target="embeddings/oleObject3.bin"/><Relationship Id="rId51" Type="http://schemas.openxmlformats.org/officeDocument/2006/relationships/image" Target="media/image9.emf"/><Relationship Id="rId50" Type="http://schemas.openxmlformats.org/officeDocument/2006/relationships/oleObject" Target="embeddings/oleObject2.bin"/><Relationship Id="rId5" Type="http://schemas.openxmlformats.org/officeDocument/2006/relationships/header" Target="header1.xml"/><Relationship Id="rId49" Type="http://schemas.openxmlformats.org/officeDocument/2006/relationships/image" Target="media/image8.png"/><Relationship Id="rId48" Type="http://schemas.openxmlformats.org/officeDocument/2006/relationships/image" Target="media/image7.png"/><Relationship Id="rId47" Type="http://schemas.openxmlformats.org/officeDocument/2006/relationships/image" Target="media/image6.png"/><Relationship Id="rId46" Type="http://schemas.openxmlformats.org/officeDocument/2006/relationships/image" Target="media/image5.jpeg"/><Relationship Id="rId45" Type="http://schemas.openxmlformats.org/officeDocument/2006/relationships/image" Target="media/image4.jpeg"/><Relationship Id="rId44" Type="http://schemas.openxmlformats.org/officeDocument/2006/relationships/image" Target="media/image3.png"/><Relationship Id="rId43" Type="http://schemas.openxmlformats.org/officeDocument/2006/relationships/image" Target="media/image2.png"/><Relationship Id="rId42" Type="http://schemas.openxmlformats.org/officeDocument/2006/relationships/image" Target="media/image1.emf"/><Relationship Id="rId41" Type="http://schemas.openxmlformats.org/officeDocument/2006/relationships/oleObject" Target="embeddings/oleObject1.bin"/><Relationship Id="rId40" Type="http://schemas.openxmlformats.org/officeDocument/2006/relationships/theme" Target="theme/theme1.xml"/><Relationship Id="rId4" Type="http://schemas.openxmlformats.org/officeDocument/2006/relationships/endnotes" Target="endnotes.xml"/><Relationship Id="rId39" Type="http://schemas.openxmlformats.org/officeDocument/2006/relationships/header" Target="header25.xml"/><Relationship Id="rId38" Type="http://schemas.openxmlformats.org/officeDocument/2006/relationships/header" Target="header24.xml"/><Relationship Id="rId37" Type="http://schemas.openxmlformats.org/officeDocument/2006/relationships/header" Target="header23.xml"/><Relationship Id="rId36" Type="http://schemas.openxmlformats.org/officeDocument/2006/relationships/footer" Target="footer10.xml"/><Relationship Id="rId35" Type="http://schemas.openxmlformats.org/officeDocument/2006/relationships/header" Target="header22.xml"/><Relationship Id="rId34" Type="http://schemas.openxmlformats.org/officeDocument/2006/relationships/header" Target="header21.xml"/><Relationship Id="rId33" Type="http://schemas.openxmlformats.org/officeDocument/2006/relationships/footer" Target="footer9.xml"/><Relationship Id="rId32" Type="http://schemas.openxmlformats.org/officeDocument/2006/relationships/header" Target="header20.xml"/><Relationship Id="rId31" Type="http://schemas.openxmlformats.org/officeDocument/2006/relationships/header" Target="header19.xml"/><Relationship Id="rId30" Type="http://schemas.openxmlformats.org/officeDocument/2006/relationships/footer" Target="footer8.xml"/><Relationship Id="rId3" Type="http://schemas.openxmlformats.org/officeDocument/2006/relationships/footnotes" Target="footnotes.xml"/><Relationship Id="rId29" Type="http://schemas.openxmlformats.org/officeDocument/2006/relationships/header" Target="header18.xml"/><Relationship Id="rId28" Type="http://schemas.openxmlformats.org/officeDocument/2006/relationships/header" Target="header17.xml"/><Relationship Id="rId27" Type="http://schemas.openxmlformats.org/officeDocument/2006/relationships/header" Target="header16.xml"/><Relationship Id="rId26" Type="http://schemas.openxmlformats.org/officeDocument/2006/relationships/header" Target="header15.xml"/><Relationship Id="rId25" Type="http://schemas.openxmlformats.org/officeDocument/2006/relationships/header" Target="header14.xml"/><Relationship Id="rId24" Type="http://schemas.openxmlformats.org/officeDocument/2006/relationships/header" Target="header13.xml"/><Relationship Id="rId23" Type="http://schemas.openxmlformats.org/officeDocument/2006/relationships/header" Target="header12.xml"/><Relationship Id="rId22" Type="http://schemas.openxmlformats.org/officeDocument/2006/relationships/footer" Target="footer7.xml"/><Relationship Id="rId21" Type="http://schemas.openxmlformats.org/officeDocument/2006/relationships/header" Target="header11.xml"/><Relationship Id="rId20" Type="http://schemas.openxmlformats.org/officeDocument/2006/relationships/footer" Target="footer6.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6BA95D9-8708-4406-BF6B-2F0664830A0C}">
  <ds:schemaRefs/>
</ds:datastoreItem>
</file>

<file path=docProps/app.xml><?xml version="1.0" encoding="utf-8"?>
<Properties xmlns="http://schemas.openxmlformats.org/officeDocument/2006/extended-properties" xmlns:vt="http://schemas.openxmlformats.org/officeDocument/2006/docPropsVTypes">
  <Template>Normal.dotm</Template>
  <Company>daohangxitong.com</Company>
  <Pages>179</Pages>
  <Words>8489</Words>
  <Characters>9653</Characters>
  <Lines>1</Lines>
  <Paragraphs>1</Paragraphs>
  <TotalTime>7</TotalTime>
  <ScaleCrop>false</ScaleCrop>
  <LinksUpToDate>false</LinksUpToDate>
  <CharactersWithSpaces>9938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2020-06-12T07:34:00Z</dcterms:created>
  <dc:creator>Administrator</dc:creator>
  <cp:lastModifiedBy>那个人</cp:lastModifiedBy>
  <cp:lastPrinted>2023-08-25T01:18:00Z</cp:lastPrinted>
  <dcterms:modified xsi:type="dcterms:W3CDTF">2025-04-01T08:46:12Z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18E08279CC3C4755BCD8C527594F0B62_13</vt:lpwstr>
  </property>
</Properties>
</file>